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A77E"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994BB56" wp14:editId="29E3805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F46629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A402DB1" w14:textId="77777777" w:rsidR="00BC1364" w:rsidRPr="00F715D1" w:rsidRDefault="00BC1364" w:rsidP="009F36BF">
      <w:pPr>
        <w:pStyle w:val="Subtitle"/>
      </w:pPr>
      <w:r w:rsidRPr="00F715D1">
        <w:t xml:space="preserve">Application No. </w:t>
      </w:r>
      <w:r w:rsidR="00712B1D">
        <w:t>1</w:t>
      </w:r>
      <w:r w:rsidR="00D064A8">
        <w:t>60</w:t>
      </w:r>
      <w:r w:rsidR="006C4386">
        <w:t>3</w:t>
      </w:r>
      <w:r w:rsidR="00424791">
        <w:t xml:space="preserve"> –</w:t>
      </w:r>
      <w:r w:rsidR="009F36BF">
        <w:t xml:space="preserve"> </w:t>
      </w:r>
      <w:r w:rsidR="006C4386">
        <w:t>Transcatheter Aortic Valve Implantation (TAVI) using SAPien 3 balloon-expandable valve system</w:t>
      </w:r>
    </w:p>
    <w:p w14:paraId="2B25B10D" w14:textId="7515C287" w:rsidR="00BC1364" w:rsidRPr="00F715D1" w:rsidRDefault="00B35595" w:rsidP="0054186C">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6C4386">
        <w:rPr>
          <w:rFonts w:ascii="Arial" w:hAnsi="Arial" w:cs="Arial"/>
          <w:b/>
          <w:szCs w:val="24"/>
        </w:rPr>
        <w:t>Edwards Lifesciences</w:t>
      </w:r>
      <w:r w:rsidR="00B6064B">
        <w:rPr>
          <w:rFonts w:ascii="Arial" w:hAnsi="Arial" w:cs="Arial"/>
          <w:b/>
          <w:szCs w:val="24"/>
        </w:rPr>
        <w:t xml:space="preserve"> Pty Ltd</w:t>
      </w:r>
    </w:p>
    <w:p w14:paraId="6005F9B7"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6049D1F2"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B082368" w14:textId="77777777" w:rsidR="003D7F29" w:rsidRPr="00F715D1" w:rsidRDefault="003D7F29" w:rsidP="00F715D1">
      <w:pPr>
        <w:pStyle w:val="Heading1"/>
      </w:pPr>
      <w:r w:rsidRPr="00F715D1">
        <w:t>Purpose of application</w:t>
      </w:r>
      <w:r w:rsidR="00822C7E" w:rsidRPr="00F715D1">
        <w:t xml:space="preserve"> </w:t>
      </w:r>
    </w:p>
    <w:p w14:paraId="5243153C" w14:textId="4952722C" w:rsidR="002063FA" w:rsidRDefault="002063FA" w:rsidP="002063FA">
      <w:pPr>
        <w:tabs>
          <w:tab w:val="left" w:pos="720"/>
          <w:tab w:val="left" w:pos="1140"/>
        </w:tabs>
        <w:rPr>
          <w:szCs w:val="24"/>
        </w:rPr>
      </w:pPr>
      <w:r w:rsidRPr="00EE216E">
        <w:rPr>
          <w:szCs w:val="24"/>
        </w:rPr>
        <w:t>An application requesting Medicare Benefits Schedule (MBS) listing</w:t>
      </w:r>
      <w:r w:rsidR="00024323">
        <w:rPr>
          <w:szCs w:val="24"/>
        </w:rPr>
        <w:t xml:space="preserve"> of</w:t>
      </w:r>
      <w:r w:rsidRPr="00EE216E">
        <w:rPr>
          <w:szCs w:val="24"/>
        </w:rPr>
        <w:t xml:space="preserve"> </w:t>
      </w:r>
      <w:r>
        <w:rPr>
          <w:szCs w:val="24"/>
        </w:rPr>
        <w:t>t</w:t>
      </w:r>
      <w:r w:rsidRPr="00EE216E">
        <w:rPr>
          <w:szCs w:val="24"/>
        </w:rPr>
        <w:t xml:space="preserve">ranscatheter aortic valve implantation </w:t>
      </w:r>
      <w:r>
        <w:rPr>
          <w:szCs w:val="24"/>
        </w:rPr>
        <w:t>(TAVI)</w:t>
      </w:r>
      <w:r w:rsidRPr="00EE216E">
        <w:rPr>
          <w:szCs w:val="24"/>
        </w:rPr>
        <w:t xml:space="preserve"> using a balloon-expandable valve (BEV) system for patients with symptomatic</w:t>
      </w:r>
      <w:r>
        <w:rPr>
          <w:szCs w:val="24"/>
        </w:rPr>
        <w:t xml:space="preserve"> severe</w:t>
      </w:r>
      <w:r w:rsidRPr="00EE216E">
        <w:rPr>
          <w:szCs w:val="24"/>
        </w:rPr>
        <w:t xml:space="preserve"> aortic stenosis (AS) at intermediate risk for surgery was received from Edwards Lifesciences Pty Lt</w:t>
      </w:r>
      <w:r>
        <w:rPr>
          <w:szCs w:val="24"/>
        </w:rPr>
        <w:t>d by the Department of Health</w:t>
      </w:r>
      <w:r w:rsidRPr="00EE216E">
        <w:rPr>
          <w:szCs w:val="24"/>
        </w:rPr>
        <w:t>.</w:t>
      </w:r>
    </w:p>
    <w:p w14:paraId="7292916F" w14:textId="77777777" w:rsidR="00E977EE" w:rsidRPr="00F715D1" w:rsidRDefault="00E977EE" w:rsidP="00F715D1">
      <w:pPr>
        <w:pStyle w:val="Heading1"/>
      </w:pPr>
      <w:r w:rsidRPr="00F715D1">
        <w:t>MSAC’s advice to the Minister</w:t>
      </w:r>
    </w:p>
    <w:p w14:paraId="11F63A6C" w14:textId="0D6465E5" w:rsidR="00C52347" w:rsidRDefault="00C52347" w:rsidP="0060464A">
      <w:pPr>
        <w:spacing w:after="240"/>
      </w:pPr>
      <w:r w:rsidRPr="001342D1">
        <w:t xml:space="preserve">After considering the strength of the available evidence in relation to comparative safety, </w:t>
      </w:r>
      <w:r>
        <w:t>clinical effectiveness and cost-</w:t>
      </w:r>
      <w:r w:rsidRPr="001342D1">
        <w:t xml:space="preserve">effectiveness, </w:t>
      </w:r>
      <w:r w:rsidRPr="00233303">
        <w:t xml:space="preserve">MSAC supported the creation of a new </w:t>
      </w:r>
      <w:r w:rsidRPr="000B7C35">
        <w:t>Medicare Benefits Schedule (</w:t>
      </w:r>
      <w:r w:rsidRPr="00233303">
        <w:t>MBS</w:t>
      </w:r>
      <w:r>
        <w:rPr>
          <w:b/>
          <w:bCs/>
          <w:iCs/>
        </w:rPr>
        <w:t>)</w:t>
      </w:r>
      <w:r w:rsidRPr="00233303">
        <w:t xml:space="preserve"> item for transcatheter aortic valve implantation (TAVI) using a balloon-expandable valve (BEV) system for patients with symptomatic severe aortic stenosis </w:t>
      </w:r>
      <w:r>
        <w:t xml:space="preserve">(AS) </w:t>
      </w:r>
      <w:r w:rsidRPr="00233303">
        <w:t xml:space="preserve">at intermediate risk for surgery on the grounds of acceptable safety, effectiveness and cost effectiveness compared with surgical aortic valve replacement (SAVR). Consistent with the current MBS item for TAVI (item 38495), MSAC supported an MBS item agnostic of the type of TAVI device, noting that this advice would be re-assessed at the March 2021 MSAC meeting consideration of the TAVI device agnostic application in intermediate risk for surgery (MSAC </w:t>
      </w:r>
      <w:r>
        <w:t>A</w:t>
      </w:r>
      <w:r w:rsidRPr="00233303">
        <w:t>pplication 1</w:t>
      </w:r>
      <w:r>
        <w:t>6</w:t>
      </w:r>
      <w:r w:rsidRPr="00233303">
        <w:t>52).</w:t>
      </w:r>
    </w:p>
    <w:tbl>
      <w:tblPr>
        <w:tblStyle w:val="TableGrid"/>
        <w:tblW w:w="0" w:type="auto"/>
        <w:tblLook w:val="04A0" w:firstRow="1" w:lastRow="0" w:firstColumn="1" w:lastColumn="0" w:noHBand="0" w:noVBand="1"/>
        <w:tblDescription w:val="Consumer summary of MSAC consideration"/>
      </w:tblPr>
      <w:tblGrid>
        <w:gridCol w:w="9016"/>
      </w:tblGrid>
      <w:tr w:rsidR="00037D08" w14:paraId="554BC0D3" w14:textId="77777777" w:rsidTr="00037D08">
        <w:trPr>
          <w:tblHeader/>
        </w:trPr>
        <w:tc>
          <w:tcPr>
            <w:tcW w:w="9016" w:type="dxa"/>
          </w:tcPr>
          <w:p w14:paraId="2558A8AD" w14:textId="471B0167" w:rsidR="00037D08" w:rsidRPr="00037D08" w:rsidRDefault="00037D08" w:rsidP="00037D08">
            <w:pPr>
              <w:spacing w:before="120" w:after="120"/>
              <w:rPr>
                <w:b/>
              </w:rPr>
            </w:pPr>
            <w:r w:rsidRPr="00037D08">
              <w:rPr>
                <w:b/>
              </w:rPr>
              <w:t>Consumer summary</w:t>
            </w:r>
          </w:p>
        </w:tc>
      </w:tr>
      <w:tr w:rsidR="00037D08" w14:paraId="3A5F3F4A" w14:textId="77777777" w:rsidTr="00037D08">
        <w:tc>
          <w:tcPr>
            <w:tcW w:w="9016" w:type="dxa"/>
          </w:tcPr>
          <w:p w14:paraId="03746FDF" w14:textId="77777777" w:rsidR="00037D08" w:rsidRDefault="00037D08" w:rsidP="00037D08">
            <w:pPr>
              <w:spacing w:before="120"/>
            </w:pPr>
            <w:r>
              <w:t>Edwards Lifesciences Pty Ltd applied for public funding via the Medicare Benefits Schedule (MBS) for transcatheter aortic valve implantation (TAVI) using a balloon-expandable valve in patients with symptomatic severe aortic stenosis who are at intermediate risk for surgery.</w:t>
            </w:r>
          </w:p>
          <w:p w14:paraId="24F4643A" w14:textId="77777777" w:rsidR="00037D08" w:rsidRDefault="00037D08" w:rsidP="00037D08">
            <w:pPr>
              <w:spacing w:before="240"/>
            </w:pPr>
            <w:r>
              <w:lastRenderedPageBreak/>
              <w:t>Severe aortic stenosis is a condition that stops blood from flowing easily throughout the body. Eventually this can lead to heart failure because the aortic valve in the heart develops a severe build-up of calcium, which makes it difficult for the valve to open and close.</w:t>
            </w:r>
          </w:p>
          <w:p w14:paraId="4EB5D0F9" w14:textId="77777777" w:rsidR="00037D08" w:rsidRDefault="00037D08" w:rsidP="00037D08">
            <w:r>
              <w:t>TAVI is a procedure that helps to improve a damaged aortic valve. During a TAVI procedure, an artificial valve made of natural animal heart tissue (usually from a cow or a pig) is implanted into the heart. But instead of standard open-heart surgery (where the chest cavity is opened during surgery), in TAVI, a catheter is placed in the femoral artery (in the groin) and guided into the heart.</w:t>
            </w:r>
          </w:p>
          <w:p w14:paraId="301EBA5F" w14:textId="77777777" w:rsidR="00037D08" w:rsidRDefault="00037D08" w:rsidP="00037D08">
            <w:pPr>
              <w:spacing w:before="240"/>
            </w:pPr>
            <w:r>
              <w:t>MSAC accepted that TAVI is safer, more effective and more cost-effective than surgical aortic valve replacement. However, there was not enough evidence to determine whether the use of a balloon-expandable valve was better than a TAVI procedure that uses a self-expanding valve. For that reason, MSAC supported the listing of an MBS item for a TAVI device without specifying which type of valve should be used.</w:t>
            </w:r>
          </w:p>
          <w:p w14:paraId="25E0A727" w14:textId="77777777" w:rsidR="00037D08" w:rsidRPr="00037D08" w:rsidRDefault="00037D08" w:rsidP="00037D08">
            <w:pPr>
              <w:spacing w:before="240" w:after="120"/>
              <w:rPr>
                <w:b/>
              </w:rPr>
            </w:pPr>
            <w:r w:rsidRPr="00037D08">
              <w:rPr>
                <w:b/>
              </w:rPr>
              <w:t>MSAC’s advice to the Commonwealth Minister for Health</w:t>
            </w:r>
          </w:p>
          <w:p w14:paraId="56313F89" w14:textId="16AFC486" w:rsidR="00037D08" w:rsidRDefault="00037D08" w:rsidP="00037D08">
            <w:pPr>
              <w:spacing w:after="120"/>
            </w:pPr>
            <w:r>
              <w:t>MSAC supported an MBS item that does not name the type of TAVI device. MSAC based its decision on the fact that it considered TAVI to be effective, safe and cost-effective. MSAC noted that this advice would be re-assessed at the March/April 2021 MSAC meeting, when it would consider the TAVI device agnostic application in intermediate risk for surgery.</w:t>
            </w:r>
          </w:p>
        </w:tc>
      </w:tr>
    </w:tbl>
    <w:p w14:paraId="0B67A67D" w14:textId="77777777" w:rsidR="00550354" w:rsidRPr="00F715D1" w:rsidRDefault="00550354" w:rsidP="00F715D1">
      <w:pPr>
        <w:pStyle w:val="Heading1"/>
      </w:pPr>
      <w:r w:rsidRPr="00F715D1">
        <w:lastRenderedPageBreak/>
        <w:t xml:space="preserve">Summary of consideration and rationale for MSAC’s advice </w:t>
      </w:r>
    </w:p>
    <w:p w14:paraId="245796D3" w14:textId="3BE46DAF" w:rsidR="00C52347" w:rsidRDefault="0055751B" w:rsidP="00C52347">
      <w:r>
        <w:t xml:space="preserve">MSAC noted that </w:t>
      </w:r>
      <w:r w:rsidR="00C52347" w:rsidRPr="000B7C35">
        <w:t>TAVI is currently</w:t>
      </w:r>
      <w:r w:rsidR="00C52347">
        <w:t xml:space="preserve"> listed on the</w:t>
      </w:r>
      <w:r w:rsidR="00C52347" w:rsidRPr="000B7C35">
        <w:t xml:space="preserve"> MBS for high-risk</w:t>
      </w:r>
      <w:r w:rsidR="00106329">
        <w:t>/inoperable</w:t>
      </w:r>
      <w:r w:rsidR="00C52347" w:rsidRPr="000B7C35">
        <w:t xml:space="preserve"> surgical patients with symptomatic severe AS under item 38495.</w:t>
      </w:r>
      <w:r w:rsidR="00106329">
        <w:t xml:space="preserve"> This item is </w:t>
      </w:r>
      <w:r w:rsidR="00106329" w:rsidRPr="00233303">
        <w:t>agnostic of the type of TAVI device</w:t>
      </w:r>
      <w:r w:rsidR="00106329">
        <w:t>.</w:t>
      </w:r>
      <w:r w:rsidR="00C52347" w:rsidRPr="000B7C35">
        <w:t xml:space="preserve"> </w:t>
      </w:r>
      <w:r w:rsidR="00C52347">
        <w:t xml:space="preserve">MSAC noted that this </w:t>
      </w:r>
      <w:r w:rsidR="002266C9">
        <w:t xml:space="preserve">device specific </w:t>
      </w:r>
      <w:r w:rsidR="00C52347">
        <w:t>application</w:t>
      </w:r>
      <w:r w:rsidR="002266C9">
        <w:t xml:space="preserve"> for TAVI-BEV</w:t>
      </w:r>
      <w:r w:rsidR="00C52347">
        <w:t xml:space="preserve"> </w:t>
      </w:r>
      <w:r w:rsidR="002266C9">
        <w:t xml:space="preserve">is </w:t>
      </w:r>
      <w:r w:rsidR="00C52347" w:rsidRPr="000B7C35">
        <w:t>seek</w:t>
      </w:r>
      <w:r w:rsidR="00106329">
        <w:t>ing</w:t>
      </w:r>
      <w:r w:rsidR="00C52347" w:rsidRPr="000B7C35">
        <w:t xml:space="preserve"> to expand MBS listing to include intermediate-risk surgical patients.</w:t>
      </w:r>
      <w:r w:rsidR="002266C9">
        <w:t xml:space="preserve"> MSAC noted that the applicant originally pursued a TAVI device agnostic application (</w:t>
      </w:r>
      <w:hyperlink r:id="rId10" w:history="1">
        <w:r w:rsidR="00DF5889" w:rsidRPr="00DF5889">
          <w:rPr>
            <w:rStyle w:val="Hyperlink"/>
          </w:rPr>
          <w:t xml:space="preserve">Application </w:t>
        </w:r>
        <w:r w:rsidR="002266C9" w:rsidRPr="00DF5889">
          <w:rPr>
            <w:rStyle w:val="Hyperlink"/>
          </w:rPr>
          <w:t>1552</w:t>
        </w:r>
      </w:hyperlink>
      <w:r w:rsidR="002266C9">
        <w:t xml:space="preserve">), but due to </w:t>
      </w:r>
      <w:r w:rsidR="00681B3D" w:rsidRPr="002B72F6">
        <w:t>BEVs</w:t>
      </w:r>
      <w:r w:rsidR="00681B3D">
        <w:t xml:space="preserve"> perceived </w:t>
      </w:r>
      <w:r w:rsidR="00681B3D" w:rsidRPr="002B72F6">
        <w:t>different clinical and economic outcome</w:t>
      </w:r>
      <w:r w:rsidR="00681B3D">
        <w:t>s in intermediate-risk patients, cho</w:t>
      </w:r>
      <w:r w:rsidR="00310000">
        <w:t>se to pursue this TAVI-BEV specific application (1603).</w:t>
      </w:r>
    </w:p>
    <w:p w14:paraId="6F073042" w14:textId="2EAA208D" w:rsidR="00E126CB" w:rsidRDefault="00C52347" w:rsidP="0060464A">
      <w:pPr>
        <w:spacing w:before="240" w:after="240"/>
      </w:pPr>
      <w:r>
        <w:t xml:space="preserve">MSAC noted that </w:t>
      </w:r>
      <w:r w:rsidRPr="00717ACD">
        <w:t xml:space="preserve">the </w:t>
      </w:r>
      <w:r w:rsidR="00310000">
        <w:t>applicant-developed assessment report (</w:t>
      </w:r>
      <w:r w:rsidRPr="00717ACD">
        <w:t>ADAR</w:t>
      </w:r>
      <w:r w:rsidR="00310000">
        <w:t>)</w:t>
      </w:r>
      <w:r w:rsidRPr="00717ACD">
        <w:t xml:space="preserve"> appropriately nominated SAVR as the main comparator </w:t>
      </w:r>
      <w:r>
        <w:t xml:space="preserve">and TAVI </w:t>
      </w:r>
      <w:r w:rsidRPr="00717ACD">
        <w:t>self</w:t>
      </w:r>
      <w:r>
        <w:t>-</w:t>
      </w:r>
      <w:r w:rsidRPr="00717ACD">
        <w:t>expandable valves (TAVI-SEV)</w:t>
      </w:r>
      <w:r>
        <w:t xml:space="preserve"> as the secondary comparator</w:t>
      </w:r>
      <w:r w:rsidR="00681B3D">
        <w:t xml:space="preserve"> (as requested by the PICO</w:t>
      </w:r>
      <w:r w:rsidR="00037D08">
        <w:rPr>
          <w:rStyle w:val="FootnoteReference"/>
        </w:rPr>
        <w:footnoteReference w:id="1"/>
      </w:r>
      <w:r w:rsidR="00681B3D">
        <w:t xml:space="preserve"> Advisory Sub-committee [PASC])</w:t>
      </w:r>
      <w:r>
        <w:t>.</w:t>
      </w:r>
    </w:p>
    <w:p w14:paraId="49CC3EEA" w14:textId="262C2218" w:rsidR="00E126CB" w:rsidRDefault="00E126CB" w:rsidP="00C52347">
      <w:r>
        <w:t xml:space="preserve">MSAC noted there was no feedback from consumers, but consultation feedback was received </w:t>
      </w:r>
      <w:r w:rsidR="004F1CA5">
        <w:t xml:space="preserve">which did not support a TAVI device specific application and considered a MBS item should be generic and cover TAVI with all </w:t>
      </w:r>
      <w:r w:rsidR="00164B92">
        <w:t>Therapeutic Goods Administration (</w:t>
      </w:r>
      <w:r w:rsidR="004F1CA5">
        <w:t>TGA</w:t>
      </w:r>
      <w:r w:rsidR="00164B92">
        <w:t>)</w:t>
      </w:r>
      <w:r w:rsidR="004F1CA5">
        <w:t xml:space="preserve"> approved devices.</w:t>
      </w:r>
    </w:p>
    <w:p w14:paraId="52DDF3EC" w14:textId="689656B2" w:rsidR="00FD1ECB" w:rsidRDefault="00C905B5" w:rsidP="0060464A">
      <w:pPr>
        <w:spacing w:before="240" w:after="240"/>
      </w:pPr>
      <w:r>
        <w:t>MSAC noted t</w:t>
      </w:r>
      <w:r w:rsidRPr="00F57AED">
        <w:t xml:space="preserve">here was no direct </w:t>
      </w:r>
      <w:r>
        <w:t>randomised controlled trial (</w:t>
      </w:r>
      <w:r w:rsidRPr="00F57AED">
        <w:t>RCT</w:t>
      </w:r>
      <w:r>
        <w:t xml:space="preserve">) </w:t>
      </w:r>
      <w:r w:rsidRPr="00F57AED">
        <w:t xml:space="preserve">evidence assessing </w:t>
      </w:r>
      <w:r w:rsidR="00DF5889">
        <w:t xml:space="preserve">the current generation </w:t>
      </w:r>
      <w:r>
        <w:t>TAVI-BEV</w:t>
      </w:r>
      <w:r w:rsidRPr="00F57AED">
        <w:t xml:space="preserve"> </w:t>
      </w:r>
      <w:r w:rsidR="00DF5889">
        <w:t xml:space="preserve">(SAPIEN 3) </w:t>
      </w:r>
      <w:r w:rsidRPr="00BC7E9B">
        <w:rPr>
          <w:i/>
        </w:rPr>
        <w:t>vs</w:t>
      </w:r>
      <w:r>
        <w:t xml:space="preserve">. </w:t>
      </w:r>
      <w:r w:rsidRPr="00F57AED">
        <w:t>the primary comparator, SAVR.</w:t>
      </w:r>
      <w:r>
        <w:t xml:space="preserve"> </w:t>
      </w:r>
      <w:r w:rsidR="00FD1ECB">
        <w:t xml:space="preserve">Rather, the </w:t>
      </w:r>
      <w:r w:rsidR="00FD1ECB" w:rsidRPr="00FD1ECB">
        <w:t>ADAR’s primary clinical evidence relied on comparing TAVI-BEV with SAVR via a propensity score-adjusted comparison (PARTNER S3i) of two sub-populat</w:t>
      </w:r>
      <w:r w:rsidR="00FD1ECB">
        <w:t xml:space="preserve">ions from two </w:t>
      </w:r>
      <w:r w:rsidR="00FD1ECB">
        <w:lastRenderedPageBreak/>
        <w:t xml:space="preserve">clinical studies. However, MSAC noted there was direct RCT evidence for the comparison of </w:t>
      </w:r>
      <w:r w:rsidR="00DF5889">
        <w:t xml:space="preserve">an older generation </w:t>
      </w:r>
      <w:r w:rsidR="00FD1ECB">
        <w:t xml:space="preserve">TAVI-SEV </w:t>
      </w:r>
      <w:r w:rsidR="00DF5889">
        <w:t xml:space="preserve">(CoreValve) </w:t>
      </w:r>
      <w:r w:rsidR="00FD1ECB" w:rsidRPr="009332E8">
        <w:rPr>
          <w:i/>
        </w:rPr>
        <w:t>vs.</w:t>
      </w:r>
      <w:r w:rsidR="00FD1ECB">
        <w:t xml:space="preserve"> SAVR, which was used to inform the indirect compa</w:t>
      </w:r>
      <w:r w:rsidR="00532749">
        <w:t>rison of TAVI-BEV with TAVI-SEV, via the common comparator SAVR</w:t>
      </w:r>
      <w:r w:rsidR="00DF4EA8">
        <w:t>.</w:t>
      </w:r>
    </w:p>
    <w:p w14:paraId="67853270" w14:textId="234D380C" w:rsidR="00D22853" w:rsidRDefault="00C52347" w:rsidP="00C52347">
      <w:r>
        <w:t>MSAC noted the</w:t>
      </w:r>
      <w:r w:rsidR="00FD1ECB">
        <w:t xml:space="preserve"> issues raised by ESC for the</w:t>
      </w:r>
      <w:r>
        <w:t xml:space="preserve"> use of propensity score-adjustment to compare TAVI-BEV with SAVR</w:t>
      </w:r>
      <w:r w:rsidR="00D22853">
        <w:t>.</w:t>
      </w:r>
      <w:r>
        <w:t xml:space="preserve"> </w:t>
      </w:r>
      <w:r w:rsidR="00D22853">
        <w:t>MSAC agreed with the ESC that w</w:t>
      </w:r>
      <w:r w:rsidR="00D22853" w:rsidRPr="00A373B5">
        <w:t>hile the propensity score adjustment process controlled for all relevant observed characteristics</w:t>
      </w:r>
      <w:r w:rsidR="00D22853">
        <w:t xml:space="preserve"> for the primary outcomes (the composite endpoint of all-cause mortality, stroke, moderate or severe </w:t>
      </w:r>
      <w:r w:rsidR="00DF5889">
        <w:t>paravalvular</w:t>
      </w:r>
      <w:r w:rsidR="00D22853">
        <w:t xml:space="preserve"> regurgitation at 1 year)</w:t>
      </w:r>
      <w:r w:rsidR="00D22853" w:rsidRPr="00F57AED">
        <w:t xml:space="preserve"> there </w:t>
      </w:r>
      <w:r w:rsidR="00DF5889">
        <w:t>was</w:t>
      </w:r>
      <w:r w:rsidR="00D22853" w:rsidRPr="00F57AED">
        <w:t xml:space="preserve"> potential for bias due to potential differences in unobserved variables.</w:t>
      </w:r>
      <w:r w:rsidR="00D22853">
        <w:t xml:space="preserve"> </w:t>
      </w:r>
      <w:r w:rsidR="00AB2823">
        <w:t>MSAC noted that the pre-MSAC response also acknowledged this limitation of the study</w:t>
      </w:r>
      <w:r w:rsidR="00075B5A">
        <w:t xml:space="preserve"> when discussing the 5-year outcomes from the PARTNER 3Si study, and also that more patients were lost to follow up in the TAVI cohort compared with SAVR cohort. </w:t>
      </w:r>
      <w:r w:rsidR="00AB2823">
        <w:t xml:space="preserve"> </w:t>
      </w:r>
      <w:r w:rsidR="00D22853" w:rsidRPr="00D22853">
        <w:t xml:space="preserve">For all secondary outcomes, </w:t>
      </w:r>
      <w:r w:rsidR="00D22853">
        <w:t>MSAC</w:t>
      </w:r>
      <w:r w:rsidR="00D22853" w:rsidRPr="00D22853">
        <w:t xml:space="preserve"> </w:t>
      </w:r>
      <w:r w:rsidR="00404268">
        <w:t xml:space="preserve">also </w:t>
      </w:r>
      <w:r w:rsidR="00D22853" w:rsidRPr="00D22853">
        <w:t>noted that the ADAR acknowledged the high uncertainty from the unadjusted (naïve) comparisons.</w:t>
      </w:r>
    </w:p>
    <w:p w14:paraId="6C79ED3C" w14:textId="6749497D" w:rsidR="00075B5A" w:rsidRDefault="00D22853" w:rsidP="0060464A">
      <w:pPr>
        <w:spacing w:before="240"/>
      </w:pPr>
      <w:r>
        <w:t>In terms of comparative safety</w:t>
      </w:r>
      <w:r w:rsidR="00B257A0">
        <w:t xml:space="preserve"> of TAVI-BEV </w:t>
      </w:r>
      <w:r w:rsidR="00B257A0" w:rsidRPr="009332E8">
        <w:rPr>
          <w:i/>
        </w:rPr>
        <w:t>vs.</w:t>
      </w:r>
      <w:r w:rsidR="00B257A0">
        <w:t xml:space="preserve"> SAVR</w:t>
      </w:r>
      <w:r>
        <w:t>, MSAC noted p</w:t>
      </w:r>
      <w:r w:rsidR="00C52347">
        <w:t>atients treated with TAVI-BEV had a higher rate of moderate or severe aortic regurgitation than patients treated with SAVR at 12 months follow-up. Unadjusted comparisons showed that</w:t>
      </w:r>
      <w:r w:rsidR="00C52347" w:rsidRPr="00A65B0C">
        <w:t xml:space="preserve"> patients treated with TAVI-BEV had significantly lower</w:t>
      </w:r>
      <w:r w:rsidR="00C52347">
        <w:t xml:space="preserve"> </w:t>
      </w:r>
      <w:r w:rsidR="00C52347" w:rsidRPr="00A65B0C">
        <w:t xml:space="preserve">rates of re-hospitalisations, </w:t>
      </w:r>
      <w:r w:rsidR="00C52347">
        <w:t xml:space="preserve">fewer </w:t>
      </w:r>
      <w:r w:rsidR="00C52347" w:rsidRPr="00A65B0C">
        <w:t xml:space="preserve">new cases of atrial fibrillation, </w:t>
      </w:r>
      <w:r w:rsidR="00C52347">
        <w:t xml:space="preserve">lower rates of </w:t>
      </w:r>
      <w:r w:rsidR="00C52347" w:rsidRPr="00A65B0C">
        <w:t>myocardial infarction</w:t>
      </w:r>
      <w:r w:rsidR="00C52347">
        <w:t>,</w:t>
      </w:r>
      <w:r w:rsidR="00C52347" w:rsidRPr="00A65B0C">
        <w:t xml:space="preserve"> and </w:t>
      </w:r>
      <w:r w:rsidR="00C52347">
        <w:t xml:space="preserve">lower rates of </w:t>
      </w:r>
      <w:r w:rsidR="00C52347" w:rsidRPr="00A65B0C">
        <w:t>life-threatening or disabling bleeding than patients treated with SAVR</w:t>
      </w:r>
      <w:r w:rsidR="00C52347">
        <w:t>, although MSAC noted that these results are highly uncertain.</w:t>
      </w:r>
      <w:r w:rsidR="00075B5A">
        <w:t xml:space="preserve"> MSAC noted the 5-year outcomes of PARTNER 3Si presented in the pre-MSAC response showed:</w:t>
      </w:r>
    </w:p>
    <w:p w14:paraId="5EB74B79" w14:textId="759833EA" w:rsidR="00075B5A" w:rsidRDefault="00E13964" w:rsidP="009332E8">
      <w:pPr>
        <w:pStyle w:val="ListParagraph"/>
        <w:numPr>
          <w:ilvl w:val="0"/>
          <w:numId w:val="39"/>
        </w:numPr>
      </w:pPr>
      <w:r>
        <w:t>s</w:t>
      </w:r>
      <w:r w:rsidR="00075B5A">
        <w:t xml:space="preserve">imilar rates of endocarditis,  aortic valve re-intervention and valve thrombosis </w:t>
      </w:r>
    </w:p>
    <w:p w14:paraId="2DABD333" w14:textId="6B0C8194" w:rsidR="00C52347" w:rsidRDefault="00E13964" w:rsidP="009332E8">
      <w:pPr>
        <w:pStyle w:val="ListParagraph"/>
        <w:numPr>
          <w:ilvl w:val="0"/>
          <w:numId w:val="39"/>
        </w:numPr>
      </w:pPr>
      <w:r>
        <w:t>l</w:t>
      </w:r>
      <w:r w:rsidR="00075B5A">
        <w:t>ower rates of new pacemakers favouring SAVR.</w:t>
      </w:r>
    </w:p>
    <w:p w14:paraId="7C8829BC" w14:textId="478F6408" w:rsidR="00075B5A" w:rsidRDefault="00C52347" w:rsidP="0060464A">
      <w:pPr>
        <w:spacing w:before="240"/>
      </w:pPr>
      <w:r>
        <w:t>In terms of effectiveness</w:t>
      </w:r>
      <w:r w:rsidR="00B257A0">
        <w:t xml:space="preserve"> of TAVI-BEV </w:t>
      </w:r>
      <w:r w:rsidR="00B257A0" w:rsidRPr="009332E8">
        <w:rPr>
          <w:i/>
        </w:rPr>
        <w:t>vs.</w:t>
      </w:r>
      <w:r w:rsidR="00B257A0">
        <w:t xml:space="preserve"> SAVR</w:t>
      </w:r>
      <w:r>
        <w:t xml:space="preserve">, </w:t>
      </w:r>
      <w:r w:rsidR="00B257A0">
        <w:t xml:space="preserve">MSAC noted that </w:t>
      </w:r>
      <w:r>
        <w:t xml:space="preserve">the propensity score-adjustment showed that </w:t>
      </w:r>
      <w:r w:rsidRPr="00A65B0C">
        <w:t xml:space="preserve">TAVI-BEV </w:t>
      </w:r>
      <w:r>
        <w:t>is</w:t>
      </w:r>
      <w:r w:rsidRPr="00A65B0C">
        <w:t xml:space="preserve"> superior for the outcomes of death and stroke</w:t>
      </w:r>
      <w:r w:rsidR="00D22853">
        <w:t xml:space="preserve"> at 12</w:t>
      </w:r>
      <w:r w:rsidR="00DD7827">
        <w:t> </w:t>
      </w:r>
      <w:r w:rsidR="00D22853">
        <w:t>months</w:t>
      </w:r>
      <w:r w:rsidRPr="00A65B0C">
        <w:t>.</w:t>
      </w:r>
      <w:r w:rsidR="00D22853">
        <w:t xml:space="preserve"> However, </w:t>
      </w:r>
      <w:r w:rsidR="00404268">
        <w:t xml:space="preserve">MSAC noted the 5-year </w:t>
      </w:r>
      <w:r w:rsidR="00DC0B94">
        <w:t xml:space="preserve">(unpublished) </w:t>
      </w:r>
      <w:r w:rsidR="00404268">
        <w:t>outcomes presented in the pre-MSAC response showed</w:t>
      </w:r>
      <w:r w:rsidR="00075B5A">
        <w:t>:</w:t>
      </w:r>
    </w:p>
    <w:p w14:paraId="2E201EBB" w14:textId="2D4E7089" w:rsidR="00075B5A" w:rsidRDefault="00404268" w:rsidP="009332E8">
      <w:pPr>
        <w:pStyle w:val="ListParagraph"/>
        <w:numPr>
          <w:ilvl w:val="0"/>
          <w:numId w:val="38"/>
        </w:numPr>
      </w:pPr>
      <w:r>
        <w:t xml:space="preserve">similar rates of </w:t>
      </w:r>
      <w:r w:rsidR="00075B5A">
        <w:t>mortality and all strokes (disabling + non-disabling stroke)</w:t>
      </w:r>
    </w:p>
    <w:p w14:paraId="2E5293D5" w14:textId="1AB72FEC" w:rsidR="00075B5A" w:rsidRDefault="00075B5A" w:rsidP="009332E8">
      <w:pPr>
        <w:pStyle w:val="ListParagraph"/>
        <w:numPr>
          <w:ilvl w:val="0"/>
          <w:numId w:val="38"/>
        </w:numPr>
      </w:pPr>
      <w:r>
        <w:t>sim</w:t>
      </w:r>
      <w:r w:rsidR="00532749">
        <w:t xml:space="preserve">ilar rates of the composite of </w:t>
      </w:r>
      <w:r w:rsidR="000B623A">
        <w:t>mortality</w:t>
      </w:r>
      <w:r w:rsidR="00532749">
        <w:t xml:space="preserve"> or disabling stroke</w:t>
      </w:r>
      <w:r w:rsidR="001E0D73">
        <w:t>,</w:t>
      </w:r>
      <w:r w:rsidR="00532749">
        <w:t xml:space="preserve"> and disabling stroke (</w:t>
      </w:r>
      <w:r>
        <w:t>noting</w:t>
      </w:r>
      <w:r w:rsidR="00B2563C">
        <w:t xml:space="preserve"> results numerically favoured TAVI-BEV but was not statistically significant as</w:t>
      </w:r>
      <w:r>
        <w:t xml:space="preserve"> the confidence interval of the hazard ratio</w:t>
      </w:r>
      <w:r w:rsidR="00532749">
        <w:t xml:space="preserve"> of disabling stroke</w:t>
      </w:r>
      <w:r>
        <w:t xml:space="preserve"> included 1</w:t>
      </w:r>
      <w:r w:rsidR="00532749">
        <w:t>)</w:t>
      </w:r>
    </w:p>
    <w:p w14:paraId="2ACC90AA" w14:textId="77777777" w:rsidR="008E67E7" w:rsidRDefault="00075B5A" w:rsidP="009332E8">
      <w:pPr>
        <w:pStyle w:val="ListParagraph"/>
        <w:numPr>
          <w:ilvl w:val="0"/>
          <w:numId w:val="38"/>
        </w:numPr>
      </w:pPr>
      <w:r>
        <w:t>lower rates of non-disabling stroke favouring SAVR.</w:t>
      </w:r>
    </w:p>
    <w:p w14:paraId="239E456C" w14:textId="70ACB606" w:rsidR="00D22853" w:rsidRDefault="008E67E7">
      <w:r>
        <w:t xml:space="preserve">Overall, MSAC concluded that superiority of TAVI-BEV </w:t>
      </w:r>
      <w:r w:rsidRPr="009332E8">
        <w:rPr>
          <w:i/>
        </w:rPr>
        <w:t>vs.</w:t>
      </w:r>
      <w:r>
        <w:t xml:space="preserve"> SAVR was not adequately justified over the long</w:t>
      </w:r>
      <w:r w:rsidR="00E126CB">
        <w:t>er</w:t>
      </w:r>
      <w:r>
        <w:t>-term results from propensity score analysis.</w:t>
      </w:r>
    </w:p>
    <w:p w14:paraId="2D453589" w14:textId="7157EC47" w:rsidR="00FE7719" w:rsidRDefault="00532749" w:rsidP="0060464A">
      <w:pPr>
        <w:spacing w:before="240"/>
      </w:pPr>
      <w:r>
        <w:t xml:space="preserve">MSAC </w:t>
      </w:r>
      <w:r w:rsidR="00FE7719">
        <w:t>considered</w:t>
      </w:r>
      <w:r>
        <w:t xml:space="preserve"> the</w:t>
      </w:r>
      <w:r w:rsidR="00FE7719">
        <w:t xml:space="preserve"> secondary comparison of TAVI-BEV </w:t>
      </w:r>
      <w:r w:rsidR="00FE7719" w:rsidRPr="009332E8">
        <w:rPr>
          <w:i/>
        </w:rPr>
        <w:t>vs.</w:t>
      </w:r>
      <w:r w:rsidR="00FE7719">
        <w:t xml:space="preserve"> SEV, noting that:</w:t>
      </w:r>
      <w:r>
        <w:t xml:space="preserve"> </w:t>
      </w:r>
    </w:p>
    <w:p w14:paraId="33D22657" w14:textId="53053C2B" w:rsidR="00C52347" w:rsidRDefault="00FE7719" w:rsidP="009332E8">
      <w:pPr>
        <w:pStyle w:val="ListParagraph"/>
        <w:numPr>
          <w:ilvl w:val="0"/>
          <w:numId w:val="40"/>
        </w:numPr>
      </w:pPr>
      <w:r>
        <w:t xml:space="preserve">the ESC and the </w:t>
      </w:r>
      <w:r w:rsidR="00C52347" w:rsidRPr="00A65B0C">
        <w:t xml:space="preserve">ADAR appropriately concluded there was too much clinical heterogeneity between trials to draw conclusions from the </w:t>
      </w:r>
      <w:r>
        <w:t>indirect comparison</w:t>
      </w:r>
      <w:r w:rsidR="008E67E7">
        <w:t xml:space="preserve">. However, MSAC noted the ADAR assumed superiority of TAVI-BEV </w:t>
      </w:r>
      <w:r w:rsidR="008E67E7" w:rsidRPr="009332E8">
        <w:rPr>
          <w:i/>
        </w:rPr>
        <w:t>vs.</w:t>
      </w:r>
      <w:r w:rsidR="008E67E7">
        <w:t xml:space="preserve"> SEV, as it did not make a</w:t>
      </w:r>
      <w:r w:rsidR="008E67E7" w:rsidRPr="00F17EC5">
        <w:t xml:space="preserve"> clinical claim for </w:t>
      </w:r>
      <w:r w:rsidR="008E67E7">
        <w:t xml:space="preserve">its comparison of </w:t>
      </w:r>
      <w:r w:rsidR="008E67E7" w:rsidRPr="00F17EC5">
        <w:t xml:space="preserve">TAVI-BEV </w:t>
      </w:r>
      <w:r w:rsidR="008E67E7" w:rsidRPr="00BC7E9B">
        <w:rPr>
          <w:i/>
        </w:rPr>
        <w:t>vs.</w:t>
      </w:r>
      <w:r w:rsidR="008E67E7">
        <w:t xml:space="preserve"> </w:t>
      </w:r>
      <w:r w:rsidR="008E67E7" w:rsidRPr="00F17EC5">
        <w:t>SEV</w:t>
      </w:r>
    </w:p>
    <w:p w14:paraId="60DC90E2" w14:textId="24DABE0F" w:rsidR="00E126CB" w:rsidRDefault="00FE7719" w:rsidP="009332E8">
      <w:pPr>
        <w:pStyle w:val="ListParagraph"/>
        <w:numPr>
          <w:ilvl w:val="0"/>
          <w:numId w:val="40"/>
        </w:numPr>
      </w:pPr>
      <w:r>
        <w:t xml:space="preserve">the </w:t>
      </w:r>
      <w:r w:rsidR="00C52347">
        <w:t>direct randomised trial, SOLVE-TAVI</w:t>
      </w:r>
      <w:r>
        <w:t>,</w:t>
      </w:r>
      <w:r w:rsidR="00DF0995">
        <w:t xml:space="preserve"> which was the only head to head comparison using new generation TAVI-BEV (SAPIEN 3) </w:t>
      </w:r>
      <w:r w:rsidR="00DF0995" w:rsidRPr="00DF0995">
        <w:rPr>
          <w:i/>
        </w:rPr>
        <w:t>vs.</w:t>
      </w:r>
      <w:r w:rsidR="00DF0995">
        <w:t xml:space="preserve"> SEV (Evolut-R) as currently used in Australia,</w:t>
      </w:r>
      <w:r>
        <w:t xml:space="preserve"> </w:t>
      </w:r>
      <w:r w:rsidR="00DF0995">
        <w:t xml:space="preserve">and </w:t>
      </w:r>
      <w:r>
        <w:t xml:space="preserve">included by the </w:t>
      </w:r>
      <w:r w:rsidR="00DD7827">
        <w:t>Commentary</w:t>
      </w:r>
      <w:r w:rsidR="00DF0995">
        <w:t>,</w:t>
      </w:r>
      <w:r>
        <w:t xml:space="preserve"> suggested that TAVI-BEV and SEV were </w:t>
      </w:r>
      <w:r w:rsidR="00DC0B94">
        <w:t>similar</w:t>
      </w:r>
      <w:r>
        <w:t xml:space="preserve"> </w:t>
      </w:r>
      <w:r w:rsidRPr="001738DF">
        <w:t>in terms of the composite primary endpoint: all-cause mortality, stroke, moderate or severe paravalvular leakage, and permanent pacemaker implantation at 30-day follow-up.</w:t>
      </w:r>
      <w:r>
        <w:t xml:space="preserve"> </w:t>
      </w:r>
      <w:r w:rsidR="00DC0B94">
        <w:t>MSAC also agreed with ESC who considered there were applicability concerns with the trial population</w:t>
      </w:r>
      <w:r w:rsidR="00FD758A">
        <w:t xml:space="preserve"> (high risk)</w:t>
      </w:r>
      <w:r w:rsidR="00DC0B94">
        <w:t xml:space="preserve"> and that the results were limited to 30-days, and as such did</w:t>
      </w:r>
      <w:r w:rsidR="00DC0B94" w:rsidRPr="00AC54F1">
        <w:t xml:space="preserve"> not inform longer term outcomes</w:t>
      </w:r>
      <w:r w:rsidR="00DC0B94">
        <w:t xml:space="preserve">. However, </w:t>
      </w:r>
      <w:r w:rsidR="00DC0B94">
        <w:lastRenderedPageBreak/>
        <w:t>MSAC noted that consultation feedback provided (unpublished) updated results from SOLVE-TAVI showing th</w:t>
      </w:r>
      <w:r w:rsidR="000B623A">
        <w:t>at</w:t>
      </w:r>
      <w:r w:rsidR="00DC0B94">
        <w:t xml:space="preserve"> no difference in the primary composite</w:t>
      </w:r>
      <w:r w:rsidR="0049430E">
        <w:t xml:space="preserve"> outcome</w:t>
      </w:r>
      <w:r w:rsidR="00DC0B94">
        <w:t xml:space="preserve"> was maintained at 1</w:t>
      </w:r>
      <w:r w:rsidR="007F0CA5">
        <w:t>-</w:t>
      </w:r>
      <w:r w:rsidR="00DC0B94">
        <w:t>year follow-up</w:t>
      </w:r>
    </w:p>
    <w:p w14:paraId="1A645596" w14:textId="6AB373A4" w:rsidR="00070B63" w:rsidRDefault="00E126CB" w:rsidP="009332E8">
      <w:pPr>
        <w:pStyle w:val="ListParagraph"/>
        <w:numPr>
          <w:ilvl w:val="0"/>
          <w:numId w:val="40"/>
        </w:numPr>
      </w:pPr>
      <w:r>
        <w:t xml:space="preserve">the pre-MSAC </w:t>
      </w:r>
      <w:r w:rsidR="00214059">
        <w:t xml:space="preserve">response acknowledged that evidence from RCTs of TAVI-BEV </w:t>
      </w:r>
      <w:r w:rsidR="00214059" w:rsidRPr="009332E8">
        <w:rPr>
          <w:i/>
        </w:rPr>
        <w:t>vs.</w:t>
      </w:r>
      <w:r w:rsidR="00214059">
        <w:t xml:space="preserve"> SEV is limited but considered it favoured TAVI-BEV on the basis of a recent non-inferiority trial (SCOPE-1). However, MSAC noted there was applicability concerns with the trial population</w:t>
      </w:r>
      <w:r w:rsidR="00FD758A">
        <w:t xml:space="preserve"> as patients were not selected on the basis of surgical risk</w:t>
      </w:r>
      <w:r w:rsidR="00214059">
        <w:t xml:space="preserve"> (56% intermediate</w:t>
      </w:r>
      <w:r w:rsidR="00DF4EA8">
        <w:t xml:space="preserve"> </w:t>
      </w:r>
      <w:r w:rsidR="00214059">
        <w:t>risk) and that the</w:t>
      </w:r>
      <w:r w:rsidR="00FD758A">
        <w:t xml:space="preserve"> </w:t>
      </w:r>
      <w:r w:rsidR="00214059">
        <w:t xml:space="preserve">TAVI-SEV device </w:t>
      </w:r>
      <w:r w:rsidR="00AA5AEF">
        <w:t>used in the trial</w:t>
      </w:r>
      <w:r w:rsidR="00214059">
        <w:t xml:space="preserve"> was not currently registered on the </w:t>
      </w:r>
      <w:r w:rsidR="00DF4EA8" w:rsidRPr="00E3576F">
        <w:rPr>
          <w:szCs w:val="24"/>
        </w:rPr>
        <w:t xml:space="preserve">Australian Register of Therapeutic Goods </w:t>
      </w:r>
      <w:r w:rsidR="00DF4EA8">
        <w:rPr>
          <w:szCs w:val="24"/>
        </w:rPr>
        <w:t>(</w:t>
      </w:r>
      <w:r w:rsidR="00214059">
        <w:t>ARTG</w:t>
      </w:r>
      <w:r w:rsidR="00DF4EA8">
        <w:t>)</w:t>
      </w:r>
      <w:r w:rsidR="00214059">
        <w:t>.</w:t>
      </w:r>
    </w:p>
    <w:p w14:paraId="2015B724" w14:textId="76E6285E" w:rsidR="00C52347" w:rsidRDefault="00070B63" w:rsidP="009332E8">
      <w:pPr>
        <w:pStyle w:val="ListParagraph"/>
        <w:numPr>
          <w:ilvl w:val="0"/>
          <w:numId w:val="40"/>
        </w:numPr>
      </w:pPr>
      <w:r>
        <w:t xml:space="preserve">the pre-MSAC response considered there is no evidence to suggest that there is ‘no difference’ between TAVI-BEV </w:t>
      </w:r>
      <w:r w:rsidRPr="009332E8">
        <w:rPr>
          <w:i/>
        </w:rPr>
        <w:t>vs.</w:t>
      </w:r>
      <w:r>
        <w:t xml:space="preserve"> SEV in intermediate risk but that there is evidence existing of the superiority of TAVI-BEV </w:t>
      </w:r>
      <w:r w:rsidRPr="009332E8">
        <w:rPr>
          <w:i/>
        </w:rPr>
        <w:t>vs.</w:t>
      </w:r>
      <w:r>
        <w:t xml:space="preserve"> SAVR and the non-inferiority of TAVI-SEV </w:t>
      </w:r>
      <w:r w:rsidRPr="009332E8">
        <w:rPr>
          <w:i/>
        </w:rPr>
        <w:t>vs.</w:t>
      </w:r>
      <w:r>
        <w:t xml:space="preserve"> SAVR</w:t>
      </w:r>
      <w:r w:rsidR="00585FA8">
        <w:t xml:space="preserve">. However, MSAC noted some concerns with the </w:t>
      </w:r>
      <w:r w:rsidR="009332E8">
        <w:t>conclusions</w:t>
      </w:r>
      <w:r w:rsidR="00585FA8">
        <w:t xml:space="preserve"> from propensity score analysis</w:t>
      </w:r>
      <w:r w:rsidR="009332E8">
        <w:t xml:space="preserve"> and that the comparison of TAVI-SEV </w:t>
      </w:r>
      <w:r w:rsidR="009332E8" w:rsidRPr="0026096E">
        <w:rPr>
          <w:i/>
        </w:rPr>
        <w:t>vs</w:t>
      </w:r>
      <w:r w:rsidR="009332E8">
        <w:t>. SAVR was informed from</w:t>
      </w:r>
      <w:r w:rsidR="001E0D73">
        <w:t xml:space="preserve"> a</w:t>
      </w:r>
      <w:r w:rsidR="009332E8">
        <w:t xml:space="preserve"> direct RCT</w:t>
      </w:r>
      <w:r w:rsidR="00585FA8">
        <w:t xml:space="preserve"> (discusse</w:t>
      </w:r>
      <w:r w:rsidR="00D542C8">
        <w:t>d above).</w:t>
      </w:r>
    </w:p>
    <w:p w14:paraId="2D3AD3C4" w14:textId="1A97F495" w:rsidR="00C52347" w:rsidRPr="00A65B0C" w:rsidRDefault="008E67E7" w:rsidP="00C52347">
      <w:r>
        <w:t xml:space="preserve">Overall, MSAC considered that superiority of TAVI-BEV </w:t>
      </w:r>
      <w:r w:rsidRPr="009332E8">
        <w:rPr>
          <w:i/>
        </w:rPr>
        <w:t>vs.</w:t>
      </w:r>
      <w:r>
        <w:t xml:space="preserve"> SEV was not adequately justified</w:t>
      </w:r>
      <w:r w:rsidR="004663EB">
        <w:t>.</w:t>
      </w:r>
    </w:p>
    <w:p w14:paraId="2329BC9C" w14:textId="6A7AFFC8" w:rsidR="00E13964" w:rsidRDefault="00C52347" w:rsidP="0060464A">
      <w:pPr>
        <w:spacing w:before="240"/>
      </w:pPr>
      <w:r>
        <w:t>MSAC</w:t>
      </w:r>
      <w:r w:rsidR="00F117A3">
        <w:t xml:space="preserve"> </w:t>
      </w:r>
      <w:r>
        <w:t>noted that</w:t>
      </w:r>
      <w:r w:rsidR="00F117A3">
        <w:t xml:space="preserve"> the revised modelling provided in the pre-MSAC response showed that </w:t>
      </w:r>
      <w:r>
        <w:t>TAVI-BEV is dominant</w:t>
      </w:r>
      <w:r w:rsidR="00F117A3">
        <w:t xml:space="preserve"> (i.e. cheaper and more effective)</w:t>
      </w:r>
      <w:r>
        <w:t xml:space="preserve">, even with a </w:t>
      </w:r>
      <w:r w:rsidR="00F117A3">
        <w:t xml:space="preserve">TAVI device </w:t>
      </w:r>
      <w:r>
        <w:t xml:space="preserve">cost of </w:t>
      </w:r>
      <w:r w:rsidRPr="00EE57F4">
        <w:rPr>
          <w:b/>
        </w:rPr>
        <w:t>$</w:t>
      </w:r>
      <w:r w:rsidR="00EE57F4">
        <w:rPr>
          <w:b/>
        </w:rPr>
        <w:t>r</w:t>
      </w:r>
      <w:r w:rsidR="00EE57F4" w:rsidRPr="00EE57F4">
        <w:rPr>
          <w:b/>
        </w:rPr>
        <w:t>edacted</w:t>
      </w:r>
      <w:r>
        <w:t xml:space="preserve">. </w:t>
      </w:r>
      <w:r w:rsidR="00F117A3">
        <w:t xml:space="preserve">However, MSAC noted that the </w:t>
      </w:r>
      <w:r w:rsidR="00F117A3" w:rsidRPr="00717ACD">
        <w:t>higher Prosthesis List benefit (</w:t>
      </w:r>
      <w:r w:rsidR="00F117A3">
        <w:t xml:space="preserve">proposed </w:t>
      </w:r>
      <w:r w:rsidR="00EE57F4" w:rsidRPr="00EE57F4">
        <w:rPr>
          <w:b/>
        </w:rPr>
        <w:t>$</w:t>
      </w:r>
      <w:r w:rsidR="00EE57F4">
        <w:rPr>
          <w:b/>
        </w:rPr>
        <w:t>r</w:t>
      </w:r>
      <w:r w:rsidR="00EE57F4" w:rsidRPr="00EE57F4">
        <w:rPr>
          <w:b/>
        </w:rPr>
        <w:t>edacted</w:t>
      </w:r>
      <w:r w:rsidR="00EE57F4" w:rsidRPr="00717ACD">
        <w:t xml:space="preserve"> </w:t>
      </w:r>
      <w:r w:rsidR="00F117A3" w:rsidRPr="00717ACD">
        <w:t xml:space="preserve">for TAVI-BEV </w:t>
      </w:r>
      <w:r w:rsidR="00F117A3">
        <w:t>compared with the current benchmark of</w:t>
      </w:r>
      <w:r w:rsidR="00F117A3" w:rsidRPr="00717ACD">
        <w:t xml:space="preserve"> $22,932 for TAVI-</w:t>
      </w:r>
      <w:r w:rsidR="00F117A3">
        <w:t xml:space="preserve">BEV and </w:t>
      </w:r>
      <w:r w:rsidR="00F117A3" w:rsidRPr="00717ACD">
        <w:t xml:space="preserve">SEV) </w:t>
      </w:r>
      <w:r w:rsidR="00F117A3">
        <w:t xml:space="preserve">is </w:t>
      </w:r>
      <w:r w:rsidR="008F7015">
        <w:t>not justified</w:t>
      </w:r>
      <w:r w:rsidR="00F117A3" w:rsidRPr="00717ACD">
        <w:t xml:space="preserve"> </w:t>
      </w:r>
      <w:r w:rsidR="00F117A3">
        <w:t>as the 5-year follow-up results from propensity score analysis were not a sufficient basis to conclude superiority of TAVI-BEV over SAVR</w:t>
      </w:r>
      <w:r w:rsidR="00E13964">
        <w:t>.</w:t>
      </w:r>
      <w:r w:rsidR="008F7015">
        <w:t xml:space="preserve"> </w:t>
      </w:r>
      <w:r w:rsidR="002B64D2" w:rsidRPr="002B64D2">
        <w:t xml:space="preserve"> </w:t>
      </w:r>
      <w:r w:rsidR="001A0D94">
        <w:t>In addition</w:t>
      </w:r>
      <w:r w:rsidR="002B64D2" w:rsidRPr="002B64D2">
        <w:t xml:space="preserve">, MSAC </w:t>
      </w:r>
      <w:r w:rsidR="00E724ED">
        <w:t>noted there is the precedent set for similar clinical performance and thus the same benefit across TAVI device options in high risk populations should be the default position in the intermediate risk population</w:t>
      </w:r>
      <w:r w:rsidR="002B64D2" w:rsidRPr="002B64D2">
        <w:t>.</w:t>
      </w:r>
      <w:r w:rsidR="00E724ED">
        <w:t xml:space="preserve"> </w:t>
      </w:r>
      <w:r w:rsidR="000E37A5">
        <w:t>MSAC considered there was no</w:t>
      </w:r>
      <w:r w:rsidR="00726768">
        <w:t xml:space="preserve"> basis to award a higher benefit for one device when the Prostheses List had other devices at a lower benefit.</w:t>
      </w:r>
      <w:r w:rsidR="000E37A5">
        <w:t xml:space="preserve"> </w:t>
      </w:r>
      <w:r w:rsidR="002B64D2" w:rsidRPr="002B64D2">
        <w:t xml:space="preserve"> </w:t>
      </w:r>
      <w:r w:rsidR="008F7015">
        <w:t xml:space="preserve">MSAC noted that the pre-MSAC response indicated that the </w:t>
      </w:r>
      <w:r w:rsidR="00EE57F4" w:rsidRPr="00EE57F4">
        <w:rPr>
          <w:b/>
        </w:rPr>
        <w:t>$</w:t>
      </w:r>
      <w:r w:rsidR="00EE57F4">
        <w:rPr>
          <w:b/>
        </w:rPr>
        <w:t>r</w:t>
      </w:r>
      <w:r w:rsidR="00EE57F4" w:rsidRPr="00EE57F4">
        <w:rPr>
          <w:b/>
        </w:rPr>
        <w:t>edacted</w:t>
      </w:r>
      <w:r w:rsidR="00EE57F4">
        <w:t xml:space="preserve"> </w:t>
      </w:r>
      <w:r w:rsidR="008F7015">
        <w:t>includes consumables so there would be no net change to price within the private sector (previously purchased by private hospitals and/or patients).</w:t>
      </w:r>
    </w:p>
    <w:p w14:paraId="14D48A01" w14:textId="34AB8346" w:rsidR="00C52347" w:rsidRDefault="00E13964" w:rsidP="0060464A">
      <w:pPr>
        <w:spacing w:before="240"/>
      </w:pPr>
      <w:r>
        <w:t>MSAC noted that TAVI-BEV</w:t>
      </w:r>
      <w:r w:rsidR="007E3405">
        <w:t xml:space="preserve"> may result in cost savings in both the public and private hospital settings if TAVI-BEVs are to replace SAVR in intermediate-risk. </w:t>
      </w:r>
      <w:r w:rsidR="0055751B">
        <w:t xml:space="preserve">However, MSAC noted that the </w:t>
      </w:r>
      <w:r w:rsidR="00DD7827">
        <w:t>Commentary</w:t>
      </w:r>
      <w:r w:rsidR="0055751B">
        <w:t xml:space="preserve"> considered that </w:t>
      </w:r>
      <w:r w:rsidR="0055751B" w:rsidRPr="006618B7">
        <w:rPr>
          <w:iCs/>
        </w:rPr>
        <w:t xml:space="preserve">TAVI-BEV may also replace medical management as some intermediate-risk patients would prefer to not undergo major open-heart surgery with SAVR but would opt for minimally invasive surgery with TAVI-BEV. </w:t>
      </w:r>
      <w:r w:rsidR="007E3405">
        <w:t xml:space="preserve">MSAC also noted that </w:t>
      </w:r>
      <w:r w:rsidR="0055751B">
        <w:t xml:space="preserve">introducing </w:t>
      </w:r>
      <w:r w:rsidR="007E3405">
        <w:t>TAVI-BEV</w:t>
      </w:r>
      <w:r w:rsidR="0055751B">
        <w:t xml:space="preserve"> on the Prostheses List</w:t>
      </w:r>
      <w:r w:rsidR="007E3405">
        <w:t xml:space="preserve"> would significantly increase private health insurance expenditure</w:t>
      </w:r>
      <w:r w:rsidR="0055751B">
        <w:t>.</w:t>
      </w:r>
    </w:p>
    <w:p w14:paraId="65D37912" w14:textId="2227A53A" w:rsidR="00C52347" w:rsidRDefault="00C52347" w:rsidP="0060464A">
      <w:pPr>
        <w:spacing w:before="240"/>
      </w:pPr>
      <w:r>
        <w:t>MSAC noted that the advantage of having a separate item number for intermediate-risk patients in addition to the current MBS item numbers for high-risk</w:t>
      </w:r>
      <w:r w:rsidR="00704F04">
        <w:t xml:space="preserve">/inoperable surgical </w:t>
      </w:r>
      <w:r w:rsidR="00704F04" w:rsidRPr="000B7C35">
        <w:t xml:space="preserve">patients </w:t>
      </w:r>
      <w:r>
        <w:t xml:space="preserve">is that this can be used to monitor practice when data from the </w:t>
      </w:r>
      <w:r w:rsidR="00234520" w:rsidRPr="000A550D">
        <w:t>Australasian Cardiac Outcomes Registry</w:t>
      </w:r>
      <w:r w:rsidR="00234520">
        <w:t xml:space="preserve"> (</w:t>
      </w:r>
      <w:r>
        <w:t>ACOR</w:t>
      </w:r>
      <w:r w:rsidR="00234520">
        <w:t>)</w:t>
      </w:r>
      <w:r>
        <w:t xml:space="preserve"> TAVI registry is analysed.</w:t>
      </w:r>
    </w:p>
    <w:p w14:paraId="7CD8924F" w14:textId="3F90453A" w:rsidR="00C52347" w:rsidRDefault="00C52347" w:rsidP="0060464A">
      <w:pPr>
        <w:spacing w:before="240"/>
      </w:pPr>
      <w:r>
        <w:t>MSAC noted that there is no need to be more specific/explicit about defining “intermediate” risk. Registry reports should provide details about the clinical reasons why patients are categorised at higher risk level than surgical risk score.</w:t>
      </w:r>
      <w:r w:rsidRPr="00CA2941">
        <w:t xml:space="preserve"> </w:t>
      </w:r>
      <w:r>
        <w:t>MSAC noted that the Society of Thoracic Surgeons</w:t>
      </w:r>
      <w:r w:rsidRPr="00EC4A0A">
        <w:t xml:space="preserve"> </w:t>
      </w:r>
      <w:r w:rsidRPr="006C294D">
        <w:t xml:space="preserve">Predicted Risk of Mortality </w:t>
      </w:r>
      <w:r>
        <w:t>(STS</w:t>
      </w:r>
      <w:r w:rsidR="00234520">
        <w:t>-</w:t>
      </w:r>
      <w:r>
        <w:t>PROM) has been recently revised and should not be included in the ite</w:t>
      </w:r>
      <w:r w:rsidR="00D542C8">
        <w:t>m descriptor.</w:t>
      </w:r>
    </w:p>
    <w:p w14:paraId="68A8118A" w14:textId="6438870E" w:rsidR="004F38A5" w:rsidRDefault="004F38A5" w:rsidP="0060464A">
      <w:pPr>
        <w:spacing w:before="240"/>
      </w:pPr>
      <w:r>
        <w:lastRenderedPageBreak/>
        <w:t xml:space="preserve">MSAC advised that providers should be restricted from claiming </w:t>
      </w:r>
      <w:r w:rsidRPr="004F38A5">
        <w:t>transthoracic echocardiogram</w:t>
      </w:r>
      <w:r>
        <w:t xml:space="preserve"> items </w:t>
      </w:r>
      <w:r w:rsidRPr="004F38A5">
        <w:t>that would potentially cover pre-procedure and immediate post-procedure echocardiography</w:t>
      </w:r>
      <w:r>
        <w:t xml:space="preserve"> on the same day as the TAVI procedure. However, MSAC advised that this should not </w:t>
      </w:r>
      <w:r w:rsidR="007606E9">
        <w:t xml:space="preserve">restrict </w:t>
      </w:r>
      <w:r w:rsidRPr="004F38A5">
        <w:t xml:space="preserve">intraoperative imaging by a different provider conducting/claiming tranoesophageal echocardiography </w:t>
      </w:r>
      <w:r>
        <w:t>under MBS item 551</w:t>
      </w:r>
      <w:r w:rsidR="00D542C8">
        <w:t>35 as it assists the procedure.</w:t>
      </w:r>
    </w:p>
    <w:p w14:paraId="79DF3A52" w14:textId="47888641" w:rsidR="00C52347" w:rsidRDefault="00C52347" w:rsidP="0060464A">
      <w:pPr>
        <w:spacing w:before="240"/>
      </w:pPr>
      <w:r>
        <w:t>MSAC concluded that this item s</w:t>
      </w:r>
      <w:r w:rsidRPr="00185733">
        <w:t>hould be device agnostic, similar</w:t>
      </w:r>
      <w:r w:rsidR="00234520">
        <w:t xml:space="preserve"> </w:t>
      </w:r>
      <w:r w:rsidR="00234520" w:rsidRPr="00233303">
        <w:t>with the current MBS item for TAVI</w:t>
      </w:r>
      <w:r w:rsidRPr="00185733">
        <w:t xml:space="preserve"> </w:t>
      </w:r>
      <w:r w:rsidR="007B598B">
        <w:t>(</w:t>
      </w:r>
      <w:r w:rsidR="00234520">
        <w:t xml:space="preserve">and </w:t>
      </w:r>
      <w:r w:rsidRPr="00185733">
        <w:t>SAVR</w:t>
      </w:r>
      <w:r w:rsidR="007B598B">
        <w:t>)</w:t>
      </w:r>
      <w:r w:rsidRPr="00185733">
        <w:t xml:space="preserve">. </w:t>
      </w:r>
      <w:r>
        <w:t xml:space="preserve">MSAC </w:t>
      </w:r>
      <w:r w:rsidR="00C9228E">
        <w:t xml:space="preserve">recommended </w:t>
      </w:r>
      <w:r>
        <w:t xml:space="preserve">that the item should be reviewed after </w:t>
      </w:r>
      <w:r w:rsidR="00C9228E">
        <w:t>12-</w:t>
      </w:r>
      <w:r>
        <w:t>24 months.</w:t>
      </w:r>
    </w:p>
    <w:p w14:paraId="05422B1F" w14:textId="6EE478CC" w:rsidR="00B275B2" w:rsidRDefault="00B275B2" w:rsidP="0060464A">
      <w:pPr>
        <w:spacing w:before="240" w:after="240"/>
      </w:pPr>
      <w:r>
        <w:t>MSAC supported the following item descriptor:</w:t>
      </w:r>
    </w:p>
    <w:p w14:paraId="05C6B71E" w14:textId="35DCEE1E" w:rsidR="00B275B2" w:rsidRPr="0060464A" w:rsidRDefault="00B275B2" w:rsidP="00B275B2">
      <w:pPr>
        <w:rPr>
          <w:i/>
        </w:rPr>
      </w:pPr>
      <w:r w:rsidRPr="009332E8">
        <w:rPr>
          <w:i/>
        </w:rPr>
        <w:t xml:space="preserve">TAVI, </w:t>
      </w:r>
      <w:r w:rsidRPr="009332E8">
        <w:rPr>
          <w:i/>
          <w:strike/>
          <w:color w:val="FF0000"/>
        </w:rPr>
        <w:t>using a balloon-expandable system</w:t>
      </w:r>
      <w:r w:rsidRPr="009332E8">
        <w:rPr>
          <w:i/>
        </w:rPr>
        <w:t>, for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5D1AB6F9" w14:textId="4FA88FA6" w:rsidR="00B275B2" w:rsidRDefault="00B275B2" w:rsidP="0060464A">
      <w:pPr>
        <w:spacing w:before="240" w:after="240"/>
        <w:rPr>
          <w:i/>
        </w:rPr>
      </w:pPr>
      <w:r w:rsidRPr="009332E8">
        <w:rPr>
          <w:i/>
        </w:rPr>
        <w:t>(Not payable more than once per patient in a five-year period.)</w:t>
      </w:r>
    </w:p>
    <w:p w14:paraId="61239D64" w14:textId="77777777" w:rsidR="00B275B2" w:rsidRPr="00B275B2" w:rsidRDefault="00B275B2" w:rsidP="00B275B2">
      <w:pPr>
        <w:rPr>
          <w:i/>
        </w:rPr>
      </w:pPr>
      <w:r w:rsidRPr="00B275B2">
        <w:rPr>
          <w:i/>
        </w:rPr>
        <w:t>Notes: The Health Insurance (Section 3C General Medical Services - Transcatheter Aortic Valve Implantation) Determination 2017(Cth) (Department of Health 2017) outlines the definitions of a TAVI Patient, TAVI Hospital and TAVI Practitioner.</w:t>
      </w:r>
    </w:p>
    <w:p w14:paraId="4B73E808" w14:textId="29E74D69" w:rsidR="00B275B2" w:rsidRPr="00B275B2" w:rsidRDefault="00B275B2" w:rsidP="0060464A">
      <w:pPr>
        <w:spacing w:before="240"/>
        <w:rPr>
          <w:i/>
        </w:rPr>
      </w:pPr>
      <w:r w:rsidRPr="00B275B2">
        <w:rPr>
          <w:i/>
        </w:rPr>
        <w:t xml:space="preserve">TAVI Patient is a patient who, as a result of a TAVI Case Conference, has been assessed as having an </w:t>
      </w:r>
      <w:r w:rsidRPr="009332E8">
        <w:rPr>
          <w:i/>
          <w:color w:val="FF0000"/>
        </w:rPr>
        <w:t xml:space="preserve">intermediate risk </w:t>
      </w:r>
      <w:r w:rsidRPr="00B275B2">
        <w:rPr>
          <w:i/>
        </w:rPr>
        <w:t>for surgical aortic valve replacement and is recommended as being suitable to receive the s</w:t>
      </w:r>
      <w:r w:rsidR="00D542C8">
        <w:rPr>
          <w:i/>
        </w:rPr>
        <w:t>ervice described in Item XXXXX.</w:t>
      </w:r>
    </w:p>
    <w:p w14:paraId="6C7A7EE3" w14:textId="6CA6F92F" w:rsidR="00B275B2" w:rsidRPr="00B275B2" w:rsidRDefault="00B275B2" w:rsidP="0060464A">
      <w:pPr>
        <w:spacing w:before="240"/>
        <w:rPr>
          <w:i/>
        </w:rPr>
      </w:pPr>
      <w:r w:rsidRPr="00B275B2">
        <w:rPr>
          <w:i/>
        </w:rPr>
        <w:t>TAVI Hospital means a hospital, as defined by subsection 121-5(5) of the Private Health Insurance Act 2007, that is clinically accepted as being a suitable hospital in which the service described in Item XXXXX may be performed.</w:t>
      </w:r>
    </w:p>
    <w:p w14:paraId="6FCE093B" w14:textId="7EBFCE8E" w:rsidR="00B275B2" w:rsidRDefault="00B275B2" w:rsidP="0060464A">
      <w:pPr>
        <w:spacing w:before="240"/>
        <w:rPr>
          <w:i/>
        </w:rPr>
      </w:pPr>
      <w:r w:rsidRPr="00B275B2">
        <w:rPr>
          <w:i/>
        </w:rPr>
        <w:t>TAVI Practitioner is either a cardiothoracic surgeon or interventional cardiologist who is accredited by the Cardiac Accreditation Services Limited.</w:t>
      </w:r>
    </w:p>
    <w:p w14:paraId="0A931095" w14:textId="3D25CCFB" w:rsidR="00B275B2" w:rsidRPr="009332E8" w:rsidRDefault="00B275B2" w:rsidP="0060464A">
      <w:pPr>
        <w:spacing w:before="240" w:after="240"/>
        <w:rPr>
          <w:i/>
        </w:rPr>
      </w:pPr>
      <w:r>
        <w:rPr>
          <w:i/>
        </w:rPr>
        <w:t>Fee:  $1,455.10</w:t>
      </w:r>
      <w:r>
        <w:rPr>
          <w:i/>
        </w:rPr>
        <w:tab/>
        <w:t>Benefit: 75% = $1,091.35</w:t>
      </w:r>
      <w:r>
        <w:rPr>
          <w:i/>
        </w:rPr>
        <w:tab/>
      </w:r>
      <w:r w:rsidRPr="00B275B2">
        <w:rPr>
          <w:i/>
        </w:rPr>
        <w:t>85% = $1,370.40</w:t>
      </w:r>
    </w:p>
    <w:p w14:paraId="03CD5853" w14:textId="40B7A5FF" w:rsidR="00C52347" w:rsidRDefault="00C52347" w:rsidP="00C52347">
      <w:r>
        <w:t>MSAC noted the need for consistency in MSAC’s advice for applications 1652 (</w:t>
      </w:r>
      <w:r w:rsidR="007B598B">
        <w:t xml:space="preserve">TAVI device agnostic application) </w:t>
      </w:r>
      <w:r>
        <w:t>and 1603</w:t>
      </w:r>
      <w:r w:rsidR="007B598B">
        <w:t xml:space="preserve"> (TAVI-BEV)</w:t>
      </w:r>
      <w:r>
        <w:t xml:space="preserve">. </w:t>
      </w:r>
      <w:r w:rsidR="00C9228E" w:rsidRPr="00233303">
        <w:t>MSAC</w:t>
      </w:r>
      <w:r w:rsidR="00C9228E">
        <w:t xml:space="preserve"> considered it would</w:t>
      </w:r>
      <w:r w:rsidR="00C9228E" w:rsidRPr="00233303">
        <w:t xml:space="preserve"> </w:t>
      </w:r>
      <w:r w:rsidR="007B598B">
        <w:t>re-assess</w:t>
      </w:r>
      <w:r w:rsidR="00C9228E">
        <w:t xml:space="preserve"> the decision to support an </w:t>
      </w:r>
      <w:r w:rsidR="00C9228E" w:rsidRPr="00233303">
        <w:t>MBS item agnostic of the type of TAVI</w:t>
      </w:r>
      <w:r w:rsidR="007B598B">
        <w:t xml:space="preserve"> </w:t>
      </w:r>
      <w:r>
        <w:t xml:space="preserve">after </w:t>
      </w:r>
      <w:r w:rsidR="00AA5AEF">
        <w:t xml:space="preserve">its </w:t>
      </w:r>
      <w:r>
        <w:t>March 2021</w:t>
      </w:r>
      <w:r w:rsidR="00AA5AEF">
        <w:t xml:space="preserve"> meeting</w:t>
      </w:r>
      <w:r>
        <w:t>, depending on</w:t>
      </w:r>
      <w:r w:rsidR="007B598B">
        <w:t xml:space="preserve"> the</w:t>
      </w:r>
      <w:r>
        <w:t xml:space="preserve"> outcome of</w:t>
      </w:r>
      <w:r w:rsidR="007B598B">
        <w:t xml:space="preserve"> </w:t>
      </w:r>
      <w:r w:rsidR="007B598B" w:rsidRPr="00233303">
        <w:t xml:space="preserve">the TAVI device agnostic application in intermediate risk for surgery (MSAC </w:t>
      </w:r>
      <w:hyperlink r:id="rId11" w:history="1">
        <w:r w:rsidR="007B598B" w:rsidRPr="00AA5AEF">
          <w:rPr>
            <w:rStyle w:val="Hyperlink"/>
          </w:rPr>
          <w:t>Application 1652</w:t>
        </w:r>
      </w:hyperlink>
      <w:r w:rsidR="007B598B" w:rsidRPr="00233303">
        <w:t>).</w:t>
      </w:r>
      <w:r>
        <w:t xml:space="preserve"> MSAC noted that the process allows MSAC to deal with each application on its merits while ack</w:t>
      </w:r>
      <w:r w:rsidR="00D542C8">
        <w:t>nowledging future applications.</w:t>
      </w:r>
    </w:p>
    <w:p w14:paraId="24CC9E7F" w14:textId="77777777" w:rsidR="00BC1364" w:rsidRPr="00F715D1" w:rsidRDefault="00BC1364" w:rsidP="00F715D1">
      <w:pPr>
        <w:pStyle w:val="Heading1"/>
      </w:pPr>
      <w:r w:rsidRPr="00F715D1">
        <w:t>Background</w:t>
      </w:r>
    </w:p>
    <w:p w14:paraId="58E9340B" w14:textId="6077F8B3" w:rsidR="002063FA" w:rsidRDefault="002063FA" w:rsidP="002063FA">
      <w:pPr>
        <w:tabs>
          <w:tab w:val="left" w:pos="720"/>
          <w:tab w:val="left" w:pos="1140"/>
        </w:tabs>
        <w:rPr>
          <w:szCs w:val="24"/>
        </w:rPr>
      </w:pPr>
      <w:r>
        <w:rPr>
          <w:szCs w:val="24"/>
        </w:rPr>
        <w:t xml:space="preserve">This is the first submission for </w:t>
      </w:r>
      <w:r w:rsidR="00E40C30">
        <w:rPr>
          <w:szCs w:val="24"/>
        </w:rPr>
        <w:t>TAVI-BEV</w:t>
      </w:r>
      <w:r>
        <w:rPr>
          <w:szCs w:val="24"/>
        </w:rPr>
        <w:t xml:space="preserve"> </w:t>
      </w:r>
      <w:r w:rsidRPr="00EE216E">
        <w:rPr>
          <w:szCs w:val="24"/>
        </w:rPr>
        <w:t>for patients with symptomatic</w:t>
      </w:r>
      <w:r>
        <w:rPr>
          <w:szCs w:val="24"/>
        </w:rPr>
        <w:t xml:space="preserve"> severe</w:t>
      </w:r>
      <w:r w:rsidRPr="00EE216E">
        <w:rPr>
          <w:szCs w:val="24"/>
        </w:rPr>
        <w:t xml:space="preserve"> aortic </w:t>
      </w:r>
      <w:r>
        <w:rPr>
          <w:szCs w:val="24"/>
        </w:rPr>
        <w:t>AS</w:t>
      </w:r>
      <w:r w:rsidRPr="00EE216E">
        <w:rPr>
          <w:szCs w:val="24"/>
        </w:rPr>
        <w:t xml:space="preserve"> at intermediate risk for surgery</w:t>
      </w:r>
      <w:r>
        <w:rPr>
          <w:szCs w:val="24"/>
        </w:rPr>
        <w:t>. MSAC has not previously considered this application.</w:t>
      </w:r>
    </w:p>
    <w:p w14:paraId="5F7D9B3F" w14:textId="259B2BC4" w:rsidR="002063FA" w:rsidRDefault="002063FA" w:rsidP="0060464A">
      <w:pPr>
        <w:spacing w:before="240"/>
      </w:pPr>
      <w:r>
        <w:t>MSAC application 1552 was a TAVI agnostic application for patients at intermediate risk for surgery (</w:t>
      </w:r>
      <w:hyperlink r:id="rId12" w:history="1">
        <w:r w:rsidRPr="00D634BC">
          <w:rPr>
            <w:rStyle w:val="Hyperlink"/>
          </w:rPr>
          <w:t>1552 Ratified PICO Confirmation</w:t>
        </w:r>
      </w:hyperlink>
      <w:r>
        <w:t xml:space="preserve">). This was placed on hold by the applicant to pursue this </w:t>
      </w:r>
      <w:r w:rsidR="00E40C30">
        <w:t>TAVI-BEV</w:t>
      </w:r>
      <w:r>
        <w:t xml:space="preserve"> specific application (MSAC application 1603). The</w:t>
      </w:r>
      <w:r w:rsidRPr="002B72F6">
        <w:t xml:space="preserve"> applicant’s rationale for this was that the PARTNER II trial showed BEVs have different clinical and economic outcomes in intermediate-risk patients. PASC advised that these “different clinical &amp; economic outcomes” should be clarified during the assessment phase, including what they were compared to. [</w:t>
      </w:r>
      <w:hyperlink r:id="rId13" w:history="1">
        <w:r w:rsidRPr="002B72F6">
          <w:rPr>
            <w:rStyle w:val="Hyperlink"/>
          </w:rPr>
          <w:t>1603 Ratified PICO confirmation</w:t>
        </w:r>
      </w:hyperlink>
      <w:r w:rsidR="00B36C1B">
        <w:t>, p3].</w:t>
      </w:r>
    </w:p>
    <w:p w14:paraId="70B99D8B" w14:textId="77777777" w:rsidR="002063FA" w:rsidRDefault="002063FA" w:rsidP="002063FA">
      <w:pPr>
        <w:pStyle w:val="Heading2"/>
      </w:pPr>
      <w:r>
        <w:t>TAVI high-risk and inoperable applications 1361</w:t>
      </w:r>
    </w:p>
    <w:p w14:paraId="1BDDDFA6" w14:textId="77777777" w:rsidR="002063FA" w:rsidRDefault="002063FA" w:rsidP="002063FA">
      <w:pPr>
        <w:tabs>
          <w:tab w:val="left" w:pos="720"/>
          <w:tab w:val="left" w:pos="1140"/>
        </w:tabs>
        <w:rPr>
          <w:szCs w:val="24"/>
        </w:rPr>
      </w:pPr>
      <w:r w:rsidRPr="00EE216E">
        <w:rPr>
          <w:szCs w:val="24"/>
        </w:rPr>
        <w:t>MSAC previously considered</w:t>
      </w:r>
      <w:r>
        <w:rPr>
          <w:szCs w:val="24"/>
        </w:rPr>
        <w:t xml:space="preserve"> the MBS listing of TAVI </w:t>
      </w:r>
      <w:r w:rsidRPr="00762DAE">
        <w:rPr>
          <w:szCs w:val="24"/>
        </w:rPr>
        <w:t>for use in patients who are</w:t>
      </w:r>
      <w:r>
        <w:rPr>
          <w:szCs w:val="24"/>
        </w:rPr>
        <w:t xml:space="preserve"> symptomatic severe AS</w:t>
      </w:r>
      <w:r w:rsidRPr="00762DAE">
        <w:rPr>
          <w:szCs w:val="24"/>
        </w:rPr>
        <w:t xml:space="preserve"> at high risk for </w:t>
      </w:r>
      <w:r>
        <w:rPr>
          <w:szCs w:val="24"/>
        </w:rPr>
        <w:t xml:space="preserve">SAVR or </w:t>
      </w:r>
      <w:r w:rsidRPr="00762DAE">
        <w:rPr>
          <w:szCs w:val="24"/>
        </w:rPr>
        <w:t>non-operable</w:t>
      </w:r>
      <w:r>
        <w:rPr>
          <w:szCs w:val="24"/>
        </w:rPr>
        <w:t xml:space="preserve"> at its March 2016, October 2015 (</w:t>
      </w:r>
      <w:hyperlink r:id="rId14" w:history="1">
        <w:r w:rsidRPr="00DE7F63">
          <w:rPr>
            <w:rStyle w:val="Hyperlink"/>
            <w:szCs w:val="24"/>
          </w:rPr>
          <w:t>Stakeholder meeting</w:t>
        </w:r>
      </w:hyperlink>
      <w:r>
        <w:rPr>
          <w:szCs w:val="24"/>
        </w:rPr>
        <w:t>) July 2015, and April 2015 meetings. At its March 2016 meeting,</w:t>
      </w:r>
      <w:r w:rsidRPr="00E44AC6">
        <w:rPr>
          <w:szCs w:val="24"/>
        </w:rPr>
        <w:t xml:space="preserve"> MSAC supported MBS listing of the TAVI procedure</w:t>
      </w:r>
      <w:r>
        <w:rPr>
          <w:szCs w:val="24"/>
        </w:rPr>
        <w:t xml:space="preserve"> for the aforementioned patient population (</w:t>
      </w:r>
      <w:hyperlink r:id="rId15" w:history="1">
        <w:r w:rsidRPr="00CE3159">
          <w:rPr>
            <w:rStyle w:val="Hyperlink"/>
            <w:szCs w:val="24"/>
          </w:rPr>
          <w:t>Public Summary Document [PSD] Application No. 1361.2</w:t>
        </w:r>
      </w:hyperlink>
      <w:r>
        <w:rPr>
          <w:szCs w:val="24"/>
        </w:rPr>
        <w:t xml:space="preserve">). Note, the summary of the MSAC consideration for deriving the hospitalisation estimates associated with TAVI </w:t>
      </w:r>
      <w:r w:rsidRPr="00BC7E9B">
        <w:rPr>
          <w:i/>
          <w:szCs w:val="24"/>
        </w:rPr>
        <w:t>vs.</w:t>
      </w:r>
      <w:r>
        <w:rPr>
          <w:szCs w:val="24"/>
        </w:rPr>
        <w:t xml:space="preserve"> SAVR and final modelled approach is summarised below. TAVI was listed on the MBS (MBS item 38495, and case conference items 6080, 6081) for patients </w:t>
      </w:r>
      <w:r w:rsidRPr="003436D5">
        <w:rPr>
          <w:szCs w:val="24"/>
        </w:rPr>
        <w:t xml:space="preserve">assessed as having an unacceptably high risk for surgical aortic valve replacement </w:t>
      </w:r>
      <w:r w:rsidR="00B36C1B">
        <w:rPr>
          <w:szCs w:val="24"/>
        </w:rPr>
        <w:t>on 1 November 2017.</w:t>
      </w:r>
    </w:p>
    <w:p w14:paraId="29D9AA6A" w14:textId="77777777" w:rsidR="002063FA" w:rsidRDefault="002063FA" w:rsidP="002063FA">
      <w:pPr>
        <w:pStyle w:val="Heading3"/>
      </w:pPr>
      <w:r>
        <w:t>Hospitalisation</w:t>
      </w:r>
    </w:p>
    <w:p w14:paraId="1945F743" w14:textId="64A09BB7" w:rsidR="002063FA" w:rsidRDefault="002063FA" w:rsidP="002063FA">
      <w:pPr>
        <w:tabs>
          <w:tab w:val="left" w:pos="720"/>
          <w:tab w:val="left" w:pos="1140"/>
        </w:tabs>
        <w:rPr>
          <w:szCs w:val="24"/>
        </w:rPr>
      </w:pPr>
      <w:r>
        <w:rPr>
          <w:szCs w:val="24"/>
        </w:rPr>
        <w:t>MSAC noted that t</w:t>
      </w:r>
      <w:r w:rsidRPr="00B42B7E">
        <w:rPr>
          <w:szCs w:val="24"/>
        </w:rPr>
        <w:t xml:space="preserve">he hospital cost for TAVI was assumed proportional based on TAVI/SAVR length of stay ratio of 1:2 derived from an unpublished data set from Western Australia presented by Yong (2012). MSAC questioned the validity of applying this ratio as it reduces the internal validity of the model as being based directly on the PARTNER trial. Given that all other clinical inputs into the model were derived from the PARTNER trial, the PARTNER-based ratio of 1:1.5 using data from Smith et al (2011) or 1:1.6 using data from Reynolds et al (2012) were therefore suggested as more appropriate. MSAC noted that this approach still favoured </w:t>
      </w:r>
      <w:r>
        <w:rPr>
          <w:szCs w:val="24"/>
        </w:rPr>
        <w:t xml:space="preserve">TAVI </w:t>
      </w:r>
      <w:r w:rsidRPr="00B42B7E">
        <w:rPr>
          <w:szCs w:val="24"/>
        </w:rPr>
        <w:t>because this calculation assumes that the cost of hospitalisation will be evenly distributed</w:t>
      </w:r>
      <w:r>
        <w:rPr>
          <w:szCs w:val="24"/>
        </w:rPr>
        <w:t xml:space="preserve"> </w:t>
      </w:r>
      <w:r w:rsidRPr="00B42B7E">
        <w:rPr>
          <w:szCs w:val="24"/>
        </w:rPr>
        <w:t>across the length of the hospital stay, whereas it is known that the reductions in hospital stay</w:t>
      </w:r>
      <w:r>
        <w:rPr>
          <w:szCs w:val="24"/>
        </w:rPr>
        <w:t xml:space="preserve"> </w:t>
      </w:r>
      <w:r w:rsidRPr="00B42B7E">
        <w:rPr>
          <w:szCs w:val="24"/>
        </w:rPr>
        <w:t xml:space="preserve">are typically for the cheaper days </w:t>
      </w:r>
      <w:r>
        <w:rPr>
          <w:szCs w:val="24"/>
        </w:rPr>
        <w:t>that</w:t>
      </w:r>
      <w:r w:rsidRPr="00B42B7E">
        <w:rPr>
          <w:szCs w:val="24"/>
        </w:rPr>
        <w:t xml:space="preserve"> do not i</w:t>
      </w:r>
      <w:r>
        <w:rPr>
          <w:szCs w:val="24"/>
        </w:rPr>
        <w:t>ncur the costs of the procedure (</w:t>
      </w:r>
      <w:r w:rsidRPr="00B42B7E">
        <w:rPr>
          <w:szCs w:val="24"/>
        </w:rPr>
        <w:t>PSD Application No. 1361.2</w:t>
      </w:r>
      <w:r>
        <w:rPr>
          <w:szCs w:val="24"/>
        </w:rPr>
        <w:t>, p3</w:t>
      </w:r>
      <w:r w:rsidRPr="00B42B7E">
        <w:rPr>
          <w:szCs w:val="24"/>
        </w:rPr>
        <w:t>).</w:t>
      </w:r>
    </w:p>
    <w:p w14:paraId="2C2B82A2" w14:textId="77777777" w:rsidR="002063FA" w:rsidRDefault="002063FA" w:rsidP="002063FA">
      <w:pPr>
        <w:pStyle w:val="Heading3"/>
      </w:pPr>
      <w:r>
        <w:t>Clinical claim to justify modelled approach</w:t>
      </w:r>
    </w:p>
    <w:p w14:paraId="1C3F4AA9" w14:textId="580E69B0" w:rsidR="002063FA" w:rsidRDefault="002063FA" w:rsidP="002063FA">
      <w:pPr>
        <w:tabs>
          <w:tab w:val="left" w:pos="720"/>
          <w:tab w:val="left" w:pos="1140"/>
        </w:tabs>
        <w:rPr>
          <w:szCs w:val="24"/>
        </w:rPr>
      </w:pPr>
      <w:r w:rsidRPr="00761E36">
        <w:rPr>
          <w:szCs w:val="24"/>
        </w:rPr>
        <w:t>MSAC did not</w:t>
      </w:r>
      <w:r>
        <w:rPr>
          <w:szCs w:val="24"/>
        </w:rPr>
        <w:t xml:space="preserve"> </w:t>
      </w:r>
      <w:r w:rsidRPr="00761E36">
        <w:rPr>
          <w:szCs w:val="24"/>
        </w:rPr>
        <w:t>consider that the claim of an improved overall survival was substantiated in order to justify</w:t>
      </w:r>
      <w:r>
        <w:rPr>
          <w:szCs w:val="24"/>
        </w:rPr>
        <w:t xml:space="preserve"> </w:t>
      </w:r>
      <w:r w:rsidRPr="00761E36">
        <w:rPr>
          <w:szCs w:val="24"/>
        </w:rPr>
        <w:t>the incremental cost-effectiveness and incremental cost-utility ratios presented</w:t>
      </w:r>
      <w:r>
        <w:rPr>
          <w:szCs w:val="24"/>
        </w:rPr>
        <w:t xml:space="preserve"> </w:t>
      </w:r>
      <w:r w:rsidRPr="00B42B7E">
        <w:rPr>
          <w:szCs w:val="24"/>
        </w:rPr>
        <w:t>in the comparison of TAVI with SAVR</w:t>
      </w:r>
      <w:r>
        <w:rPr>
          <w:szCs w:val="24"/>
        </w:rPr>
        <w:t xml:space="preserve">. </w:t>
      </w:r>
      <w:r w:rsidRPr="00B42B7E">
        <w:rPr>
          <w:szCs w:val="24"/>
        </w:rPr>
        <w:t>MSAC</w:t>
      </w:r>
      <w:r>
        <w:rPr>
          <w:szCs w:val="24"/>
        </w:rPr>
        <w:t xml:space="preserve"> instead </w:t>
      </w:r>
      <w:r w:rsidRPr="00B42B7E">
        <w:rPr>
          <w:szCs w:val="24"/>
        </w:rPr>
        <w:t>recommended that this aspect of TAVI use be negotiated on</w:t>
      </w:r>
      <w:r>
        <w:rPr>
          <w:szCs w:val="24"/>
        </w:rPr>
        <w:t xml:space="preserve"> </w:t>
      </w:r>
      <w:r w:rsidRPr="00B42B7E">
        <w:rPr>
          <w:szCs w:val="24"/>
        </w:rPr>
        <w:t>a cost-minimisation basis</w:t>
      </w:r>
      <w:r>
        <w:rPr>
          <w:szCs w:val="24"/>
        </w:rPr>
        <w:t xml:space="preserve">. </w:t>
      </w:r>
      <w:r w:rsidRPr="00B42B7E">
        <w:rPr>
          <w:szCs w:val="24"/>
        </w:rPr>
        <w:t>Further, as much of the incremental cost in the model was driven</w:t>
      </w:r>
      <w:r>
        <w:rPr>
          <w:szCs w:val="24"/>
        </w:rPr>
        <w:t xml:space="preserve"> </w:t>
      </w:r>
      <w:r w:rsidRPr="00B42B7E">
        <w:rPr>
          <w:szCs w:val="24"/>
        </w:rPr>
        <w:t>by the cost of the prosthesis, MSAC advised that negotiation of a reduced benefit for the</w:t>
      </w:r>
      <w:r>
        <w:rPr>
          <w:szCs w:val="24"/>
        </w:rPr>
        <w:t xml:space="preserve"> </w:t>
      </w:r>
      <w:r w:rsidRPr="00B42B7E">
        <w:rPr>
          <w:szCs w:val="24"/>
        </w:rPr>
        <w:t>relevant prostheses when considered for the Prosthes</w:t>
      </w:r>
      <w:r w:rsidR="003F77B9">
        <w:rPr>
          <w:szCs w:val="24"/>
        </w:rPr>
        <w:t>e</w:t>
      </w:r>
      <w:r w:rsidRPr="00B42B7E">
        <w:rPr>
          <w:szCs w:val="24"/>
        </w:rPr>
        <w:t>s List would address this concern.</w:t>
      </w:r>
      <w:r>
        <w:rPr>
          <w:szCs w:val="24"/>
        </w:rPr>
        <w:t xml:space="preserve"> </w:t>
      </w:r>
      <w:r w:rsidRPr="00B42B7E">
        <w:rPr>
          <w:szCs w:val="24"/>
        </w:rPr>
        <w:t>MSAC advised that the</w:t>
      </w:r>
      <w:r>
        <w:rPr>
          <w:szCs w:val="24"/>
        </w:rPr>
        <w:t xml:space="preserve"> </w:t>
      </w:r>
      <w:r w:rsidRPr="00B42B7E">
        <w:rPr>
          <w:szCs w:val="24"/>
        </w:rPr>
        <w:t xml:space="preserve">cost-minimisation basis for this negotiation should be that the benefit for any </w:t>
      </w:r>
      <w:r>
        <w:rPr>
          <w:szCs w:val="24"/>
        </w:rPr>
        <w:t xml:space="preserve">TAVI </w:t>
      </w:r>
      <w:r w:rsidRPr="00B42B7E">
        <w:rPr>
          <w:szCs w:val="24"/>
        </w:rPr>
        <w:t>prosthesis should be no greater than would exceed the current SAVR prosthesis benefit, plus</w:t>
      </w:r>
      <w:r>
        <w:rPr>
          <w:szCs w:val="24"/>
        </w:rPr>
        <w:t xml:space="preserve"> </w:t>
      </w:r>
      <w:r w:rsidRPr="00B42B7E">
        <w:rPr>
          <w:szCs w:val="24"/>
        </w:rPr>
        <w:t>the current AR-DRG cost for the procedure to implant the SAVR prosthesis, minus the</w:t>
      </w:r>
      <w:r>
        <w:rPr>
          <w:szCs w:val="24"/>
        </w:rPr>
        <w:t xml:space="preserve"> </w:t>
      </w:r>
      <w:r w:rsidRPr="00B42B7E">
        <w:rPr>
          <w:szCs w:val="24"/>
        </w:rPr>
        <w:t>application of the 1:1.5 ratio to reduce this AR-DRG cost to implant the TAVI prosthesis.</w:t>
      </w:r>
      <w:r>
        <w:rPr>
          <w:szCs w:val="24"/>
        </w:rPr>
        <w:t xml:space="preserve"> </w:t>
      </w:r>
      <w:r w:rsidRPr="00B42B7E">
        <w:rPr>
          <w:szCs w:val="24"/>
        </w:rPr>
        <w:t>MSAC further advised that this reduced benefit should also apply to the use of TAVI in the</w:t>
      </w:r>
      <w:r>
        <w:rPr>
          <w:szCs w:val="24"/>
        </w:rPr>
        <w:t xml:space="preserve"> </w:t>
      </w:r>
      <w:r w:rsidRPr="00B42B7E">
        <w:rPr>
          <w:szCs w:val="24"/>
        </w:rPr>
        <w:t>other cohort of currently inoperable patients</w:t>
      </w:r>
      <w:r>
        <w:rPr>
          <w:szCs w:val="24"/>
        </w:rPr>
        <w:t xml:space="preserve"> (</w:t>
      </w:r>
      <w:hyperlink r:id="rId16" w:history="1">
        <w:r w:rsidRPr="00DD16CC">
          <w:rPr>
            <w:rStyle w:val="Hyperlink"/>
            <w:szCs w:val="24"/>
          </w:rPr>
          <w:t>PSD Application No. 1361.2</w:t>
        </w:r>
      </w:hyperlink>
      <w:r>
        <w:rPr>
          <w:szCs w:val="24"/>
        </w:rPr>
        <w:t>, p4</w:t>
      </w:r>
      <w:r w:rsidRPr="00B42B7E">
        <w:rPr>
          <w:szCs w:val="24"/>
        </w:rPr>
        <w:t>).</w:t>
      </w:r>
    </w:p>
    <w:p w14:paraId="39B9EA3F" w14:textId="1EE09E8C" w:rsidR="002063FA" w:rsidRDefault="002063FA" w:rsidP="0060464A">
      <w:pPr>
        <w:tabs>
          <w:tab w:val="left" w:pos="720"/>
          <w:tab w:val="left" w:pos="1140"/>
        </w:tabs>
        <w:spacing w:before="240"/>
        <w:rPr>
          <w:szCs w:val="24"/>
        </w:rPr>
      </w:pPr>
      <w:r w:rsidRPr="00C04E7D">
        <w:rPr>
          <w:szCs w:val="24"/>
        </w:rPr>
        <w:t>Note, earlier at its April 2015 MSAC meeting, MSAC supported the item to be agnostic to TAVI device, “MSAC preferred not to specify any particular TAVI device, for example by brand name or by specifying any particular device characteristic, such as a balloon</w:t>
      </w:r>
      <w:r>
        <w:rPr>
          <w:szCs w:val="24"/>
        </w:rPr>
        <w:noBreakHyphen/>
      </w:r>
      <w:r w:rsidRPr="00C04E7D">
        <w:rPr>
          <w:szCs w:val="24"/>
        </w:rPr>
        <w:t>expandable device (to signal a preference for the applicant’s SAPIEN device) or a self-expandable device (to signal a preference for Medtronic’s CoreValve device). As noted below, the existing evidence does not justify discriminating against any particular device on clinical grounds, and there was no reason to inhibit price competition across device alternatives [</w:t>
      </w:r>
      <w:hyperlink r:id="rId17" w:history="1">
        <w:r w:rsidRPr="00C04E7D">
          <w:rPr>
            <w:rStyle w:val="Hyperlink"/>
            <w:szCs w:val="24"/>
          </w:rPr>
          <w:t>PSD Application No. 1361</w:t>
        </w:r>
      </w:hyperlink>
      <w:r w:rsidRPr="00C04E7D">
        <w:rPr>
          <w:szCs w:val="24"/>
        </w:rPr>
        <w:t>, p2].</w:t>
      </w:r>
    </w:p>
    <w:p w14:paraId="2C5C3DAB" w14:textId="77777777" w:rsidR="002063FA" w:rsidRDefault="002063FA" w:rsidP="002063FA">
      <w:pPr>
        <w:pStyle w:val="Heading3"/>
      </w:pPr>
      <w:r>
        <w:t>Comparison of 1603 vs. 1361 series</w:t>
      </w:r>
    </w:p>
    <w:p w14:paraId="69B6873C" w14:textId="27C35AF6" w:rsidR="002063FA" w:rsidRDefault="002063FA" w:rsidP="002063FA">
      <w:pPr>
        <w:tabs>
          <w:tab w:val="left" w:pos="720"/>
          <w:tab w:val="left" w:pos="1140"/>
        </w:tabs>
        <w:rPr>
          <w:szCs w:val="24"/>
        </w:rPr>
      </w:pPr>
      <w:r>
        <w:rPr>
          <w:szCs w:val="24"/>
        </w:rPr>
        <w:t xml:space="preserve">A comparison of the </w:t>
      </w:r>
      <w:r w:rsidRPr="00197C27">
        <w:rPr>
          <w:szCs w:val="24"/>
        </w:rPr>
        <w:t xml:space="preserve">key similarities and differences between the economic model proposed by the current </w:t>
      </w:r>
      <w:r>
        <w:rPr>
          <w:szCs w:val="24"/>
        </w:rPr>
        <w:t>Applicant Developed Assessment Report (</w:t>
      </w:r>
      <w:r w:rsidRPr="00197C27">
        <w:rPr>
          <w:szCs w:val="24"/>
        </w:rPr>
        <w:t>ADAR</w:t>
      </w:r>
      <w:r>
        <w:rPr>
          <w:szCs w:val="24"/>
        </w:rPr>
        <w:t>)</w:t>
      </w:r>
      <w:r w:rsidRPr="00197C27">
        <w:rPr>
          <w:szCs w:val="24"/>
        </w:rPr>
        <w:t xml:space="preserve"> and the previous application (MSAC 1361) for TAVI-BEV and TAVI-SEV in high-risk patients is provided in</w:t>
      </w:r>
      <w:r w:rsidR="00B36C1B">
        <w:rPr>
          <w:szCs w:val="24"/>
        </w:rPr>
        <w:t xml:space="preserve"> Table 1</w:t>
      </w:r>
      <w:r>
        <w:rPr>
          <w:szCs w:val="24"/>
        </w:rPr>
        <w:t>.</w:t>
      </w:r>
    </w:p>
    <w:p w14:paraId="2E4F127A" w14:textId="0679F96A" w:rsidR="002063FA" w:rsidRPr="00AC061E" w:rsidRDefault="002063FA" w:rsidP="00AC061E">
      <w:pPr>
        <w:spacing w:before="240"/>
        <w:rPr>
          <w:rFonts w:ascii="Arial Narrow" w:hAnsi="Arial Narrow"/>
          <w:b/>
          <w:sz w:val="20"/>
        </w:rPr>
      </w:pPr>
      <w:bookmarkStart w:id="0" w:name="_Ref51848358"/>
      <w:r w:rsidRPr="00AC061E">
        <w:rPr>
          <w:rFonts w:ascii="Arial Narrow" w:hAnsi="Arial Narrow"/>
          <w:b/>
          <w:sz w:val="20"/>
        </w:rPr>
        <w:t xml:space="preserve">Table </w:t>
      </w:r>
      <w:bookmarkEnd w:id="0"/>
      <w:r w:rsidR="00B36C1B" w:rsidRPr="00AC061E">
        <w:rPr>
          <w:rFonts w:ascii="Arial Narrow" w:hAnsi="Arial Narrow"/>
          <w:b/>
          <w:sz w:val="20"/>
        </w:rPr>
        <w:t>1</w:t>
      </w:r>
      <w:r w:rsidR="00E40C30" w:rsidRPr="00AC061E">
        <w:rPr>
          <w:rFonts w:ascii="Arial Narrow" w:hAnsi="Arial Narrow"/>
          <w:b/>
          <w:sz w:val="20"/>
        </w:rPr>
        <w:tab/>
      </w:r>
      <w:r w:rsidRPr="00AC061E">
        <w:rPr>
          <w:rFonts w:ascii="Arial Narrow" w:hAnsi="Arial Narrow"/>
          <w:b/>
          <w:sz w:val="20"/>
        </w:rPr>
        <w:t>Comparison between TAVI-BEV for intermediate-risk patients (MSAC 1603) and TAVI for high-risk patients (MSAC 1361 and resubmission 1361.2). MSAC 1552, TAVI-SEV is on hold to pursue the BEV application.</w:t>
      </w:r>
    </w:p>
    <w:tbl>
      <w:tblPr>
        <w:tblStyle w:val="TableGrid"/>
        <w:tblW w:w="9694" w:type="dxa"/>
        <w:tblLayout w:type="fixed"/>
        <w:tblCellMar>
          <w:left w:w="28" w:type="dxa"/>
          <w:right w:w="28" w:type="dxa"/>
        </w:tblCellMar>
        <w:tblLook w:val="04A0" w:firstRow="1" w:lastRow="0" w:firstColumn="1" w:lastColumn="0" w:noHBand="0" w:noVBand="1"/>
        <w:tblDescription w:val="Comparison between TAVI-BEV for intermediate-risk patients (MSAC 1603) and TAVI for high-risk patients (MSAC 1361 and resubmission 1361.2). MSAC 1552, TAVI-SEV is on hold to pursue the BEV application."/>
      </w:tblPr>
      <w:tblGrid>
        <w:gridCol w:w="1178"/>
        <w:gridCol w:w="2682"/>
        <w:gridCol w:w="3036"/>
        <w:gridCol w:w="2798"/>
      </w:tblGrid>
      <w:tr w:rsidR="002063FA" w:rsidRPr="00AA3A35" w14:paraId="468D881D" w14:textId="77777777" w:rsidTr="002063FA">
        <w:trPr>
          <w:trHeight w:val="19"/>
          <w:tblHeader/>
        </w:trPr>
        <w:tc>
          <w:tcPr>
            <w:tcW w:w="1178" w:type="dxa"/>
          </w:tcPr>
          <w:p w14:paraId="2A84AF62" w14:textId="77777777" w:rsidR="002063FA" w:rsidRPr="00AA3A35" w:rsidRDefault="002063FA" w:rsidP="00E40CBB">
            <w:pPr>
              <w:pStyle w:val="Tabletext0"/>
              <w:spacing w:before="0" w:after="0"/>
            </w:pPr>
          </w:p>
        </w:tc>
        <w:tc>
          <w:tcPr>
            <w:tcW w:w="2682" w:type="dxa"/>
          </w:tcPr>
          <w:p w14:paraId="3F490D01" w14:textId="77777777" w:rsidR="002063FA" w:rsidRPr="00AA3A35" w:rsidRDefault="002063FA" w:rsidP="00E40CBB">
            <w:pPr>
              <w:pStyle w:val="Tabletext0"/>
              <w:spacing w:before="0" w:after="0"/>
              <w:rPr>
                <w:b/>
                <w:bCs/>
              </w:rPr>
            </w:pPr>
            <w:r w:rsidRPr="00AA3A35">
              <w:rPr>
                <w:b/>
                <w:bCs/>
              </w:rPr>
              <w:t>MSAC1603</w:t>
            </w:r>
            <w:r>
              <w:rPr>
                <w:b/>
                <w:bCs/>
              </w:rPr>
              <w:t xml:space="preserve"> </w:t>
            </w:r>
            <w:r w:rsidRPr="00541D95">
              <w:rPr>
                <w:b/>
                <w:bCs/>
                <w:i/>
              </w:rPr>
              <w:t>(current application)</w:t>
            </w:r>
          </w:p>
        </w:tc>
        <w:tc>
          <w:tcPr>
            <w:tcW w:w="3036" w:type="dxa"/>
          </w:tcPr>
          <w:p w14:paraId="7084C75C" w14:textId="77777777" w:rsidR="002063FA" w:rsidRPr="00AA3A35" w:rsidDel="00F0525D" w:rsidRDefault="002063FA" w:rsidP="00E40CBB">
            <w:pPr>
              <w:pStyle w:val="Tabletext0"/>
              <w:spacing w:before="0" w:after="0"/>
              <w:rPr>
                <w:b/>
                <w:bCs/>
              </w:rPr>
            </w:pPr>
            <w:r w:rsidRPr="00AA3A35">
              <w:rPr>
                <w:b/>
                <w:bCs/>
              </w:rPr>
              <w:t>MSAC 1361</w:t>
            </w:r>
            <w:r>
              <w:rPr>
                <w:b/>
                <w:bCs/>
              </w:rPr>
              <w:t xml:space="preserve"> </w:t>
            </w:r>
            <w:r w:rsidRPr="00541D95">
              <w:rPr>
                <w:b/>
                <w:bCs/>
                <w:i/>
              </w:rPr>
              <w:t>(April 2015)</w:t>
            </w:r>
          </w:p>
        </w:tc>
        <w:tc>
          <w:tcPr>
            <w:tcW w:w="2798" w:type="dxa"/>
          </w:tcPr>
          <w:p w14:paraId="30E1191F" w14:textId="77777777" w:rsidR="002063FA" w:rsidRPr="00AA3A35" w:rsidRDefault="002063FA" w:rsidP="00E40CBB">
            <w:pPr>
              <w:pStyle w:val="Tabletext0"/>
              <w:spacing w:before="0" w:after="0"/>
              <w:rPr>
                <w:b/>
                <w:bCs/>
              </w:rPr>
            </w:pPr>
            <w:r w:rsidRPr="00AA3A35">
              <w:rPr>
                <w:b/>
                <w:bCs/>
              </w:rPr>
              <w:t>MSAC 1361.2</w:t>
            </w:r>
            <w:r>
              <w:rPr>
                <w:b/>
                <w:bCs/>
              </w:rPr>
              <w:t xml:space="preserve"> </w:t>
            </w:r>
            <w:r w:rsidRPr="00541D95">
              <w:rPr>
                <w:b/>
                <w:bCs/>
                <w:i/>
              </w:rPr>
              <w:t>(March 2016)</w:t>
            </w:r>
          </w:p>
        </w:tc>
      </w:tr>
      <w:tr w:rsidR="002063FA" w:rsidRPr="00DE7C45" w14:paraId="2AF3580C" w14:textId="77777777" w:rsidTr="002063FA">
        <w:trPr>
          <w:trHeight w:val="19"/>
        </w:trPr>
        <w:tc>
          <w:tcPr>
            <w:tcW w:w="1178" w:type="dxa"/>
          </w:tcPr>
          <w:p w14:paraId="3EAB8FCF" w14:textId="77777777" w:rsidR="002063FA" w:rsidRPr="00AA3A35" w:rsidRDefault="002063FA" w:rsidP="00E40CBB">
            <w:pPr>
              <w:pStyle w:val="Tabletext0"/>
              <w:spacing w:before="0" w:after="0"/>
            </w:pPr>
            <w:r w:rsidRPr="00AA3A35">
              <w:t>Intervention</w:t>
            </w:r>
          </w:p>
        </w:tc>
        <w:tc>
          <w:tcPr>
            <w:tcW w:w="2682" w:type="dxa"/>
          </w:tcPr>
          <w:p w14:paraId="56B8D8C8" w14:textId="77777777" w:rsidR="002063FA" w:rsidRPr="00AA3A35" w:rsidRDefault="002063FA" w:rsidP="00E40CBB">
            <w:pPr>
              <w:pStyle w:val="Tabletext0"/>
              <w:spacing w:before="0" w:after="0"/>
            </w:pPr>
            <w:r w:rsidRPr="00AA3A35">
              <w:t>TAVI-BEV</w:t>
            </w:r>
          </w:p>
        </w:tc>
        <w:tc>
          <w:tcPr>
            <w:tcW w:w="3036" w:type="dxa"/>
          </w:tcPr>
          <w:p w14:paraId="0C614FAB" w14:textId="77777777" w:rsidR="002063FA" w:rsidRPr="00AA3A35" w:rsidRDefault="002063FA" w:rsidP="00E40CBB">
            <w:pPr>
              <w:pStyle w:val="Tabletext0"/>
              <w:spacing w:before="0" w:after="0"/>
              <w:rPr>
                <w:lang w:val="da-DK"/>
              </w:rPr>
            </w:pPr>
            <w:r w:rsidRPr="00AA3A35">
              <w:rPr>
                <w:lang w:val="da-DK"/>
              </w:rPr>
              <w:t>TAVI-BEV-and TAVI-SEV</w:t>
            </w:r>
          </w:p>
        </w:tc>
        <w:tc>
          <w:tcPr>
            <w:tcW w:w="2798" w:type="dxa"/>
          </w:tcPr>
          <w:p w14:paraId="0C3A12E3" w14:textId="77777777" w:rsidR="002063FA" w:rsidRPr="00AA3A35" w:rsidRDefault="002063FA" w:rsidP="00E40CBB">
            <w:pPr>
              <w:pStyle w:val="Tabletext0"/>
              <w:spacing w:before="0" w:after="0"/>
              <w:rPr>
                <w:lang w:val="da-DK"/>
              </w:rPr>
            </w:pPr>
            <w:r w:rsidRPr="00AA3A35">
              <w:rPr>
                <w:lang w:val="da-DK"/>
              </w:rPr>
              <w:t>TAVI-BEV-and TAVI-SEV</w:t>
            </w:r>
          </w:p>
        </w:tc>
      </w:tr>
      <w:tr w:rsidR="002063FA" w:rsidRPr="00AA3A35" w14:paraId="35A21685" w14:textId="77777777" w:rsidTr="002063FA">
        <w:trPr>
          <w:trHeight w:val="19"/>
        </w:trPr>
        <w:tc>
          <w:tcPr>
            <w:tcW w:w="1178" w:type="dxa"/>
          </w:tcPr>
          <w:p w14:paraId="54858612" w14:textId="77777777" w:rsidR="002063FA" w:rsidRPr="00AA3A35" w:rsidRDefault="002063FA" w:rsidP="00E40CBB">
            <w:pPr>
              <w:pStyle w:val="Tabletext0"/>
              <w:spacing w:before="0" w:after="0"/>
            </w:pPr>
            <w:r w:rsidRPr="00AA3A35">
              <w:t>Patient population</w:t>
            </w:r>
          </w:p>
        </w:tc>
        <w:tc>
          <w:tcPr>
            <w:tcW w:w="2682" w:type="dxa"/>
          </w:tcPr>
          <w:p w14:paraId="217545D8" w14:textId="77777777" w:rsidR="002063FA" w:rsidRPr="00AA3A35" w:rsidRDefault="002063FA" w:rsidP="00E40CBB">
            <w:pPr>
              <w:pStyle w:val="Tabletext0"/>
              <w:spacing w:before="0" w:after="0"/>
            </w:pPr>
            <w:r w:rsidRPr="00AA3A35">
              <w:t>Intermediate risk patients</w:t>
            </w:r>
            <w:r>
              <w:t xml:space="preserve"> as determined by Heart Team</w:t>
            </w:r>
            <w:r w:rsidRPr="00AA3A35">
              <w:t xml:space="preserve"> </w:t>
            </w:r>
            <w:r>
              <w:t xml:space="preserve"> </w:t>
            </w:r>
          </w:p>
        </w:tc>
        <w:tc>
          <w:tcPr>
            <w:tcW w:w="3036" w:type="dxa"/>
          </w:tcPr>
          <w:p w14:paraId="2B053920" w14:textId="77777777" w:rsidR="002063FA" w:rsidRPr="00AA3A35" w:rsidRDefault="002063FA" w:rsidP="00E40CBB">
            <w:pPr>
              <w:pStyle w:val="Tabletext0"/>
              <w:spacing w:before="0" w:after="0"/>
            </w:pPr>
            <w:r w:rsidRPr="00AA3A35">
              <w:t>High risk</w:t>
            </w:r>
            <w:r>
              <w:t xml:space="preserve"> </w:t>
            </w:r>
            <w:r w:rsidRPr="00541D95">
              <w:rPr>
                <w:i/>
              </w:rPr>
              <w:t>or inoperable as</w:t>
            </w:r>
            <w:r>
              <w:t xml:space="preserve"> </w:t>
            </w:r>
            <w:r w:rsidRPr="00AA3A35">
              <w:t>determined by the patient’s clinician.</w:t>
            </w:r>
          </w:p>
        </w:tc>
        <w:tc>
          <w:tcPr>
            <w:tcW w:w="2798" w:type="dxa"/>
          </w:tcPr>
          <w:p w14:paraId="026D494F" w14:textId="77777777" w:rsidR="002063FA" w:rsidRPr="00AA3A35" w:rsidRDefault="002063FA" w:rsidP="00E40CBB">
            <w:pPr>
              <w:pStyle w:val="Tabletext0"/>
              <w:spacing w:before="0" w:after="0"/>
            </w:pPr>
            <w:r w:rsidRPr="00AA3A35">
              <w:t xml:space="preserve">High-risk </w:t>
            </w:r>
            <w:r w:rsidRPr="00541D95">
              <w:rPr>
                <w:i/>
              </w:rPr>
              <w:t>and inoperable</w:t>
            </w:r>
            <w:r>
              <w:t xml:space="preserve"> </w:t>
            </w:r>
            <w:r w:rsidRPr="00AA3A35">
              <w:t xml:space="preserve">patients (not described) </w:t>
            </w:r>
          </w:p>
        </w:tc>
      </w:tr>
      <w:tr w:rsidR="002063FA" w:rsidRPr="00AA3A35" w14:paraId="70C8EFBF" w14:textId="77777777" w:rsidTr="002063FA">
        <w:trPr>
          <w:trHeight w:val="19"/>
        </w:trPr>
        <w:tc>
          <w:tcPr>
            <w:tcW w:w="1178" w:type="dxa"/>
          </w:tcPr>
          <w:p w14:paraId="2646B65A" w14:textId="77777777" w:rsidR="002063FA" w:rsidRPr="00AA3A35" w:rsidRDefault="002063FA" w:rsidP="00E40CBB">
            <w:pPr>
              <w:pStyle w:val="Tabletext0"/>
              <w:spacing w:before="0" w:after="0"/>
            </w:pPr>
            <w:r w:rsidRPr="00AA3A35">
              <w:t xml:space="preserve">Comparator </w:t>
            </w:r>
          </w:p>
        </w:tc>
        <w:tc>
          <w:tcPr>
            <w:tcW w:w="2682" w:type="dxa"/>
          </w:tcPr>
          <w:p w14:paraId="01CE507F" w14:textId="77777777" w:rsidR="002063FA" w:rsidRPr="00AA3A35" w:rsidRDefault="002063FA" w:rsidP="00E40CBB">
            <w:pPr>
              <w:pStyle w:val="Tabletext0"/>
              <w:spacing w:before="0" w:after="0"/>
            </w:pPr>
            <w:r w:rsidRPr="00AA3A35">
              <w:t>SAVR and TAVI-SEV</w:t>
            </w:r>
          </w:p>
        </w:tc>
        <w:tc>
          <w:tcPr>
            <w:tcW w:w="3036" w:type="dxa"/>
          </w:tcPr>
          <w:p w14:paraId="62F2DBA5" w14:textId="77777777" w:rsidR="002063FA" w:rsidRPr="00AA3A35" w:rsidRDefault="002063FA" w:rsidP="00E40CBB">
            <w:pPr>
              <w:pStyle w:val="Tabletext0"/>
              <w:spacing w:before="0" w:after="0"/>
            </w:pPr>
            <w:r w:rsidRPr="00AA3A35">
              <w:t xml:space="preserve">SAVR </w:t>
            </w:r>
            <w:r w:rsidRPr="00541D95">
              <w:rPr>
                <w:i/>
              </w:rPr>
              <w:t>and medical management</w:t>
            </w:r>
          </w:p>
        </w:tc>
        <w:tc>
          <w:tcPr>
            <w:tcW w:w="2798" w:type="dxa"/>
          </w:tcPr>
          <w:p w14:paraId="19E13C09" w14:textId="77777777" w:rsidR="002063FA" w:rsidRPr="00AA3A35" w:rsidRDefault="002063FA" w:rsidP="00E40CBB">
            <w:pPr>
              <w:pStyle w:val="Tabletext0"/>
              <w:spacing w:before="0" w:after="0"/>
            </w:pPr>
            <w:r w:rsidRPr="00AA3A35">
              <w:t xml:space="preserve">SAVR </w:t>
            </w:r>
            <w:r w:rsidRPr="00F946D3">
              <w:rPr>
                <w:i/>
              </w:rPr>
              <w:t>and medical management</w:t>
            </w:r>
            <w:r w:rsidRPr="00AA3A35">
              <w:t xml:space="preserve"> </w:t>
            </w:r>
          </w:p>
        </w:tc>
      </w:tr>
      <w:tr w:rsidR="002063FA" w:rsidRPr="00AA3A35" w14:paraId="6D396E4F" w14:textId="77777777" w:rsidTr="002063FA">
        <w:trPr>
          <w:trHeight w:val="19"/>
        </w:trPr>
        <w:tc>
          <w:tcPr>
            <w:tcW w:w="1178" w:type="dxa"/>
          </w:tcPr>
          <w:p w14:paraId="67A2615A" w14:textId="77777777" w:rsidR="002063FA" w:rsidRPr="00541D95" w:rsidRDefault="002063FA" w:rsidP="00E40CBB">
            <w:pPr>
              <w:pStyle w:val="Tabletext0"/>
              <w:spacing w:before="0" w:after="0"/>
              <w:rPr>
                <w:i/>
              </w:rPr>
            </w:pPr>
            <w:r w:rsidRPr="00541D95">
              <w:rPr>
                <w:i/>
              </w:rPr>
              <w:t>Clinical evidence used for economic model</w:t>
            </w:r>
          </w:p>
        </w:tc>
        <w:tc>
          <w:tcPr>
            <w:tcW w:w="2682" w:type="dxa"/>
          </w:tcPr>
          <w:p w14:paraId="5B7DBA59" w14:textId="77777777" w:rsidR="002063FA" w:rsidRPr="00541D95" w:rsidRDefault="002063FA" w:rsidP="00E40CBB">
            <w:pPr>
              <w:pStyle w:val="Tabletext0"/>
              <w:spacing w:before="0" w:after="0"/>
              <w:rPr>
                <w:i/>
              </w:rPr>
            </w:pPr>
            <w:r w:rsidRPr="00541D95">
              <w:rPr>
                <w:i/>
              </w:rPr>
              <w:t>1-year outcomes from PARTNER 3Si</w:t>
            </w:r>
          </w:p>
        </w:tc>
        <w:tc>
          <w:tcPr>
            <w:tcW w:w="3036" w:type="dxa"/>
          </w:tcPr>
          <w:p w14:paraId="0162BD74" w14:textId="77777777" w:rsidR="002063FA" w:rsidRPr="00541D95" w:rsidRDefault="002063FA" w:rsidP="00E40CBB">
            <w:pPr>
              <w:pStyle w:val="Tabletext0"/>
              <w:spacing w:before="0" w:after="0"/>
              <w:rPr>
                <w:i/>
              </w:rPr>
            </w:pPr>
            <w:r w:rsidRPr="00541D95">
              <w:rPr>
                <w:i/>
              </w:rPr>
              <w:t>2-year data from PARTNER trial. 5-year data published and considered by MSAC (April 2015). Revised economic model using 5-year mortality from PARTNER trial presented in pre-ESC response prior to July 2015 consideration of 1361.1.</w:t>
            </w:r>
          </w:p>
        </w:tc>
        <w:tc>
          <w:tcPr>
            <w:tcW w:w="2798" w:type="dxa"/>
          </w:tcPr>
          <w:p w14:paraId="440ACBCE" w14:textId="77777777" w:rsidR="002063FA" w:rsidRPr="00541D95" w:rsidRDefault="002063FA" w:rsidP="00E40CBB">
            <w:pPr>
              <w:pStyle w:val="Tabletext0"/>
              <w:spacing w:before="0" w:after="0"/>
              <w:rPr>
                <w:i/>
              </w:rPr>
            </w:pPr>
            <w:r w:rsidRPr="00541D95">
              <w:rPr>
                <w:i/>
              </w:rPr>
              <w:t>5-year data from the PARTNER trial. The numerically different overall survival estimates</w:t>
            </w:r>
            <w:r>
              <w:rPr>
                <w:i/>
              </w:rPr>
              <w:t xml:space="preserve"> </w:t>
            </w:r>
            <w:r w:rsidRPr="00541D95">
              <w:rPr>
                <w:i/>
              </w:rPr>
              <w:t>following TAVI and SAVR were not statistically significantly</w:t>
            </w:r>
          </w:p>
        </w:tc>
      </w:tr>
      <w:tr w:rsidR="002063FA" w:rsidRPr="00AA3A35" w14:paraId="49CB2042" w14:textId="77777777" w:rsidTr="002063FA">
        <w:trPr>
          <w:trHeight w:val="19"/>
        </w:trPr>
        <w:tc>
          <w:tcPr>
            <w:tcW w:w="1178" w:type="dxa"/>
          </w:tcPr>
          <w:p w14:paraId="4F49B526" w14:textId="77777777" w:rsidR="002063FA" w:rsidRPr="00BC7E9B" w:rsidRDefault="002063FA" w:rsidP="00E40CBB">
            <w:pPr>
              <w:pStyle w:val="Tabletext0"/>
              <w:spacing w:before="0" w:after="0"/>
            </w:pPr>
            <w:r>
              <w:t>Clinical claim</w:t>
            </w:r>
          </w:p>
        </w:tc>
        <w:tc>
          <w:tcPr>
            <w:tcW w:w="2682" w:type="dxa"/>
          </w:tcPr>
          <w:p w14:paraId="59B754BC" w14:textId="77777777" w:rsidR="002063FA" w:rsidRDefault="002063FA" w:rsidP="00E40CBB">
            <w:pPr>
              <w:pStyle w:val="Tabletext0"/>
              <w:spacing w:before="0" w:after="0"/>
            </w:pPr>
            <w:r>
              <w:t>Superior effectiveness vs SAVR (composite outcome: death, stroke, aortic regurgitation)</w:t>
            </w:r>
          </w:p>
          <w:p w14:paraId="693A99A5" w14:textId="77777777" w:rsidR="002063FA" w:rsidRPr="00BC7E9B" w:rsidRDefault="002063FA" w:rsidP="00E40CBB">
            <w:pPr>
              <w:pStyle w:val="Tabletext0"/>
              <w:spacing w:before="0" w:after="0"/>
            </w:pPr>
            <w:r>
              <w:t>No claim vs TAVI-SEV</w:t>
            </w:r>
          </w:p>
        </w:tc>
        <w:tc>
          <w:tcPr>
            <w:tcW w:w="3036" w:type="dxa"/>
          </w:tcPr>
          <w:p w14:paraId="0825379F" w14:textId="77777777" w:rsidR="002063FA" w:rsidRPr="00BC7E9B" w:rsidRDefault="002063FA" w:rsidP="00E40CBB">
            <w:pPr>
              <w:pStyle w:val="Tabletext0"/>
              <w:spacing w:before="0" w:after="0"/>
            </w:pPr>
          </w:p>
        </w:tc>
        <w:tc>
          <w:tcPr>
            <w:tcW w:w="2798" w:type="dxa"/>
          </w:tcPr>
          <w:p w14:paraId="16D378B9" w14:textId="77777777" w:rsidR="002063FA" w:rsidRPr="00BC7E9B" w:rsidRDefault="002063FA" w:rsidP="00E40CBB">
            <w:pPr>
              <w:pStyle w:val="Tabletext0"/>
              <w:spacing w:before="0" w:after="0"/>
            </w:pPr>
            <w:r>
              <w:t>Superior  safety and clinical effectiveness for TAVI versus SAVR</w:t>
            </w:r>
          </w:p>
        </w:tc>
      </w:tr>
      <w:tr w:rsidR="002063FA" w:rsidRPr="00AA3A35" w14:paraId="521758DE" w14:textId="77777777" w:rsidTr="002063FA">
        <w:trPr>
          <w:trHeight w:val="19"/>
        </w:trPr>
        <w:tc>
          <w:tcPr>
            <w:tcW w:w="1178" w:type="dxa"/>
          </w:tcPr>
          <w:p w14:paraId="10A14FA8" w14:textId="77777777" w:rsidR="002063FA" w:rsidRPr="00AA3A35" w:rsidRDefault="002063FA" w:rsidP="00E40CBB">
            <w:pPr>
              <w:pStyle w:val="Tabletext0"/>
              <w:spacing w:before="0" w:after="0"/>
            </w:pPr>
            <w:r w:rsidRPr="00AA3A35">
              <w:t>Health states</w:t>
            </w:r>
          </w:p>
        </w:tc>
        <w:tc>
          <w:tcPr>
            <w:tcW w:w="2682" w:type="dxa"/>
          </w:tcPr>
          <w:p w14:paraId="1779A50B" w14:textId="77777777" w:rsidR="002063FA" w:rsidRPr="00AA3A35" w:rsidRDefault="002063FA" w:rsidP="00E40CBB">
            <w:pPr>
              <w:pStyle w:val="Tabletext0"/>
              <w:spacing w:before="0" w:after="0"/>
            </w:pPr>
            <w:r w:rsidRPr="00AA3A35">
              <w:t>3 states</w:t>
            </w:r>
          </w:p>
          <w:p w14:paraId="30BD55A3" w14:textId="77777777" w:rsidR="002063FA" w:rsidRPr="00AA3A35" w:rsidRDefault="002063FA" w:rsidP="00E40CBB">
            <w:pPr>
              <w:pStyle w:val="Tabletext0"/>
              <w:numPr>
                <w:ilvl w:val="0"/>
                <w:numId w:val="26"/>
              </w:numPr>
              <w:spacing w:before="0" w:after="0"/>
              <w:ind w:left="360"/>
            </w:pPr>
            <w:r w:rsidRPr="00AA3A35">
              <w:t>Alive, no disabling stroke</w:t>
            </w:r>
          </w:p>
          <w:p w14:paraId="6A8B225B" w14:textId="77777777" w:rsidR="002063FA" w:rsidRPr="00AA3A35" w:rsidRDefault="002063FA" w:rsidP="00E40CBB">
            <w:pPr>
              <w:pStyle w:val="Tabletext0"/>
              <w:numPr>
                <w:ilvl w:val="0"/>
                <w:numId w:val="26"/>
              </w:numPr>
              <w:spacing w:before="0" w:after="0"/>
              <w:ind w:left="360"/>
            </w:pPr>
            <w:r w:rsidRPr="00AA3A35">
              <w:t>Alive, disabling stroke</w:t>
            </w:r>
          </w:p>
          <w:p w14:paraId="76B1FC95" w14:textId="77777777" w:rsidR="002063FA" w:rsidRPr="00AA3A35" w:rsidRDefault="002063FA" w:rsidP="00E40CBB">
            <w:pPr>
              <w:pStyle w:val="Tabletext0"/>
              <w:numPr>
                <w:ilvl w:val="0"/>
                <w:numId w:val="26"/>
              </w:numPr>
              <w:spacing w:before="0" w:after="0"/>
              <w:ind w:left="360"/>
            </w:pPr>
            <w:r w:rsidRPr="00AA3A35">
              <w:t>Dead</w:t>
            </w:r>
          </w:p>
          <w:p w14:paraId="2533E62D" w14:textId="77777777" w:rsidR="002063FA" w:rsidRPr="00AA3A35" w:rsidRDefault="002063FA" w:rsidP="00E40CBB">
            <w:pPr>
              <w:pStyle w:val="Tabletext0"/>
              <w:spacing w:before="0" w:after="0"/>
            </w:pPr>
            <w:r w:rsidRPr="00AA3A35">
              <w:t xml:space="preserve">The model adjusted for baseline cerebrovascular disease (9.4%) to account for the likelihood that patients have had a prior stroke. </w:t>
            </w:r>
          </w:p>
        </w:tc>
        <w:tc>
          <w:tcPr>
            <w:tcW w:w="3036" w:type="dxa"/>
          </w:tcPr>
          <w:p w14:paraId="5312248A" w14:textId="77777777" w:rsidR="002063FA" w:rsidRPr="00AA3A35" w:rsidRDefault="002063FA" w:rsidP="00E40CBB">
            <w:pPr>
              <w:pStyle w:val="Tabletext0"/>
              <w:spacing w:before="0" w:after="0"/>
            </w:pPr>
            <w:r w:rsidRPr="00AA3A35">
              <w:t>5 states</w:t>
            </w:r>
          </w:p>
          <w:p w14:paraId="7A1093F4" w14:textId="77777777" w:rsidR="002063FA" w:rsidRPr="00AA3A35" w:rsidRDefault="002063FA" w:rsidP="00E40CBB">
            <w:pPr>
              <w:pStyle w:val="Tabletext0"/>
              <w:numPr>
                <w:ilvl w:val="0"/>
                <w:numId w:val="28"/>
              </w:numPr>
              <w:spacing w:before="0" w:after="0"/>
              <w:ind w:left="360"/>
            </w:pPr>
            <w:r w:rsidRPr="00AA3A35">
              <w:t>Alive, no complications</w:t>
            </w:r>
          </w:p>
          <w:p w14:paraId="6908DEF7" w14:textId="77777777" w:rsidR="002063FA" w:rsidRPr="00AA3A35" w:rsidRDefault="002063FA" w:rsidP="00E40CBB">
            <w:pPr>
              <w:pStyle w:val="Tabletext0"/>
              <w:numPr>
                <w:ilvl w:val="0"/>
                <w:numId w:val="28"/>
              </w:numPr>
              <w:spacing w:before="0" w:after="0"/>
              <w:ind w:left="360"/>
            </w:pPr>
            <w:r w:rsidRPr="00AA3A35">
              <w:t xml:space="preserve">Alive, other complications </w:t>
            </w:r>
          </w:p>
          <w:p w14:paraId="145E9628" w14:textId="77777777" w:rsidR="002063FA" w:rsidRPr="00AA3A35" w:rsidRDefault="002063FA" w:rsidP="00E40CBB">
            <w:pPr>
              <w:pStyle w:val="Tabletext0"/>
              <w:numPr>
                <w:ilvl w:val="0"/>
                <w:numId w:val="28"/>
              </w:numPr>
              <w:spacing w:before="0" w:after="0"/>
              <w:ind w:left="360"/>
            </w:pPr>
            <w:r w:rsidRPr="00AA3A35">
              <w:t>Alive, with major stroke</w:t>
            </w:r>
          </w:p>
          <w:p w14:paraId="0BB329A4" w14:textId="77777777" w:rsidR="002063FA" w:rsidRPr="00AA3A35" w:rsidRDefault="002063FA" w:rsidP="00E40CBB">
            <w:pPr>
              <w:pStyle w:val="Tabletext0"/>
              <w:numPr>
                <w:ilvl w:val="0"/>
                <w:numId w:val="28"/>
              </w:numPr>
              <w:spacing w:before="0" w:after="0"/>
              <w:ind w:left="360"/>
            </w:pPr>
            <w:r w:rsidRPr="00AA3A35">
              <w:t xml:space="preserve">Alive, with heart failure </w:t>
            </w:r>
          </w:p>
          <w:p w14:paraId="73513963" w14:textId="77777777" w:rsidR="002063FA" w:rsidRPr="00AA3A35" w:rsidRDefault="002063FA" w:rsidP="00E40CBB">
            <w:pPr>
              <w:pStyle w:val="Tabletext0"/>
              <w:numPr>
                <w:ilvl w:val="0"/>
                <w:numId w:val="28"/>
              </w:numPr>
              <w:spacing w:before="0" w:after="0"/>
              <w:ind w:left="360"/>
            </w:pPr>
            <w:r w:rsidRPr="00AA3A35">
              <w:t>Dead</w:t>
            </w:r>
          </w:p>
          <w:p w14:paraId="0E138FBE" w14:textId="77777777" w:rsidR="002063FA" w:rsidRPr="00AA3A35" w:rsidRDefault="002063FA" w:rsidP="00E40CBB">
            <w:pPr>
              <w:pStyle w:val="Tabletext0"/>
              <w:spacing w:before="0" w:after="0"/>
            </w:pPr>
            <w:r w:rsidRPr="00AA3A35">
              <w:t xml:space="preserve">No adjustment for pre-existing complications was made. </w:t>
            </w:r>
          </w:p>
        </w:tc>
        <w:tc>
          <w:tcPr>
            <w:tcW w:w="2798" w:type="dxa"/>
          </w:tcPr>
          <w:p w14:paraId="1F7E1A68" w14:textId="77777777" w:rsidR="002063FA" w:rsidRPr="00AA3A35" w:rsidRDefault="002063FA" w:rsidP="00E40CBB">
            <w:pPr>
              <w:pStyle w:val="Tabletext0"/>
              <w:spacing w:before="0" w:after="0"/>
            </w:pPr>
            <w:r w:rsidRPr="00AA3A35">
              <w:t>3 states</w:t>
            </w:r>
          </w:p>
          <w:p w14:paraId="43C7CBF7" w14:textId="77777777" w:rsidR="002063FA" w:rsidRPr="00AA3A35" w:rsidRDefault="002063FA" w:rsidP="00E40CBB">
            <w:pPr>
              <w:pStyle w:val="Tabletext0"/>
              <w:numPr>
                <w:ilvl w:val="0"/>
                <w:numId w:val="27"/>
              </w:numPr>
              <w:spacing w:before="0" w:after="0"/>
              <w:ind w:left="360"/>
            </w:pPr>
            <w:r w:rsidRPr="00AA3A35">
              <w:t>Alive, standard follow-up</w:t>
            </w:r>
          </w:p>
          <w:p w14:paraId="62E8A7CF" w14:textId="77777777" w:rsidR="002063FA" w:rsidRPr="00AA3A35" w:rsidRDefault="002063FA" w:rsidP="00E40CBB">
            <w:pPr>
              <w:pStyle w:val="Tabletext0"/>
              <w:numPr>
                <w:ilvl w:val="0"/>
                <w:numId w:val="27"/>
              </w:numPr>
              <w:spacing w:before="0" w:after="0"/>
              <w:ind w:left="360"/>
            </w:pPr>
            <w:r w:rsidRPr="00AA3A35">
              <w:t>Alive, with major stroke</w:t>
            </w:r>
          </w:p>
          <w:p w14:paraId="127A8B51" w14:textId="77777777" w:rsidR="002063FA" w:rsidRPr="00AA3A35" w:rsidRDefault="002063FA" w:rsidP="00E40CBB">
            <w:pPr>
              <w:pStyle w:val="Tabletext0"/>
              <w:numPr>
                <w:ilvl w:val="0"/>
                <w:numId w:val="27"/>
              </w:numPr>
              <w:spacing w:before="0" w:after="0"/>
              <w:ind w:left="360"/>
            </w:pPr>
            <w:r w:rsidRPr="00AA3A35">
              <w:t>Dead</w:t>
            </w:r>
          </w:p>
          <w:p w14:paraId="023F511C" w14:textId="77777777" w:rsidR="002063FA" w:rsidRPr="00AA3A35" w:rsidRDefault="002063FA" w:rsidP="00E40CBB">
            <w:pPr>
              <w:pStyle w:val="Tabletext0"/>
              <w:spacing w:before="0" w:after="0"/>
            </w:pPr>
            <w:r w:rsidRPr="00AA3A35">
              <w:t xml:space="preserve">No adjustment for pre-existing complications was made. </w:t>
            </w:r>
          </w:p>
        </w:tc>
      </w:tr>
      <w:tr w:rsidR="002063FA" w:rsidRPr="00AA3A35" w14:paraId="3E25402B" w14:textId="77777777" w:rsidTr="002063FA">
        <w:trPr>
          <w:trHeight w:val="19"/>
        </w:trPr>
        <w:tc>
          <w:tcPr>
            <w:tcW w:w="1178" w:type="dxa"/>
          </w:tcPr>
          <w:p w14:paraId="64B9113E" w14:textId="77777777" w:rsidR="002063FA" w:rsidRPr="00AA3A35" w:rsidRDefault="002063FA" w:rsidP="00E40CBB">
            <w:pPr>
              <w:pStyle w:val="Tabletext0"/>
              <w:spacing w:before="0" w:after="0"/>
            </w:pPr>
            <w:r w:rsidRPr="00AA3A35">
              <w:t>Time horizon</w:t>
            </w:r>
          </w:p>
        </w:tc>
        <w:tc>
          <w:tcPr>
            <w:tcW w:w="2682" w:type="dxa"/>
          </w:tcPr>
          <w:p w14:paraId="2AD76B24" w14:textId="77777777" w:rsidR="002063FA" w:rsidRPr="00AA3A35" w:rsidRDefault="002063FA" w:rsidP="00E40CBB">
            <w:pPr>
              <w:pStyle w:val="Tabletext0"/>
              <w:spacing w:before="0" w:after="0"/>
              <w:rPr>
                <w:i/>
                <w:iCs/>
              </w:rPr>
            </w:pPr>
            <w:r w:rsidRPr="00AA3A35">
              <w:t>10 years (base-case). 5 and 20-year time horizon presented in sensitivity analyses</w:t>
            </w:r>
          </w:p>
        </w:tc>
        <w:tc>
          <w:tcPr>
            <w:tcW w:w="3036" w:type="dxa"/>
          </w:tcPr>
          <w:p w14:paraId="253601F9" w14:textId="77777777" w:rsidR="002063FA" w:rsidRPr="00AA3A35" w:rsidRDefault="002063FA" w:rsidP="00E40CBB">
            <w:pPr>
              <w:pStyle w:val="Tabletext0"/>
              <w:spacing w:before="0" w:after="0"/>
            </w:pPr>
            <w:r w:rsidRPr="00AA3A35">
              <w:t xml:space="preserve">10-years. </w:t>
            </w:r>
            <w:r w:rsidRPr="00AA3A35">
              <w:rPr>
                <w:i/>
                <w:iCs/>
              </w:rPr>
              <w:t>MSAC considered that both a 5-year and 10-year time horizon would be informative’.</w:t>
            </w:r>
          </w:p>
        </w:tc>
        <w:tc>
          <w:tcPr>
            <w:tcW w:w="2798" w:type="dxa"/>
          </w:tcPr>
          <w:p w14:paraId="23F66249" w14:textId="77777777" w:rsidR="002063FA" w:rsidRPr="00AA3A35" w:rsidRDefault="002063FA" w:rsidP="00E40CBB">
            <w:pPr>
              <w:pStyle w:val="Tabletext0"/>
              <w:spacing w:before="0" w:after="0"/>
              <w:rPr>
                <w:i/>
                <w:iCs/>
              </w:rPr>
            </w:pPr>
            <w:r w:rsidRPr="00AA3A35">
              <w:t xml:space="preserve">5-years presented in the base-case and 10-years was presented in sensitivity analyses </w:t>
            </w:r>
          </w:p>
        </w:tc>
      </w:tr>
      <w:tr w:rsidR="002063FA" w:rsidRPr="00AA3A35" w14:paraId="5545325D" w14:textId="77777777" w:rsidTr="002063FA">
        <w:trPr>
          <w:trHeight w:val="19"/>
        </w:trPr>
        <w:tc>
          <w:tcPr>
            <w:tcW w:w="1178" w:type="dxa"/>
          </w:tcPr>
          <w:p w14:paraId="361B8D8F" w14:textId="77777777" w:rsidR="002063FA" w:rsidRPr="00AA3A35" w:rsidRDefault="002063FA" w:rsidP="00E40CBB">
            <w:pPr>
              <w:pStyle w:val="Tabletext0"/>
              <w:spacing w:before="0" w:after="0"/>
            </w:pPr>
            <w:r w:rsidRPr="00AA3A35">
              <w:t>Prostheses cost of TAVI-BEV</w:t>
            </w:r>
          </w:p>
        </w:tc>
        <w:tc>
          <w:tcPr>
            <w:tcW w:w="2682" w:type="dxa"/>
          </w:tcPr>
          <w:p w14:paraId="5A127BEB" w14:textId="77777777" w:rsidR="002063FA" w:rsidRPr="00AA3A35" w:rsidRDefault="002063FA" w:rsidP="00E40CBB">
            <w:pPr>
              <w:pStyle w:val="Tabletext0"/>
              <w:spacing w:before="0" w:after="0"/>
            </w:pPr>
            <w:r w:rsidRPr="00AA3A35">
              <w:t>ADAR included prosthesis costs for public patients only</w:t>
            </w:r>
          </w:p>
        </w:tc>
        <w:tc>
          <w:tcPr>
            <w:tcW w:w="3036" w:type="dxa"/>
          </w:tcPr>
          <w:p w14:paraId="1228BF77" w14:textId="77777777" w:rsidR="002063FA" w:rsidRPr="00AA3A35" w:rsidRDefault="002063FA" w:rsidP="00E40CBB">
            <w:pPr>
              <w:pStyle w:val="Tabletext0"/>
              <w:spacing w:before="0" w:after="0"/>
            </w:pPr>
            <w:r w:rsidRPr="00AA3A35">
              <w:t xml:space="preserve"> ADAR included prosthesis costs for </w:t>
            </w:r>
            <w:r>
              <w:t>all</w:t>
            </w:r>
            <w:r w:rsidRPr="00AA3A35">
              <w:t xml:space="preserve"> patients </w:t>
            </w:r>
          </w:p>
        </w:tc>
        <w:tc>
          <w:tcPr>
            <w:tcW w:w="2798" w:type="dxa"/>
          </w:tcPr>
          <w:p w14:paraId="4045EA95" w14:textId="77777777" w:rsidR="002063FA" w:rsidRPr="00AA3A35" w:rsidRDefault="002063FA" w:rsidP="00E40CBB">
            <w:pPr>
              <w:pStyle w:val="Tabletext0"/>
              <w:spacing w:before="0" w:after="0"/>
            </w:pPr>
            <w:r w:rsidRPr="00AA3A35">
              <w:t>ADAR included prosthesis costs for</w:t>
            </w:r>
            <w:r>
              <w:t xml:space="preserve"> all</w:t>
            </w:r>
            <w:r w:rsidRPr="00AA3A35">
              <w:t xml:space="preserve"> </w:t>
            </w:r>
            <w:r w:rsidRPr="00BC7E9B">
              <w:t>patients</w:t>
            </w:r>
            <w:r w:rsidRPr="00AA3A35">
              <w:t xml:space="preserve"> </w:t>
            </w:r>
          </w:p>
        </w:tc>
      </w:tr>
      <w:tr w:rsidR="002063FA" w:rsidRPr="00AA3A35" w14:paraId="4860424A" w14:textId="77777777" w:rsidTr="002063FA">
        <w:trPr>
          <w:trHeight w:val="19"/>
        </w:trPr>
        <w:tc>
          <w:tcPr>
            <w:tcW w:w="1178" w:type="dxa"/>
          </w:tcPr>
          <w:p w14:paraId="5AAA0AA0" w14:textId="77777777" w:rsidR="002063FA" w:rsidRPr="00AA3A35" w:rsidRDefault="002063FA" w:rsidP="00E40CBB">
            <w:pPr>
              <w:pStyle w:val="Tabletext0"/>
              <w:spacing w:before="0" w:after="0"/>
            </w:pPr>
            <w:r>
              <w:t>Prosthesis cost</w:t>
            </w:r>
          </w:p>
        </w:tc>
        <w:tc>
          <w:tcPr>
            <w:tcW w:w="2682" w:type="dxa"/>
          </w:tcPr>
          <w:p w14:paraId="48668B18" w14:textId="44F23C60" w:rsidR="002063FA" w:rsidRDefault="00E40C30" w:rsidP="00E40CBB">
            <w:pPr>
              <w:pStyle w:val="Tabletext0"/>
              <w:spacing w:before="0" w:after="0"/>
            </w:pPr>
            <w:r>
              <w:t>TAVI-BEV</w:t>
            </w:r>
            <w:r w:rsidR="002063FA">
              <w:t xml:space="preserve">: </w:t>
            </w:r>
            <w:r w:rsidR="00EE57F4" w:rsidRPr="00EE57F4">
              <w:rPr>
                <w:b/>
              </w:rPr>
              <w:t>$</w:t>
            </w:r>
            <w:r w:rsidR="00EE57F4">
              <w:rPr>
                <w:b/>
              </w:rPr>
              <w:t>r</w:t>
            </w:r>
            <w:r w:rsidR="00EE57F4" w:rsidRPr="00EE57F4">
              <w:rPr>
                <w:b/>
              </w:rPr>
              <w:t>edacted</w:t>
            </w:r>
          </w:p>
          <w:p w14:paraId="20F2F1EF" w14:textId="77777777" w:rsidR="002063FA" w:rsidRPr="00AA3A35" w:rsidRDefault="002063FA" w:rsidP="00E40CBB">
            <w:pPr>
              <w:pStyle w:val="Tabletext0"/>
              <w:spacing w:before="0" w:after="0"/>
            </w:pPr>
            <w:r>
              <w:t xml:space="preserve">SAVR: $9,079 </w:t>
            </w:r>
          </w:p>
        </w:tc>
        <w:tc>
          <w:tcPr>
            <w:tcW w:w="3036" w:type="dxa"/>
          </w:tcPr>
          <w:p w14:paraId="23382BFA" w14:textId="77777777" w:rsidR="002063FA" w:rsidRPr="00AA3A35" w:rsidRDefault="002063FA" w:rsidP="00E40CBB">
            <w:pPr>
              <w:pStyle w:val="Tabletext0"/>
              <w:spacing w:before="0" w:after="0"/>
            </w:pPr>
            <w:r>
              <w:t>-</w:t>
            </w:r>
          </w:p>
        </w:tc>
        <w:tc>
          <w:tcPr>
            <w:tcW w:w="2798" w:type="dxa"/>
          </w:tcPr>
          <w:p w14:paraId="3CFBDA9B" w14:textId="77777777" w:rsidR="002063FA" w:rsidRDefault="002063FA" w:rsidP="00E40CBB">
            <w:pPr>
              <w:pStyle w:val="Tabletext0"/>
              <w:spacing w:before="0" w:after="0"/>
            </w:pPr>
            <w:r>
              <w:t>TAVI: $33,348</w:t>
            </w:r>
          </w:p>
          <w:p w14:paraId="24FE3C69" w14:textId="77777777" w:rsidR="002063FA" w:rsidRPr="00AA3A35" w:rsidRDefault="002063FA" w:rsidP="00E40CBB">
            <w:pPr>
              <w:pStyle w:val="Tabletext0"/>
              <w:spacing w:before="0" w:after="0"/>
            </w:pPr>
            <w:r>
              <w:t>SAVR: $6,738</w:t>
            </w:r>
          </w:p>
        </w:tc>
      </w:tr>
      <w:tr w:rsidR="002063FA" w:rsidRPr="00AA3A35" w14:paraId="4D155FEF" w14:textId="77777777" w:rsidTr="002063FA">
        <w:trPr>
          <w:trHeight w:val="19"/>
        </w:trPr>
        <w:tc>
          <w:tcPr>
            <w:tcW w:w="1178" w:type="dxa"/>
          </w:tcPr>
          <w:p w14:paraId="2FDBE8ED" w14:textId="77777777" w:rsidR="002063FA" w:rsidRPr="00AA3A35" w:rsidRDefault="002063FA" w:rsidP="00E40CBB">
            <w:pPr>
              <w:pStyle w:val="Tabletext0"/>
              <w:spacing w:before="0" w:after="0"/>
            </w:pPr>
            <w:r>
              <w:t>Length of stay</w:t>
            </w:r>
          </w:p>
        </w:tc>
        <w:tc>
          <w:tcPr>
            <w:tcW w:w="2682" w:type="dxa"/>
          </w:tcPr>
          <w:tbl>
            <w:tblPr>
              <w:tblStyle w:val="TableGrid"/>
              <w:tblW w:w="5000" w:type="pct"/>
              <w:tblLayout w:type="fixed"/>
              <w:tblCellMar>
                <w:left w:w="28" w:type="dxa"/>
                <w:right w:w="28" w:type="dxa"/>
              </w:tblCellMar>
              <w:tblLook w:val="04A0" w:firstRow="1" w:lastRow="0" w:firstColumn="1" w:lastColumn="0" w:noHBand="0" w:noVBand="1"/>
              <w:tblDescription w:val="Application 1603 length of stay"/>
            </w:tblPr>
            <w:tblGrid>
              <w:gridCol w:w="654"/>
              <w:gridCol w:w="654"/>
              <w:gridCol w:w="654"/>
              <w:gridCol w:w="654"/>
            </w:tblGrid>
            <w:tr w:rsidR="002063FA" w14:paraId="657BD885" w14:textId="77777777" w:rsidTr="00AC061E">
              <w:trPr>
                <w:tblHeader/>
              </w:trPr>
              <w:tc>
                <w:tcPr>
                  <w:tcW w:w="1250" w:type="pct"/>
                </w:tcPr>
                <w:p w14:paraId="22838FFC" w14:textId="77777777" w:rsidR="002063FA" w:rsidRPr="00936557" w:rsidRDefault="002063FA" w:rsidP="00E40CBB">
                  <w:pPr>
                    <w:pStyle w:val="Tabletextcentred"/>
                    <w:spacing w:before="0" w:after="0"/>
                    <w:jc w:val="left"/>
                    <w:rPr>
                      <w:sz w:val="18"/>
                    </w:rPr>
                  </w:pPr>
                  <w:r w:rsidRPr="00936557">
                    <w:rPr>
                      <w:sz w:val="18"/>
                    </w:rPr>
                    <w:t>Source</w:t>
                  </w:r>
                </w:p>
              </w:tc>
              <w:tc>
                <w:tcPr>
                  <w:tcW w:w="1250" w:type="pct"/>
                </w:tcPr>
                <w:p w14:paraId="2C377FC1" w14:textId="77777777" w:rsidR="002063FA" w:rsidRPr="00936557" w:rsidRDefault="002063FA" w:rsidP="00E40CBB">
                  <w:pPr>
                    <w:pStyle w:val="Tabletextcentred"/>
                    <w:spacing w:before="0" w:after="0"/>
                    <w:jc w:val="left"/>
                    <w:rPr>
                      <w:sz w:val="18"/>
                    </w:rPr>
                  </w:pPr>
                  <w:r w:rsidRPr="00936557">
                    <w:rPr>
                      <w:sz w:val="18"/>
                    </w:rPr>
                    <w:t>TAVI</w:t>
                  </w:r>
                </w:p>
              </w:tc>
              <w:tc>
                <w:tcPr>
                  <w:tcW w:w="1250" w:type="pct"/>
                </w:tcPr>
                <w:p w14:paraId="682CD458" w14:textId="77777777" w:rsidR="002063FA" w:rsidRPr="00936557" w:rsidRDefault="002063FA" w:rsidP="00E40CBB">
                  <w:pPr>
                    <w:pStyle w:val="Tabletextcentred"/>
                    <w:spacing w:before="0" w:after="0"/>
                    <w:jc w:val="left"/>
                    <w:rPr>
                      <w:sz w:val="18"/>
                    </w:rPr>
                  </w:pPr>
                  <w:r w:rsidRPr="00936557">
                    <w:rPr>
                      <w:sz w:val="18"/>
                    </w:rPr>
                    <w:t>SAVR</w:t>
                  </w:r>
                </w:p>
              </w:tc>
              <w:tc>
                <w:tcPr>
                  <w:tcW w:w="1250" w:type="pct"/>
                </w:tcPr>
                <w:p w14:paraId="1ADB2DE1" w14:textId="77777777" w:rsidR="002063FA" w:rsidRPr="00936557" w:rsidRDefault="002063FA" w:rsidP="00E40CBB">
                  <w:pPr>
                    <w:pStyle w:val="Tabletextcentred"/>
                    <w:spacing w:before="0" w:after="0"/>
                    <w:jc w:val="left"/>
                    <w:rPr>
                      <w:sz w:val="18"/>
                    </w:rPr>
                  </w:pPr>
                  <w:r w:rsidRPr="00936557">
                    <w:rPr>
                      <w:sz w:val="18"/>
                    </w:rPr>
                    <w:t>Diff. /Ratio</w:t>
                  </w:r>
                </w:p>
              </w:tc>
            </w:tr>
            <w:tr w:rsidR="002063FA" w14:paraId="33E04B7A" w14:textId="77777777" w:rsidTr="002063FA">
              <w:tc>
                <w:tcPr>
                  <w:tcW w:w="1250" w:type="pct"/>
                </w:tcPr>
                <w:p w14:paraId="5B2E409B" w14:textId="77777777" w:rsidR="002063FA" w:rsidRPr="00B74282" w:rsidRDefault="002063FA" w:rsidP="00E40CBB">
                  <w:pPr>
                    <w:pStyle w:val="Tabletextcentred"/>
                    <w:spacing w:before="0" w:after="0"/>
                    <w:jc w:val="left"/>
                    <w:rPr>
                      <w:sz w:val="18"/>
                      <w:lang w:val="it-IT"/>
                    </w:rPr>
                  </w:pPr>
                  <w:r w:rsidRPr="00B74282">
                    <w:rPr>
                      <w:sz w:val="18"/>
                      <w:lang w:val="it-IT"/>
                    </w:rPr>
                    <w:t>BEV: Partner 3Si naïve comparison</w:t>
                  </w:r>
                </w:p>
              </w:tc>
              <w:tc>
                <w:tcPr>
                  <w:tcW w:w="1250" w:type="pct"/>
                </w:tcPr>
                <w:p w14:paraId="18714F6E" w14:textId="77777777" w:rsidR="002063FA" w:rsidRPr="00936557" w:rsidRDefault="002063FA" w:rsidP="00E40CBB">
                  <w:pPr>
                    <w:pStyle w:val="Tabletextcentred"/>
                    <w:spacing w:before="0" w:after="0"/>
                    <w:jc w:val="left"/>
                    <w:rPr>
                      <w:sz w:val="18"/>
                    </w:rPr>
                  </w:pPr>
                  <w:r w:rsidRPr="00936557">
                    <w:rPr>
                      <w:sz w:val="18"/>
                    </w:rPr>
                    <w:t>Median: 4 days</w:t>
                  </w:r>
                </w:p>
              </w:tc>
              <w:tc>
                <w:tcPr>
                  <w:tcW w:w="1250" w:type="pct"/>
                </w:tcPr>
                <w:p w14:paraId="4E00EFA0" w14:textId="77777777" w:rsidR="002063FA" w:rsidRPr="00936557" w:rsidRDefault="002063FA" w:rsidP="00E40CBB">
                  <w:pPr>
                    <w:pStyle w:val="Tabletextcentred"/>
                    <w:spacing w:before="0" w:after="0"/>
                    <w:jc w:val="left"/>
                    <w:rPr>
                      <w:sz w:val="18"/>
                    </w:rPr>
                  </w:pPr>
                  <w:r w:rsidRPr="00936557">
                    <w:rPr>
                      <w:sz w:val="18"/>
                    </w:rPr>
                    <w:t>Median:9 days</w:t>
                  </w:r>
                </w:p>
              </w:tc>
              <w:tc>
                <w:tcPr>
                  <w:tcW w:w="1250" w:type="pct"/>
                </w:tcPr>
                <w:p w14:paraId="14F59D9A" w14:textId="77777777" w:rsidR="002063FA" w:rsidRPr="00936557" w:rsidRDefault="002063FA" w:rsidP="00E40CBB">
                  <w:pPr>
                    <w:pStyle w:val="Tabletextcentred"/>
                    <w:spacing w:before="0" w:after="0"/>
                    <w:jc w:val="left"/>
                    <w:rPr>
                      <w:sz w:val="18"/>
                    </w:rPr>
                  </w:pPr>
                  <w:r w:rsidRPr="00936557">
                    <w:rPr>
                      <w:sz w:val="18"/>
                    </w:rPr>
                    <w:t>5 days</w:t>
                  </w:r>
                </w:p>
                <w:p w14:paraId="2DABD392" w14:textId="77777777" w:rsidR="002063FA" w:rsidRPr="00936557" w:rsidRDefault="002063FA" w:rsidP="00E40CBB">
                  <w:pPr>
                    <w:pStyle w:val="Tabletextcentred"/>
                    <w:spacing w:before="0" w:after="0"/>
                    <w:jc w:val="left"/>
                    <w:rPr>
                      <w:sz w:val="18"/>
                    </w:rPr>
                  </w:pPr>
                  <w:r w:rsidRPr="00936557">
                    <w:rPr>
                      <w:sz w:val="18"/>
                    </w:rPr>
                    <w:t>1: 2.25</w:t>
                  </w:r>
                </w:p>
              </w:tc>
            </w:tr>
            <w:tr w:rsidR="002063FA" w14:paraId="27BDABDB" w14:textId="77777777" w:rsidTr="002063FA">
              <w:tc>
                <w:tcPr>
                  <w:tcW w:w="1250" w:type="pct"/>
                </w:tcPr>
                <w:p w14:paraId="3EBC4D14" w14:textId="77777777" w:rsidR="002063FA" w:rsidRPr="00936557" w:rsidRDefault="002063FA" w:rsidP="00E40CBB">
                  <w:pPr>
                    <w:pStyle w:val="Tabletextcentred"/>
                    <w:spacing w:before="0" w:after="0"/>
                    <w:jc w:val="left"/>
                    <w:rPr>
                      <w:sz w:val="18"/>
                    </w:rPr>
                  </w:pPr>
                  <w:r w:rsidRPr="00936557">
                    <w:rPr>
                      <w:sz w:val="18"/>
                    </w:rPr>
                    <w:t>SEV: SURTAVI RCT</w:t>
                  </w:r>
                </w:p>
              </w:tc>
              <w:tc>
                <w:tcPr>
                  <w:tcW w:w="1250" w:type="pct"/>
                </w:tcPr>
                <w:p w14:paraId="58E5D639" w14:textId="77777777" w:rsidR="002063FA" w:rsidRPr="00936557" w:rsidRDefault="002063FA" w:rsidP="00E40CBB">
                  <w:pPr>
                    <w:pStyle w:val="Tabletextcentred"/>
                    <w:spacing w:before="0" w:after="0"/>
                    <w:jc w:val="left"/>
                    <w:rPr>
                      <w:sz w:val="18"/>
                    </w:rPr>
                  </w:pPr>
                  <w:r w:rsidRPr="00936557">
                    <w:rPr>
                      <w:sz w:val="18"/>
                    </w:rPr>
                    <w:t>Mean: 5.75 days ±4.85</w:t>
                  </w:r>
                </w:p>
              </w:tc>
              <w:tc>
                <w:tcPr>
                  <w:tcW w:w="1250" w:type="pct"/>
                </w:tcPr>
                <w:p w14:paraId="0458405F" w14:textId="77777777" w:rsidR="002063FA" w:rsidRPr="00936557" w:rsidRDefault="002063FA" w:rsidP="00E40CBB">
                  <w:pPr>
                    <w:pStyle w:val="Tabletextcentred"/>
                    <w:spacing w:before="0" w:after="0"/>
                    <w:jc w:val="left"/>
                    <w:rPr>
                      <w:sz w:val="18"/>
                    </w:rPr>
                  </w:pPr>
                  <w:r w:rsidRPr="00936557">
                    <w:rPr>
                      <w:sz w:val="18"/>
                    </w:rPr>
                    <w:t>Mean: 9.75 days</w:t>
                  </w:r>
                </w:p>
                <w:p w14:paraId="48AA330F" w14:textId="77777777" w:rsidR="002063FA" w:rsidRPr="00936557" w:rsidRDefault="002063FA" w:rsidP="00E40CBB">
                  <w:pPr>
                    <w:pStyle w:val="Tabletextcentred"/>
                    <w:spacing w:before="0" w:after="0"/>
                    <w:jc w:val="left"/>
                    <w:rPr>
                      <w:sz w:val="18"/>
                    </w:rPr>
                  </w:pPr>
                  <w:r w:rsidRPr="00936557">
                    <w:rPr>
                      <w:sz w:val="18"/>
                    </w:rPr>
                    <w:t>±8.03</w:t>
                  </w:r>
                </w:p>
              </w:tc>
              <w:tc>
                <w:tcPr>
                  <w:tcW w:w="1250" w:type="pct"/>
                </w:tcPr>
                <w:p w14:paraId="4475A948" w14:textId="77777777" w:rsidR="002063FA" w:rsidRPr="00936557" w:rsidRDefault="002063FA" w:rsidP="00E40CBB">
                  <w:pPr>
                    <w:pStyle w:val="Tabletextcentred"/>
                    <w:spacing w:before="0" w:after="0"/>
                    <w:jc w:val="left"/>
                    <w:rPr>
                      <w:sz w:val="18"/>
                    </w:rPr>
                  </w:pPr>
                  <w:r w:rsidRPr="00936557">
                    <w:rPr>
                      <w:sz w:val="18"/>
                    </w:rPr>
                    <w:t>4 days</w:t>
                  </w:r>
                </w:p>
                <w:p w14:paraId="70EBF908" w14:textId="77777777" w:rsidR="002063FA" w:rsidRPr="00936557" w:rsidRDefault="002063FA" w:rsidP="00E40CBB">
                  <w:pPr>
                    <w:pStyle w:val="Tabletextcentred"/>
                    <w:spacing w:before="0" w:after="0"/>
                    <w:jc w:val="left"/>
                    <w:rPr>
                      <w:sz w:val="18"/>
                    </w:rPr>
                  </w:pPr>
                  <w:r w:rsidRPr="00936557">
                    <w:rPr>
                      <w:sz w:val="18"/>
                    </w:rPr>
                    <w:t>1:1.7</w:t>
                  </w:r>
                </w:p>
              </w:tc>
            </w:tr>
          </w:tbl>
          <w:p w14:paraId="3276C574" w14:textId="77777777" w:rsidR="002063FA" w:rsidRPr="00AA3A35" w:rsidRDefault="002063FA" w:rsidP="00E40CBB">
            <w:pPr>
              <w:pStyle w:val="Tabletext0"/>
              <w:spacing w:before="0" w:after="0"/>
            </w:pPr>
          </w:p>
        </w:tc>
        <w:tc>
          <w:tcPr>
            <w:tcW w:w="3036" w:type="dxa"/>
          </w:tcPr>
          <w:p w14:paraId="1181C544" w14:textId="77777777" w:rsidR="002063FA" w:rsidRPr="00AA3A35" w:rsidRDefault="002063FA" w:rsidP="00E40CBB">
            <w:pPr>
              <w:pStyle w:val="Tabletext0"/>
              <w:spacing w:before="0" w:after="0"/>
            </w:pPr>
            <w:r>
              <w:t>-</w:t>
            </w:r>
          </w:p>
        </w:tc>
        <w:tc>
          <w:tcPr>
            <w:tcW w:w="2798" w:type="dxa"/>
          </w:tcPr>
          <w:tbl>
            <w:tblPr>
              <w:tblStyle w:val="TableGrid"/>
              <w:tblW w:w="5000" w:type="pct"/>
              <w:tblLayout w:type="fixed"/>
              <w:tblCellMar>
                <w:left w:w="28" w:type="dxa"/>
                <w:right w:w="28" w:type="dxa"/>
              </w:tblCellMar>
              <w:tblLook w:val="04A0" w:firstRow="1" w:lastRow="0" w:firstColumn="1" w:lastColumn="0" w:noHBand="0" w:noVBand="1"/>
              <w:tblDescription w:val="Application 1361.2 length of stay"/>
            </w:tblPr>
            <w:tblGrid>
              <w:gridCol w:w="683"/>
              <w:gridCol w:w="683"/>
              <w:gridCol w:w="683"/>
              <w:gridCol w:w="683"/>
            </w:tblGrid>
            <w:tr w:rsidR="002063FA" w14:paraId="51842203" w14:textId="77777777" w:rsidTr="00AC061E">
              <w:trPr>
                <w:tblHeader/>
              </w:trPr>
              <w:tc>
                <w:tcPr>
                  <w:tcW w:w="1250" w:type="pct"/>
                </w:tcPr>
                <w:p w14:paraId="3A79782D" w14:textId="77777777" w:rsidR="002063FA" w:rsidRPr="00936557" w:rsidRDefault="002063FA" w:rsidP="00E40CBB">
                  <w:pPr>
                    <w:pStyle w:val="Tabletextcentred"/>
                    <w:spacing w:before="0" w:after="0"/>
                    <w:jc w:val="left"/>
                    <w:rPr>
                      <w:sz w:val="18"/>
                    </w:rPr>
                  </w:pPr>
                  <w:r w:rsidRPr="00936557">
                    <w:rPr>
                      <w:sz w:val="18"/>
                    </w:rPr>
                    <w:t>Source</w:t>
                  </w:r>
                </w:p>
              </w:tc>
              <w:tc>
                <w:tcPr>
                  <w:tcW w:w="1250" w:type="pct"/>
                </w:tcPr>
                <w:p w14:paraId="61043235" w14:textId="77777777" w:rsidR="002063FA" w:rsidRPr="00936557" w:rsidRDefault="002063FA" w:rsidP="00E40CBB">
                  <w:pPr>
                    <w:pStyle w:val="Tabletextcentred"/>
                    <w:spacing w:before="0" w:after="0"/>
                    <w:jc w:val="left"/>
                    <w:rPr>
                      <w:sz w:val="18"/>
                    </w:rPr>
                  </w:pPr>
                  <w:r w:rsidRPr="00936557">
                    <w:rPr>
                      <w:sz w:val="18"/>
                    </w:rPr>
                    <w:t>TAVI</w:t>
                  </w:r>
                </w:p>
              </w:tc>
              <w:tc>
                <w:tcPr>
                  <w:tcW w:w="1250" w:type="pct"/>
                </w:tcPr>
                <w:p w14:paraId="79070F9D" w14:textId="77777777" w:rsidR="002063FA" w:rsidRPr="00936557" w:rsidRDefault="002063FA" w:rsidP="00E40CBB">
                  <w:pPr>
                    <w:pStyle w:val="Tabletextcentred"/>
                    <w:spacing w:before="0" w:after="0"/>
                    <w:jc w:val="left"/>
                    <w:rPr>
                      <w:sz w:val="18"/>
                    </w:rPr>
                  </w:pPr>
                  <w:r w:rsidRPr="00936557">
                    <w:rPr>
                      <w:sz w:val="18"/>
                    </w:rPr>
                    <w:t>SAVR</w:t>
                  </w:r>
                </w:p>
              </w:tc>
              <w:tc>
                <w:tcPr>
                  <w:tcW w:w="1250" w:type="pct"/>
                </w:tcPr>
                <w:p w14:paraId="1EEEFD9D" w14:textId="77777777" w:rsidR="002063FA" w:rsidRPr="00936557" w:rsidRDefault="002063FA" w:rsidP="00E40CBB">
                  <w:pPr>
                    <w:pStyle w:val="Tabletextcentred"/>
                    <w:spacing w:before="0" w:after="0"/>
                    <w:jc w:val="left"/>
                    <w:rPr>
                      <w:sz w:val="18"/>
                    </w:rPr>
                  </w:pPr>
                  <w:r w:rsidRPr="00936557">
                    <w:rPr>
                      <w:sz w:val="18"/>
                    </w:rPr>
                    <w:t>Diff./Ratio</w:t>
                  </w:r>
                </w:p>
              </w:tc>
            </w:tr>
            <w:tr w:rsidR="002063FA" w14:paraId="3804ECF3" w14:textId="77777777" w:rsidTr="002063FA">
              <w:tc>
                <w:tcPr>
                  <w:tcW w:w="1250" w:type="pct"/>
                </w:tcPr>
                <w:p w14:paraId="5519ACD9" w14:textId="77777777" w:rsidR="002063FA" w:rsidRPr="00936557" w:rsidRDefault="002063FA" w:rsidP="00E40CBB">
                  <w:pPr>
                    <w:pStyle w:val="Tabletextcentred"/>
                    <w:spacing w:before="0" w:after="0"/>
                    <w:jc w:val="left"/>
                    <w:rPr>
                      <w:sz w:val="18"/>
                    </w:rPr>
                  </w:pPr>
                  <w:r w:rsidRPr="00936557">
                    <w:rPr>
                      <w:sz w:val="18"/>
                    </w:rPr>
                    <w:t xml:space="preserve">Yong 2012 </w:t>
                  </w:r>
                </w:p>
              </w:tc>
              <w:tc>
                <w:tcPr>
                  <w:tcW w:w="1250" w:type="pct"/>
                </w:tcPr>
                <w:p w14:paraId="5508DFEA" w14:textId="77777777" w:rsidR="002063FA" w:rsidRPr="00936557" w:rsidRDefault="002063FA" w:rsidP="00E40CBB">
                  <w:pPr>
                    <w:pStyle w:val="Tabletextcentred"/>
                    <w:spacing w:before="0" w:after="0"/>
                    <w:jc w:val="left"/>
                    <w:rPr>
                      <w:sz w:val="18"/>
                    </w:rPr>
                  </w:pPr>
                  <w:r w:rsidRPr="00936557">
                    <w:rPr>
                      <w:sz w:val="18"/>
                    </w:rPr>
                    <w:t>6.2 days</w:t>
                  </w:r>
                </w:p>
              </w:tc>
              <w:tc>
                <w:tcPr>
                  <w:tcW w:w="1250" w:type="pct"/>
                </w:tcPr>
                <w:p w14:paraId="5083011A" w14:textId="77777777" w:rsidR="002063FA" w:rsidRPr="00936557" w:rsidRDefault="002063FA" w:rsidP="00E40CBB">
                  <w:pPr>
                    <w:pStyle w:val="Tabletextcentred"/>
                    <w:spacing w:before="0" w:after="0"/>
                    <w:jc w:val="left"/>
                    <w:rPr>
                      <w:sz w:val="18"/>
                    </w:rPr>
                  </w:pPr>
                  <w:r w:rsidRPr="00936557">
                    <w:rPr>
                      <w:sz w:val="18"/>
                    </w:rPr>
                    <w:t>12 days</w:t>
                  </w:r>
                </w:p>
              </w:tc>
              <w:tc>
                <w:tcPr>
                  <w:tcW w:w="1250" w:type="pct"/>
                </w:tcPr>
                <w:p w14:paraId="4CCE2E44" w14:textId="77777777" w:rsidR="002063FA" w:rsidRPr="00936557" w:rsidRDefault="002063FA" w:rsidP="00E40CBB">
                  <w:pPr>
                    <w:pStyle w:val="Tabletextcentred"/>
                    <w:spacing w:before="0" w:after="0"/>
                    <w:jc w:val="left"/>
                    <w:rPr>
                      <w:sz w:val="18"/>
                    </w:rPr>
                  </w:pPr>
                  <w:r w:rsidRPr="00936557">
                    <w:rPr>
                      <w:sz w:val="18"/>
                    </w:rPr>
                    <w:t>5.8 days</w:t>
                  </w:r>
                </w:p>
                <w:p w14:paraId="1CD1CF28" w14:textId="77777777" w:rsidR="002063FA" w:rsidRPr="00936557" w:rsidRDefault="002063FA" w:rsidP="00E40CBB">
                  <w:pPr>
                    <w:pStyle w:val="Tabletextcentred"/>
                    <w:spacing w:before="0" w:after="0"/>
                    <w:jc w:val="left"/>
                    <w:rPr>
                      <w:sz w:val="18"/>
                    </w:rPr>
                  </w:pPr>
                  <w:r w:rsidRPr="00936557">
                    <w:rPr>
                      <w:sz w:val="18"/>
                    </w:rPr>
                    <w:t>1: 2.0</w:t>
                  </w:r>
                </w:p>
              </w:tc>
            </w:tr>
            <w:tr w:rsidR="002063FA" w14:paraId="03904978" w14:textId="77777777" w:rsidTr="002063FA">
              <w:tc>
                <w:tcPr>
                  <w:tcW w:w="1250" w:type="pct"/>
                </w:tcPr>
                <w:p w14:paraId="300301B1" w14:textId="77777777" w:rsidR="002063FA" w:rsidRPr="00936557" w:rsidRDefault="002063FA" w:rsidP="00E40CBB">
                  <w:pPr>
                    <w:pStyle w:val="Tabletextcentred"/>
                    <w:spacing w:before="0" w:after="0"/>
                    <w:jc w:val="left"/>
                    <w:rPr>
                      <w:sz w:val="18"/>
                    </w:rPr>
                  </w:pPr>
                  <w:r w:rsidRPr="00936557">
                    <w:rPr>
                      <w:sz w:val="18"/>
                    </w:rPr>
                    <w:t>PARTNER trial</w:t>
                  </w:r>
                </w:p>
              </w:tc>
              <w:tc>
                <w:tcPr>
                  <w:tcW w:w="1250" w:type="pct"/>
                </w:tcPr>
                <w:p w14:paraId="7E64ADDA" w14:textId="77777777" w:rsidR="002063FA" w:rsidRPr="00936557" w:rsidRDefault="002063FA" w:rsidP="00E40CBB">
                  <w:pPr>
                    <w:pStyle w:val="Tabletextcentred"/>
                    <w:spacing w:before="0" w:after="0"/>
                    <w:jc w:val="left"/>
                    <w:rPr>
                      <w:sz w:val="18"/>
                    </w:rPr>
                  </w:pPr>
                  <w:r w:rsidRPr="00936557">
                    <w:rPr>
                      <w:sz w:val="18"/>
                    </w:rPr>
                    <w:t>8 days</w:t>
                  </w:r>
                </w:p>
              </w:tc>
              <w:tc>
                <w:tcPr>
                  <w:tcW w:w="1250" w:type="pct"/>
                </w:tcPr>
                <w:p w14:paraId="776E7A21" w14:textId="77777777" w:rsidR="002063FA" w:rsidRPr="00936557" w:rsidRDefault="002063FA" w:rsidP="00E40CBB">
                  <w:pPr>
                    <w:pStyle w:val="Tabletextcentred"/>
                    <w:spacing w:before="0" w:after="0"/>
                    <w:jc w:val="left"/>
                    <w:rPr>
                      <w:sz w:val="18"/>
                    </w:rPr>
                  </w:pPr>
                  <w:r w:rsidRPr="00936557">
                    <w:rPr>
                      <w:sz w:val="18"/>
                    </w:rPr>
                    <w:t>12 days</w:t>
                  </w:r>
                </w:p>
              </w:tc>
              <w:tc>
                <w:tcPr>
                  <w:tcW w:w="1250" w:type="pct"/>
                </w:tcPr>
                <w:p w14:paraId="64504098" w14:textId="77777777" w:rsidR="002063FA" w:rsidRPr="00936557" w:rsidRDefault="002063FA" w:rsidP="00E40CBB">
                  <w:pPr>
                    <w:pStyle w:val="Tabletextcentred"/>
                    <w:spacing w:before="0" w:after="0"/>
                    <w:jc w:val="left"/>
                    <w:rPr>
                      <w:sz w:val="18"/>
                    </w:rPr>
                  </w:pPr>
                  <w:r w:rsidRPr="00936557">
                    <w:rPr>
                      <w:sz w:val="18"/>
                    </w:rPr>
                    <w:t>4 days</w:t>
                  </w:r>
                </w:p>
                <w:p w14:paraId="75CAE3C1" w14:textId="77777777" w:rsidR="002063FA" w:rsidRPr="00936557" w:rsidRDefault="002063FA" w:rsidP="00E40CBB">
                  <w:pPr>
                    <w:pStyle w:val="Tabletextcentred"/>
                    <w:spacing w:before="0" w:after="0"/>
                    <w:jc w:val="left"/>
                    <w:rPr>
                      <w:sz w:val="18"/>
                    </w:rPr>
                  </w:pPr>
                  <w:r w:rsidRPr="00936557">
                    <w:rPr>
                      <w:sz w:val="18"/>
                    </w:rPr>
                    <w:t>1:1.5</w:t>
                  </w:r>
                </w:p>
              </w:tc>
            </w:tr>
          </w:tbl>
          <w:p w14:paraId="515F38DD" w14:textId="77777777" w:rsidR="002063FA" w:rsidRPr="00AA3A35" w:rsidRDefault="002063FA" w:rsidP="00E40CBB">
            <w:pPr>
              <w:pStyle w:val="Tabletext0"/>
              <w:spacing w:before="0" w:after="0"/>
            </w:pPr>
            <w:r w:rsidRPr="00BC7E9B">
              <w:rPr>
                <w:i/>
              </w:rPr>
              <w:t xml:space="preserve">MSAC accepted estimate from PARTNER trial (Smith 2011). </w:t>
            </w:r>
          </w:p>
        </w:tc>
      </w:tr>
      <w:tr w:rsidR="002063FA" w:rsidRPr="00AA3A35" w14:paraId="4E5526CE" w14:textId="77777777" w:rsidTr="002063FA">
        <w:trPr>
          <w:trHeight w:val="19"/>
        </w:trPr>
        <w:tc>
          <w:tcPr>
            <w:tcW w:w="1178" w:type="dxa"/>
          </w:tcPr>
          <w:p w14:paraId="480E3202" w14:textId="77777777" w:rsidR="002063FA" w:rsidRPr="00AA3A35" w:rsidRDefault="002063FA" w:rsidP="00E40CBB">
            <w:pPr>
              <w:pStyle w:val="Tabletext0"/>
              <w:spacing w:before="0" w:after="0"/>
            </w:pPr>
            <w:r>
              <w:t>Hospitalisation cost</w:t>
            </w:r>
          </w:p>
        </w:tc>
        <w:tc>
          <w:tcPr>
            <w:tcW w:w="2682" w:type="dxa"/>
          </w:tcPr>
          <w:p w14:paraId="63A15CED" w14:textId="77777777" w:rsidR="002063FA" w:rsidRDefault="002063FA" w:rsidP="00E40CBB">
            <w:pPr>
              <w:pStyle w:val="Tabletextcentred"/>
              <w:spacing w:before="0" w:after="0"/>
              <w:jc w:val="left"/>
            </w:pPr>
            <w:r>
              <w:t>TAVI: $</w:t>
            </w:r>
            <w:r w:rsidRPr="00FC7C38">
              <w:t xml:space="preserve">21,944 </w:t>
            </w:r>
          </w:p>
          <w:p w14:paraId="4076E702" w14:textId="77777777" w:rsidR="002063FA" w:rsidRPr="00AA3A35" w:rsidRDefault="002063FA" w:rsidP="00E40CBB">
            <w:pPr>
              <w:pStyle w:val="Tabletext0"/>
              <w:spacing w:before="0" w:after="0"/>
            </w:pPr>
            <w:r>
              <w:t xml:space="preserve">SAVR: </w:t>
            </w:r>
            <w:r w:rsidRPr="00927FAA">
              <w:t>$49,375</w:t>
            </w:r>
            <w:r>
              <w:t xml:space="preserve"> </w:t>
            </w:r>
          </w:p>
        </w:tc>
        <w:tc>
          <w:tcPr>
            <w:tcW w:w="3036" w:type="dxa"/>
          </w:tcPr>
          <w:p w14:paraId="2C891BAF" w14:textId="77777777" w:rsidR="002063FA" w:rsidRPr="00AA3A35" w:rsidRDefault="002063FA" w:rsidP="00E40CBB">
            <w:pPr>
              <w:pStyle w:val="Tabletext0"/>
              <w:spacing w:before="0" w:after="0"/>
            </w:pPr>
            <w:r>
              <w:t>-</w:t>
            </w:r>
          </w:p>
        </w:tc>
        <w:tc>
          <w:tcPr>
            <w:tcW w:w="2798" w:type="dxa"/>
          </w:tcPr>
          <w:p w14:paraId="22F7C7E4" w14:textId="77777777" w:rsidR="002063FA" w:rsidRDefault="002063FA" w:rsidP="00E40CBB">
            <w:pPr>
              <w:pStyle w:val="Tabletextcentred"/>
              <w:spacing w:before="0" w:after="0"/>
              <w:jc w:val="left"/>
            </w:pPr>
            <w:r>
              <w:t>TAVI: $24,328</w:t>
            </w:r>
          </w:p>
          <w:p w14:paraId="16BC3BF7" w14:textId="77777777" w:rsidR="002063FA" w:rsidRPr="00AA3A35" w:rsidRDefault="002063FA" w:rsidP="00E40CBB">
            <w:pPr>
              <w:pStyle w:val="Tabletext0"/>
              <w:spacing w:before="0" w:after="0"/>
            </w:pPr>
            <w:r>
              <w:t xml:space="preserve">SAVR: </w:t>
            </w:r>
            <w:r w:rsidRPr="008B1593">
              <w:t>$48,655</w:t>
            </w:r>
            <w:r>
              <w:t xml:space="preserve">  </w:t>
            </w:r>
          </w:p>
        </w:tc>
      </w:tr>
      <w:tr w:rsidR="002063FA" w:rsidRPr="00AA3A35" w14:paraId="1A775766" w14:textId="77777777" w:rsidTr="002063FA">
        <w:trPr>
          <w:trHeight w:val="19"/>
        </w:trPr>
        <w:tc>
          <w:tcPr>
            <w:tcW w:w="1178" w:type="dxa"/>
          </w:tcPr>
          <w:p w14:paraId="33BE8FE4" w14:textId="77777777" w:rsidR="002063FA" w:rsidRPr="00AA3A35" w:rsidRDefault="002063FA" w:rsidP="00E40CBB">
            <w:pPr>
              <w:pStyle w:val="Tabletext0"/>
              <w:spacing w:before="0" w:after="0"/>
            </w:pPr>
            <w:r w:rsidRPr="00AA3A35">
              <w:t>Hospital costs</w:t>
            </w:r>
            <w:r>
              <w:t xml:space="preserve"> (use in model) </w:t>
            </w:r>
          </w:p>
        </w:tc>
        <w:tc>
          <w:tcPr>
            <w:tcW w:w="2682" w:type="dxa"/>
          </w:tcPr>
          <w:p w14:paraId="30A2FC9D" w14:textId="77777777" w:rsidR="002063FA" w:rsidRPr="00AA3A35" w:rsidRDefault="002063FA" w:rsidP="00E40CBB">
            <w:pPr>
              <w:pStyle w:val="Tabletext0"/>
              <w:spacing w:before="0" w:after="0"/>
            </w:pPr>
            <w:r w:rsidRPr="00AA3A35">
              <w:t>ADAR included hospital costs for public patients using AR-DRG codes. MBS costs were applied to private patients.</w:t>
            </w:r>
          </w:p>
        </w:tc>
        <w:tc>
          <w:tcPr>
            <w:tcW w:w="3036" w:type="dxa"/>
          </w:tcPr>
          <w:p w14:paraId="77C1E441" w14:textId="77777777" w:rsidR="002063FA" w:rsidRPr="00FF3E5C" w:rsidRDefault="002063FA" w:rsidP="00E40CBB">
            <w:pPr>
              <w:pStyle w:val="Tabletext0"/>
              <w:spacing w:before="0" w:after="0"/>
              <w:rPr>
                <w:rStyle w:val="CommentReference"/>
                <w:szCs w:val="20"/>
              </w:rPr>
            </w:pPr>
            <w:r w:rsidRPr="00FF3E5C">
              <w:rPr>
                <w:rStyle w:val="CommentReference"/>
                <w:szCs w:val="20"/>
              </w:rPr>
              <w:t xml:space="preserve">Hospital costs (derived from AR-DRG codes) and MBS costs were applied to all patients </w:t>
            </w:r>
          </w:p>
        </w:tc>
        <w:tc>
          <w:tcPr>
            <w:tcW w:w="2798" w:type="dxa"/>
          </w:tcPr>
          <w:p w14:paraId="645E8DEB" w14:textId="77777777" w:rsidR="002063FA" w:rsidRPr="00FF3E5C" w:rsidRDefault="002063FA" w:rsidP="00E40CBB">
            <w:pPr>
              <w:pStyle w:val="Tabletext0"/>
              <w:spacing w:before="0" w:after="0"/>
              <w:rPr>
                <w:szCs w:val="20"/>
              </w:rPr>
            </w:pPr>
            <w:r w:rsidRPr="00FF3E5C">
              <w:rPr>
                <w:rStyle w:val="CommentReference"/>
                <w:szCs w:val="20"/>
              </w:rPr>
              <w:t>Hospital costs (derived from AR-DRG codes) and MBS costs were applied to all patients</w:t>
            </w:r>
          </w:p>
        </w:tc>
      </w:tr>
      <w:tr w:rsidR="002063FA" w:rsidRPr="00AA3A35" w14:paraId="53969A4A" w14:textId="77777777" w:rsidTr="002063FA">
        <w:trPr>
          <w:trHeight w:val="19"/>
        </w:trPr>
        <w:tc>
          <w:tcPr>
            <w:tcW w:w="1178" w:type="dxa"/>
          </w:tcPr>
          <w:p w14:paraId="6F60B486" w14:textId="77777777" w:rsidR="002063FA" w:rsidRPr="00AA3A35" w:rsidRDefault="002063FA" w:rsidP="00E40CBB">
            <w:pPr>
              <w:pStyle w:val="Tabletext0"/>
              <w:spacing w:before="0" w:after="0"/>
            </w:pPr>
            <w:r w:rsidRPr="00AA3A35">
              <w:t xml:space="preserve">Hospital costs for TAVI-BEV </w:t>
            </w:r>
          </w:p>
        </w:tc>
        <w:tc>
          <w:tcPr>
            <w:tcW w:w="2682" w:type="dxa"/>
          </w:tcPr>
          <w:p w14:paraId="6BFA7C07" w14:textId="77777777" w:rsidR="002063FA" w:rsidRPr="00AA3A35" w:rsidRDefault="002063FA" w:rsidP="00E40CBB">
            <w:pPr>
              <w:pStyle w:val="Tabletext0"/>
              <w:spacing w:before="0" w:after="0"/>
            </w:pPr>
            <w:r w:rsidRPr="00AA3A35">
              <w:t>44% of the costs of SAVR. Based on the median length of hospital stay for TAVI-BEV (4-days) vs. SAVR patients (9-days) from PARTNER S3i</w:t>
            </w:r>
          </w:p>
        </w:tc>
        <w:tc>
          <w:tcPr>
            <w:tcW w:w="3036" w:type="dxa"/>
          </w:tcPr>
          <w:p w14:paraId="0375026C" w14:textId="77777777" w:rsidR="002063FA" w:rsidRPr="00AA3A35" w:rsidRDefault="002063FA" w:rsidP="00E40CBB">
            <w:pPr>
              <w:pStyle w:val="Tabletext0"/>
              <w:spacing w:before="0" w:after="0"/>
            </w:pPr>
            <w:r w:rsidRPr="00AA3A35">
              <w:t>50% of the costs of SAVR. Based on the length of stay in hospitals (</w:t>
            </w:r>
            <w:r>
              <w:t xml:space="preserve">ADAR proposed: </w:t>
            </w:r>
            <w:r w:rsidRPr="00AA3A35">
              <w:t>6 days for TAVI-BEV vs. 12 days for SAVR).</w:t>
            </w:r>
          </w:p>
        </w:tc>
        <w:tc>
          <w:tcPr>
            <w:tcW w:w="2798" w:type="dxa"/>
          </w:tcPr>
          <w:p w14:paraId="3AEA8FAC" w14:textId="77777777" w:rsidR="002063FA" w:rsidRPr="00AA3A35" w:rsidRDefault="002063FA" w:rsidP="00E40CBB">
            <w:pPr>
              <w:pStyle w:val="Tabletext0"/>
              <w:spacing w:before="0" w:after="0"/>
            </w:pPr>
            <w:r w:rsidRPr="00AA3A35">
              <w:t>No change</w:t>
            </w:r>
            <w:r>
              <w:t xml:space="preserve"> </w:t>
            </w:r>
            <w:r w:rsidRPr="00541D95">
              <w:rPr>
                <w:i/>
              </w:rPr>
              <w:t>in hospital costs from 1361</w:t>
            </w:r>
            <w:r w:rsidRPr="00AA3A35">
              <w:t xml:space="preserve">. </w:t>
            </w:r>
            <w:r w:rsidRPr="00AA3A35">
              <w:rPr>
                <w:i/>
                <w:iCs/>
              </w:rPr>
              <w:t>The critique noted that the model was most sensitive to hospitalisation costs for TAVI-BEV.</w:t>
            </w:r>
            <w:r w:rsidRPr="00AA3A35">
              <w:t xml:space="preserve"> </w:t>
            </w:r>
          </w:p>
        </w:tc>
      </w:tr>
      <w:tr w:rsidR="002063FA" w:rsidRPr="00AA3A35" w14:paraId="72C4A19C" w14:textId="77777777" w:rsidTr="002063FA">
        <w:trPr>
          <w:trHeight w:val="19"/>
        </w:trPr>
        <w:tc>
          <w:tcPr>
            <w:tcW w:w="1178" w:type="dxa"/>
          </w:tcPr>
          <w:p w14:paraId="53A9FCCC" w14:textId="77777777" w:rsidR="002063FA" w:rsidRPr="00AA3A35" w:rsidRDefault="002063FA" w:rsidP="00E40CBB">
            <w:pPr>
              <w:pStyle w:val="Tabletext0"/>
              <w:spacing w:before="0" w:after="0"/>
            </w:pPr>
            <w:r w:rsidRPr="00AA3A35">
              <w:t>Utility</w:t>
            </w:r>
          </w:p>
        </w:tc>
        <w:tc>
          <w:tcPr>
            <w:tcW w:w="2682" w:type="dxa"/>
          </w:tcPr>
          <w:tbl>
            <w:tblPr>
              <w:tblStyle w:val="TableGrid"/>
              <w:tblW w:w="2605" w:type="dxa"/>
              <w:tblLayout w:type="fixed"/>
              <w:tblCellMar>
                <w:left w:w="28" w:type="dxa"/>
                <w:right w:w="28" w:type="dxa"/>
              </w:tblCellMar>
              <w:tblLook w:val="04A0" w:firstRow="1" w:lastRow="0" w:firstColumn="1" w:lastColumn="0" w:noHBand="0" w:noVBand="1"/>
              <w:tblDescription w:val="Application 1603 utility"/>
            </w:tblPr>
            <w:tblGrid>
              <w:gridCol w:w="1019"/>
              <w:gridCol w:w="793"/>
              <w:gridCol w:w="793"/>
            </w:tblGrid>
            <w:tr w:rsidR="002063FA" w:rsidRPr="00AA3A35" w14:paraId="56839B24" w14:textId="77777777" w:rsidTr="00AC061E">
              <w:trPr>
                <w:trHeight w:val="279"/>
                <w:tblHeader/>
              </w:trPr>
              <w:tc>
                <w:tcPr>
                  <w:tcW w:w="1019" w:type="dxa"/>
                </w:tcPr>
                <w:p w14:paraId="3B53F7E0" w14:textId="77777777" w:rsidR="002063FA" w:rsidRPr="00AA3A35" w:rsidRDefault="002063FA" w:rsidP="00E40CBB">
                  <w:pPr>
                    <w:pStyle w:val="Tabletext0"/>
                    <w:spacing w:before="0" w:after="0"/>
                    <w:rPr>
                      <w:b/>
                      <w:bCs/>
                      <w:sz w:val="16"/>
                      <w:szCs w:val="16"/>
                    </w:rPr>
                  </w:pPr>
                  <w:r w:rsidRPr="00AA3A35">
                    <w:rPr>
                      <w:b/>
                      <w:bCs/>
                      <w:sz w:val="16"/>
                      <w:szCs w:val="16"/>
                    </w:rPr>
                    <w:t>Utility values</w:t>
                  </w:r>
                </w:p>
              </w:tc>
              <w:tc>
                <w:tcPr>
                  <w:tcW w:w="793" w:type="dxa"/>
                </w:tcPr>
                <w:p w14:paraId="1F591715" w14:textId="77777777" w:rsidR="002063FA" w:rsidRPr="00AA3A35" w:rsidRDefault="002063FA" w:rsidP="00E40CBB">
                  <w:pPr>
                    <w:pStyle w:val="Tabletext0"/>
                    <w:spacing w:before="0" w:after="0"/>
                    <w:rPr>
                      <w:b/>
                      <w:bCs/>
                      <w:sz w:val="16"/>
                      <w:szCs w:val="16"/>
                    </w:rPr>
                  </w:pPr>
                  <w:r w:rsidRPr="00AA3A35">
                    <w:rPr>
                      <w:b/>
                      <w:bCs/>
                      <w:sz w:val="16"/>
                      <w:szCs w:val="16"/>
                    </w:rPr>
                    <w:t>TAVI-BEV</w:t>
                  </w:r>
                </w:p>
              </w:tc>
              <w:tc>
                <w:tcPr>
                  <w:tcW w:w="793" w:type="dxa"/>
                </w:tcPr>
                <w:p w14:paraId="37D737C7" w14:textId="77777777" w:rsidR="002063FA" w:rsidRPr="00AA3A35" w:rsidRDefault="002063FA" w:rsidP="00E40CBB">
                  <w:pPr>
                    <w:pStyle w:val="Tabletext0"/>
                    <w:spacing w:before="0" w:after="0"/>
                    <w:rPr>
                      <w:b/>
                      <w:bCs/>
                      <w:sz w:val="16"/>
                      <w:szCs w:val="16"/>
                    </w:rPr>
                  </w:pPr>
                  <w:r w:rsidRPr="00AA3A35">
                    <w:rPr>
                      <w:b/>
                      <w:bCs/>
                      <w:sz w:val="16"/>
                      <w:szCs w:val="16"/>
                    </w:rPr>
                    <w:t>SAVR</w:t>
                  </w:r>
                </w:p>
              </w:tc>
            </w:tr>
            <w:tr w:rsidR="002063FA" w:rsidRPr="00AA3A35" w14:paraId="162BE1DB" w14:textId="77777777" w:rsidTr="002063FA">
              <w:trPr>
                <w:trHeight w:val="545"/>
              </w:trPr>
              <w:tc>
                <w:tcPr>
                  <w:tcW w:w="1019" w:type="dxa"/>
                </w:tcPr>
                <w:p w14:paraId="11E3A9B8" w14:textId="77777777" w:rsidR="002063FA" w:rsidRPr="00AA3A35" w:rsidRDefault="002063FA" w:rsidP="00E40CBB">
                  <w:pPr>
                    <w:pStyle w:val="Tabletext0"/>
                    <w:spacing w:before="0" w:after="0"/>
                    <w:rPr>
                      <w:sz w:val="16"/>
                      <w:szCs w:val="16"/>
                    </w:rPr>
                  </w:pPr>
                  <w:r w:rsidRPr="00AA3A35">
                    <w:rPr>
                      <w:sz w:val="16"/>
                      <w:szCs w:val="16"/>
                    </w:rPr>
                    <w:t>Alive, no disabling stroke</w:t>
                  </w:r>
                </w:p>
              </w:tc>
              <w:tc>
                <w:tcPr>
                  <w:tcW w:w="793" w:type="dxa"/>
                </w:tcPr>
                <w:p w14:paraId="65F2B210" w14:textId="77777777" w:rsidR="002063FA" w:rsidRPr="00AA3A35" w:rsidRDefault="002063FA" w:rsidP="00E40CBB">
                  <w:pPr>
                    <w:pStyle w:val="Tabletext0"/>
                    <w:spacing w:before="0" w:after="0"/>
                    <w:rPr>
                      <w:sz w:val="16"/>
                      <w:szCs w:val="16"/>
                    </w:rPr>
                  </w:pPr>
                  <w:r w:rsidRPr="00AA3A35">
                    <w:rPr>
                      <w:sz w:val="16"/>
                      <w:szCs w:val="16"/>
                    </w:rPr>
                    <w:t>Pop norms (73-81)</w:t>
                  </w:r>
                </w:p>
              </w:tc>
              <w:tc>
                <w:tcPr>
                  <w:tcW w:w="793" w:type="dxa"/>
                </w:tcPr>
                <w:p w14:paraId="2AA5EED3" w14:textId="77777777" w:rsidR="002063FA" w:rsidRPr="00AA3A35" w:rsidRDefault="002063FA" w:rsidP="00E40CBB">
                  <w:pPr>
                    <w:pStyle w:val="Tabletext0"/>
                    <w:spacing w:before="0" w:after="0"/>
                    <w:rPr>
                      <w:sz w:val="16"/>
                      <w:szCs w:val="16"/>
                    </w:rPr>
                  </w:pPr>
                  <w:r w:rsidRPr="00AA3A35">
                    <w:rPr>
                      <w:sz w:val="16"/>
                      <w:szCs w:val="16"/>
                    </w:rPr>
                    <w:t>Pop</w:t>
                  </w:r>
                </w:p>
                <w:p w14:paraId="3AC7D46B" w14:textId="77777777" w:rsidR="002063FA" w:rsidRPr="00AA3A35" w:rsidRDefault="002063FA" w:rsidP="00E40CBB">
                  <w:pPr>
                    <w:pStyle w:val="Tabletext0"/>
                    <w:spacing w:before="0" w:after="0"/>
                    <w:rPr>
                      <w:sz w:val="16"/>
                      <w:szCs w:val="16"/>
                    </w:rPr>
                  </w:pPr>
                  <w:r w:rsidRPr="00AA3A35">
                    <w:rPr>
                      <w:sz w:val="16"/>
                      <w:szCs w:val="16"/>
                    </w:rPr>
                    <w:t>Norms</w:t>
                  </w:r>
                </w:p>
                <w:p w14:paraId="1F2CD674" w14:textId="77777777" w:rsidR="002063FA" w:rsidRPr="00AA3A35" w:rsidRDefault="002063FA" w:rsidP="00E40CBB">
                  <w:pPr>
                    <w:pStyle w:val="Tabletext0"/>
                    <w:spacing w:before="0" w:after="0"/>
                    <w:rPr>
                      <w:sz w:val="16"/>
                      <w:szCs w:val="16"/>
                    </w:rPr>
                  </w:pPr>
                  <w:r w:rsidRPr="00AA3A35">
                    <w:rPr>
                      <w:sz w:val="16"/>
                      <w:szCs w:val="16"/>
                    </w:rPr>
                    <w:t>(73-81)</w:t>
                  </w:r>
                </w:p>
              </w:tc>
            </w:tr>
            <w:tr w:rsidR="002063FA" w:rsidRPr="00AA3A35" w14:paraId="5A607CCC" w14:textId="77777777" w:rsidTr="002063FA">
              <w:trPr>
                <w:trHeight w:val="279"/>
              </w:trPr>
              <w:tc>
                <w:tcPr>
                  <w:tcW w:w="1019" w:type="dxa"/>
                </w:tcPr>
                <w:p w14:paraId="2C844D80" w14:textId="77777777" w:rsidR="002063FA" w:rsidRPr="00AA3A35" w:rsidRDefault="002063FA" w:rsidP="00E40CBB">
                  <w:pPr>
                    <w:pStyle w:val="Tabletext0"/>
                    <w:spacing w:before="0" w:after="0"/>
                    <w:rPr>
                      <w:sz w:val="16"/>
                      <w:szCs w:val="16"/>
                    </w:rPr>
                  </w:pPr>
                  <w:r w:rsidRPr="00AA3A35">
                    <w:rPr>
                      <w:sz w:val="16"/>
                      <w:szCs w:val="16"/>
                    </w:rPr>
                    <w:t>Alive, disabling stroke</w:t>
                  </w:r>
                </w:p>
              </w:tc>
              <w:tc>
                <w:tcPr>
                  <w:tcW w:w="793" w:type="dxa"/>
                </w:tcPr>
                <w:p w14:paraId="6A9DF127" w14:textId="076BDD71" w:rsidR="002063FA" w:rsidRPr="00AA3A35" w:rsidRDefault="002063FA" w:rsidP="00E40CBB">
                  <w:pPr>
                    <w:pStyle w:val="Tabletext0"/>
                    <w:spacing w:before="0" w:after="0"/>
                    <w:rPr>
                      <w:sz w:val="16"/>
                      <w:szCs w:val="16"/>
                    </w:rPr>
                  </w:pPr>
                  <w:r w:rsidRPr="00AA3A35">
                    <w:rPr>
                      <w:sz w:val="16"/>
                      <w:szCs w:val="16"/>
                    </w:rPr>
                    <w:t>0.</w:t>
                  </w:r>
                  <w:r w:rsidR="00F60B18">
                    <w:rPr>
                      <w:sz w:val="16"/>
                      <w:szCs w:val="16"/>
                    </w:rPr>
                    <w:t>5</w:t>
                  </w:r>
                  <w:r w:rsidRPr="00AA3A35">
                    <w:rPr>
                      <w:sz w:val="16"/>
                      <w:szCs w:val="16"/>
                    </w:rPr>
                    <w:t>0</w:t>
                  </w:r>
                </w:p>
              </w:tc>
              <w:tc>
                <w:tcPr>
                  <w:tcW w:w="793" w:type="dxa"/>
                </w:tcPr>
                <w:p w14:paraId="48395436" w14:textId="7F10E656" w:rsidR="002063FA" w:rsidRPr="00AA3A35" w:rsidRDefault="002063FA" w:rsidP="00E40CBB">
                  <w:pPr>
                    <w:pStyle w:val="Tabletext0"/>
                    <w:spacing w:before="0" w:after="0"/>
                    <w:rPr>
                      <w:sz w:val="16"/>
                      <w:szCs w:val="16"/>
                    </w:rPr>
                  </w:pPr>
                  <w:r w:rsidRPr="00AA3A35">
                    <w:rPr>
                      <w:sz w:val="16"/>
                      <w:szCs w:val="16"/>
                    </w:rPr>
                    <w:t>0.</w:t>
                  </w:r>
                  <w:r w:rsidR="00F60B18">
                    <w:rPr>
                      <w:sz w:val="16"/>
                      <w:szCs w:val="16"/>
                    </w:rPr>
                    <w:t>5</w:t>
                  </w:r>
                  <w:r w:rsidRPr="00AA3A35">
                    <w:rPr>
                      <w:sz w:val="16"/>
                      <w:szCs w:val="16"/>
                    </w:rPr>
                    <w:t>0</w:t>
                  </w:r>
                </w:p>
              </w:tc>
            </w:tr>
            <w:tr w:rsidR="002063FA" w:rsidRPr="00AA3A35" w14:paraId="2308B862" w14:textId="77777777" w:rsidTr="002063FA">
              <w:trPr>
                <w:trHeight w:val="559"/>
              </w:trPr>
              <w:tc>
                <w:tcPr>
                  <w:tcW w:w="1019" w:type="dxa"/>
                </w:tcPr>
                <w:p w14:paraId="42A08E81" w14:textId="77777777" w:rsidR="002063FA" w:rsidRPr="00AA3A35" w:rsidRDefault="002063FA" w:rsidP="00E40CBB">
                  <w:pPr>
                    <w:pStyle w:val="Tabletext0"/>
                    <w:spacing w:before="0" w:after="0"/>
                    <w:rPr>
                      <w:sz w:val="16"/>
                      <w:szCs w:val="16"/>
                    </w:rPr>
                  </w:pPr>
                  <w:r w:rsidRPr="00AA3A35">
                    <w:rPr>
                      <w:sz w:val="16"/>
                      <w:szCs w:val="16"/>
                    </w:rPr>
                    <w:t>Disutility major event (once off)</w:t>
                  </w:r>
                </w:p>
              </w:tc>
              <w:tc>
                <w:tcPr>
                  <w:tcW w:w="793" w:type="dxa"/>
                </w:tcPr>
                <w:p w14:paraId="2487B006" w14:textId="77777777" w:rsidR="002063FA" w:rsidRPr="00AA3A35" w:rsidRDefault="002063FA" w:rsidP="00E40CBB">
                  <w:pPr>
                    <w:pStyle w:val="Tabletext0"/>
                    <w:spacing w:before="0" w:after="0"/>
                    <w:rPr>
                      <w:sz w:val="16"/>
                      <w:szCs w:val="16"/>
                    </w:rPr>
                  </w:pPr>
                  <w:r w:rsidRPr="00AA3A35">
                    <w:rPr>
                      <w:sz w:val="16"/>
                      <w:szCs w:val="16"/>
                    </w:rPr>
                    <w:t>0</w:t>
                  </w:r>
                </w:p>
              </w:tc>
              <w:tc>
                <w:tcPr>
                  <w:tcW w:w="793" w:type="dxa"/>
                </w:tcPr>
                <w:p w14:paraId="0478A2C3" w14:textId="77777777" w:rsidR="002063FA" w:rsidRPr="00AA3A35" w:rsidRDefault="002063FA" w:rsidP="00E40CBB">
                  <w:pPr>
                    <w:pStyle w:val="Tabletext0"/>
                    <w:spacing w:before="0" w:after="0"/>
                    <w:rPr>
                      <w:sz w:val="16"/>
                      <w:szCs w:val="16"/>
                    </w:rPr>
                  </w:pPr>
                  <w:r w:rsidRPr="00AA3A35">
                    <w:rPr>
                      <w:sz w:val="16"/>
                      <w:szCs w:val="16"/>
                    </w:rPr>
                    <w:t>0</w:t>
                  </w:r>
                </w:p>
              </w:tc>
            </w:tr>
          </w:tbl>
          <w:p w14:paraId="20963B28" w14:textId="77777777" w:rsidR="002063FA" w:rsidRPr="00AA3A35" w:rsidRDefault="002063FA" w:rsidP="00E40CBB">
            <w:pPr>
              <w:pStyle w:val="Tabletext0"/>
              <w:spacing w:before="0" w:after="0"/>
              <w:rPr>
                <w:sz w:val="16"/>
                <w:szCs w:val="16"/>
              </w:rPr>
            </w:pPr>
          </w:p>
        </w:tc>
        <w:tc>
          <w:tcPr>
            <w:tcW w:w="3036" w:type="dxa"/>
          </w:tcPr>
          <w:tbl>
            <w:tblPr>
              <w:tblStyle w:val="TableGrid"/>
              <w:tblW w:w="2970" w:type="dxa"/>
              <w:tblLayout w:type="fixed"/>
              <w:tblCellMar>
                <w:left w:w="28" w:type="dxa"/>
                <w:right w:w="28" w:type="dxa"/>
              </w:tblCellMar>
              <w:tblLook w:val="04A0" w:firstRow="1" w:lastRow="0" w:firstColumn="1" w:lastColumn="0" w:noHBand="0" w:noVBand="1"/>
              <w:tblDescription w:val="Application 1361 utility"/>
            </w:tblPr>
            <w:tblGrid>
              <w:gridCol w:w="1203"/>
              <w:gridCol w:w="883"/>
              <w:gridCol w:w="884"/>
            </w:tblGrid>
            <w:tr w:rsidR="002063FA" w:rsidRPr="00AA3A35" w14:paraId="7FE06D64" w14:textId="77777777" w:rsidTr="00AC061E">
              <w:trPr>
                <w:trHeight w:val="204"/>
                <w:tblHeader/>
              </w:trPr>
              <w:tc>
                <w:tcPr>
                  <w:tcW w:w="1203" w:type="dxa"/>
                </w:tcPr>
                <w:p w14:paraId="3E681FCF" w14:textId="77777777" w:rsidR="002063FA" w:rsidRPr="00AA3A35" w:rsidRDefault="002063FA" w:rsidP="00E40CBB">
                  <w:pPr>
                    <w:pStyle w:val="Tabletext0"/>
                    <w:spacing w:before="0" w:after="0"/>
                    <w:rPr>
                      <w:sz w:val="16"/>
                      <w:szCs w:val="16"/>
                    </w:rPr>
                  </w:pPr>
                  <w:r w:rsidRPr="00AA3A35">
                    <w:rPr>
                      <w:b/>
                      <w:bCs/>
                      <w:sz w:val="16"/>
                      <w:szCs w:val="16"/>
                    </w:rPr>
                    <w:t>Utility values</w:t>
                  </w:r>
                </w:p>
              </w:tc>
              <w:tc>
                <w:tcPr>
                  <w:tcW w:w="883" w:type="dxa"/>
                </w:tcPr>
                <w:p w14:paraId="3B991D78" w14:textId="77777777" w:rsidR="002063FA" w:rsidRPr="00AA3A35" w:rsidRDefault="002063FA" w:rsidP="00E40CBB">
                  <w:pPr>
                    <w:pStyle w:val="Tabletext0"/>
                    <w:spacing w:before="0" w:after="0"/>
                    <w:rPr>
                      <w:sz w:val="16"/>
                      <w:szCs w:val="16"/>
                    </w:rPr>
                  </w:pPr>
                  <w:r w:rsidRPr="00AA3A35">
                    <w:rPr>
                      <w:b/>
                      <w:bCs/>
                      <w:sz w:val="16"/>
                      <w:szCs w:val="16"/>
                    </w:rPr>
                    <w:t>TAVI</w:t>
                  </w:r>
                </w:p>
              </w:tc>
              <w:tc>
                <w:tcPr>
                  <w:tcW w:w="884" w:type="dxa"/>
                </w:tcPr>
                <w:p w14:paraId="7C0C5331" w14:textId="77777777" w:rsidR="002063FA" w:rsidRPr="00AA3A35" w:rsidRDefault="002063FA" w:rsidP="00E40CBB">
                  <w:pPr>
                    <w:pStyle w:val="Tabletext0"/>
                    <w:spacing w:before="0" w:after="0"/>
                    <w:rPr>
                      <w:sz w:val="16"/>
                      <w:szCs w:val="16"/>
                    </w:rPr>
                  </w:pPr>
                  <w:r w:rsidRPr="00AA3A35">
                    <w:rPr>
                      <w:b/>
                      <w:bCs/>
                      <w:sz w:val="16"/>
                      <w:szCs w:val="16"/>
                    </w:rPr>
                    <w:t>SAVR</w:t>
                  </w:r>
                </w:p>
              </w:tc>
            </w:tr>
            <w:tr w:rsidR="002063FA" w:rsidRPr="00AA3A35" w14:paraId="2AF61BB1" w14:textId="77777777" w:rsidTr="002063FA">
              <w:trPr>
                <w:trHeight w:val="204"/>
              </w:trPr>
              <w:tc>
                <w:tcPr>
                  <w:tcW w:w="1203" w:type="dxa"/>
                </w:tcPr>
                <w:p w14:paraId="5FD1996D" w14:textId="77777777" w:rsidR="002063FA" w:rsidRPr="00AA3A35" w:rsidRDefault="002063FA" w:rsidP="00E40CBB">
                  <w:pPr>
                    <w:pStyle w:val="Tabletext0"/>
                    <w:spacing w:before="0" w:after="0"/>
                    <w:rPr>
                      <w:sz w:val="16"/>
                      <w:szCs w:val="16"/>
                    </w:rPr>
                  </w:pPr>
                  <w:r w:rsidRPr="00AA3A35">
                    <w:rPr>
                      <w:sz w:val="16"/>
                      <w:szCs w:val="16"/>
                    </w:rPr>
                    <w:t>Baseline (trial data)</w:t>
                  </w:r>
                </w:p>
              </w:tc>
              <w:tc>
                <w:tcPr>
                  <w:tcW w:w="883" w:type="dxa"/>
                </w:tcPr>
                <w:p w14:paraId="06F7CD6F" w14:textId="77777777" w:rsidR="002063FA" w:rsidRPr="00AA3A35" w:rsidRDefault="002063FA" w:rsidP="00E40CBB">
                  <w:pPr>
                    <w:pStyle w:val="Tabletext0"/>
                    <w:spacing w:before="0" w:after="0"/>
                    <w:rPr>
                      <w:sz w:val="16"/>
                      <w:szCs w:val="16"/>
                    </w:rPr>
                  </w:pPr>
                  <w:r w:rsidRPr="00AA3A35">
                    <w:rPr>
                      <w:sz w:val="16"/>
                      <w:szCs w:val="16"/>
                    </w:rPr>
                    <w:t>0.67</w:t>
                  </w:r>
                </w:p>
              </w:tc>
              <w:tc>
                <w:tcPr>
                  <w:tcW w:w="884" w:type="dxa"/>
                </w:tcPr>
                <w:p w14:paraId="6B90BED7" w14:textId="77777777" w:rsidR="002063FA" w:rsidRPr="00AA3A35" w:rsidRDefault="002063FA" w:rsidP="00E40CBB">
                  <w:pPr>
                    <w:pStyle w:val="Tabletext0"/>
                    <w:spacing w:before="0" w:after="0"/>
                    <w:rPr>
                      <w:sz w:val="16"/>
                      <w:szCs w:val="16"/>
                    </w:rPr>
                  </w:pPr>
                  <w:r w:rsidRPr="00AA3A35">
                    <w:rPr>
                      <w:sz w:val="16"/>
                      <w:szCs w:val="16"/>
                    </w:rPr>
                    <w:t>0.67</w:t>
                  </w:r>
                </w:p>
              </w:tc>
            </w:tr>
            <w:tr w:rsidR="002063FA" w:rsidRPr="00AA3A35" w14:paraId="2CD699EC" w14:textId="77777777" w:rsidTr="002063FA">
              <w:trPr>
                <w:trHeight w:val="194"/>
              </w:trPr>
              <w:tc>
                <w:tcPr>
                  <w:tcW w:w="1203" w:type="dxa"/>
                </w:tcPr>
                <w:p w14:paraId="3E912A32" w14:textId="77777777" w:rsidR="002063FA" w:rsidRPr="00AA3A35" w:rsidRDefault="002063FA" w:rsidP="00E40CBB">
                  <w:pPr>
                    <w:pStyle w:val="Tabletext0"/>
                    <w:spacing w:before="0" w:after="0"/>
                    <w:rPr>
                      <w:sz w:val="16"/>
                      <w:szCs w:val="16"/>
                    </w:rPr>
                  </w:pPr>
                  <w:r w:rsidRPr="00AA3A35">
                    <w:rPr>
                      <w:sz w:val="16"/>
                      <w:szCs w:val="16"/>
                    </w:rPr>
                    <w:t xml:space="preserve">Alive, no complications </w:t>
                  </w:r>
                </w:p>
              </w:tc>
              <w:tc>
                <w:tcPr>
                  <w:tcW w:w="883" w:type="dxa"/>
                </w:tcPr>
                <w:p w14:paraId="620C9249" w14:textId="77777777" w:rsidR="002063FA" w:rsidRPr="00AA3A35" w:rsidRDefault="002063FA" w:rsidP="00E40CBB">
                  <w:pPr>
                    <w:pStyle w:val="Tabletext0"/>
                    <w:spacing w:before="0" w:after="0"/>
                    <w:rPr>
                      <w:sz w:val="16"/>
                      <w:szCs w:val="16"/>
                    </w:rPr>
                  </w:pPr>
                  <w:r w:rsidRPr="00AA3A35">
                    <w:rPr>
                      <w:sz w:val="16"/>
                      <w:szCs w:val="16"/>
                    </w:rPr>
                    <w:t>0.702</w:t>
                  </w:r>
                </w:p>
              </w:tc>
              <w:tc>
                <w:tcPr>
                  <w:tcW w:w="884" w:type="dxa"/>
                </w:tcPr>
                <w:p w14:paraId="1754D75C" w14:textId="77777777" w:rsidR="002063FA" w:rsidRPr="00AA3A35" w:rsidRDefault="002063FA" w:rsidP="00E40CBB">
                  <w:pPr>
                    <w:pStyle w:val="Tabletext0"/>
                    <w:spacing w:before="0" w:after="0"/>
                    <w:rPr>
                      <w:sz w:val="16"/>
                      <w:szCs w:val="16"/>
                    </w:rPr>
                  </w:pPr>
                  <w:r w:rsidRPr="00AA3A35">
                    <w:rPr>
                      <w:sz w:val="16"/>
                      <w:szCs w:val="16"/>
                    </w:rPr>
                    <w:t>0.702</w:t>
                  </w:r>
                </w:p>
              </w:tc>
            </w:tr>
            <w:tr w:rsidR="002063FA" w:rsidRPr="00AA3A35" w14:paraId="455A9282" w14:textId="77777777" w:rsidTr="002063FA">
              <w:trPr>
                <w:trHeight w:val="204"/>
              </w:trPr>
              <w:tc>
                <w:tcPr>
                  <w:tcW w:w="1203" w:type="dxa"/>
                </w:tcPr>
                <w:p w14:paraId="3FDBC0BC" w14:textId="77777777" w:rsidR="002063FA" w:rsidRPr="00AA3A35" w:rsidRDefault="002063FA" w:rsidP="00E40CBB">
                  <w:pPr>
                    <w:pStyle w:val="Tabletext0"/>
                    <w:spacing w:before="0" w:after="0"/>
                    <w:rPr>
                      <w:sz w:val="16"/>
                      <w:szCs w:val="16"/>
                    </w:rPr>
                  </w:pPr>
                  <w:r w:rsidRPr="00AA3A35">
                    <w:rPr>
                      <w:sz w:val="16"/>
                      <w:szCs w:val="16"/>
                    </w:rPr>
                    <w:t>Alive, with stroke</w:t>
                  </w:r>
                </w:p>
              </w:tc>
              <w:tc>
                <w:tcPr>
                  <w:tcW w:w="883" w:type="dxa"/>
                </w:tcPr>
                <w:p w14:paraId="6C7DC981" w14:textId="77777777" w:rsidR="002063FA" w:rsidRPr="00AA3A35" w:rsidRDefault="002063FA" w:rsidP="00E40CBB">
                  <w:pPr>
                    <w:pStyle w:val="Tabletext0"/>
                    <w:spacing w:before="0" w:after="0"/>
                    <w:rPr>
                      <w:sz w:val="16"/>
                      <w:szCs w:val="16"/>
                    </w:rPr>
                  </w:pPr>
                  <w:r w:rsidRPr="00AA3A35">
                    <w:rPr>
                      <w:sz w:val="16"/>
                      <w:szCs w:val="16"/>
                    </w:rPr>
                    <w:t>-0.147</w:t>
                  </w:r>
                </w:p>
              </w:tc>
              <w:tc>
                <w:tcPr>
                  <w:tcW w:w="884" w:type="dxa"/>
                </w:tcPr>
                <w:p w14:paraId="30A85891" w14:textId="77777777" w:rsidR="002063FA" w:rsidRPr="00AA3A35" w:rsidRDefault="002063FA" w:rsidP="00E40CBB">
                  <w:pPr>
                    <w:pStyle w:val="Tabletext0"/>
                    <w:spacing w:before="0" w:after="0"/>
                    <w:rPr>
                      <w:sz w:val="16"/>
                      <w:szCs w:val="16"/>
                    </w:rPr>
                  </w:pPr>
                  <w:r w:rsidRPr="00AA3A35">
                    <w:rPr>
                      <w:sz w:val="16"/>
                      <w:szCs w:val="16"/>
                    </w:rPr>
                    <w:t>-0.147</w:t>
                  </w:r>
                </w:p>
              </w:tc>
            </w:tr>
            <w:tr w:rsidR="002063FA" w:rsidRPr="00AA3A35" w14:paraId="728D6FFB" w14:textId="77777777" w:rsidTr="002063FA">
              <w:trPr>
                <w:trHeight w:val="204"/>
              </w:trPr>
              <w:tc>
                <w:tcPr>
                  <w:tcW w:w="1203" w:type="dxa"/>
                </w:tcPr>
                <w:p w14:paraId="3EB36B48" w14:textId="77777777" w:rsidR="002063FA" w:rsidRPr="00AA3A35" w:rsidRDefault="002063FA" w:rsidP="00E40CBB">
                  <w:pPr>
                    <w:pStyle w:val="Tabletext0"/>
                    <w:spacing w:before="0" w:after="0"/>
                    <w:rPr>
                      <w:sz w:val="16"/>
                      <w:szCs w:val="16"/>
                    </w:rPr>
                  </w:pPr>
                  <w:r w:rsidRPr="00AA3A35">
                    <w:rPr>
                      <w:sz w:val="16"/>
                      <w:szCs w:val="16"/>
                    </w:rPr>
                    <w:t>Alive, with heart failure</w:t>
                  </w:r>
                </w:p>
              </w:tc>
              <w:tc>
                <w:tcPr>
                  <w:tcW w:w="883" w:type="dxa"/>
                </w:tcPr>
                <w:p w14:paraId="04276BC5" w14:textId="77777777" w:rsidR="002063FA" w:rsidRPr="00AA3A35" w:rsidRDefault="002063FA" w:rsidP="00E40CBB">
                  <w:pPr>
                    <w:pStyle w:val="Tabletext0"/>
                    <w:spacing w:before="0" w:after="0"/>
                    <w:rPr>
                      <w:sz w:val="16"/>
                      <w:szCs w:val="16"/>
                    </w:rPr>
                  </w:pPr>
                  <w:r w:rsidRPr="00AA3A35">
                    <w:rPr>
                      <w:sz w:val="16"/>
                      <w:szCs w:val="16"/>
                    </w:rPr>
                    <w:t>-0.188</w:t>
                  </w:r>
                </w:p>
              </w:tc>
              <w:tc>
                <w:tcPr>
                  <w:tcW w:w="884" w:type="dxa"/>
                </w:tcPr>
                <w:p w14:paraId="775E2A66" w14:textId="77777777" w:rsidR="002063FA" w:rsidRPr="00AA3A35" w:rsidRDefault="002063FA" w:rsidP="00E40CBB">
                  <w:pPr>
                    <w:pStyle w:val="Tabletext0"/>
                    <w:spacing w:before="0" w:after="0"/>
                    <w:rPr>
                      <w:sz w:val="16"/>
                      <w:szCs w:val="16"/>
                    </w:rPr>
                  </w:pPr>
                  <w:r w:rsidRPr="00AA3A35">
                    <w:rPr>
                      <w:sz w:val="16"/>
                      <w:szCs w:val="16"/>
                    </w:rPr>
                    <w:t>-0.188</w:t>
                  </w:r>
                </w:p>
              </w:tc>
            </w:tr>
            <w:tr w:rsidR="002063FA" w:rsidRPr="00AA3A35" w14:paraId="6AF1B65D" w14:textId="77777777" w:rsidTr="002063FA">
              <w:trPr>
                <w:trHeight w:val="615"/>
              </w:trPr>
              <w:tc>
                <w:tcPr>
                  <w:tcW w:w="1203" w:type="dxa"/>
                </w:tcPr>
                <w:p w14:paraId="370DE3CC" w14:textId="77777777" w:rsidR="002063FA" w:rsidRPr="00AA3A35" w:rsidRDefault="002063FA" w:rsidP="00E40CBB">
                  <w:pPr>
                    <w:pStyle w:val="Tabletext0"/>
                    <w:spacing w:before="0" w:after="0"/>
                    <w:rPr>
                      <w:sz w:val="16"/>
                      <w:szCs w:val="16"/>
                    </w:rPr>
                  </w:pPr>
                  <w:r w:rsidRPr="00AA3A35">
                    <w:rPr>
                      <w:sz w:val="16"/>
                      <w:szCs w:val="16"/>
                    </w:rPr>
                    <w:t>Other complications</w:t>
                  </w:r>
                </w:p>
                <w:p w14:paraId="2AE8ED71" w14:textId="77777777" w:rsidR="002063FA" w:rsidRPr="00AA3A35" w:rsidRDefault="002063FA" w:rsidP="00E40CBB">
                  <w:pPr>
                    <w:pStyle w:val="Tabletext0"/>
                    <w:spacing w:before="0" w:after="0"/>
                    <w:rPr>
                      <w:sz w:val="16"/>
                      <w:szCs w:val="16"/>
                    </w:rPr>
                  </w:pPr>
                  <w:r w:rsidRPr="00AA3A35">
                    <w:rPr>
                      <w:sz w:val="16"/>
                      <w:szCs w:val="16"/>
                    </w:rPr>
                    <w:t xml:space="preserve">- first cycle </w:t>
                  </w:r>
                </w:p>
                <w:p w14:paraId="44E9C3D8" w14:textId="77777777" w:rsidR="002063FA" w:rsidRPr="00AA3A35" w:rsidRDefault="002063FA" w:rsidP="00E40CBB">
                  <w:pPr>
                    <w:pStyle w:val="Tabletext0"/>
                    <w:spacing w:before="0" w:after="0"/>
                    <w:rPr>
                      <w:sz w:val="16"/>
                      <w:szCs w:val="16"/>
                    </w:rPr>
                  </w:pPr>
                  <w:r w:rsidRPr="00AA3A35">
                    <w:rPr>
                      <w:sz w:val="16"/>
                      <w:szCs w:val="16"/>
                    </w:rPr>
                    <w:t xml:space="preserve">- ongoing </w:t>
                  </w:r>
                </w:p>
              </w:tc>
              <w:tc>
                <w:tcPr>
                  <w:tcW w:w="883" w:type="dxa"/>
                </w:tcPr>
                <w:p w14:paraId="570B0D5C" w14:textId="77777777" w:rsidR="002063FA" w:rsidRPr="00AA3A35" w:rsidRDefault="002063FA" w:rsidP="00E40CBB">
                  <w:pPr>
                    <w:pStyle w:val="Tabletext0"/>
                    <w:spacing w:before="0" w:after="0"/>
                    <w:rPr>
                      <w:sz w:val="16"/>
                      <w:szCs w:val="16"/>
                    </w:rPr>
                  </w:pPr>
                </w:p>
                <w:p w14:paraId="5E0C5EBB" w14:textId="77777777" w:rsidR="002063FA" w:rsidRPr="00AA3A35" w:rsidRDefault="002063FA" w:rsidP="00E40CBB">
                  <w:pPr>
                    <w:pStyle w:val="Tabletext0"/>
                    <w:spacing w:before="0" w:after="0"/>
                    <w:rPr>
                      <w:sz w:val="16"/>
                      <w:szCs w:val="16"/>
                    </w:rPr>
                  </w:pPr>
                </w:p>
                <w:p w14:paraId="1B9B23BF" w14:textId="77777777" w:rsidR="002063FA" w:rsidRPr="00AA3A35" w:rsidRDefault="002063FA" w:rsidP="00E40CBB">
                  <w:pPr>
                    <w:pStyle w:val="Tabletext0"/>
                    <w:spacing w:before="0" w:after="0"/>
                    <w:rPr>
                      <w:sz w:val="16"/>
                      <w:szCs w:val="16"/>
                    </w:rPr>
                  </w:pPr>
                  <w:r w:rsidRPr="00AA3A35">
                    <w:rPr>
                      <w:sz w:val="16"/>
                      <w:szCs w:val="16"/>
                    </w:rPr>
                    <w:t>-0.10</w:t>
                  </w:r>
                </w:p>
                <w:p w14:paraId="29B71ADF" w14:textId="77777777" w:rsidR="002063FA" w:rsidRPr="00AA3A35" w:rsidRDefault="002063FA" w:rsidP="00E40CBB">
                  <w:pPr>
                    <w:pStyle w:val="Tabletext0"/>
                    <w:spacing w:before="0" w:after="0"/>
                    <w:rPr>
                      <w:sz w:val="16"/>
                      <w:szCs w:val="16"/>
                    </w:rPr>
                  </w:pPr>
                  <w:r w:rsidRPr="00AA3A35">
                    <w:rPr>
                      <w:sz w:val="16"/>
                      <w:szCs w:val="16"/>
                    </w:rPr>
                    <w:t>-0.056</w:t>
                  </w:r>
                </w:p>
              </w:tc>
              <w:tc>
                <w:tcPr>
                  <w:tcW w:w="884" w:type="dxa"/>
                </w:tcPr>
                <w:p w14:paraId="708EB799" w14:textId="77777777" w:rsidR="002063FA" w:rsidRPr="00AA3A35" w:rsidRDefault="002063FA" w:rsidP="00E40CBB">
                  <w:pPr>
                    <w:pStyle w:val="Tabletext0"/>
                    <w:spacing w:before="0" w:after="0"/>
                    <w:rPr>
                      <w:sz w:val="16"/>
                      <w:szCs w:val="16"/>
                    </w:rPr>
                  </w:pPr>
                </w:p>
                <w:p w14:paraId="2E265993" w14:textId="77777777" w:rsidR="002063FA" w:rsidRPr="00AA3A35" w:rsidRDefault="002063FA" w:rsidP="00E40CBB">
                  <w:pPr>
                    <w:pStyle w:val="Tabletext0"/>
                    <w:spacing w:before="0" w:after="0"/>
                    <w:rPr>
                      <w:sz w:val="16"/>
                      <w:szCs w:val="16"/>
                    </w:rPr>
                  </w:pPr>
                </w:p>
                <w:p w14:paraId="104732F3" w14:textId="77777777" w:rsidR="002063FA" w:rsidRPr="00AA3A35" w:rsidRDefault="002063FA" w:rsidP="00E40CBB">
                  <w:pPr>
                    <w:pStyle w:val="Tabletext0"/>
                    <w:spacing w:before="0" w:after="0"/>
                    <w:rPr>
                      <w:sz w:val="16"/>
                      <w:szCs w:val="16"/>
                    </w:rPr>
                  </w:pPr>
                  <w:r w:rsidRPr="00AA3A35">
                    <w:rPr>
                      <w:sz w:val="16"/>
                      <w:szCs w:val="16"/>
                    </w:rPr>
                    <w:t>-0.10</w:t>
                  </w:r>
                </w:p>
                <w:p w14:paraId="167A3FE3" w14:textId="77777777" w:rsidR="002063FA" w:rsidRPr="00AA3A35" w:rsidRDefault="002063FA" w:rsidP="00E40CBB">
                  <w:pPr>
                    <w:pStyle w:val="Tabletext0"/>
                    <w:spacing w:before="0" w:after="0"/>
                    <w:rPr>
                      <w:sz w:val="16"/>
                      <w:szCs w:val="16"/>
                    </w:rPr>
                  </w:pPr>
                  <w:r w:rsidRPr="00AA3A35">
                    <w:rPr>
                      <w:sz w:val="16"/>
                      <w:szCs w:val="16"/>
                    </w:rPr>
                    <w:t>-0.056</w:t>
                  </w:r>
                </w:p>
              </w:tc>
            </w:tr>
            <w:tr w:rsidR="002063FA" w:rsidRPr="00AA3A35" w14:paraId="0D7EAD82" w14:textId="77777777" w:rsidTr="002063FA">
              <w:trPr>
                <w:trHeight w:val="194"/>
              </w:trPr>
              <w:tc>
                <w:tcPr>
                  <w:tcW w:w="1203" w:type="dxa"/>
                </w:tcPr>
                <w:p w14:paraId="55EDF1E3" w14:textId="77777777" w:rsidR="002063FA" w:rsidRPr="00AA3A35" w:rsidRDefault="002063FA" w:rsidP="00E40CBB">
                  <w:pPr>
                    <w:pStyle w:val="Tabletext0"/>
                    <w:spacing w:before="0" w:after="0"/>
                    <w:rPr>
                      <w:sz w:val="16"/>
                      <w:szCs w:val="16"/>
                    </w:rPr>
                  </w:pPr>
                  <w:r w:rsidRPr="00AA3A35">
                    <w:rPr>
                      <w:sz w:val="16"/>
                      <w:szCs w:val="16"/>
                    </w:rPr>
                    <w:t>Other adverse events</w:t>
                  </w:r>
                </w:p>
              </w:tc>
              <w:tc>
                <w:tcPr>
                  <w:tcW w:w="883" w:type="dxa"/>
                </w:tcPr>
                <w:p w14:paraId="24658515" w14:textId="77777777" w:rsidR="002063FA" w:rsidRPr="00AA3A35" w:rsidRDefault="002063FA" w:rsidP="00E40CBB">
                  <w:pPr>
                    <w:pStyle w:val="Tabletext0"/>
                    <w:spacing w:before="0" w:after="0"/>
                    <w:rPr>
                      <w:sz w:val="16"/>
                      <w:szCs w:val="16"/>
                    </w:rPr>
                  </w:pPr>
                  <w:r w:rsidRPr="00AA3A35">
                    <w:rPr>
                      <w:sz w:val="16"/>
                      <w:szCs w:val="16"/>
                    </w:rPr>
                    <w:t>-0.10</w:t>
                  </w:r>
                </w:p>
              </w:tc>
              <w:tc>
                <w:tcPr>
                  <w:tcW w:w="884" w:type="dxa"/>
                </w:tcPr>
                <w:p w14:paraId="65AF3485" w14:textId="77777777" w:rsidR="002063FA" w:rsidRPr="00AA3A35" w:rsidRDefault="002063FA" w:rsidP="00E40CBB">
                  <w:pPr>
                    <w:pStyle w:val="Tabletext0"/>
                    <w:spacing w:before="0" w:after="0"/>
                    <w:rPr>
                      <w:sz w:val="16"/>
                      <w:szCs w:val="16"/>
                    </w:rPr>
                  </w:pPr>
                  <w:r w:rsidRPr="00AA3A35">
                    <w:rPr>
                      <w:sz w:val="16"/>
                      <w:szCs w:val="16"/>
                    </w:rPr>
                    <w:t>-0.10</w:t>
                  </w:r>
                </w:p>
              </w:tc>
            </w:tr>
          </w:tbl>
          <w:p w14:paraId="4FD309E0" w14:textId="77777777" w:rsidR="002063FA" w:rsidRPr="00AA3A35" w:rsidRDefault="002063FA" w:rsidP="00E40CBB">
            <w:pPr>
              <w:pStyle w:val="Tabletext0"/>
              <w:spacing w:before="0" w:after="0"/>
              <w:rPr>
                <w:b/>
                <w:bCs/>
                <w:sz w:val="16"/>
                <w:szCs w:val="16"/>
              </w:rPr>
            </w:pPr>
          </w:p>
        </w:tc>
        <w:tc>
          <w:tcPr>
            <w:tcW w:w="2798" w:type="dxa"/>
          </w:tcPr>
          <w:tbl>
            <w:tblPr>
              <w:tblStyle w:val="TableGrid"/>
              <w:tblW w:w="2721" w:type="dxa"/>
              <w:tblLayout w:type="fixed"/>
              <w:tblCellMar>
                <w:left w:w="28" w:type="dxa"/>
                <w:right w:w="28" w:type="dxa"/>
              </w:tblCellMar>
              <w:tblLook w:val="04A0" w:firstRow="1" w:lastRow="0" w:firstColumn="1" w:lastColumn="0" w:noHBand="0" w:noVBand="1"/>
              <w:tblDescription w:val="Application 1361.2 utility"/>
            </w:tblPr>
            <w:tblGrid>
              <w:gridCol w:w="1361"/>
              <w:gridCol w:w="680"/>
              <w:gridCol w:w="680"/>
            </w:tblGrid>
            <w:tr w:rsidR="002063FA" w:rsidRPr="00AA3A35" w14:paraId="24752A18" w14:textId="77777777" w:rsidTr="00AC061E">
              <w:trPr>
                <w:trHeight w:val="270"/>
                <w:tblHeader/>
              </w:trPr>
              <w:tc>
                <w:tcPr>
                  <w:tcW w:w="1361" w:type="dxa"/>
                </w:tcPr>
                <w:p w14:paraId="6E2EB24F" w14:textId="77777777" w:rsidR="002063FA" w:rsidRPr="00AA3A35" w:rsidRDefault="002063FA" w:rsidP="00E40CBB">
                  <w:pPr>
                    <w:pStyle w:val="Tabletext0"/>
                    <w:spacing w:before="0" w:after="0"/>
                    <w:rPr>
                      <w:b/>
                      <w:bCs/>
                      <w:sz w:val="16"/>
                      <w:szCs w:val="16"/>
                    </w:rPr>
                  </w:pPr>
                  <w:r w:rsidRPr="00AA3A35">
                    <w:rPr>
                      <w:b/>
                      <w:bCs/>
                      <w:sz w:val="16"/>
                      <w:szCs w:val="16"/>
                    </w:rPr>
                    <w:t>Utility values</w:t>
                  </w:r>
                </w:p>
              </w:tc>
              <w:tc>
                <w:tcPr>
                  <w:tcW w:w="680" w:type="dxa"/>
                </w:tcPr>
                <w:p w14:paraId="107B7C09" w14:textId="77777777" w:rsidR="002063FA" w:rsidRPr="00AA3A35" w:rsidRDefault="002063FA" w:rsidP="00E40CBB">
                  <w:pPr>
                    <w:pStyle w:val="Tabletext0"/>
                    <w:spacing w:before="0" w:after="0"/>
                    <w:rPr>
                      <w:b/>
                      <w:bCs/>
                      <w:sz w:val="16"/>
                      <w:szCs w:val="16"/>
                    </w:rPr>
                  </w:pPr>
                  <w:r w:rsidRPr="00AA3A35">
                    <w:rPr>
                      <w:b/>
                      <w:bCs/>
                      <w:sz w:val="16"/>
                      <w:szCs w:val="16"/>
                    </w:rPr>
                    <w:t>TAVI</w:t>
                  </w:r>
                </w:p>
              </w:tc>
              <w:tc>
                <w:tcPr>
                  <w:tcW w:w="680" w:type="dxa"/>
                </w:tcPr>
                <w:p w14:paraId="6C521825" w14:textId="77777777" w:rsidR="002063FA" w:rsidRPr="00AA3A35" w:rsidRDefault="002063FA" w:rsidP="00E40CBB">
                  <w:pPr>
                    <w:pStyle w:val="Tabletext0"/>
                    <w:spacing w:before="0" w:after="0"/>
                    <w:rPr>
                      <w:b/>
                      <w:bCs/>
                      <w:sz w:val="16"/>
                      <w:szCs w:val="16"/>
                    </w:rPr>
                  </w:pPr>
                  <w:r w:rsidRPr="00AA3A35">
                    <w:rPr>
                      <w:b/>
                      <w:bCs/>
                      <w:sz w:val="16"/>
                      <w:szCs w:val="16"/>
                    </w:rPr>
                    <w:t>SAVR</w:t>
                  </w:r>
                </w:p>
              </w:tc>
            </w:tr>
            <w:tr w:rsidR="002063FA" w:rsidRPr="00AA3A35" w14:paraId="03C1AAFD" w14:textId="77777777" w:rsidTr="002063FA">
              <w:trPr>
                <w:trHeight w:val="270"/>
              </w:trPr>
              <w:tc>
                <w:tcPr>
                  <w:tcW w:w="1361" w:type="dxa"/>
                </w:tcPr>
                <w:p w14:paraId="3DDCAEDD" w14:textId="77777777" w:rsidR="002063FA" w:rsidRPr="00AA3A35" w:rsidRDefault="002063FA" w:rsidP="00E40CBB">
                  <w:pPr>
                    <w:pStyle w:val="Tabletext0"/>
                    <w:spacing w:before="0" w:after="0"/>
                    <w:rPr>
                      <w:sz w:val="16"/>
                      <w:szCs w:val="16"/>
                    </w:rPr>
                  </w:pPr>
                  <w:r w:rsidRPr="00AA3A35">
                    <w:rPr>
                      <w:sz w:val="16"/>
                      <w:szCs w:val="16"/>
                    </w:rPr>
                    <w:t>Baseline (trial data)</w:t>
                  </w:r>
                </w:p>
              </w:tc>
              <w:tc>
                <w:tcPr>
                  <w:tcW w:w="680" w:type="dxa"/>
                </w:tcPr>
                <w:p w14:paraId="562D2D73" w14:textId="77777777" w:rsidR="002063FA" w:rsidRPr="00AA3A35" w:rsidRDefault="002063FA" w:rsidP="00E40CBB">
                  <w:pPr>
                    <w:pStyle w:val="Tabletext0"/>
                    <w:spacing w:before="0" w:after="0"/>
                    <w:rPr>
                      <w:sz w:val="16"/>
                      <w:szCs w:val="16"/>
                    </w:rPr>
                  </w:pPr>
                  <w:r w:rsidRPr="00AA3A35">
                    <w:rPr>
                      <w:sz w:val="16"/>
                      <w:szCs w:val="16"/>
                    </w:rPr>
                    <w:t>0.66</w:t>
                  </w:r>
                </w:p>
              </w:tc>
              <w:tc>
                <w:tcPr>
                  <w:tcW w:w="680" w:type="dxa"/>
                </w:tcPr>
                <w:p w14:paraId="1E357477" w14:textId="77777777" w:rsidR="002063FA" w:rsidRPr="00AA3A35" w:rsidRDefault="002063FA" w:rsidP="00E40CBB">
                  <w:pPr>
                    <w:pStyle w:val="Tabletext0"/>
                    <w:spacing w:before="0" w:after="0"/>
                    <w:rPr>
                      <w:sz w:val="16"/>
                      <w:szCs w:val="16"/>
                    </w:rPr>
                  </w:pPr>
                  <w:r w:rsidRPr="00AA3A35">
                    <w:rPr>
                      <w:sz w:val="16"/>
                      <w:szCs w:val="16"/>
                    </w:rPr>
                    <w:t>0.66</w:t>
                  </w:r>
                </w:p>
              </w:tc>
            </w:tr>
            <w:tr w:rsidR="002063FA" w:rsidRPr="00AA3A35" w14:paraId="6E9BC7FA" w14:textId="77777777" w:rsidTr="002063FA">
              <w:trPr>
                <w:trHeight w:val="256"/>
              </w:trPr>
              <w:tc>
                <w:tcPr>
                  <w:tcW w:w="1361" w:type="dxa"/>
                </w:tcPr>
                <w:p w14:paraId="37C95067" w14:textId="77777777" w:rsidR="002063FA" w:rsidRPr="00AA3A35" w:rsidRDefault="002063FA" w:rsidP="00E40CBB">
                  <w:pPr>
                    <w:pStyle w:val="Tabletext0"/>
                    <w:spacing w:before="0" w:after="0"/>
                    <w:rPr>
                      <w:sz w:val="16"/>
                      <w:szCs w:val="16"/>
                    </w:rPr>
                  </w:pPr>
                  <w:r w:rsidRPr="00AA3A35">
                    <w:rPr>
                      <w:sz w:val="16"/>
                      <w:szCs w:val="16"/>
                    </w:rPr>
                    <w:t>No-complication (trial data)</w:t>
                  </w:r>
                </w:p>
              </w:tc>
              <w:tc>
                <w:tcPr>
                  <w:tcW w:w="680" w:type="dxa"/>
                </w:tcPr>
                <w:p w14:paraId="411E4481" w14:textId="77777777" w:rsidR="002063FA" w:rsidRPr="00AA3A35" w:rsidRDefault="002063FA" w:rsidP="00E40CBB">
                  <w:pPr>
                    <w:pStyle w:val="Tabletext0"/>
                    <w:spacing w:before="0" w:after="0"/>
                    <w:rPr>
                      <w:sz w:val="16"/>
                      <w:szCs w:val="16"/>
                    </w:rPr>
                  </w:pPr>
                  <w:r w:rsidRPr="00AA3A35">
                    <w:rPr>
                      <w:sz w:val="16"/>
                      <w:szCs w:val="16"/>
                    </w:rPr>
                    <w:t>0.75</w:t>
                  </w:r>
                </w:p>
              </w:tc>
              <w:tc>
                <w:tcPr>
                  <w:tcW w:w="680" w:type="dxa"/>
                </w:tcPr>
                <w:p w14:paraId="4136CE79" w14:textId="77777777" w:rsidR="002063FA" w:rsidRPr="00AA3A35" w:rsidRDefault="002063FA" w:rsidP="00E40CBB">
                  <w:pPr>
                    <w:pStyle w:val="Tabletext0"/>
                    <w:spacing w:before="0" w:after="0"/>
                    <w:rPr>
                      <w:sz w:val="16"/>
                      <w:szCs w:val="16"/>
                    </w:rPr>
                  </w:pPr>
                  <w:r w:rsidRPr="00AA3A35">
                    <w:rPr>
                      <w:sz w:val="16"/>
                      <w:szCs w:val="16"/>
                    </w:rPr>
                    <w:t>0.74</w:t>
                  </w:r>
                </w:p>
              </w:tc>
            </w:tr>
            <w:tr w:rsidR="002063FA" w:rsidRPr="00AA3A35" w14:paraId="686BDECB" w14:textId="77777777" w:rsidTr="002063FA">
              <w:trPr>
                <w:trHeight w:val="541"/>
              </w:trPr>
              <w:tc>
                <w:tcPr>
                  <w:tcW w:w="1361" w:type="dxa"/>
                </w:tcPr>
                <w:p w14:paraId="6953C1B9" w14:textId="77777777" w:rsidR="002063FA" w:rsidRPr="00AA3A35" w:rsidRDefault="002063FA" w:rsidP="00E40CBB">
                  <w:pPr>
                    <w:pStyle w:val="Tabletext0"/>
                    <w:spacing w:before="0" w:after="0"/>
                    <w:rPr>
                      <w:sz w:val="16"/>
                      <w:szCs w:val="16"/>
                    </w:rPr>
                  </w:pPr>
                  <w:r w:rsidRPr="00AA3A35">
                    <w:rPr>
                      <w:sz w:val="16"/>
                      <w:szCs w:val="16"/>
                    </w:rPr>
                    <w:t>Disutility major event (once off)</w:t>
                  </w:r>
                </w:p>
              </w:tc>
              <w:tc>
                <w:tcPr>
                  <w:tcW w:w="680" w:type="dxa"/>
                </w:tcPr>
                <w:p w14:paraId="4D3BB271" w14:textId="77777777" w:rsidR="002063FA" w:rsidRPr="00AA3A35" w:rsidRDefault="002063FA" w:rsidP="00E40CBB">
                  <w:pPr>
                    <w:pStyle w:val="Tabletext0"/>
                    <w:spacing w:before="0" w:after="0"/>
                    <w:rPr>
                      <w:sz w:val="16"/>
                      <w:szCs w:val="16"/>
                    </w:rPr>
                  </w:pPr>
                  <w:r w:rsidRPr="00AA3A35">
                    <w:rPr>
                      <w:sz w:val="16"/>
                      <w:szCs w:val="16"/>
                    </w:rPr>
                    <w:t>-0.10</w:t>
                  </w:r>
                </w:p>
              </w:tc>
              <w:tc>
                <w:tcPr>
                  <w:tcW w:w="680" w:type="dxa"/>
                </w:tcPr>
                <w:p w14:paraId="063989E6" w14:textId="77777777" w:rsidR="002063FA" w:rsidRPr="00AA3A35" w:rsidRDefault="002063FA" w:rsidP="00E40CBB">
                  <w:pPr>
                    <w:pStyle w:val="Tabletext0"/>
                    <w:spacing w:before="0" w:after="0"/>
                    <w:rPr>
                      <w:sz w:val="16"/>
                      <w:szCs w:val="16"/>
                    </w:rPr>
                  </w:pPr>
                  <w:r w:rsidRPr="00AA3A35">
                    <w:rPr>
                      <w:sz w:val="16"/>
                      <w:szCs w:val="16"/>
                    </w:rPr>
                    <w:t>-0.10</w:t>
                  </w:r>
                </w:p>
              </w:tc>
            </w:tr>
            <w:tr w:rsidR="002063FA" w:rsidRPr="00AA3A35" w14:paraId="1E84FE5D" w14:textId="77777777" w:rsidTr="002063FA">
              <w:trPr>
                <w:trHeight w:val="125"/>
              </w:trPr>
              <w:tc>
                <w:tcPr>
                  <w:tcW w:w="1361" w:type="dxa"/>
                </w:tcPr>
                <w:p w14:paraId="0D4F1254" w14:textId="77777777" w:rsidR="002063FA" w:rsidRPr="00AA3A35" w:rsidRDefault="002063FA" w:rsidP="00E40CBB">
                  <w:pPr>
                    <w:pStyle w:val="Tabletext0"/>
                    <w:spacing w:before="0" w:after="0"/>
                    <w:rPr>
                      <w:sz w:val="16"/>
                      <w:szCs w:val="16"/>
                    </w:rPr>
                  </w:pPr>
                  <w:r w:rsidRPr="00AA3A35">
                    <w:rPr>
                      <w:sz w:val="16"/>
                      <w:szCs w:val="16"/>
                    </w:rPr>
                    <w:t>Alive, with major stroke</w:t>
                  </w:r>
                </w:p>
              </w:tc>
              <w:tc>
                <w:tcPr>
                  <w:tcW w:w="680" w:type="dxa"/>
                </w:tcPr>
                <w:p w14:paraId="2D7EC84E" w14:textId="77777777" w:rsidR="002063FA" w:rsidRPr="00AA3A35" w:rsidRDefault="002063FA" w:rsidP="00E40CBB">
                  <w:pPr>
                    <w:pStyle w:val="Tabletext0"/>
                    <w:spacing w:before="0" w:after="0"/>
                    <w:rPr>
                      <w:sz w:val="16"/>
                      <w:szCs w:val="16"/>
                    </w:rPr>
                  </w:pPr>
                  <w:r w:rsidRPr="00AA3A35">
                    <w:rPr>
                      <w:sz w:val="16"/>
                      <w:szCs w:val="16"/>
                    </w:rPr>
                    <w:t>0.65</w:t>
                  </w:r>
                </w:p>
              </w:tc>
              <w:tc>
                <w:tcPr>
                  <w:tcW w:w="680" w:type="dxa"/>
                </w:tcPr>
                <w:p w14:paraId="73D71D1E" w14:textId="77777777" w:rsidR="002063FA" w:rsidRPr="00AA3A35" w:rsidRDefault="002063FA" w:rsidP="00E40CBB">
                  <w:pPr>
                    <w:pStyle w:val="Tabletext0"/>
                    <w:spacing w:before="0" w:after="0"/>
                    <w:rPr>
                      <w:sz w:val="16"/>
                      <w:szCs w:val="16"/>
                    </w:rPr>
                  </w:pPr>
                  <w:r w:rsidRPr="00AA3A35">
                    <w:rPr>
                      <w:sz w:val="16"/>
                      <w:szCs w:val="16"/>
                    </w:rPr>
                    <w:t>0.65</w:t>
                  </w:r>
                </w:p>
              </w:tc>
            </w:tr>
            <w:tr w:rsidR="002063FA" w:rsidRPr="00AA3A35" w14:paraId="37115429" w14:textId="77777777" w:rsidTr="002063FA">
              <w:trPr>
                <w:trHeight w:val="270"/>
              </w:trPr>
              <w:tc>
                <w:tcPr>
                  <w:tcW w:w="1361" w:type="dxa"/>
                </w:tcPr>
                <w:p w14:paraId="6F1EF000" w14:textId="77777777" w:rsidR="002063FA" w:rsidRPr="00AA3A35" w:rsidRDefault="002063FA" w:rsidP="00E40CBB">
                  <w:pPr>
                    <w:pStyle w:val="Tabletext0"/>
                    <w:spacing w:before="0" w:after="0"/>
                    <w:rPr>
                      <w:sz w:val="16"/>
                      <w:szCs w:val="16"/>
                    </w:rPr>
                  </w:pPr>
                  <w:r w:rsidRPr="00AA3A35">
                    <w:rPr>
                      <w:sz w:val="16"/>
                      <w:szCs w:val="16"/>
                    </w:rPr>
                    <w:t>Alive, with heart failure</w:t>
                  </w:r>
                </w:p>
              </w:tc>
              <w:tc>
                <w:tcPr>
                  <w:tcW w:w="680" w:type="dxa"/>
                </w:tcPr>
                <w:p w14:paraId="10EA3560" w14:textId="77777777" w:rsidR="002063FA" w:rsidRPr="00AA3A35" w:rsidRDefault="002063FA" w:rsidP="00E40CBB">
                  <w:pPr>
                    <w:pStyle w:val="Tabletext0"/>
                    <w:spacing w:before="0" w:after="0"/>
                    <w:rPr>
                      <w:sz w:val="16"/>
                      <w:szCs w:val="16"/>
                    </w:rPr>
                  </w:pPr>
                  <w:r w:rsidRPr="00AA3A35">
                    <w:rPr>
                      <w:sz w:val="16"/>
                      <w:szCs w:val="16"/>
                    </w:rPr>
                    <w:t>0.636</w:t>
                  </w:r>
                </w:p>
              </w:tc>
              <w:tc>
                <w:tcPr>
                  <w:tcW w:w="680" w:type="dxa"/>
                </w:tcPr>
                <w:p w14:paraId="040E63A5" w14:textId="77777777" w:rsidR="002063FA" w:rsidRPr="00AA3A35" w:rsidRDefault="002063FA" w:rsidP="00E40CBB">
                  <w:pPr>
                    <w:pStyle w:val="Tabletext0"/>
                    <w:spacing w:before="0" w:after="0"/>
                    <w:rPr>
                      <w:sz w:val="16"/>
                      <w:szCs w:val="16"/>
                    </w:rPr>
                  </w:pPr>
                  <w:r w:rsidRPr="00AA3A35">
                    <w:rPr>
                      <w:sz w:val="16"/>
                      <w:szCs w:val="16"/>
                    </w:rPr>
                    <w:t>0.636</w:t>
                  </w:r>
                </w:p>
              </w:tc>
            </w:tr>
          </w:tbl>
          <w:p w14:paraId="2ED66A9C" w14:textId="77777777" w:rsidR="002063FA" w:rsidRPr="00AA3A35" w:rsidRDefault="002063FA" w:rsidP="00E40CBB">
            <w:pPr>
              <w:pStyle w:val="Tabletext0"/>
              <w:spacing w:before="0" w:after="0"/>
              <w:rPr>
                <w:sz w:val="16"/>
                <w:szCs w:val="16"/>
              </w:rPr>
            </w:pPr>
          </w:p>
        </w:tc>
      </w:tr>
      <w:tr w:rsidR="002063FA" w:rsidRPr="00AA3A35" w14:paraId="662394F6" w14:textId="77777777" w:rsidTr="002063FA">
        <w:trPr>
          <w:trHeight w:val="19"/>
        </w:trPr>
        <w:tc>
          <w:tcPr>
            <w:tcW w:w="1178" w:type="dxa"/>
            <w:tcBorders>
              <w:bottom w:val="single" w:sz="4" w:space="0" w:color="auto"/>
            </w:tcBorders>
          </w:tcPr>
          <w:p w14:paraId="7C78CDB0" w14:textId="77777777" w:rsidR="002063FA" w:rsidRPr="00AA3A35" w:rsidRDefault="002063FA" w:rsidP="00E40CBB">
            <w:pPr>
              <w:pStyle w:val="Tabletext0"/>
              <w:spacing w:before="0" w:after="0"/>
            </w:pPr>
            <w:r w:rsidRPr="00AA3A35">
              <w:t xml:space="preserve">Transition probabilities </w:t>
            </w:r>
          </w:p>
        </w:tc>
        <w:tc>
          <w:tcPr>
            <w:tcW w:w="2682" w:type="dxa"/>
            <w:tcBorders>
              <w:bottom w:val="single" w:sz="4" w:space="0" w:color="auto"/>
            </w:tcBorders>
          </w:tcPr>
          <w:p w14:paraId="4177C80E" w14:textId="77777777" w:rsidR="002063FA" w:rsidRPr="00AA3A35" w:rsidRDefault="002063FA" w:rsidP="00E40CBB">
            <w:pPr>
              <w:pStyle w:val="Tabletext0"/>
              <w:spacing w:before="0" w:after="0"/>
            </w:pPr>
            <w:r w:rsidRPr="00AA3A35">
              <w:t xml:space="preserve">Transition probabilities were calculated from trial data assuming a constant rate of treatment effectiveness between TAVI-BEV and SAVR for 1-year. After this, no treatment benefit was assumed. </w:t>
            </w:r>
          </w:p>
        </w:tc>
        <w:tc>
          <w:tcPr>
            <w:tcW w:w="3036" w:type="dxa"/>
            <w:tcBorders>
              <w:bottom w:val="single" w:sz="4" w:space="0" w:color="auto"/>
            </w:tcBorders>
          </w:tcPr>
          <w:p w14:paraId="2B42A950" w14:textId="77777777" w:rsidR="002063FA" w:rsidRPr="00AA3A35" w:rsidRDefault="002063FA" w:rsidP="00E40CBB">
            <w:pPr>
              <w:pStyle w:val="Tabletext0"/>
              <w:spacing w:before="0" w:after="0"/>
            </w:pPr>
            <w:r w:rsidRPr="00AA3A35">
              <w:t>Trial data were extrapolated beyond the duration of the trials assuming the constant rate of treatment effectiveness.</w:t>
            </w:r>
          </w:p>
        </w:tc>
        <w:tc>
          <w:tcPr>
            <w:tcW w:w="2798" w:type="dxa"/>
            <w:tcBorders>
              <w:bottom w:val="single" w:sz="4" w:space="0" w:color="auto"/>
            </w:tcBorders>
          </w:tcPr>
          <w:p w14:paraId="37662EF1" w14:textId="77777777" w:rsidR="002063FA" w:rsidRPr="00AA3A35" w:rsidRDefault="002063FA" w:rsidP="00E40CBB">
            <w:pPr>
              <w:pStyle w:val="Tabletext0"/>
              <w:spacing w:before="0" w:after="0"/>
              <w:rPr>
                <w:b/>
                <w:bCs/>
              </w:rPr>
            </w:pPr>
            <w:r w:rsidRPr="00AA3A35">
              <w:t>The revised economic model used overall survival transition probabilities from the Kaplan Meier curves published in the key clinical trials (</w:t>
            </w:r>
            <w:r w:rsidRPr="00AA3A35">
              <w:fldChar w:fldCharType="begin">
                <w:fldData xml:space="preserve">PEVuZE5vdGU+PENpdGU+PEF1dGhvcj5NYWNrPC9BdXRob3I+PFllYXI+MjAxNTwvWWVhcj48UmVj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</w:fldData>
              </w:fldChar>
            </w:r>
            <w:r>
              <w:instrText xml:space="preserve"> ADDIN EN.CITE </w:instrText>
            </w:r>
            <w:r>
              <w:fldChar w:fldCharType="begin">
                <w:fldData xml:space="preserve">PEVuZE5vdGU+PENpdGU+PEF1dGhvcj5NYWNrPC9BdXRob3I+PFllYXI+MjAxNTwvWWVhcj48UmVj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</w:fldData>
              </w:fldChar>
            </w:r>
            <w:r>
              <w:instrText xml:space="preserve"> ADDIN EN.CITE.DATA </w:instrText>
            </w:r>
            <w:r>
              <w:fldChar w:fldCharType="end"/>
            </w:r>
            <w:r w:rsidRPr="00AA3A35">
              <w:fldChar w:fldCharType="separate"/>
            </w:r>
            <w:r>
              <w:rPr>
                <w:noProof/>
              </w:rPr>
              <w:t>(</w:t>
            </w:r>
            <w:hyperlink w:anchor="_ENREF_31" w:tooltip="Mack, 2015 #27" w:history="1">
              <w:r>
                <w:rPr>
                  <w:noProof/>
                </w:rPr>
                <w:t>Mack</w:t>
              </w:r>
              <w:r w:rsidRPr="00550BC3">
                <w:rPr>
                  <w:i/>
                  <w:noProof/>
                </w:rPr>
                <w:t xml:space="preserve"> et al.</w:t>
              </w:r>
              <w:r>
                <w:rPr>
                  <w:noProof/>
                </w:rPr>
                <w:t>, 2015</w:t>
              </w:r>
            </w:hyperlink>
            <w:r>
              <w:rPr>
                <w:noProof/>
              </w:rPr>
              <w:t>)</w:t>
            </w:r>
            <w:r w:rsidRPr="00AA3A35">
              <w:fldChar w:fldCharType="end"/>
            </w:r>
            <w:r w:rsidRPr="00AA3A35">
              <w:t xml:space="preserve"> and </w:t>
            </w:r>
            <w:r w:rsidRPr="00AA3A35">
              <w:fldChar w:fldCharType="begin">
                <w:fldData xml:space="preserve">PEVuZE5vdGU+PENpdGU+PEF1dGhvcj5LYXBhZGlhPC9BdXRob3I+PFllYXI+MjAxNTwvWWVhcj48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</w:fldData>
              </w:fldChar>
            </w:r>
            <w:r>
              <w:instrText xml:space="preserve"> ADDIN EN.CITE </w:instrText>
            </w:r>
            <w:r>
              <w:fldChar w:fldCharType="begin">
                <w:fldData xml:space="preserve">PEVuZE5vdGU+PENpdGU+PEF1dGhvcj5LYXBhZGlhPC9BdXRob3I+PFllYXI+MjAxNTwvWWVhcj48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</w:fldData>
              </w:fldChar>
            </w:r>
            <w:r>
              <w:instrText xml:space="preserve"> ADDIN EN.CITE.DATA </w:instrText>
            </w:r>
            <w:r>
              <w:fldChar w:fldCharType="end"/>
            </w:r>
            <w:r w:rsidRPr="00AA3A35">
              <w:fldChar w:fldCharType="separate"/>
            </w:r>
            <w:r>
              <w:rPr>
                <w:noProof/>
              </w:rPr>
              <w:t>(</w:t>
            </w:r>
            <w:hyperlink w:anchor="_ENREF_24" w:tooltip="Kapadia, 2015 #28" w:history="1">
              <w:r>
                <w:rPr>
                  <w:noProof/>
                </w:rPr>
                <w:t>Kapadia</w:t>
              </w:r>
              <w:r w:rsidRPr="00550BC3">
                <w:rPr>
                  <w:i/>
                  <w:noProof/>
                </w:rPr>
                <w:t xml:space="preserve"> et al.</w:t>
              </w:r>
              <w:r>
                <w:rPr>
                  <w:noProof/>
                </w:rPr>
                <w:t>, 2015</w:t>
              </w:r>
            </w:hyperlink>
            <w:r>
              <w:rPr>
                <w:noProof/>
              </w:rPr>
              <w:t>)</w:t>
            </w:r>
            <w:r w:rsidRPr="00AA3A35">
              <w:fldChar w:fldCharType="end"/>
            </w:r>
            <w:r w:rsidRPr="00AA3A35">
              <w:t xml:space="preserve">. Point estimates were retrieved by digitalizing the curves, running a regression analysis for point estimates and deriving probabilities by calculating the ratio of the point estimate at t with t+1. </w:t>
            </w:r>
          </w:p>
        </w:tc>
      </w:tr>
    </w:tbl>
    <w:p w14:paraId="7E169128" w14:textId="77777777" w:rsidR="002063FA" w:rsidRPr="00541D95" w:rsidRDefault="002063FA" w:rsidP="002063FA">
      <w:pPr>
        <w:pStyle w:val="TableFooter"/>
        <w:rPr>
          <w:i/>
          <w:iCs/>
        </w:rPr>
      </w:pPr>
      <w:r w:rsidRPr="00541D95">
        <w:rPr>
          <w:i/>
          <w:iCs/>
        </w:rPr>
        <w:t>Abbreviations: SAVR = surgical aortic valve replacement; TAVI-BEV = transcatheter aortic valve implantation – balloon-expandable valve system; TAVI-SEV = transcatheter aortic valve implantation – self-expandable valve system. CMA?</w:t>
      </w:r>
    </w:p>
    <w:p w14:paraId="42CBAC09" w14:textId="41CDE10C" w:rsidR="002063FA" w:rsidRDefault="002063FA" w:rsidP="00B36C1B">
      <w:pPr>
        <w:pStyle w:val="TableFooter"/>
        <w:spacing w:after="240"/>
        <w:rPr>
          <w:i/>
          <w:iCs/>
        </w:rPr>
      </w:pPr>
      <w:r w:rsidRPr="00541D95">
        <w:rPr>
          <w:i/>
          <w:iCs/>
        </w:rPr>
        <w:t xml:space="preserve">Source: Table 37, pp67-68 of the </w:t>
      </w:r>
      <w:r w:rsidR="00DD7827">
        <w:rPr>
          <w:i/>
          <w:iCs/>
        </w:rPr>
        <w:t>Commentary</w:t>
      </w:r>
      <w:r w:rsidRPr="00541D95">
        <w:rPr>
          <w:i/>
          <w:iCs/>
        </w:rPr>
        <w:t xml:space="preserve">, </w:t>
      </w:r>
      <w:r w:rsidRPr="00310A49">
        <w:rPr>
          <w:i/>
          <w:iCs/>
        </w:rPr>
        <w:t>and added in by Department</w:t>
      </w:r>
    </w:p>
    <w:p w14:paraId="1A939C87" w14:textId="77777777" w:rsidR="002063FA" w:rsidRDefault="002063FA" w:rsidP="002063FA">
      <w:pPr>
        <w:pStyle w:val="Heading2"/>
      </w:pPr>
      <w:r>
        <w:t>TAVI low risk application</w:t>
      </w:r>
    </w:p>
    <w:p w14:paraId="2BE8B6EB" w14:textId="073E565B" w:rsidR="002063FA" w:rsidRDefault="002063FA" w:rsidP="002063FA">
      <w:r>
        <w:t xml:space="preserve">An application for </w:t>
      </w:r>
      <w:r w:rsidR="00E40C30">
        <w:t>TAVI-BEV</w:t>
      </w:r>
      <w:r>
        <w:t xml:space="preserve"> for patient at low risk of surgery (MSAC application 1635) was considered at the August 2020 PASC meeting.</w:t>
      </w:r>
    </w:p>
    <w:p w14:paraId="19BE20FA" w14:textId="77777777" w:rsidR="002063FA" w:rsidRDefault="002063FA" w:rsidP="002063FA">
      <w:pPr>
        <w:pStyle w:val="Heading2"/>
      </w:pPr>
      <w:r>
        <w:t>TAVI + cerebral embolic protection (CEP) application</w:t>
      </w:r>
    </w:p>
    <w:p w14:paraId="6409E50B" w14:textId="1C8CACDD" w:rsidR="002063FA" w:rsidRDefault="002063FA" w:rsidP="002063FA">
      <w:pPr>
        <w:tabs>
          <w:tab w:val="left" w:pos="720"/>
          <w:tab w:val="left" w:pos="1140"/>
        </w:tabs>
      </w:pPr>
      <w:r>
        <w:rPr>
          <w:szCs w:val="24"/>
        </w:rPr>
        <w:t xml:space="preserve">MSAC application 1605- </w:t>
      </w:r>
      <w:r>
        <w:t>transradial delivery of a dual filter CEP system, performed as an adjunct during TAVI, will also be reviewed by ESC and MSAC at the October 2020 and November 2020 meetings, respectively.</w:t>
      </w:r>
    </w:p>
    <w:p w14:paraId="6B68E72B" w14:textId="735F9401" w:rsidR="002063FA" w:rsidRPr="00A539FC" w:rsidRDefault="00E047A5" w:rsidP="0060464A">
      <w:pPr>
        <w:tabs>
          <w:tab w:val="left" w:pos="720"/>
          <w:tab w:val="left" w:pos="1140"/>
        </w:tabs>
        <w:spacing w:before="240"/>
        <w:rPr>
          <w:szCs w:val="24"/>
        </w:rPr>
      </w:pPr>
      <w:r w:rsidRPr="00A539FC">
        <w:rPr>
          <w:b/>
        </w:rPr>
        <w:t>Redacted</w:t>
      </w:r>
      <w:r w:rsidR="002063FA" w:rsidRPr="00A539FC">
        <w:t>.</w:t>
      </w:r>
    </w:p>
    <w:p w14:paraId="32795F86" w14:textId="77777777" w:rsidR="00BC1364" w:rsidRPr="00F715D1" w:rsidRDefault="00BC1364" w:rsidP="00B36C1B">
      <w:pPr>
        <w:pStyle w:val="Heading1"/>
      </w:pPr>
      <w:r w:rsidRPr="00F715D1">
        <w:t>Prerequisites to implementation of any funding advice</w:t>
      </w:r>
    </w:p>
    <w:p w14:paraId="54B2F913" w14:textId="3F9A7DC2" w:rsidR="00E40CBB" w:rsidRPr="00E40CBB" w:rsidRDefault="00B36C1B" w:rsidP="00E40CBB">
      <w:pPr>
        <w:tabs>
          <w:tab w:val="left" w:pos="720"/>
          <w:tab w:val="left" w:pos="1140"/>
        </w:tabs>
        <w:rPr>
          <w:szCs w:val="24"/>
        </w:rPr>
      </w:pPr>
      <w:r w:rsidRPr="00D47829">
        <w:rPr>
          <w:szCs w:val="24"/>
        </w:rPr>
        <w:t>The SAPIEN 3</w:t>
      </w:r>
      <w:r>
        <w:rPr>
          <w:szCs w:val="24"/>
        </w:rPr>
        <w:t xml:space="preserve"> </w:t>
      </w:r>
      <w:r w:rsidR="00E40C30">
        <w:rPr>
          <w:szCs w:val="24"/>
        </w:rPr>
        <w:t>TAVI-BEV</w:t>
      </w:r>
      <w:r>
        <w:rPr>
          <w:szCs w:val="24"/>
        </w:rPr>
        <w:t xml:space="preserve"> device is</w:t>
      </w:r>
      <w:r w:rsidRPr="00D47829">
        <w:rPr>
          <w:szCs w:val="24"/>
        </w:rPr>
        <w:t xml:space="preserve"> </w:t>
      </w:r>
      <w:r w:rsidRPr="00E3576F">
        <w:rPr>
          <w:szCs w:val="24"/>
        </w:rPr>
        <w:t xml:space="preserve">Australian Register of Therapeutic Goods </w:t>
      </w:r>
      <w:r>
        <w:rPr>
          <w:szCs w:val="24"/>
        </w:rPr>
        <w:t>(</w:t>
      </w:r>
      <w:r w:rsidRPr="00D47829">
        <w:rPr>
          <w:szCs w:val="24"/>
        </w:rPr>
        <w:t>ARTG registered</w:t>
      </w:r>
      <w:r>
        <w:rPr>
          <w:szCs w:val="24"/>
        </w:rPr>
        <w:t xml:space="preserve"> (ARTG no. 284496)</w:t>
      </w:r>
      <w:r w:rsidRPr="00D47829">
        <w:rPr>
          <w:szCs w:val="24"/>
        </w:rPr>
        <w:t xml:space="preserve"> </w:t>
      </w:r>
      <w:r>
        <w:rPr>
          <w:szCs w:val="24"/>
        </w:rPr>
        <w:t>and</w:t>
      </w:r>
      <w:r w:rsidRPr="00D47829">
        <w:rPr>
          <w:szCs w:val="24"/>
        </w:rPr>
        <w:t xml:space="preserve"> </w:t>
      </w:r>
      <w:r w:rsidRPr="0004635A">
        <w:rPr>
          <w:szCs w:val="24"/>
        </w:rPr>
        <w:t>is indicated for relief of aortic stenos</w:t>
      </w:r>
      <w:r>
        <w:rPr>
          <w:szCs w:val="24"/>
        </w:rPr>
        <w:t xml:space="preserve">is in patients with symptomatic </w:t>
      </w:r>
      <w:r w:rsidRPr="0004635A">
        <w:rPr>
          <w:szCs w:val="24"/>
        </w:rPr>
        <w:t>heart disease due to severe native calcific aortic stenosis who are judged by a Heart Team, inc</w:t>
      </w:r>
      <w:r>
        <w:rPr>
          <w:szCs w:val="24"/>
        </w:rPr>
        <w:t xml:space="preserve">luding a cardiac surgeon, to be </w:t>
      </w:r>
      <w:r w:rsidRPr="0004635A">
        <w:rPr>
          <w:szCs w:val="24"/>
        </w:rPr>
        <w:t>appropriate for the transcatheter heart valve replacement therapy</w:t>
      </w:r>
      <w:r w:rsidRPr="00D47829">
        <w:rPr>
          <w:szCs w:val="24"/>
        </w:rPr>
        <w:t>.</w:t>
      </w:r>
      <w:r>
        <w:rPr>
          <w:szCs w:val="24"/>
        </w:rPr>
        <w:t xml:space="preserve"> The </w:t>
      </w:r>
      <w:r w:rsidR="00E40C30">
        <w:rPr>
          <w:szCs w:val="24"/>
        </w:rPr>
        <w:t>TAVI-SEV</w:t>
      </w:r>
      <w:r>
        <w:rPr>
          <w:szCs w:val="24"/>
        </w:rPr>
        <w:t xml:space="preserve"> devices (CoreValve</w:t>
      </w:r>
      <w:r w:rsidRPr="001502FC">
        <w:t xml:space="preserve"> </w:t>
      </w:r>
      <w:r w:rsidRPr="001502FC">
        <w:rPr>
          <w:szCs w:val="24"/>
        </w:rPr>
        <w:t>Evolut</w:t>
      </w:r>
      <w:r>
        <w:rPr>
          <w:szCs w:val="24"/>
        </w:rPr>
        <w:t xml:space="preserve"> devices) by Medtronic are also ARTG registered (ARTG no. 284003, 319850) for all </w:t>
      </w:r>
      <w:r w:rsidRPr="00D47829">
        <w:rPr>
          <w:szCs w:val="24"/>
        </w:rPr>
        <w:t>patients with symptomatic</w:t>
      </w:r>
      <w:r>
        <w:rPr>
          <w:szCs w:val="24"/>
        </w:rPr>
        <w:t xml:space="preserve"> </w:t>
      </w:r>
      <w:r w:rsidRPr="00D47829">
        <w:rPr>
          <w:szCs w:val="24"/>
        </w:rPr>
        <w:t>severe AS, regardless of surgical risk</w:t>
      </w:r>
      <w:r>
        <w:rPr>
          <w:szCs w:val="24"/>
        </w:rPr>
        <w:t xml:space="preserve"> (Table 2).</w:t>
      </w:r>
      <w:bookmarkStart w:id="1" w:name="_Ref51171806"/>
      <w:r w:rsidR="00E40CBB">
        <w:br w:type="page"/>
      </w:r>
    </w:p>
    <w:p w14:paraId="6DFB950F" w14:textId="2C6A8811" w:rsidR="00B36C1B" w:rsidRPr="00AC061E" w:rsidRDefault="00B36C1B" w:rsidP="00AC061E">
      <w:pPr>
        <w:spacing w:before="240"/>
        <w:rPr>
          <w:rFonts w:ascii="Arial Narrow" w:hAnsi="Arial Narrow"/>
          <w:b/>
          <w:sz w:val="20"/>
        </w:rPr>
      </w:pPr>
      <w:r w:rsidRPr="00AC061E">
        <w:rPr>
          <w:rFonts w:ascii="Arial Narrow" w:hAnsi="Arial Narrow"/>
          <w:b/>
          <w:sz w:val="20"/>
        </w:rPr>
        <w:t xml:space="preserve">Table </w:t>
      </w:r>
      <w:bookmarkEnd w:id="1"/>
      <w:r w:rsidR="00E40C30" w:rsidRPr="00AC061E">
        <w:rPr>
          <w:rFonts w:ascii="Arial Narrow" w:hAnsi="Arial Narrow"/>
          <w:b/>
          <w:sz w:val="20"/>
        </w:rPr>
        <w:t>2</w:t>
      </w:r>
      <w:r w:rsidR="00E40C30" w:rsidRPr="00AC061E">
        <w:rPr>
          <w:rFonts w:ascii="Arial Narrow" w:hAnsi="Arial Narrow"/>
          <w:b/>
          <w:sz w:val="20"/>
        </w:rPr>
        <w:tab/>
      </w:r>
      <w:r w:rsidRPr="00AC061E">
        <w:rPr>
          <w:rFonts w:ascii="Arial Narrow" w:hAnsi="Arial Narrow"/>
          <w:b/>
          <w:sz w:val="20"/>
        </w:rPr>
        <w:t>ARTG registration status for Edwards SAPIEN 3 (i.e. TAVI-BEV) and near market comparators (i.e. TAVI-SEV): Medtronic CoreValve, Medtronic CoreValve Evolut R System and Abbott Portico system</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ARTG registration status for Edwards SAPIEN 3 (i.e. TAVI-BEV) and near market comparators (i.e. TAVI-SEV): Medtronic CoreValve, Medtronic CoreValve Evolut R System and Abbott Portico system"/>
      </w:tblPr>
      <w:tblGrid>
        <w:gridCol w:w="1072"/>
        <w:gridCol w:w="1229"/>
        <w:gridCol w:w="3220"/>
        <w:gridCol w:w="2394"/>
        <w:gridCol w:w="1194"/>
      </w:tblGrid>
      <w:tr w:rsidR="00B36C1B" w:rsidRPr="00E3576F" w14:paraId="3DD204FB" w14:textId="77777777" w:rsidTr="00040D5B">
        <w:trPr>
          <w:trHeight w:val="60"/>
          <w:tblHeader/>
        </w:trPr>
        <w:tc>
          <w:tcPr>
            <w:tcW w:w="1072" w:type="dxa"/>
            <w:tcMar>
              <w:top w:w="0" w:type="dxa"/>
              <w:left w:w="108" w:type="dxa"/>
              <w:bottom w:w="0" w:type="dxa"/>
              <w:right w:w="108" w:type="dxa"/>
            </w:tcMar>
            <w:hideMark/>
          </w:tcPr>
          <w:p w14:paraId="67925543" w14:textId="77777777" w:rsidR="00B36C1B" w:rsidRPr="00E3576F" w:rsidRDefault="00B36C1B" w:rsidP="00E40CBB">
            <w:pPr>
              <w:rPr>
                <w:rFonts w:ascii="Arial Narrow" w:hAnsi="Arial Narrow" w:cs="Tahoma"/>
                <w:b/>
                <w:bCs/>
                <w:sz w:val="20"/>
              </w:rPr>
            </w:pPr>
            <w:r w:rsidRPr="00E3576F">
              <w:rPr>
                <w:rFonts w:ascii="Arial Narrow" w:hAnsi="Arial Narrow" w:cs="Tahoma"/>
                <w:b/>
                <w:bCs/>
                <w:sz w:val="20"/>
              </w:rPr>
              <w:t>ARTG no.</w:t>
            </w:r>
          </w:p>
        </w:tc>
        <w:tc>
          <w:tcPr>
            <w:tcW w:w="1229" w:type="dxa"/>
            <w:tcMar>
              <w:top w:w="0" w:type="dxa"/>
              <w:left w:w="108" w:type="dxa"/>
              <w:bottom w:w="0" w:type="dxa"/>
              <w:right w:w="108" w:type="dxa"/>
            </w:tcMar>
            <w:hideMark/>
          </w:tcPr>
          <w:p w14:paraId="73DDCC12" w14:textId="77777777" w:rsidR="00B36C1B" w:rsidRPr="00E3576F" w:rsidRDefault="00B36C1B" w:rsidP="00E40CBB">
            <w:pPr>
              <w:rPr>
                <w:rFonts w:ascii="Arial Narrow" w:hAnsi="Arial Narrow" w:cs="Tahoma"/>
                <w:b/>
                <w:bCs/>
                <w:sz w:val="20"/>
              </w:rPr>
            </w:pPr>
            <w:r w:rsidRPr="00E3576F">
              <w:rPr>
                <w:rFonts w:ascii="Arial Narrow" w:hAnsi="Arial Narrow" w:cs="Tahoma"/>
                <w:b/>
                <w:bCs/>
                <w:sz w:val="20"/>
              </w:rPr>
              <w:t>Product Name</w:t>
            </w:r>
          </w:p>
        </w:tc>
        <w:tc>
          <w:tcPr>
            <w:tcW w:w="3220" w:type="dxa"/>
            <w:tcMar>
              <w:top w:w="0" w:type="dxa"/>
              <w:left w:w="108" w:type="dxa"/>
              <w:bottom w:w="0" w:type="dxa"/>
              <w:right w:w="108" w:type="dxa"/>
            </w:tcMar>
            <w:hideMark/>
          </w:tcPr>
          <w:p w14:paraId="1EEABB7D" w14:textId="77777777" w:rsidR="00B36C1B" w:rsidRPr="00E3576F" w:rsidRDefault="00B36C1B" w:rsidP="00E40CBB">
            <w:pPr>
              <w:rPr>
                <w:rFonts w:ascii="Arial Narrow" w:hAnsi="Arial Narrow" w:cs="Tahoma"/>
                <w:b/>
                <w:bCs/>
                <w:sz w:val="20"/>
              </w:rPr>
            </w:pPr>
            <w:r w:rsidRPr="00E3576F">
              <w:rPr>
                <w:rFonts w:ascii="Arial Narrow" w:hAnsi="Arial Narrow" w:cs="Tahoma"/>
                <w:b/>
                <w:bCs/>
                <w:sz w:val="20"/>
              </w:rPr>
              <w:t xml:space="preserve">Product Description </w:t>
            </w:r>
          </w:p>
        </w:tc>
        <w:tc>
          <w:tcPr>
            <w:tcW w:w="2394" w:type="dxa"/>
            <w:tcMar>
              <w:top w:w="0" w:type="dxa"/>
              <w:left w:w="108" w:type="dxa"/>
              <w:bottom w:w="0" w:type="dxa"/>
              <w:right w:w="108" w:type="dxa"/>
            </w:tcMar>
            <w:hideMark/>
          </w:tcPr>
          <w:p w14:paraId="2E276215" w14:textId="77777777" w:rsidR="00B36C1B" w:rsidRPr="00E3576F" w:rsidRDefault="00B36C1B" w:rsidP="00E40CBB">
            <w:pPr>
              <w:rPr>
                <w:rFonts w:ascii="Arial Narrow" w:hAnsi="Arial Narrow" w:cs="Tahoma"/>
                <w:b/>
                <w:bCs/>
                <w:sz w:val="20"/>
              </w:rPr>
            </w:pPr>
            <w:r w:rsidRPr="00E3576F">
              <w:rPr>
                <w:rFonts w:ascii="Arial Narrow" w:hAnsi="Arial Narrow" w:cs="Tahoma"/>
                <w:b/>
                <w:bCs/>
                <w:sz w:val="20"/>
              </w:rPr>
              <w:t>Intended Purpose</w:t>
            </w:r>
          </w:p>
        </w:tc>
        <w:tc>
          <w:tcPr>
            <w:tcW w:w="1194" w:type="dxa"/>
            <w:tcMar>
              <w:top w:w="0" w:type="dxa"/>
              <w:left w:w="108" w:type="dxa"/>
              <w:bottom w:w="0" w:type="dxa"/>
              <w:right w:w="108" w:type="dxa"/>
            </w:tcMar>
            <w:hideMark/>
          </w:tcPr>
          <w:p w14:paraId="37EA97E5" w14:textId="77777777" w:rsidR="00B36C1B" w:rsidRPr="00E3576F" w:rsidRDefault="00B36C1B" w:rsidP="00E40CBB">
            <w:pPr>
              <w:rPr>
                <w:rFonts w:ascii="Arial Narrow" w:hAnsi="Arial Narrow" w:cs="Tahoma"/>
                <w:b/>
                <w:bCs/>
                <w:sz w:val="20"/>
              </w:rPr>
            </w:pPr>
            <w:r w:rsidRPr="00E3576F">
              <w:rPr>
                <w:rFonts w:ascii="Arial Narrow" w:hAnsi="Arial Narrow" w:cs="Tahoma"/>
                <w:b/>
                <w:bCs/>
                <w:sz w:val="20"/>
              </w:rPr>
              <w:t>Sponsor</w:t>
            </w:r>
          </w:p>
        </w:tc>
      </w:tr>
      <w:tr w:rsidR="00B36C1B" w:rsidRPr="00E3576F" w14:paraId="21419CDE" w14:textId="77777777" w:rsidTr="00040D5B">
        <w:trPr>
          <w:trHeight w:val="60"/>
        </w:trPr>
        <w:tc>
          <w:tcPr>
            <w:tcW w:w="1072" w:type="dxa"/>
            <w:tcBorders>
              <w:top w:val="single" w:sz="4" w:space="0" w:color="auto"/>
              <w:left w:val="single" w:sz="4" w:space="0" w:color="auto"/>
              <w:bottom w:val="single" w:sz="4" w:space="0" w:color="auto"/>
              <w:right w:val="nil"/>
            </w:tcBorders>
            <w:tcMar>
              <w:top w:w="0" w:type="dxa"/>
              <w:left w:w="108" w:type="dxa"/>
              <w:bottom w:w="0" w:type="dxa"/>
              <w:right w:w="108" w:type="dxa"/>
            </w:tcMar>
          </w:tcPr>
          <w:p w14:paraId="3D15F464" w14:textId="29404928" w:rsidR="00B36C1B" w:rsidRPr="00E3576F" w:rsidRDefault="00E40C30" w:rsidP="00E40CBB">
            <w:pPr>
              <w:rPr>
                <w:rFonts w:ascii="Arial Narrow" w:hAnsi="Arial Narrow" w:cs="Tahoma"/>
                <w:b/>
                <w:bCs/>
                <w:sz w:val="20"/>
              </w:rPr>
            </w:pPr>
            <w:r>
              <w:rPr>
                <w:rFonts w:ascii="Arial Narrow" w:hAnsi="Arial Narrow" w:cs="Tahoma"/>
                <w:b/>
                <w:bCs/>
                <w:sz w:val="20"/>
              </w:rPr>
              <w:t>TAVI-BEV</w:t>
            </w:r>
          </w:p>
        </w:tc>
        <w:tc>
          <w:tcPr>
            <w:tcW w:w="1229" w:type="dxa"/>
            <w:tcBorders>
              <w:top w:val="single" w:sz="4" w:space="0" w:color="auto"/>
              <w:left w:val="nil"/>
              <w:bottom w:val="single" w:sz="4" w:space="0" w:color="auto"/>
              <w:right w:val="nil"/>
            </w:tcBorders>
            <w:tcMar>
              <w:top w:w="0" w:type="dxa"/>
              <w:left w:w="108" w:type="dxa"/>
              <w:bottom w:w="0" w:type="dxa"/>
              <w:right w:w="108" w:type="dxa"/>
            </w:tcMar>
          </w:tcPr>
          <w:p w14:paraId="0E4D66B0" w14:textId="77777777" w:rsidR="00B36C1B" w:rsidRPr="00E3576F" w:rsidRDefault="00B36C1B" w:rsidP="00E40CBB">
            <w:pPr>
              <w:rPr>
                <w:rFonts w:ascii="Arial Narrow" w:hAnsi="Arial Narrow" w:cs="Tahoma"/>
                <w:b/>
                <w:bCs/>
                <w:sz w:val="20"/>
              </w:rPr>
            </w:pPr>
          </w:p>
        </w:tc>
        <w:tc>
          <w:tcPr>
            <w:tcW w:w="3220" w:type="dxa"/>
            <w:tcBorders>
              <w:top w:val="single" w:sz="4" w:space="0" w:color="auto"/>
              <w:left w:val="nil"/>
              <w:bottom w:val="single" w:sz="4" w:space="0" w:color="auto"/>
              <w:right w:val="nil"/>
            </w:tcBorders>
            <w:tcMar>
              <w:top w:w="0" w:type="dxa"/>
              <w:left w:w="108" w:type="dxa"/>
              <w:bottom w:w="0" w:type="dxa"/>
              <w:right w:w="108" w:type="dxa"/>
            </w:tcMar>
          </w:tcPr>
          <w:p w14:paraId="4A6936EB" w14:textId="77777777" w:rsidR="00B36C1B" w:rsidRPr="00E3576F" w:rsidRDefault="00B36C1B" w:rsidP="00E40CBB">
            <w:pPr>
              <w:rPr>
                <w:rFonts w:ascii="Arial Narrow" w:hAnsi="Arial Narrow" w:cs="Tahoma"/>
                <w:b/>
                <w:bCs/>
                <w:sz w:val="20"/>
              </w:rPr>
            </w:pPr>
          </w:p>
        </w:tc>
        <w:tc>
          <w:tcPr>
            <w:tcW w:w="2394" w:type="dxa"/>
            <w:tcBorders>
              <w:top w:val="single" w:sz="4" w:space="0" w:color="auto"/>
              <w:left w:val="nil"/>
              <w:bottom w:val="single" w:sz="4" w:space="0" w:color="auto"/>
              <w:right w:val="nil"/>
            </w:tcBorders>
            <w:tcMar>
              <w:top w:w="0" w:type="dxa"/>
              <w:left w:w="108" w:type="dxa"/>
              <w:bottom w:w="0" w:type="dxa"/>
              <w:right w:w="108" w:type="dxa"/>
            </w:tcMar>
          </w:tcPr>
          <w:p w14:paraId="416CAC10" w14:textId="77777777" w:rsidR="00B36C1B" w:rsidRPr="00E3576F" w:rsidRDefault="00B36C1B" w:rsidP="00E40CBB">
            <w:pPr>
              <w:rPr>
                <w:rFonts w:ascii="Arial Narrow" w:hAnsi="Arial Narrow" w:cs="Tahoma"/>
                <w:b/>
                <w:bCs/>
                <w:sz w:val="20"/>
              </w:rPr>
            </w:pPr>
          </w:p>
        </w:tc>
        <w:tc>
          <w:tcPr>
            <w:tcW w:w="119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111C1BA" w14:textId="77777777" w:rsidR="00B36C1B" w:rsidRPr="00E3576F" w:rsidRDefault="00B36C1B" w:rsidP="00E40CBB">
            <w:pPr>
              <w:rPr>
                <w:rFonts w:ascii="Arial Narrow" w:hAnsi="Arial Narrow" w:cs="Tahoma"/>
                <w:b/>
                <w:bCs/>
                <w:sz w:val="20"/>
              </w:rPr>
            </w:pPr>
          </w:p>
        </w:tc>
      </w:tr>
      <w:tr w:rsidR="00B36C1B" w:rsidRPr="00E3576F" w14:paraId="2F3CC745" w14:textId="77777777" w:rsidTr="00040D5B">
        <w:trPr>
          <w:trHeight w:val="60"/>
        </w:trPr>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BAF23" w14:textId="77777777" w:rsidR="00B36C1B" w:rsidRPr="00A107DD" w:rsidRDefault="00B36C1B" w:rsidP="00E40CBB">
            <w:pPr>
              <w:pStyle w:val="Tabletext0"/>
              <w:spacing w:before="0" w:after="0"/>
            </w:pPr>
            <w:r w:rsidRPr="00A107DD">
              <w:t>284496</w:t>
            </w:r>
          </w:p>
          <w:p w14:paraId="3FEAC9CA" w14:textId="77777777" w:rsidR="00B36C1B" w:rsidRPr="00E3576F" w:rsidRDefault="00B36C1B" w:rsidP="00E40CBB">
            <w:pPr>
              <w:pStyle w:val="Tabletext0"/>
              <w:spacing w:before="0" w:after="0"/>
              <w:rPr>
                <w:rFonts w:cs="Tahoma"/>
                <w:b/>
                <w:bCs/>
              </w:rPr>
            </w:pP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C1430" w14:textId="77777777" w:rsidR="00B36C1B" w:rsidRPr="00E3576F" w:rsidRDefault="00B36C1B" w:rsidP="00E40CBB">
            <w:pPr>
              <w:pStyle w:val="Tabletext0"/>
              <w:spacing w:before="0" w:after="0"/>
              <w:rPr>
                <w:rFonts w:cs="Tahoma"/>
                <w:b/>
                <w:bCs/>
              </w:rPr>
            </w:pPr>
            <w:r w:rsidRPr="00A107DD">
              <w:t>60245 Aortic transcatheter heart valve bioprosthesis, stent-like framework</w:t>
            </w:r>
          </w:p>
        </w:tc>
        <w:tc>
          <w:tcPr>
            <w:tcW w:w="3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F4C0E" w14:textId="77777777" w:rsidR="00B36C1B" w:rsidRPr="00E3576F" w:rsidRDefault="00B36C1B" w:rsidP="00E40CBB">
            <w:pPr>
              <w:pStyle w:val="Tabletext0"/>
              <w:spacing w:before="0" w:after="0"/>
              <w:rPr>
                <w:rFonts w:cs="Tahoma"/>
                <w:b/>
                <w:bCs/>
              </w:rPr>
            </w:pPr>
            <w:r w:rsidRPr="00A107DD">
              <w:t>The Edwards SAPIEN 3 transcatheter heart valve is comprised of a balloon-expandable, radiopaque, cobalt-chromium alloy frame, a trileaflet bovine pericardial tissue valve, a polyethylene terephthalate (PET) inner skirt, and a PET outer skirt. The Commander Delivery system components are intended for use via transfemoral access.</w:t>
            </w:r>
          </w:p>
        </w:tc>
        <w:tc>
          <w:tcPr>
            <w:tcW w:w="2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8E07" w14:textId="77777777" w:rsidR="00B36C1B" w:rsidRPr="00E3576F" w:rsidRDefault="00B36C1B" w:rsidP="00E40CBB">
            <w:pPr>
              <w:pStyle w:val="Tabletext0"/>
              <w:spacing w:before="0" w:after="0"/>
              <w:rPr>
                <w:rFonts w:cs="Tahoma"/>
                <w:b/>
                <w:bCs/>
              </w:rPr>
            </w:pPr>
            <w:r w:rsidRPr="00A107DD">
              <w:t>The Edwards SAPIEN 3 Transcatheter Heart Valve System is indicated for relief of aortic stenosis in patients with symptomatic heart disease due to severe native calcific aortic stenosis who are judged by a Heart Team, including a cardiac surgeon, to be appropriate for the transcatheter heart valve replacement therapy.</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66D51" w14:textId="77777777" w:rsidR="00B36C1B" w:rsidRPr="00E3576F" w:rsidRDefault="00B36C1B" w:rsidP="00E40CBB">
            <w:pPr>
              <w:pStyle w:val="Tabletext0"/>
              <w:spacing w:before="0" w:after="0"/>
              <w:rPr>
                <w:rFonts w:cs="Tahoma"/>
                <w:b/>
                <w:bCs/>
              </w:rPr>
            </w:pPr>
            <w:r w:rsidRPr="00C82D59">
              <w:t>Edwards Lifesciences Pty Ltd</w:t>
            </w:r>
          </w:p>
        </w:tc>
      </w:tr>
      <w:tr w:rsidR="00B36C1B" w:rsidRPr="00E3576F" w14:paraId="7B97DC8C" w14:textId="77777777" w:rsidTr="00040D5B">
        <w:trPr>
          <w:trHeight w:val="60"/>
        </w:trPr>
        <w:tc>
          <w:tcPr>
            <w:tcW w:w="107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49B56BDF" w14:textId="77777777" w:rsidR="00B36C1B" w:rsidRPr="00E3576F" w:rsidRDefault="00B36C1B" w:rsidP="00E40CBB">
            <w:pPr>
              <w:rPr>
                <w:rFonts w:ascii="Arial Narrow" w:hAnsi="Arial Narrow" w:cs="Tahoma"/>
                <w:b/>
                <w:bCs/>
                <w:sz w:val="20"/>
              </w:rPr>
            </w:pPr>
            <w:r w:rsidRPr="00E3576F">
              <w:rPr>
                <w:rFonts w:ascii="Arial Narrow" w:hAnsi="Arial Narrow" w:cs="Tahoma"/>
                <w:b/>
                <w:bCs/>
                <w:sz w:val="20"/>
              </w:rPr>
              <w:t>TAVI-SEV</w:t>
            </w:r>
          </w:p>
        </w:tc>
        <w:tc>
          <w:tcPr>
            <w:tcW w:w="1229" w:type="dxa"/>
            <w:tcBorders>
              <w:top w:val="single" w:sz="4" w:space="0" w:color="auto"/>
              <w:left w:val="nil"/>
              <w:bottom w:val="single" w:sz="4" w:space="0" w:color="auto"/>
              <w:right w:val="nil"/>
            </w:tcBorders>
            <w:tcMar>
              <w:top w:w="0" w:type="dxa"/>
              <w:left w:w="108" w:type="dxa"/>
              <w:bottom w:w="0" w:type="dxa"/>
              <w:right w:w="108" w:type="dxa"/>
            </w:tcMar>
          </w:tcPr>
          <w:p w14:paraId="4FF820A1" w14:textId="77777777" w:rsidR="00B36C1B" w:rsidRPr="00E3576F" w:rsidRDefault="00B36C1B" w:rsidP="00E40CBB">
            <w:pPr>
              <w:rPr>
                <w:rFonts w:ascii="Arial Narrow" w:hAnsi="Arial Narrow" w:cs="Tahoma"/>
                <w:b/>
                <w:bCs/>
                <w:sz w:val="20"/>
              </w:rPr>
            </w:pPr>
          </w:p>
        </w:tc>
        <w:tc>
          <w:tcPr>
            <w:tcW w:w="3220" w:type="dxa"/>
            <w:tcBorders>
              <w:top w:val="single" w:sz="4" w:space="0" w:color="auto"/>
              <w:left w:val="nil"/>
              <w:bottom w:val="single" w:sz="4" w:space="0" w:color="auto"/>
              <w:right w:val="nil"/>
            </w:tcBorders>
            <w:tcMar>
              <w:top w:w="0" w:type="dxa"/>
              <w:left w:w="108" w:type="dxa"/>
              <w:bottom w:w="0" w:type="dxa"/>
              <w:right w:w="108" w:type="dxa"/>
            </w:tcMar>
          </w:tcPr>
          <w:p w14:paraId="7D08996D" w14:textId="77777777" w:rsidR="00B36C1B" w:rsidRPr="00E3576F" w:rsidRDefault="00B36C1B" w:rsidP="00E40CBB">
            <w:pPr>
              <w:rPr>
                <w:rFonts w:ascii="Arial Narrow" w:hAnsi="Arial Narrow" w:cs="Tahoma"/>
                <w:b/>
                <w:bCs/>
                <w:sz w:val="20"/>
              </w:rPr>
            </w:pPr>
          </w:p>
        </w:tc>
        <w:tc>
          <w:tcPr>
            <w:tcW w:w="2394" w:type="dxa"/>
            <w:tcBorders>
              <w:top w:val="single" w:sz="4" w:space="0" w:color="auto"/>
              <w:left w:val="nil"/>
              <w:bottom w:val="single" w:sz="4" w:space="0" w:color="auto"/>
              <w:right w:val="nil"/>
            </w:tcBorders>
            <w:tcMar>
              <w:top w:w="0" w:type="dxa"/>
              <w:left w:w="108" w:type="dxa"/>
              <w:bottom w:w="0" w:type="dxa"/>
              <w:right w:w="108" w:type="dxa"/>
            </w:tcMar>
          </w:tcPr>
          <w:p w14:paraId="4DF2DBBD" w14:textId="77777777" w:rsidR="00B36C1B" w:rsidRPr="00E3576F" w:rsidRDefault="00B36C1B" w:rsidP="00E40CBB">
            <w:pPr>
              <w:rPr>
                <w:rFonts w:ascii="Arial Narrow" w:hAnsi="Arial Narrow" w:cs="Tahoma"/>
                <w:b/>
                <w:bCs/>
                <w:sz w:val="20"/>
              </w:rPr>
            </w:pPr>
          </w:p>
        </w:tc>
        <w:tc>
          <w:tcPr>
            <w:tcW w:w="119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8E4C649" w14:textId="77777777" w:rsidR="00B36C1B" w:rsidRPr="00E3576F" w:rsidRDefault="00B36C1B" w:rsidP="00E40CBB">
            <w:pPr>
              <w:rPr>
                <w:rFonts w:ascii="Arial Narrow" w:hAnsi="Arial Narrow" w:cs="Tahoma"/>
                <w:b/>
                <w:bCs/>
                <w:sz w:val="20"/>
              </w:rPr>
            </w:pPr>
          </w:p>
        </w:tc>
      </w:tr>
      <w:tr w:rsidR="00B36C1B" w:rsidRPr="00E3576F" w14:paraId="6ACEB103" w14:textId="77777777" w:rsidTr="00040D5B">
        <w:trPr>
          <w:trHeight w:val="396"/>
        </w:trPr>
        <w:tc>
          <w:tcPr>
            <w:tcW w:w="1072" w:type="dxa"/>
            <w:tcBorders>
              <w:top w:val="single" w:sz="4" w:space="0" w:color="auto"/>
            </w:tcBorders>
            <w:tcMar>
              <w:top w:w="0" w:type="dxa"/>
              <w:left w:w="108" w:type="dxa"/>
              <w:bottom w:w="0" w:type="dxa"/>
              <w:right w:w="108" w:type="dxa"/>
            </w:tcMar>
            <w:hideMark/>
          </w:tcPr>
          <w:p w14:paraId="0BF4D4C8" w14:textId="77777777" w:rsidR="00B36C1B" w:rsidRPr="00E3576F" w:rsidRDefault="00B36C1B" w:rsidP="00E40CBB">
            <w:pPr>
              <w:rPr>
                <w:rFonts w:ascii="Arial Narrow" w:hAnsi="Arial Narrow" w:cs="Tahoma"/>
                <w:sz w:val="20"/>
              </w:rPr>
            </w:pPr>
            <w:r w:rsidRPr="00E3576F">
              <w:rPr>
                <w:rFonts w:ascii="Arial Narrow" w:hAnsi="Arial Narrow" w:cs="Tahoma"/>
                <w:sz w:val="20"/>
              </w:rPr>
              <w:t>254835</w:t>
            </w:r>
          </w:p>
        </w:tc>
        <w:tc>
          <w:tcPr>
            <w:tcW w:w="1229" w:type="dxa"/>
            <w:tcBorders>
              <w:top w:val="single" w:sz="4" w:space="0" w:color="auto"/>
            </w:tcBorders>
            <w:tcMar>
              <w:top w:w="0" w:type="dxa"/>
              <w:left w:w="108" w:type="dxa"/>
              <w:bottom w:w="0" w:type="dxa"/>
              <w:right w:w="108" w:type="dxa"/>
            </w:tcMar>
            <w:hideMark/>
          </w:tcPr>
          <w:p w14:paraId="4A93C21D" w14:textId="77777777" w:rsidR="00B36C1B" w:rsidRPr="00E3576F" w:rsidRDefault="00B36C1B" w:rsidP="00E40CBB">
            <w:pPr>
              <w:rPr>
                <w:rFonts w:ascii="Arial Narrow" w:hAnsi="Arial Narrow" w:cs="Tahoma"/>
                <w:sz w:val="20"/>
              </w:rPr>
            </w:pPr>
            <w:r w:rsidRPr="00E3576F">
              <w:rPr>
                <w:rFonts w:ascii="Arial Narrow" w:hAnsi="Arial Narrow" w:cs="Tahoma"/>
                <w:sz w:val="20"/>
              </w:rPr>
              <w:t>Portico Transcatheter Heart Valve – Aortic – Aortic transcatheter heart valve bioprosthesis, stent-like framework</w:t>
            </w:r>
          </w:p>
        </w:tc>
        <w:tc>
          <w:tcPr>
            <w:tcW w:w="3220" w:type="dxa"/>
            <w:tcBorders>
              <w:top w:val="single" w:sz="4" w:space="0" w:color="auto"/>
            </w:tcBorders>
            <w:tcMar>
              <w:top w:w="0" w:type="dxa"/>
              <w:left w:w="108" w:type="dxa"/>
              <w:bottom w:w="0" w:type="dxa"/>
              <w:right w:w="108" w:type="dxa"/>
            </w:tcMar>
            <w:hideMark/>
          </w:tcPr>
          <w:p w14:paraId="218ABAFD" w14:textId="77777777" w:rsidR="00B36C1B" w:rsidRPr="00E3576F" w:rsidRDefault="00B36C1B" w:rsidP="00E40CBB">
            <w:pPr>
              <w:rPr>
                <w:rFonts w:ascii="Arial Narrow" w:hAnsi="Arial Narrow" w:cs="Tahoma"/>
                <w:sz w:val="20"/>
              </w:rPr>
            </w:pPr>
            <w:r w:rsidRPr="00E3576F">
              <w:rPr>
                <w:rFonts w:ascii="Arial Narrow" w:hAnsi="Arial Narrow" w:cs="Tahoma"/>
                <w:sz w:val="20"/>
              </w:rPr>
              <w:t>The Portico valve is a pericardial, tri-leaflet valve, mounted inside a self-expanding stent designed for intra-annular placement using minimally invasive techniques. The valve is designed to be implanted in the native aortic heart valve without open-heart surgery and without concomitant surgical removal of the failed native valve.</w:t>
            </w:r>
          </w:p>
        </w:tc>
        <w:tc>
          <w:tcPr>
            <w:tcW w:w="2394" w:type="dxa"/>
            <w:tcBorders>
              <w:top w:val="single" w:sz="4" w:space="0" w:color="auto"/>
            </w:tcBorders>
            <w:tcMar>
              <w:top w:w="0" w:type="dxa"/>
              <w:left w:w="108" w:type="dxa"/>
              <w:bottom w:w="0" w:type="dxa"/>
              <w:right w:w="108" w:type="dxa"/>
            </w:tcMar>
            <w:hideMark/>
          </w:tcPr>
          <w:p w14:paraId="62343754" w14:textId="77777777" w:rsidR="00B36C1B" w:rsidRPr="00E3576F" w:rsidRDefault="00B36C1B" w:rsidP="00E40CBB">
            <w:pPr>
              <w:rPr>
                <w:rFonts w:ascii="Arial Narrow" w:hAnsi="Arial Narrow" w:cs="Tahoma"/>
                <w:sz w:val="20"/>
              </w:rPr>
            </w:pPr>
            <w:r w:rsidRPr="00E3576F">
              <w:rPr>
                <w:rFonts w:ascii="Arial Narrow" w:hAnsi="Arial Narrow" w:cs="Tahoma"/>
                <w:sz w:val="20"/>
              </w:rPr>
              <w:t xml:space="preserve">The Portico valve is indicated for transcatheter delivery in patients with symptomatic severe native aortic stenosis who are considered </w:t>
            </w:r>
            <w:r w:rsidRPr="00E3576F">
              <w:rPr>
                <w:rFonts w:ascii="Arial Narrow" w:hAnsi="Arial Narrow" w:cs="Tahoma"/>
                <w:sz w:val="20"/>
                <w:u w:val="single"/>
              </w:rPr>
              <w:t>high surgical risk.</w:t>
            </w:r>
          </w:p>
        </w:tc>
        <w:tc>
          <w:tcPr>
            <w:tcW w:w="1194" w:type="dxa"/>
            <w:tcBorders>
              <w:top w:val="single" w:sz="4" w:space="0" w:color="auto"/>
            </w:tcBorders>
            <w:tcMar>
              <w:top w:w="0" w:type="dxa"/>
              <w:left w:w="108" w:type="dxa"/>
              <w:bottom w:w="0" w:type="dxa"/>
              <w:right w:w="108" w:type="dxa"/>
            </w:tcMar>
            <w:hideMark/>
          </w:tcPr>
          <w:p w14:paraId="083B6CEF" w14:textId="77777777" w:rsidR="00B36C1B" w:rsidRPr="00E3576F" w:rsidRDefault="00B36C1B" w:rsidP="00E40CBB">
            <w:pPr>
              <w:rPr>
                <w:rFonts w:ascii="Arial Narrow" w:hAnsi="Arial Narrow" w:cs="Tahoma"/>
                <w:sz w:val="20"/>
              </w:rPr>
            </w:pPr>
            <w:r w:rsidRPr="00E3576F">
              <w:rPr>
                <w:rFonts w:ascii="Arial Narrow" w:hAnsi="Arial Narrow" w:cs="Tahoma"/>
                <w:sz w:val="20"/>
              </w:rPr>
              <w:t>Abbott Medical Australia Pty Ltd</w:t>
            </w:r>
          </w:p>
        </w:tc>
      </w:tr>
      <w:tr w:rsidR="00B36C1B" w:rsidRPr="00E3576F" w14:paraId="2F8BA2B9" w14:textId="77777777" w:rsidTr="00040D5B">
        <w:trPr>
          <w:trHeight w:val="286"/>
        </w:trPr>
        <w:tc>
          <w:tcPr>
            <w:tcW w:w="1072" w:type="dxa"/>
            <w:tcMar>
              <w:top w:w="0" w:type="dxa"/>
              <w:left w:w="108" w:type="dxa"/>
              <w:bottom w:w="0" w:type="dxa"/>
              <w:right w:w="108" w:type="dxa"/>
            </w:tcMar>
            <w:hideMark/>
          </w:tcPr>
          <w:p w14:paraId="1669B608" w14:textId="77777777" w:rsidR="00B36C1B" w:rsidRPr="00E3576F" w:rsidRDefault="00B36C1B" w:rsidP="00E40CBB">
            <w:pPr>
              <w:rPr>
                <w:rFonts w:ascii="Arial Narrow" w:hAnsi="Arial Narrow" w:cs="Tahoma"/>
                <w:sz w:val="20"/>
              </w:rPr>
            </w:pPr>
            <w:r w:rsidRPr="00E3576F">
              <w:rPr>
                <w:rFonts w:ascii="Arial Narrow" w:hAnsi="Arial Narrow" w:cs="Tahoma"/>
                <w:sz w:val="20"/>
              </w:rPr>
              <w:t>284003</w:t>
            </w:r>
          </w:p>
        </w:tc>
        <w:tc>
          <w:tcPr>
            <w:tcW w:w="1229" w:type="dxa"/>
            <w:tcMar>
              <w:top w:w="0" w:type="dxa"/>
              <w:left w:w="108" w:type="dxa"/>
              <w:bottom w:w="0" w:type="dxa"/>
              <w:right w:w="108" w:type="dxa"/>
            </w:tcMar>
            <w:hideMark/>
          </w:tcPr>
          <w:p w14:paraId="707900C8" w14:textId="77777777" w:rsidR="00B36C1B" w:rsidRPr="00E3576F" w:rsidRDefault="00B36C1B" w:rsidP="00E40CBB">
            <w:pPr>
              <w:rPr>
                <w:rFonts w:ascii="Arial Narrow" w:hAnsi="Arial Narrow" w:cs="Tahoma"/>
                <w:sz w:val="20"/>
              </w:rPr>
            </w:pPr>
            <w:r w:rsidRPr="00E3576F">
              <w:rPr>
                <w:rFonts w:ascii="Arial Narrow" w:hAnsi="Arial Narrow" w:cs="Tahoma"/>
                <w:sz w:val="20"/>
              </w:rPr>
              <w:t>Medtronic CoreValve Evolut R System – Aortic transcatheter heart valve bioprosthesis, stent-like framework</w:t>
            </w:r>
          </w:p>
        </w:tc>
        <w:tc>
          <w:tcPr>
            <w:tcW w:w="3220" w:type="dxa"/>
            <w:tcMar>
              <w:top w:w="0" w:type="dxa"/>
              <w:left w:w="108" w:type="dxa"/>
              <w:bottom w:w="0" w:type="dxa"/>
              <w:right w:w="108" w:type="dxa"/>
            </w:tcMar>
            <w:hideMark/>
          </w:tcPr>
          <w:p w14:paraId="6D1FFB7B" w14:textId="77777777" w:rsidR="00B36C1B" w:rsidRPr="00E3576F" w:rsidRDefault="00B36C1B" w:rsidP="00E40CBB">
            <w:pPr>
              <w:rPr>
                <w:rFonts w:ascii="Arial Narrow" w:hAnsi="Arial Narrow" w:cs="Tahoma"/>
                <w:sz w:val="20"/>
              </w:rPr>
            </w:pPr>
            <w:r w:rsidRPr="00E3576F">
              <w:rPr>
                <w:rFonts w:ascii="Arial Narrow" w:hAnsi="Arial Narrow" w:cs="Tahoma"/>
                <w:sz w:val="20"/>
              </w:rPr>
              <w:t xml:space="preserve">The Medtronic CoreValve™ Evolut™ R system is a recapturable transcatheter aortic valve </w:t>
            </w:r>
            <w:r w:rsidRPr="003027E7">
              <w:rPr>
                <w:rFonts w:ascii="Arial Narrow" w:hAnsi="Arial Narrow" w:cs="Tahoma"/>
                <w:b/>
                <w:sz w:val="20"/>
                <w:u w:val="single"/>
              </w:rPr>
              <w:t>implantation</w:t>
            </w:r>
            <w:r w:rsidRPr="00E3576F">
              <w:rPr>
                <w:rFonts w:ascii="Arial Narrow" w:hAnsi="Arial Narrow" w:cs="Tahoma"/>
                <w:sz w:val="20"/>
              </w:rPr>
              <w:t xml:space="preserve"> system, which includes the CoreValve™ Evolut™ R transcatheter aortic valve, the EnVeo™ R delivery catheter system, and the EnVeo™ R loading system. The support frame is manufactured from Nitinol, which has multilevel, self-expanding properties and is radiopaque. The bioprosthesis is manufactured by suturing valve leaflets and a skirt from porcine pericardium into a tri-leaflet configuration.</w:t>
            </w:r>
          </w:p>
        </w:tc>
        <w:tc>
          <w:tcPr>
            <w:tcW w:w="2394" w:type="dxa"/>
            <w:tcMar>
              <w:top w:w="0" w:type="dxa"/>
              <w:left w:w="108" w:type="dxa"/>
              <w:bottom w:w="0" w:type="dxa"/>
              <w:right w:w="108" w:type="dxa"/>
            </w:tcMar>
            <w:hideMark/>
          </w:tcPr>
          <w:p w14:paraId="7EFF7D37" w14:textId="77777777" w:rsidR="00B36C1B" w:rsidRPr="00E3576F" w:rsidRDefault="00B36C1B" w:rsidP="00E40CBB">
            <w:pPr>
              <w:rPr>
                <w:rFonts w:ascii="Arial Narrow" w:hAnsi="Arial Narrow" w:cs="Tahoma"/>
                <w:sz w:val="20"/>
              </w:rPr>
            </w:pPr>
            <w:r w:rsidRPr="00E3576F">
              <w:rPr>
                <w:rFonts w:ascii="Arial Narrow" w:hAnsi="Arial Narrow" w:cs="Tahoma"/>
                <w:sz w:val="20"/>
              </w:rPr>
              <w:t xml:space="preserve">The Medtronic CoreValve Evolut R system is indicated for relief of aortic stenosis in patients with symptomatic heart disease due to severe native calcific aortic stenosis </w:t>
            </w:r>
            <w:r w:rsidRPr="00E3576F">
              <w:rPr>
                <w:rFonts w:ascii="Arial Narrow" w:hAnsi="Arial Narrow" w:cs="Tahoma"/>
                <w:sz w:val="20"/>
                <w:u w:val="single"/>
              </w:rPr>
              <w:t>who are judged by a heart team, including a cardiac surgeon, to be appropriate for the transcatheter heart valve replacement therapy.</w:t>
            </w:r>
          </w:p>
        </w:tc>
        <w:tc>
          <w:tcPr>
            <w:tcW w:w="1194" w:type="dxa"/>
            <w:tcMar>
              <w:top w:w="0" w:type="dxa"/>
              <w:left w:w="108" w:type="dxa"/>
              <w:bottom w:w="0" w:type="dxa"/>
              <w:right w:w="108" w:type="dxa"/>
            </w:tcMar>
            <w:hideMark/>
          </w:tcPr>
          <w:p w14:paraId="2A739799" w14:textId="77777777" w:rsidR="00B36C1B" w:rsidRPr="00E3576F" w:rsidRDefault="00B36C1B" w:rsidP="00E40CBB">
            <w:pPr>
              <w:rPr>
                <w:rFonts w:ascii="Arial Narrow" w:hAnsi="Arial Narrow" w:cs="Tahoma"/>
                <w:sz w:val="20"/>
              </w:rPr>
            </w:pPr>
            <w:r w:rsidRPr="00E3576F">
              <w:rPr>
                <w:rFonts w:ascii="Arial Narrow" w:hAnsi="Arial Narrow" w:cs="Tahoma"/>
                <w:sz w:val="20"/>
              </w:rPr>
              <w:t>Medtronic Australasia Pty Ltd</w:t>
            </w:r>
          </w:p>
        </w:tc>
      </w:tr>
      <w:tr w:rsidR="00B36C1B" w:rsidRPr="00E3576F" w14:paraId="22DCA56A" w14:textId="77777777" w:rsidTr="00040D5B">
        <w:trPr>
          <w:trHeight w:val="272"/>
        </w:trPr>
        <w:tc>
          <w:tcPr>
            <w:tcW w:w="1072" w:type="dxa"/>
            <w:tcMar>
              <w:top w:w="0" w:type="dxa"/>
              <w:left w:w="108" w:type="dxa"/>
              <w:bottom w:w="0" w:type="dxa"/>
              <w:right w:w="108" w:type="dxa"/>
            </w:tcMar>
            <w:hideMark/>
          </w:tcPr>
          <w:p w14:paraId="1AEE5A64" w14:textId="77777777" w:rsidR="00B36C1B" w:rsidRPr="00E3576F" w:rsidRDefault="00B36C1B" w:rsidP="00E40CBB">
            <w:pPr>
              <w:rPr>
                <w:rFonts w:ascii="Arial Narrow" w:hAnsi="Arial Narrow" w:cs="Tahoma"/>
                <w:sz w:val="20"/>
              </w:rPr>
            </w:pPr>
            <w:r w:rsidRPr="00E3576F">
              <w:rPr>
                <w:rFonts w:ascii="Arial Narrow" w:hAnsi="Arial Narrow" w:cs="Tahoma"/>
                <w:sz w:val="20"/>
              </w:rPr>
              <w:t>319850</w:t>
            </w:r>
          </w:p>
        </w:tc>
        <w:tc>
          <w:tcPr>
            <w:tcW w:w="1229" w:type="dxa"/>
            <w:tcMar>
              <w:top w:w="0" w:type="dxa"/>
              <w:left w:w="108" w:type="dxa"/>
              <w:bottom w:w="0" w:type="dxa"/>
              <w:right w:w="108" w:type="dxa"/>
            </w:tcMar>
            <w:hideMark/>
          </w:tcPr>
          <w:p w14:paraId="450E773C" w14:textId="77777777" w:rsidR="00B36C1B" w:rsidRPr="00E3576F" w:rsidRDefault="00B36C1B" w:rsidP="00E40CBB">
            <w:pPr>
              <w:rPr>
                <w:rFonts w:ascii="Arial Narrow" w:hAnsi="Arial Narrow" w:cs="Tahoma"/>
                <w:sz w:val="20"/>
              </w:rPr>
            </w:pPr>
            <w:r w:rsidRPr="00E3576F">
              <w:rPr>
                <w:rFonts w:ascii="Arial Narrow" w:hAnsi="Arial Narrow" w:cs="Tahoma"/>
                <w:sz w:val="20"/>
              </w:rPr>
              <w:t>CoreValve Evolut PRO system – Aortic transcatheter heart valve bioprosthesis, stent-like framework</w:t>
            </w:r>
          </w:p>
        </w:tc>
        <w:tc>
          <w:tcPr>
            <w:tcW w:w="3220" w:type="dxa"/>
            <w:tcMar>
              <w:top w:w="0" w:type="dxa"/>
              <w:left w:w="108" w:type="dxa"/>
              <w:bottom w:w="0" w:type="dxa"/>
              <w:right w:w="108" w:type="dxa"/>
            </w:tcMar>
            <w:hideMark/>
          </w:tcPr>
          <w:p w14:paraId="57010885" w14:textId="77777777" w:rsidR="00B36C1B" w:rsidRPr="00E3576F" w:rsidRDefault="00B36C1B" w:rsidP="00E40CBB">
            <w:pPr>
              <w:rPr>
                <w:rFonts w:ascii="Arial Narrow" w:hAnsi="Arial Narrow" w:cs="Tahoma"/>
                <w:sz w:val="20"/>
              </w:rPr>
            </w:pPr>
            <w:r w:rsidRPr="00E3576F">
              <w:rPr>
                <w:rFonts w:ascii="Arial Narrow" w:hAnsi="Arial Narrow" w:cs="Tahoma"/>
                <w:sz w:val="20"/>
              </w:rPr>
              <w:t xml:space="preserve">The </w:t>
            </w:r>
            <w:r>
              <w:rPr>
                <w:rFonts w:ascii="Arial Narrow" w:hAnsi="Arial Narrow" w:cs="Tahoma"/>
                <w:sz w:val="20"/>
              </w:rPr>
              <w:t xml:space="preserve">Medtronic </w:t>
            </w:r>
            <w:r w:rsidRPr="00E3576F">
              <w:rPr>
                <w:rFonts w:ascii="Arial Narrow" w:hAnsi="Arial Narrow" w:cs="Tahoma"/>
                <w:sz w:val="20"/>
              </w:rPr>
              <w:t xml:space="preserve">Evolut PRO system is a recapturable transcatheter aortic valve </w:t>
            </w:r>
            <w:r w:rsidRPr="003027E7">
              <w:rPr>
                <w:rFonts w:ascii="Arial Narrow" w:hAnsi="Arial Narrow" w:cs="Tahoma"/>
                <w:sz w:val="20"/>
                <w:u w:val="single"/>
              </w:rPr>
              <w:t>replacement</w:t>
            </w:r>
            <w:r w:rsidRPr="00E3576F">
              <w:rPr>
                <w:rFonts w:ascii="Arial Narrow" w:hAnsi="Arial Narrow" w:cs="Tahoma"/>
                <w:sz w:val="20"/>
              </w:rPr>
              <w:t xml:space="preserve"> system, which includes the CoreValve Evolut PRO transcatheter aortic valve, the EnVeo R delivery catheter system, and the EnVeo R loading system. The support frame is manufactured from Nitinol, which has multilevel, self-expanding properties and is radiopaque. The bioprosthesis is manufactured by suturing valve leaflets and an inner skirt from porcine pericardium into a tri-leaflet configuration.</w:t>
            </w:r>
          </w:p>
        </w:tc>
        <w:tc>
          <w:tcPr>
            <w:tcW w:w="2394" w:type="dxa"/>
            <w:tcMar>
              <w:top w:w="0" w:type="dxa"/>
              <w:left w:w="108" w:type="dxa"/>
              <w:bottom w:w="0" w:type="dxa"/>
              <w:right w:w="108" w:type="dxa"/>
            </w:tcMar>
            <w:hideMark/>
          </w:tcPr>
          <w:p w14:paraId="5DB0BA58" w14:textId="77777777" w:rsidR="00B36C1B" w:rsidRPr="00E3576F" w:rsidRDefault="00B36C1B" w:rsidP="00E40CBB">
            <w:pPr>
              <w:rPr>
                <w:rFonts w:ascii="Arial Narrow" w:hAnsi="Arial Narrow" w:cs="Tahoma"/>
                <w:sz w:val="20"/>
              </w:rPr>
            </w:pPr>
            <w:r w:rsidRPr="00E3576F">
              <w:rPr>
                <w:rFonts w:ascii="Arial Narrow" w:hAnsi="Arial Narrow" w:cs="Tahoma"/>
                <w:sz w:val="20"/>
              </w:rPr>
              <w:t xml:space="preserve">The Medtronic CoreValve Evolut PRO system is indicated for relief of aortic stenosis in patients with symptomatic heart disease due to severe native calcific aortic stenosis </w:t>
            </w:r>
            <w:r w:rsidRPr="00E3576F">
              <w:rPr>
                <w:rFonts w:ascii="Arial Narrow" w:hAnsi="Arial Narrow" w:cs="Tahoma"/>
                <w:sz w:val="20"/>
                <w:u w:val="single"/>
              </w:rPr>
              <w:t>who are judged by a heart team, including a cardiac surgeon, to be appropriate for the transcatheter heart valve replacement therapy.</w:t>
            </w:r>
          </w:p>
        </w:tc>
        <w:tc>
          <w:tcPr>
            <w:tcW w:w="1194" w:type="dxa"/>
            <w:tcMar>
              <w:top w:w="0" w:type="dxa"/>
              <w:left w:w="108" w:type="dxa"/>
              <w:bottom w:w="0" w:type="dxa"/>
              <w:right w:w="108" w:type="dxa"/>
            </w:tcMar>
            <w:hideMark/>
          </w:tcPr>
          <w:p w14:paraId="5FE9AE9D" w14:textId="77777777" w:rsidR="00B36C1B" w:rsidRPr="00E3576F" w:rsidRDefault="00B36C1B" w:rsidP="00E40CBB">
            <w:pPr>
              <w:rPr>
                <w:rFonts w:ascii="Arial Narrow" w:hAnsi="Arial Narrow" w:cs="Tahoma"/>
                <w:sz w:val="20"/>
              </w:rPr>
            </w:pPr>
            <w:r w:rsidRPr="00E3576F">
              <w:rPr>
                <w:rFonts w:ascii="Arial Narrow" w:hAnsi="Arial Narrow" w:cs="Tahoma"/>
                <w:sz w:val="20"/>
              </w:rPr>
              <w:t>Medtronic Australasia Pty Ltd</w:t>
            </w:r>
          </w:p>
        </w:tc>
      </w:tr>
    </w:tbl>
    <w:p w14:paraId="05C287F6" w14:textId="219FD8EC" w:rsidR="00B36C1B" w:rsidRDefault="00B36C1B" w:rsidP="00B36C1B">
      <w:pPr>
        <w:pStyle w:val="Tablenotes"/>
      </w:pPr>
      <w:r>
        <w:t xml:space="preserve">Source: Compiled from Table 11 p25; and Table 12, pp26-27 of the </w:t>
      </w:r>
      <w:r w:rsidR="00DD7827">
        <w:t>Commentary</w:t>
      </w:r>
    </w:p>
    <w:p w14:paraId="12E6A18A" w14:textId="77777777" w:rsidR="00B36C1B" w:rsidRPr="00EE216E" w:rsidRDefault="00B36C1B" w:rsidP="00B36C1B">
      <w:pPr>
        <w:pStyle w:val="Tablenotes"/>
      </w:pPr>
      <w:r w:rsidRPr="000D08D4">
        <w:t>Abbreviations: ARTG = Australian Register of Therapeutic Goods; SEV = self-expanding valves; TAVI = transcatheter aortic valve</w:t>
      </w:r>
    </w:p>
    <w:p w14:paraId="34CFF550" w14:textId="77777777" w:rsidR="00BC1364" w:rsidRPr="00F715D1" w:rsidRDefault="00BC1364" w:rsidP="00F715D1">
      <w:pPr>
        <w:pStyle w:val="Heading1"/>
      </w:pPr>
      <w:r w:rsidRPr="00F715D1">
        <w:t>Proposal for public funding</w:t>
      </w:r>
    </w:p>
    <w:p w14:paraId="6C1ED63A" w14:textId="6797C383" w:rsidR="00B36C1B" w:rsidRDefault="00B36C1B" w:rsidP="00B36C1B">
      <w:r>
        <w:t>The proposed MBS item descriptors are summarise in Table 3.</w:t>
      </w:r>
    </w:p>
    <w:p w14:paraId="760D6215" w14:textId="0EF6A30A" w:rsidR="00B36C1B" w:rsidRPr="00AC061E" w:rsidRDefault="00B36C1B" w:rsidP="00AC061E">
      <w:pPr>
        <w:spacing w:before="240"/>
        <w:rPr>
          <w:rFonts w:ascii="Arial Narrow" w:hAnsi="Arial Narrow"/>
          <w:b/>
          <w:sz w:val="20"/>
        </w:rPr>
      </w:pPr>
      <w:bookmarkStart w:id="2" w:name="_Ref51581287"/>
      <w:r w:rsidRPr="00AC061E">
        <w:rPr>
          <w:rFonts w:ascii="Arial Narrow" w:hAnsi="Arial Narrow"/>
          <w:b/>
          <w:sz w:val="20"/>
        </w:rPr>
        <w:t xml:space="preserve">Table </w:t>
      </w:r>
      <w:bookmarkEnd w:id="2"/>
      <w:r w:rsidR="00E40C30" w:rsidRPr="00AC061E">
        <w:rPr>
          <w:rFonts w:ascii="Arial Narrow" w:hAnsi="Arial Narrow"/>
          <w:b/>
          <w:sz w:val="20"/>
        </w:rPr>
        <w:t>3</w:t>
      </w:r>
      <w:r w:rsidR="00E40C30" w:rsidRPr="00AC061E">
        <w:rPr>
          <w:rFonts w:ascii="Arial Narrow" w:hAnsi="Arial Narrow"/>
          <w:b/>
          <w:sz w:val="20"/>
        </w:rPr>
        <w:tab/>
      </w:r>
      <w:r w:rsidRPr="00AC061E">
        <w:rPr>
          <w:rFonts w:ascii="Arial Narrow" w:hAnsi="Arial Narrow"/>
          <w:b/>
          <w:sz w:val="20"/>
        </w:rPr>
        <w:t>Proposed MBS item descriptor</w:t>
      </w:r>
    </w:p>
    <w:tbl>
      <w:tblPr>
        <w:tblStyle w:val="TableGrid2"/>
        <w:tblW w:w="5000" w:type="pct"/>
        <w:tblLook w:val="04A0" w:firstRow="1" w:lastRow="0" w:firstColumn="1" w:lastColumn="0" w:noHBand="0" w:noVBand="1"/>
        <w:tblDescription w:val="Proposed MBS item descriptor"/>
      </w:tblPr>
      <w:tblGrid>
        <w:gridCol w:w="9016"/>
      </w:tblGrid>
      <w:tr w:rsidR="00B36C1B" w:rsidRPr="00EC0B08" w14:paraId="045BAC07" w14:textId="77777777" w:rsidTr="00AC061E">
        <w:trPr>
          <w:cnfStyle w:val="100000000000" w:firstRow="1" w:lastRow="0" w:firstColumn="0" w:lastColumn="0" w:oddVBand="0" w:evenVBand="0" w:oddHBand="0" w:evenHBand="0" w:firstRowFirstColumn="0" w:firstRowLastColumn="0" w:lastRowFirstColumn="0" w:lastRowLastColumn="0"/>
          <w:tblHeader/>
        </w:trPr>
        <w:tc>
          <w:tcPr>
            <w:tcW w:w="5000" w:type="pct"/>
          </w:tcPr>
          <w:p w14:paraId="7A78B8EF" w14:textId="77777777" w:rsidR="00B36C1B" w:rsidRPr="00EC0B08" w:rsidRDefault="00B36C1B" w:rsidP="00040D5B">
            <w:pPr>
              <w:keepNext/>
              <w:keepLines/>
              <w:jc w:val="right"/>
              <w:rPr>
                <w:rFonts w:ascii="Arial Narrow" w:hAnsi="Arial Narrow" w:cs="Arial"/>
                <w:lang w:eastAsia="en-US"/>
              </w:rPr>
            </w:pPr>
            <w:r w:rsidRPr="00EC0B08">
              <w:rPr>
                <w:rFonts w:ascii="Arial Narrow" w:hAnsi="Arial Narrow" w:cs="Arial"/>
                <w:sz w:val="20"/>
                <w:lang w:eastAsia="en-US"/>
              </w:rPr>
              <w:t>Category X – XXXXX</w:t>
            </w:r>
          </w:p>
        </w:tc>
      </w:tr>
      <w:tr w:rsidR="00B36C1B" w:rsidRPr="00EC0B08" w14:paraId="68F91560" w14:textId="77777777" w:rsidTr="00AC061E">
        <w:tc>
          <w:tcPr>
            <w:tcW w:w="5000" w:type="pct"/>
          </w:tcPr>
          <w:p w14:paraId="67D2D9DD" w14:textId="02A1F405" w:rsidR="00B36C1B" w:rsidRPr="00EC0B08" w:rsidRDefault="00B36C1B" w:rsidP="00040D5B">
            <w:pPr>
              <w:keepNext/>
              <w:keepLines/>
              <w:rPr>
                <w:rFonts w:cs="Tahoma"/>
                <w:sz w:val="20"/>
                <w:u w:color="FF0000"/>
              </w:rPr>
            </w:pPr>
            <w:r w:rsidRPr="00EC0B08">
              <w:rPr>
                <w:rFonts w:cs="Tahoma"/>
                <w:sz w:val="20"/>
                <w:u w:color="FF0000"/>
              </w:rPr>
              <w:t>TAVI, using a balloon-expandable system, for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1EFCF2BE" w14:textId="77777777" w:rsidR="00B36C1B" w:rsidRPr="00EC0B08" w:rsidRDefault="00B36C1B" w:rsidP="0060464A">
            <w:pPr>
              <w:keepNext/>
              <w:keepLines/>
              <w:spacing w:before="240"/>
              <w:rPr>
                <w:rFonts w:cs="Tahoma"/>
                <w:sz w:val="20"/>
                <w:u w:color="FF0000"/>
              </w:rPr>
            </w:pPr>
            <w:r w:rsidRPr="00EC0B08">
              <w:rPr>
                <w:rFonts w:cs="Tahoma"/>
                <w:sz w:val="20"/>
                <w:u w:color="FF0000"/>
              </w:rPr>
              <w:t>(Not payable more than once per patient in a five-year period.)</w:t>
            </w:r>
          </w:p>
        </w:tc>
      </w:tr>
      <w:tr w:rsidR="00B36C1B" w:rsidRPr="00EC0B08" w14:paraId="095D4B54" w14:textId="77777777" w:rsidTr="00AC061E">
        <w:tc>
          <w:tcPr>
            <w:tcW w:w="5000" w:type="pct"/>
          </w:tcPr>
          <w:p w14:paraId="7A638303" w14:textId="41629FE4" w:rsidR="00B36C1B" w:rsidRPr="0060464A" w:rsidRDefault="00B36C1B" w:rsidP="00040D5B">
            <w:pPr>
              <w:keepNext/>
              <w:keepLines/>
              <w:rPr>
                <w:rFonts w:cs="Tahoma"/>
                <w:i/>
                <w:iCs/>
                <w:sz w:val="20"/>
                <w:u w:color="FF0000"/>
              </w:rPr>
            </w:pPr>
            <w:r w:rsidRPr="00EC0B08">
              <w:rPr>
                <w:rFonts w:cs="Tahoma"/>
                <w:i/>
                <w:iCs/>
                <w:sz w:val="20"/>
                <w:u w:color="FF0000"/>
              </w:rPr>
              <w:t>Notes: The Health Insurance (Section 3C General Medical Services - Transcatheter Aortic Valve Implantation) Determination 2017(Cth) (Department of Health 2017) outlines the definitions of a TAVI Patient, TAVI Hospital and TAVI Practitioner.</w:t>
            </w:r>
          </w:p>
          <w:p w14:paraId="38508EBD" w14:textId="2138A26E" w:rsidR="00B36C1B" w:rsidRPr="00EC0B08" w:rsidRDefault="00B36C1B" w:rsidP="0060464A">
            <w:pPr>
              <w:keepNext/>
              <w:keepLines/>
              <w:spacing w:before="240"/>
              <w:rPr>
                <w:rFonts w:cs="Tahoma"/>
                <w:sz w:val="20"/>
                <w:u w:color="FF0000"/>
              </w:rPr>
            </w:pPr>
            <w:r w:rsidRPr="00EC0B08">
              <w:rPr>
                <w:rFonts w:cs="Tahoma"/>
                <w:sz w:val="20"/>
                <w:u w:color="FF0000"/>
              </w:rPr>
              <w:t xml:space="preserve">TAVI Patient is a patient who, as a result of a TAVI Case Conference, has been assessed as having an intermediate risk for surgical aortic valve replacement and is recommended as being suitable to receive the service described in Item XXXXX. </w:t>
            </w:r>
          </w:p>
          <w:p w14:paraId="36FD6252" w14:textId="0D9B3F15" w:rsidR="00B36C1B" w:rsidRPr="00EC0B08" w:rsidRDefault="00B36C1B" w:rsidP="0060464A">
            <w:pPr>
              <w:keepNext/>
              <w:keepLines/>
              <w:spacing w:before="240"/>
              <w:rPr>
                <w:rFonts w:cs="Tahoma"/>
                <w:sz w:val="20"/>
                <w:u w:color="FF0000"/>
              </w:rPr>
            </w:pPr>
            <w:r w:rsidRPr="00EC0B08">
              <w:rPr>
                <w:rFonts w:cs="Tahoma"/>
                <w:sz w:val="20"/>
                <w:u w:color="FF0000"/>
              </w:rPr>
              <w:t>TAVI Hospital means a hospital, as defined by subsection 121-5(5) of the Private Health Insurance Act 2007, that is clinically accepted as being a suitable hospital in which the service described in Item XXXXX may be performed.</w:t>
            </w:r>
          </w:p>
          <w:p w14:paraId="31B1B443" w14:textId="77777777" w:rsidR="00B36C1B" w:rsidRPr="00EC0B08" w:rsidRDefault="00B36C1B" w:rsidP="0060464A">
            <w:pPr>
              <w:keepNext/>
              <w:keepLines/>
              <w:spacing w:before="240"/>
              <w:rPr>
                <w:rFonts w:cs="Tahoma"/>
                <w:sz w:val="20"/>
                <w:u w:color="FF0000"/>
              </w:rPr>
            </w:pPr>
            <w:r w:rsidRPr="00EC0B08">
              <w:rPr>
                <w:rFonts w:cs="Tahoma"/>
                <w:sz w:val="20"/>
                <w:u w:color="FF0000"/>
              </w:rPr>
              <w:t>TAVI Practitioner is either a cardiothoracic surgeon or interventional cardiologist who is accredited by the Cardiac Accreditation Services Limited.</w:t>
            </w:r>
          </w:p>
        </w:tc>
      </w:tr>
      <w:tr w:rsidR="00B36C1B" w:rsidRPr="00EC0B08" w14:paraId="663B8E66" w14:textId="77777777" w:rsidTr="00AC061E">
        <w:trPr>
          <w:trHeight w:val="77"/>
        </w:trPr>
        <w:tc>
          <w:tcPr>
            <w:tcW w:w="5000" w:type="pct"/>
          </w:tcPr>
          <w:p w14:paraId="5B1F98F3" w14:textId="6C893E46" w:rsidR="00B36C1B" w:rsidRPr="00EC0B08" w:rsidRDefault="00B36C1B" w:rsidP="00040D5B">
            <w:pPr>
              <w:keepNext/>
              <w:keepLines/>
              <w:rPr>
                <w:rFonts w:cs="Tahoma"/>
                <w:i/>
                <w:iCs/>
              </w:rPr>
            </w:pPr>
            <w:r w:rsidRPr="00EC0B08">
              <w:rPr>
                <w:rFonts w:cs="Tahoma"/>
                <w:i/>
                <w:iCs/>
                <w:sz w:val="20"/>
                <w:u w:color="FF0000"/>
              </w:rPr>
              <w:t>Fee:  $1,455.10</w:t>
            </w:r>
            <w:r w:rsidRPr="00EC0B08">
              <w:rPr>
                <w:rFonts w:cs="Tahoma"/>
                <w:i/>
                <w:iCs/>
                <w:sz w:val="20"/>
                <w:u w:color="FF0000"/>
                <w:vertAlign w:val="superscript"/>
              </w:rPr>
              <w:t xml:space="preserve"> a</w:t>
            </w:r>
            <w:r w:rsidR="00AC061E">
              <w:rPr>
                <w:rFonts w:cs="Tahoma"/>
                <w:i/>
                <w:iCs/>
                <w:sz w:val="20"/>
                <w:u w:color="FF0000"/>
              </w:rPr>
              <w:t xml:space="preserve">   </w:t>
            </w:r>
            <w:r w:rsidRPr="00EC0B08">
              <w:rPr>
                <w:rFonts w:cs="Tahoma"/>
                <w:i/>
                <w:iCs/>
                <w:sz w:val="20"/>
                <w:u w:color="FF0000"/>
              </w:rPr>
              <w:t xml:space="preserve">Benefit: 75% = $1,091.35 </w:t>
            </w:r>
            <w:r w:rsidRPr="00EC0B08">
              <w:rPr>
                <w:rFonts w:cs="Tahoma"/>
                <w:i/>
                <w:iCs/>
                <w:sz w:val="20"/>
                <w:u w:color="FF0000"/>
              </w:rPr>
              <w:tab/>
              <w:t>85% = $1,370.40</w:t>
            </w:r>
          </w:p>
        </w:tc>
      </w:tr>
    </w:tbl>
    <w:p w14:paraId="15D2BD05" w14:textId="77777777" w:rsidR="00B36C1B" w:rsidRPr="00EC0B08" w:rsidRDefault="00B36C1B" w:rsidP="00B36C1B">
      <w:pPr>
        <w:widowControl w:val="0"/>
        <w:snapToGrid w:val="0"/>
        <w:jc w:val="both"/>
        <w:rPr>
          <w:rFonts w:ascii="Arial Narrow" w:hAnsi="Arial Narrow" w:cs="Arial"/>
          <w:sz w:val="18"/>
          <w:szCs w:val="22"/>
          <w:lang w:eastAsia="en-US"/>
        </w:rPr>
      </w:pPr>
      <w:r w:rsidRPr="00EC0B08">
        <w:rPr>
          <w:rFonts w:ascii="Arial Narrow" w:hAnsi="Arial Narrow" w:cs="Arial"/>
          <w:sz w:val="18"/>
          <w:szCs w:val="22"/>
          <w:vertAlign w:val="superscript"/>
          <w:lang w:eastAsia="en-US"/>
        </w:rPr>
        <w:t>a</w:t>
      </w:r>
      <w:r w:rsidRPr="00EC0B08">
        <w:rPr>
          <w:rFonts w:ascii="Arial Narrow" w:hAnsi="Arial Narrow" w:cs="Arial"/>
          <w:sz w:val="18"/>
          <w:szCs w:val="22"/>
          <w:lang w:eastAsia="en-US"/>
        </w:rPr>
        <w:t xml:space="preserve"> The ADAR’s proposed item fee differed from the fee in the ratified PICO ($1,432.30) and the current MBS fee for item 38495 ($1,476.95). This is likely due updates made to the MBS fee schedule. </w:t>
      </w:r>
    </w:p>
    <w:p w14:paraId="50AA13C0" w14:textId="751870C4" w:rsidR="00B36C1B" w:rsidRPr="00EC0B08" w:rsidRDefault="00B36C1B" w:rsidP="00B36C1B">
      <w:pPr>
        <w:widowControl w:val="0"/>
        <w:snapToGrid w:val="0"/>
        <w:spacing w:after="240"/>
        <w:jc w:val="both"/>
        <w:rPr>
          <w:rFonts w:ascii="Arial Narrow" w:hAnsi="Arial Narrow" w:cs="Arial"/>
          <w:sz w:val="18"/>
          <w:szCs w:val="22"/>
          <w:lang w:eastAsia="en-US"/>
        </w:rPr>
      </w:pPr>
      <w:r w:rsidRPr="00EC0B08">
        <w:rPr>
          <w:rFonts w:ascii="Arial Narrow" w:hAnsi="Arial Narrow" w:cs="Arial"/>
          <w:sz w:val="18"/>
          <w:szCs w:val="22"/>
          <w:lang w:eastAsia="en-US"/>
        </w:rPr>
        <w:t xml:space="preserve">Source: Table </w:t>
      </w:r>
      <w:r>
        <w:rPr>
          <w:rFonts w:ascii="Arial Narrow" w:hAnsi="Arial Narrow" w:cs="Arial"/>
          <w:sz w:val="18"/>
          <w:szCs w:val="22"/>
          <w:lang w:eastAsia="en-US"/>
        </w:rPr>
        <w:t>2</w:t>
      </w:r>
      <w:r w:rsidRPr="00EC0B08">
        <w:rPr>
          <w:rFonts w:ascii="Arial Narrow" w:hAnsi="Arial Narrow" w:cs="Arial"/>
          <w:sz w:val="18"/>
          <w:szCs w:val="22"/>
          <w:lang w:eastAsia="en-US"/>
        </w:rPr>
        <w:t>, p</w:t>
      </w:r>
      <w:r>
        <w:rPr>
          <w:rFonts w:ascii="Arial Narrow" w:hAnsi="Arial Narrow" w:cs="Arial"/>
          <w:sz w:val="18"/>
          <w:szCs w:val="22"/>
          <w:lang w:eastAsia="en-US"/>
        </w:rPr>
        <w:t>x</w:t>
      </w:r>
      <w:r w:rsidRPr="00EC0B08">
        <w:rPr>
          <w:rFonts w:ascii="Arial Narrow" w:hAnsi="Arial Narrow" w:cs="Arial"/>
          <w:sz w:val="18"/>
          <w:szCs w:val="22"/>
          <w:lang w:eastAsia="en-US"/>
        </w:rPr>
        <w:t xml:space="preserve"> of the </w:t>
      </w:r>
      <w:r w:rsidR="00DD7827">
        <w:rPr>
          <w:rFonts w:ascii="Arial Narrow" w:hAnsi="Arial Narrow" w:cs="Arial"/>
          <w:sz w:val="18"/>
          <w:szCs w:val="22"/>
          <w:lang w:eastAsia="en-US"/>
        </w:rPr>
        <w:t>Commentary</w:t>
      </w:r>
    </w:p>
    <w:p w14:paraId="27C489AA" w14:textId="6DB7F68A" w:rsidR="00B36C1B" w:rsidRPr="00B36C1B" w:rsidRDefault="00B36C1B" w:rsidP="00B36C1B">
      <w:r w:rsidRPr="002F08D7">
        <w:t xml:space="preserve">The </w:t>
      </w:r>
      <w:r w:rsidR="00DD7827">
        <w:t>Commentary</w:t>
      </w:r>
      <w:r>
        <w:t xml:space="preserve"> considered that </w:t>
      </w:r>
      <w:r w:rsidRPr="002F08D7">
        <w:t>consistent with MBS item 38495</w:t>
      </w:r>
      <w:r>
        <w:t xml:space="preserve"> (for </w:t>
      </w:r>
      <w:r w:rsidRPr="00026B55">
        <w:t>patients assessed as having an unacceptably high risk for surgical aortic valve replacement</w:t>
      </w:r>
      <w:r>
        <w:t>)</w:t>
      </w:r>
      <w:r w:rsidRPr="002F08D7">
        <w:t xml:space="preserve">, </w:t>
      </w:r>
      <w:r>
        <w:t xml:space="preserve">the proposed item </w:t>
      </w:r>
      <w:r w:rsidRPr="001E3CDB">
        <w:t xml:space="preserve">does not provide an objective definition of a patient who ’has been assessed by the Heart Team as having an intermediate risk for </w:t>
      </w:r>
      <w:r>
        <w:t>SAVR</w:t>
      </w:r>
      <w:r w:rsidRPr="001E3CDB">
        <w:t>’</w:t>
      </w:r>
      <w:r>
        <w:t xml:space="preserve"> but noted that</w:t>
      </w:r>
      <w:r w:rsidRPr="002F08D7">
        <w:t xml:space="preserve"> PASC requested that ’intermediate risk’ be clearly defined in the new MBS item to prevent clinicians using their own judgment to define ’intermediate risk’ and to avoid le</w:t>
      </w:r>
      <w:r>
        <w:t xml:space="preserve">akage into low-risk patients </w:t>
      </w:r>
      <w:r w:rsidRPr="002B72F6">
        <w:t>[</w:t>
      </w:r>
      <w:hyperlink r:id="rId18" w:history="1">
        <w:r w:rsidRPr="002B72F6">
          <w:rPr>
            <w:rStyle w:val="Hyperlink"/>
          </w:rPr>
          <w:t>1603 Ratified PICO confirmation</w:t>
        </w:r>
      </w:hyperlink>
      <w:r>
        <w:t>, 2].</w:t>
      </w:r>
      <w:r w:rsidDel="00E265F2">
        <w:t xml:space="preserve"> </w:t>
      </w:r>
      <w:r w:rsidRPr="002F08D7">
        <w:t>The ADAR</w:t>
      </w:r>
      <w:r>
        <w:t xml:space="preserve"> and primary clinical evidence</w:t>
      </w:r>
      <w:r w:rsidRPr="002F08D7">
        <w:t xml:space="preserve"> defined ‘intermed</w:t>
      </w:r>
      <w:r w:rsidRPr="00EE216E">
        <w:t>iate risk’ as someone who has a Society of Thoracic Surgeons</w:t>
      </w:r>
      <w:r w:rsidRPr="002F08D7">
        <w:t xml:space="preserve"> </w:t>
      </w:r>
      <w:r w:rsidRPr="00EE216E">
        <w:t>Predicted Risk of Mortality (</w:t>
      </w:r>
      <w:r w:rsidRPr="002F08D7">
        <w:t>STS-PROM</w:t>
      </w:r>
      <w:r w:rsidRPr="00EE216E">
        <w:t>)</w:t>
      </w:r>
      <w:r w:rsidRPr="002F08D7">
        <w:t xml:space="preserve"> score of 4-8%.</w:t>
      </w:r>
      <w:r>
        <w:t xml:space="preserve"> In the Pre-ESC response (p1), stated that the STS-PROM </w:t>
      </w:r>
      <w:r w:rsidRPr="005E4867">
        <w:t>comprises just one aspect of risk stratification</w:t>
      </w:r>
      <w:r>
        <w:t xml:space="preserve"> and that there are a number of other eligibility criteria for TAVI, including clinical and personal factors. The </w:t>
      </w:r>
      <w:r w:rsidR="00021F25">
        <w:t>p</w:t>
      </w:r>
      <w:r>
        <w:t>re-ESC response (p1) considered that current best practice involves a multidisciplinary Heart Team assessing patients on an individual basis. Therefore, specifying a definition of intermediate risk in the MBS descriptor is unnecessary and arbitrary.</w:t>
      </w:r>
    </w:p>
    <w:p w14:paraId="39E1FB3A" w14:textId="77777777" w:rsidR="00B36C1B" w:rsidRDefault="00B36C1B" w:rsidP="00B36C1B">
      <w:pPr>
        <w:pStyle w:val="Heading2"/>
      </w:pPr>
      <w:r>
        <w:t>Prosthesis</w:t>
      </w:r>
    </w:p>
    <w:p w14:paraId="39153AC9" w14:textId="2ADEE578" w:rsidR="00E40CBB" w:rsidRDefault="00B36C1B">
      <w:r w:rsidRPr="002F08D7">
        <w:t xml:space="preserve">The ADAR proposed a higher prosthesis benefit of </w:t>
      </w:r>
      <w:r w:rsidR="00EE57F4" w:rsidRPr="00EE57F4">
        <w:rPr>
          <w:b/>
        </w:rPr>
        <w:t>$</w:t>
      </w:r>
      <w:r w:rsidR="00EE57F4">
        <w:rPr>
          <w:b/>
        </w:rPr>
        <w:t>r</w:t>
      </w:r>
      <w:r w:rsidR="00EE57F4" w:rsidRPr="00EE57F4">
        <w:rPr>
          <w:b/>
        </w:rPr>
        <w:t>edacted</w:t>
      </w:r>
      <w:r w:rsidR="00EE57F4" w:rsidRPr="002F08D7">
        <w:t xml:space="preserve"> </w:t>
      </w:r>
      <w:r w:rsidRPr="002F08D7">
        <w:t>for TAVI-BEV than the July 2020 Prosthes</w:t>
      </w:r>
      <w:r w:rsidR="00021F25">
        <w:t>e</w:t>
      </w:r>
      <w:r w:rsidRPr="002F08D7">
        <w:t xml:space="preserve">s List benefit of $22,932 for </w:t>
      </w:r>
      <w:r>
        <w:t xml:space="preserve">TAVI-BEV and TAVI-SEV devices. The </w:t>
      </w:r>
      <w:r w:rsidR="00DD7827">
        <w:t>Commentary</w:t>
      </w:r>
      <w:r>
        <w:t xml:space="preserve"> highlighted that</w:t>
      </w:r>
      <w:r w:rsidRPr="002F08D7">
        <w:t xml:space="preserve"> the ADAR did not justify the higher price or make an explicit clinical claim that TAVI-BEV delivers superior clinical outcomes relative to </w:t>
      </w:r>
      <w:r w:rsidR="00E40C30">
        <w:t>TAVI-SEV</w:t>
      </w:r>
      <w:r>
        <w:t xml:space="preserve"> in the intermediate risk population</w:t>
      </w:r>
      <w:r w:rsidRPr="002F08D7">
        <w:t>.</w:t>
      </w:r>
      <w:r w:rsidR="00E40CBB">
        <w:br w:type="page"/>
      </w:r>
    </w:p>
    <w:p w14:paraId="2FD7ACDD"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000F6F1C" w14:textId="130DBD14" w:rsidR="005D25EA" w:rsidRDefault="005D25EA" w:rsidP="005D25EA">
      <w:pPr>
        <w:rPr>
          <w:snapToGrid w:val="0"/>
        </w:rPr>
      </w:pPr>
      <w:r>
        <w:rPr>
          <w:snapToGrid w:val="0"/>
        </w:rPr>
        <w:t>Feedback was received from a TAVI manufacturer and a single specialist, which did not support a device specific (and brand) application and considered it should be generic and cover TAVI with all TGA approved devices. They both considered there is no major difference between BEV and SEV.</w:t>
      </w:r>
    </w:p>
    <w:p w14:paraId="3224A354" w14:textId="71C4B987" w:rsidR="005D25EA" w:rsidRDefault="005D25EA" w:rsidP="0060464A">
      <w:pPr>
        <w:spacing w:before="240"/>
        <w:rPr>
          <w:snapToGrid w:val="0"/>
        </w:rPr>
      </w:pPr>
      <w:r>
        <w:rPr>
          <w:snapToGrid w:val="0"/>
        </w:rPr>
        <w:t>The feedback from the TAVI manufacturer also considered that the device specific application would limit treatment options for patients, as prostheses selection is based on the most appropriate device for the patient. Furthermore, this feedback considered that all TAVI devices and all relevant evidence should be assessed noting that:</w:t>
      </w:r>
    </w:p>
    <w:p w14:paraId="429A906D" w14:textId="01684894" w:rsidR="005D25EA" w:rsidRDefault="005D25EA" w:rsidP="005D25EA">
      <w:pPr>
        <w:pStyle w:val="ListParagraph"/>
        <w:numPr>
          <w:ilvl w:val="0"/>
          <w:numId w:val="37"/>
        </w:numPr>
        <w:rPr>
          <w:snapToGrid w:val="0"/>
        </w:rPr>
      </w:pPr>
      <w:r w:rsidRPr="00FE20B2">
        <w:rPr>
          <w:snapToGrid w:val="0"/>
        </w:rPr>
        <w:t>outcomes, particularly mortality have always been comparable between BEVs and SEVs highlighting the results from</w:t>
      </w:r>
      <w:r w:rsidRPr="00B37A07">
        <w:rPr>
          <w:snapToGrid w:val="0"/>
        </w:rPr>
        <w:t xml:space="preserve"> t</w:t>
      </w:r>
      <w:r w:rsidRPr="00702A1C">
        <w:rPr>
          <w:snapToGrid w:val="0"/>
        </w:rPr>
        <w:t xml:space="preserve">wo direct </w:t>
      </w:r>
      <w:r>
        <w:rPr>
          <w:snapToGrid w:val="0"/>
        </w:rPr>
        <w:t>randomised controlled trials (</w:t>
      </w:r>
      <w:r w:rsidRPr="00FE20B2">
        <w:rPr>
          <w:snapToGrid w:val="0"/>
        </w:rPr>
        <w:t>RCTs</w:t>
      </w:r>
      <w:r>
        <w:rPr>
          <w:snapToGrid w:val="0"/>
        </w:rPr>
        <w:t xml:space="preserve">) (SOLVE-TAVI </w:t>
      </w:r>
      <w:r>
        <w:rPr>
          <w:rStyle w:val="FootnoteReference"/>
          <w:snapToGrid w:val="0"/>
        </w:rPr>
        <w:footnoteReference w:id="2"/>
      </w:r>
      <w:r>
        <w:rPr>
          <w:snapToGrid w:val="0"/>
        </w:rPr>
        <w:t xml:space="preserve"> in intermediate risk and CHOICE trial </w:t>
      </w:r>
      <w:r>
        <w:rPr>
          <w:rStyle w:val="FootnoteReference"/>
          <w:snapToGrid w:val="0"/>
        </w:rPr>
        <w:footnoteReference w:id="3"/>
      </w:r>
      <w:r>
        <w:rPr>
          <w:snapToGrid w:val="0"/>
        </w:rPr>
        <w:t xml:space="preserve"> in high risk)</w:t>
      </w:r>
    </w:p>
    <w:p w14:paraId="3EA3874E" w14:textId="77777777" w:rsidR="005D25EA" w:rsidRDefault="005D25EA" w:rsidP="005D25EA">
      <w:pPr>
        <w:pStyle w:val="ListParagraph"/>
        <w:numPr>
          <w:ilvl w:val="0"/>
          <w:numId w:val="37"/>
        </w:numPr>
        <w:rPr>
          <w:snapToGrid w:val="0"/>
        </w:rPr>
      </w:pPr>
      <w:r>
        <w:rPr>
          <w:snapToGrid w:val="0"/>
        </w:rPr>
        <w:t xml:space="preserve">the pivotal RCTs (highest quality evidence) of an intermediate risk population demonstrate TAVI is non-inferior to SAVR at all timepoints (PARTNER 2A </w:t>
      </w:r>
      <w:r>
        <w:rPr>
          <w:rStyle w:val="FootnoteReference"/>
          <w:snapToGrid w:val="0"/>
        </w:rPr>
        <w:footnoteReference w:id="4"/>
      </w:r>
      <w:r>
        <w:rPr>
          <w:snapToGrid w:val="0"/>
        </w:rPr>
        <w:t xml:space="preserve">, SURTAVI </w:t>
      </w:r>
      <w:r>
        <w:rPr>
          <w:rStyle w:val="FootnoteReference"/>
          <w:snapToGrid w:val="0"/>
        </w:rPr>
        <w:footnoteReference w:id="5"/>
      </w:r>
      <w:r>
        <w:rPr>
          <w:snapToGrid w:val="0"/>
        </w:rPr>
        <w:t>)</w:t>
      </w:r>
    </w:p>
    <w:p w14:paraId="228A8FC8" w14:textId="500AEAD4" w:rsidR="005D25EA" w:rsidRPr="00FE20B2" w:rsidRDefault="005D25EA" w:rsidP="005D25EA">
      <w:pPr>
        <w:pStyle w:val="ListParagraph"/>
        <w:numPr>
          <w:ilvl w:val="0"/>
          <w:numId w:val="37"/>
        </w:numPr>
        <w:rPr>
          <w:snapToGrid w:val="0"/>
        </w:rPr>
      </w:pPr>
      <w:r>
        <w:rPr>
          <w:snapToGrid w:val="0"/>
        </w:rPr>
        <w:t xml:space="preserve">the application’s superiority claim for </w:t>
      </w:r>
      <w:r w:rsidR="00E40C30">
        <w:rPr>
          <w:snapToGrid w:val="0"/>
        </w:rPr>
        <w:t>TAVI-BEV</w:t>
      </w:r>
      <w:r>
        <w:rPr>
          <w:snapToGrid w:val="0"/>
        </w:rPr>
        <w:t xml:space="preserve"> </w:t>
      </w:r>
      <w:r w:rsidRPr="0004635A">
        <w:rPr>
          <w:i/>
          <w:snapToGrid w:val="0"/>
        </w:rPr>
        <w:t>vs.</w:t>
      </w:r>
      <w:r>
        <w:rPr>
          <w:snapToGrid w:val="0"/>
        </w:rPr>
        <w:t xml:space="preserve"> SAVR is based on observational studies which are subject to inherent biases due to the nature of the study design.</w:t>
      </w:r>
    </w:p>
    <w:p w14:paraId="38BABA55" w14:textId="524A3DDB" w:rsidR="00021F25" w:rsidRDefault="005D25EA" w:rsidP="005D25EA">
      <w:pPr>
        <w:rPr>
          <w:snapToGrid w:val="0"/>
        </w:rPr>
      </w:pPr>
      <w:r>
        <w:rPr>
          <w:snapToGrid w:val="0"/>
        </w:rPr>
        <w:t>The feedback from a single specialist also considered that the proposed fee is inadequate for the complexity, regulatory requirements and time involved with the procedure.</w:t>
      </w:r>
    </w:p>
    <w:p w14:paraId="6E8B1E13" w14:textId="77777777" w:rsidR="00BC1364" w:rsidRPr="00F715D1" w:rsidRDefault="00BC1364" w:rsidP="00F715D1">
      <w:pPr>
        <w:pStyle w:val="Heading1"/>
      </w:pPr>
      <w:r w:rsidRPr="00F715D1">
        <w:t>Proposed intervention’s place in clinical management</w:t>
      </w:r>
    </w:p>
    <w:p w14:paraId="6A0DBEE1" w14:textId="77777777" w:rsidR="00CF4E81" w:rsidRDefault="00CF4E81" w:rsidP="00E40C30">
      <w:pPr>
        <w:spacing w:after="120"/>
        <w:rPr>
          <w:b/>
          <w:szCs w:val="24"/>
        </w:rPr>
      </w:pPr>
      <w:r w:rsidRPr="00CF4E81">
        <w:rPr>
          <w:b/>
          <w:szCs w:val="24"/>
        </w:rPr>
        <w:t>Description of Proposed Intervention</w:t>
      </w:r>
    </w:p>
    <w:p w14:paraId="2C60A0DF" w14:textId="77777777" w:rsidR="00B36C1B" w:rsidRDefault="00B36C1B" w:rsidP="00B36C1B">
      <w:pPr>
        <w:tabs>
          <w:tab w:val="left" w:pos="720"/>
          <w:tab w:val="left" w:pos="1140"/>
        </w:tabs>
        <w:rPr>
          <w:rStyle w:val="eop"/>
          <w:iCs/>
          <w:color w:val="000000"/>
          <w:shd w:val="clear" w:color="auto" w:fill="FFFFFF"/>
        </w:rPr>
      </w:pPr>
      <w:r w:rsidRPr="006D1FB3">
        <w:rPr>
          <w:rStyle w:val="eop"/>
          <w:iCs/>
          <w:color w:val="000000"/>
          <w:shd w:val="clear" w:color="auto" w:fill="FFFFFF"/>
        </w:rPr>
        <w:t>TAVI involving the SAPIEN 3</w:t>
      </w:r>
      <w:r>
        <w:rPr>
          <w:rStyle w:val="eop"/>
          <w:iCs/>
          <w:color w:val="000000"/>
          <w:shd w:val="clear" w:color="auto" w:fill="FFFFFF"/>
        </w:rPr>
        <w:t xml:space="preserve"> (i.e. newer generation device)</w:t>
      </w:r>
      <w:r w:rsidRPr="006D1FB3">
        <w:rPr>
          <w:rStyle w:val="eop"/>
          <w:iCs/>
          <w:color w:val="000000"/>
          <w:shd w:val="clear" w:color="auto" w:fill="FFFFFF"/>
        </w:rPr>
        <w:t xml:space="preserve"> BEV system involves minimally-invasive transfemoral insertion of a prosthetic heart valve, positioned within the native aortic annulus. Once in situ, the valve is expanded while the heart is rapidly paced. The procedure is performed using fluoroscopic and transoesophageal guidance, under general or local anaesthesia.</w:t>
      </w:r>
    </w:p>
    <w:p w14:paraId="631B1E84" w14:textId="187B6CD1" w:rsidR="00CF4E81" w:rsidRPr="00CF4E81" w:rsidRDefault="00CF4E81" w:rsidP="0060464A">
      <w:pPr>
        <w:autoSpaceDE w:val="0"/>
        <w:autoSpaceDN w:val="0"/>
        <w:adjustRightInd w:val="0"/>
        <w:spacing w:before="240" w:after="120"/>
        <w:rPr>
          <w:b/>
        </w:rPr>
      </w:pPr>
      <w:r w:rsidRPr="00CF4E81">
        <w:rPr>
          <w:b/>
        </w:rPr>
        <w:t>Description of Medical Condition(s)</w:t>
      </w:r>
    </w:p>
    <w:p w14:paraId="226EAAA3" w14:textId="77777777" w:rsidR="00B36C1B" w:rsidRPr="0059534C" w:rsidRDefault="00B36C1B" w:rsidP="00B36C1B">
      <w:pPr>
        <w:jc w:val="both"/>
      </w:pPr>
      <w:r w:rsidRPr="006D1FB3">
        <w:rPr>
          <w:szCs w:val="24"/>
        </w:rPr>
        <w:t xml:space="preserve">Severe </w:t>
      </w:r>
      <w:r>
        <w:rPr>
          <w:szCs w:val="24"/>
        </w:rPr>
        <w:t xml:space="preserve">AS </w:t>
      </w:r>
      <w:r w:rsidRPr="006D1FB3">
        <w:rPr>
          <w:szCs w:val="24"/>
        </w:rPr>
        <w:t xml:space="preserve">is characterised by narrowing of the aortic valve, leading to restriction of blood flow. </w:t>
      </w:r>
      <w:r>
        <w:rPr>
          <w:szCs w:val="24"/>
        </w:rPr>
        <w:t xml:space="preserve">The proposed population for the intervention is defined as </w:t>
      </w:r>
      <w:r>
        <w:t>patients</w:t>
      </w:r>
      <w:r w:rsidRPr="0059534C">
        <w:t xml:space="preserve"> with symptomatic</w:t>
      </w:r>
      <w:r>
        <w:rPr>
          <w:rStyle w:val="FootnoteReference"/>
        </w:rPr>
        <w:footnoteReference w:id="6"/>
      </w:r>
      <w:r w:rsidRPr="0059534C">
        <w:t xml:space="preserve"> severe AS</w:t>
      </w:r>
      <w:r>
        <w:rPr>
          <w:rStyle w:val="FootnoteReference"/>
        </w:rPr>
        <w:footnoteReference w:id="7"/>
      </w:r>
      <w:r w:rsidRPr="0059534C">
        <w:t xml:space="preserve"> at intermediate risk for surgical aortic valve replacement</w:t>
      </w:r>
      <w:r>
        <w:t xml:space="preserve"> (SAVR)</w:t>
      </w:r>
      <w:r w:rsidRPr="0059534C">
        <w:t>, with no more than mild frailty and fulfilling any one of the following criteria:</w:t>
      </w:r>
    </w:p>
    <w:p w14:paraId="0A94EC49" w14:textId="77777777" w:rsidR="00B36C1B" w:rsidRPr="0059534C" w:rsidRDefault="00B36C1B" w:rsidP="00B36C1B">
      <w:pPr>
        <w:pStyle w:val="ListParagraph"/>
        <w:numPr>
          <w:ilvl w:val="0"/>
          <w:numId w:val="29"/>
        </w:numPr>
      </w:pPr>
      <w:r w:rsidRPr="0059534C">
        <w:t>STS score 4-8% OR</w:t>
      </w:r>
    </w:p>
    <w:p w14:paraId="0E39616C" w14:textId="77777777" w:rsidR="00B36C1B" w:rsidRPr="0059534C" w:rsidRDefault="00B36C1B" w:rsidP="00B36C1B">
      <w:pPr>
        <w:pStyle w:val="ListParagraph"/>
        <w:numPr>
          <w:ilvl w:val="0"/>
          <w:numId w:val="29"/>
        </w:numPr>
      </w:pPr>
      <w:r w:rsidRPr="0059534C">
        <w:t>one major organ system compromise not to be improved postoperatively OR</w:t>
      </w:r>
    </w:p>
    <w:p w14:paraId="263B0B03" w14:textId="3ECE552C" w:rsidR="00CF4E81" w:rsidRDefault="00B36C1B" w:rsidP="0060464A">
      <w:pPr>
        <w:pStyle w:val="ListParagraph"/>
        <w:numPr>
          <w:ilvl w:val="0"/>
          <w:numId w:val="29"/>
        </w:numPr>
      </w:pPr>
      <w:r w:rsidRPr="0059534C">
        <w:t>possible procedure-specific impediment.</w:t>
      </w:r>
    </w:p>
    <w:p w14:paraId="4222476F" w14:textId="77777777" w:rsidR="00CF4E81" w:rsidRDefault="00B36C1B" w:rsidP="0060464A">
      <w:pPr>
        <w:autoSpaceDE w:val="0"/>
        <w:autoSpaceDN w:val="0"/>
        <w:adjustRightInd w:val="0"/>
        <w:spacing w:before="240" w:after="120"/>
        <w:rPr>
          <w:b/>
        </w:rPr>
      </w:pPr>
      <w:r>
        <w:rPr>
          <w:b/>
        </w:rPr>
        <w:t>Clinical place</w:t>
      </w:r>
    </w:p>
    <w:p w14:paraId="381B42E5" w14:textId="13BBC853" w:rsidR="00B36C1B" w:rsidRDefault="00B36C1B" w:rsidP="00B36C1B">
      <w:r>
        <w:t xml:space="preserve">The current clinical management algorithm and the proposed clinical management algorithm present the intended use of TAVI in the intermediate risk population </w:t>
      </w:r>
      <w:r w:rsidRPr="00087A1B">
        <w:t>following a listing on the MBS are provided in Figure 1 and 2, respectively.</w:t>
      </w:r>
      <w:r>
        <w:t xml:space="preserve"> </w:t>
      </w:r>
      <w:r w:rsidRPr="00087A1B">
        <w:t xml:space="preserve">The key difference between the current and proposed clinical management pathway is the addition of TAVI-BEV (and TAVI-SEV) as a treatment option for intermediate-risk patients. The ADAR stated that currently in Australia, patients with symptomatic, severe AS and who are at intermediate risk of surgery either undergo curative surgery with </w:t>
      </w:r>
      <w:r>
        <w:t xml:space="preserve">surgical aortic valve implantation (SAVR) </w:t>
      </w:r>
      <w:r w:rsidRPr="00087A1B">
        <w:t>or are managed medically with pharmacological treatment, with or without balloon valvuloplasty, to relieve symptoms.</w:t>
      </w:r>
      <w:r>
        <w:t xml:space="preserve"> However, t</w:t>
      </w:r>
      <w:r w:rsidRPr="00087A1B">
        <w:t>he</w:t>
      </w:r>
      <w:r>
        <w:t xml:space="preserve"> </w:t>
      </w:r>
      <w:r w:rsidR="00DD7827">
        <w:t>Commentary</w:t>
      </w:r>
      <w:r>
        <w:t xml:space="preserve"> noted that the</w:t>
      </w:r>
      <w:r w:rsidRPr="00087A1B">
        <w:t xml:space="preserve"> ADAR did not consider medical management as a viable treatment option for intermediate-risk patients as only SAVR (and TAVI) is curative.</w:t>
      </w:r>
    </w:p>
    <w:p w14:paraId="6371DB15" w14:textId="7FDE0A99" w:rsidR="00B36C1B" w:rsidRDefault="00B36C1B" w:rsidP="0060464A">
      <w:pPr>
        <w:spacing w:before="240"/>
        <w:sectPr w:rsidR="00B36C1B" w:rsidSect="00040D5B">
          <w:footerReference w:type="default" r:id="rId19"/>
          <w:pgSz w:w="11906" w:h="16838"/>
          <w:pgMar w:top="1440" w:right="1440" w:bottom="1134" w:left="1440" w:header="708" w:footer="708" w:gutter="0"/>
          <w:cols w:space="708"/>
          <w:docGrid w:linePitch="360"/>
        </w:sectPr>
      </w:pPr>
      <w:r>
        <w:t xml:space="preserve">The </w:t>
      </w:r>
      <w:r w:rsidR="00DD7827">
        <w:t>Commentary</w:t>
      </w:r>
      <w:r>
        <w:t xml:space="preserve"> noted that t</w:t>
      </w:r>
      <w:r w:rsidRPr="00087A1B">
        <w:t>he proposed algorithms also did not consider the patient’s age as an important factor in the choice between SAVR and TAVI-BEV. European Society of Cardiology and the European Association for Cardio-Thoracic Surgery (EACTS) Guidel</w:t>
      </w:r>
      <w:r>
        <w:t xml:space="preserve">ines for Valvular Heart Disease </w:t>
      </w:r>
      <w:r>
        <w:rPr>
          <w:rStyle w:val="FootnoteReference"/>
        </w:rPr>
        <w:footnoteReference w:id="8"/>
      </w:r>
      <w:r>
        <w:t xml:space="preserve"> note that</w:t>
      </w:r>
      <w:r w:rsidRPr="00087A1B">
        <w:t xml:space="preserve"> SAVR is generally preferred in patients under 75 years and TAVI-BEV in patients 75 years and older. This is because the long-term durability of TAVI devices is unknown, with only preliminary data showing TAVI devices may last at least five-years without any signs of early degeneration. In comparison, SAVR valves are e</w:t>
      </w:r>
      <w:r>
        <w:t>stimated to last 10 to 15 year</w:t>
      </w:r>
      <w:r w:rsidR="00021F25">
        <w:t>s</w:t>
      </w:r>
      <w:r w:rsidR="000E6900">
        <w:t>.</w:t>
      </w:r>
    </w:p>
    <w:p w14:paraId="21EE93DD" w14:textId="77777777" w:rsidR="00B36C1B" w:rsidRDefault="00B36C1B" w:rsidP="00B36C1B">
      <w:pPr>
        <w:keepNext/>
        <w:spacing w:line="312" w:lineRule="auto"/>
        <w:jc w:val="both"/>
      </w:pPr>
      <w:r w:rsidRPr="00087A1B">
        <w:rPr>
          <w:rFonts w:ascii="Calibri" w:hAnsi="Calibri" w:cs="Tahoma"/>
          <w:noProof/>
          <w:sz w:val="22"/>
          <w:szCs w:val="22"/>
        </w:rPr>
        <w:drawing>
          <wp:inline distT="0" distB="0" distL="0" distR="0" wp14:anchorId="3F9FD4D1" wp14:editId="26ADF4E8">
            <wp:extent cx="8772525" cy="4947481"/>
            <wp:effectExtent l="19050" t="19050" r="9525" b="24765"/>
            <wp:docPr id="1688746938" name="Picture 6" descr="Current clinical management algorithm for the identified population without listing TAV-B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8855653" cy="4994363"/>
                    </a:xfrm>
                    <a:prstGeom prst="rect">
                      <a:avLst/>
                    </a:prstGeom>
                    <a:ln>
                      <a:solidFill>
                        <a:sysClr val="windowText" lastClr="000000"/>
                      </a:solidFill>
                    </a:ln>
                  </pic:spPr>
                </pic:pic>
              </a:graphicData>
            </a:graphic>
          </wp:inline>
        </w:drawing>
      </w:r>
    </w:p>
    <w:p w14:paraId="58AB59F4" w14:textId="577315BB" w:rsidR="00B36C1B" w:rsidRPr="00AC061E" w:rsidRDefault="00B36C1B" w:rsidP="00AC061E">
      <w:pPr>
        <w:rPr>
          <w:rFonts w:ascii="Arial Narrow" w:hAnsi="Arial Narrow"/>
          <w:b/>
          <w:sz w:val="20"/>
        </w:rPr>
      </w:pPr>
      <w:r w:rsidRPr="00AC061E">
        <w:rPr>
          <w:rFonts w:ascii="Arial Narrow" w:hAnsi="Arial Narrow"/>
          <w:b/>
          <w:sz w:val="20"/>
        </w:rPr>
        <w:t xml:space="preserve">Figure </w:t>
      </w:r>
      <w:r w:rsidR="003C680B" w:rsidRPr="00AC061E">
        <w:rPr>
          <w:rFonts w:ascii="Arial Narrow" w:hAnsi="Arial Narrow"/>
          <w:b/>
          <w:sz w:val="20"/>
        </w:rPr>
        <w:fldChar w:fldCharType="begin"/>
      </w:r>
      <w:r w:rsidR="003C680B" w:rsidRPr="00AC061E">
        <w:rPr>
          <w:rFonts w:ascii="Arial Narrow" w:hAnsi="Arial Narrow"/>
          <w:b/>
          <w:sz w:val="20"/>
        </w:rPr>
        <w:instrText xml:space="preserve"> SEQ Figure \* ARABIC </w:instrText>
      </w:r>
      <w:r w:rsidR="003C680B" w:rsidRPr="00AC061E">
        <w:rPr>
          <w:rFonts w:ascii="Arial Narrow" w:hAnsi="Arial Narrow"/>
          <w:b/>
          <w:sz w:val="20"/>
        </w:rPr>
        <w:fldChar w:fldCharType="separate"/>
      </w:r>
      <w:r w:rsidR="007035C0" w:rsidRPr="00AC061E">
        <w:rPr>
          <w:rFonts w:ascii="Arial Narrow" w:hAnsi="Arial Narrow"/>
          <w:b/>
          <w:sz w:val="20"/>
        </w:rPr>
        <w:t>1</w:t>
      </w:r>
      <w:r w:rsidR="003C680B" w:rsidRPr="00AC061E">
        <w:rPr>
          <w:rFonts w:ascii="Arial Narrow" w:hAnsi="Arial Narrow"/>
          <w:b/>
          <w:sz w:val="20"/>
        </w:rPr>
        <w:fldChar w:fldCharType="end"/>
      </w:r>
      <w:r w:rsidR="00E40C30" w:rsidRPr="00AC061E">
        <w:rPr>
          <w:rFonts w:ascii="Arial Narrow" w:hAnsi="Arial Narrow"/>
          <w:b/>
          <w:sz w:val="20"/>
        </w:rPr>
        <w:tab/>
      </w:r>
      <w:r w:rsidRPr="00AC061E">
        <w:rPr>
          <w:rFonts w:ascii="Arial Narrow" w:hAnsi="Arial Narrow"/>
          <w:b/>
          <w:sz w:val="20"/>
        </w:rPr>
        <w:t>Current clinical management algorithm for the identified population without listing TAV-BEV</w:t>
      </w:r>
    </w:p>
    <w:p w14:paraId="5982528B" w14:textId="2E72BBBC" w:rsidR="00B36C1B" w:rsidRPr="0060464A" w:rsidRDefault="00B36C1B" w:rsidP="0060464A">
      <w:pPr>
        <w:keepNext/>
        <w:keepLines/>
        <w:jc w:val="both"/>
        <w:rPr>
          <w:rFonts w:ascii="Arial Narrow" w:hAnsi="Arial Narrow" w:cs="Arial"/>
          <w:sz w:val="20"/>
          <w:lang w:eastAsia="en-US"/>
        </w:rPr>
      </w:pPr>
      <w:r w:rsidRPr="00087A1B">
        <w:rPr>
          <w:rFonts w:ascii="Arial Narrow" w:hAnsi="Arial Narrow" w:cs="Arial"/>
          <w:sz w:val="20"/>
          <w:lang w:eastAsia="en-US"/>
        </w:rPr>
        <w:t>Source: Figure A-1, p 25 of the ADAR</w:t>
      </w:r>
      <w:r>
        <w:rPr>
          <w:rFonts w:ascii="Calibri" w:hAnsi="Calibri" w:cs="Tahoma"/>
          <w:sz w:val="22"/>
          <w:szCs w:val="22"/>
        </w:rPr>
        <w:br w:type="page"/>
      </w:r>
    </w:p>
    <w:p w14:paraId="77A5793B" w14:textId="77777777" w:rsidR="00B36C1B" w:rsidRDefault="00B36C1B" w:rsidP="00B36C1B">
      <w:pPr>
        <w:keepNext/>
        <w:keepLines/>
        <w:jc w:val="both"/>
      </w:pPr>
      <w:r w:rsidRPr="00087A1B">
        <w:rPr>
          <w:rFonts w:ascii="Arial Narrow" w:hAnsi="Arial Narrow" w:cs="Arial"/>
          <w:noProof/>
          <w:color w:val="548DD4"/>
          <w:sz w:val="20"/>
        </w:rPr>
        <w:drawing>
          <wp:inline distT="0" distB="0" distL="0" distR="0" wp14:anchorId="2A8D6D60" wp14:editId="40588018">
            <wp:extent cx="9486900" cy="5335933"/>
            <wp:effectExtent l="19050" t="19050" r="19050" b="17145"/>
            <wp:docPr id="1" name="Picture 1" descr="Proposed clinical management algorithm if TAVI-BEV was listed for the identifie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MSAC projects\01 PASC Meetings\2019\1603 TAVI vs 1552_and relation to 1605\1603 final ratified PICO Proposed algorithm V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67236" cy="5381118"/>
                    </a:xfrm>
                    <a:prstGeom prst="rect">
                      <a:avLst/>
                    </a:prstGeom>
                    <a:noFill/>
                    <a:ln>
                      <a:solidFill>
                        <a:sysClr val="windowText" lastClr="000000"/>
                      </a:solidFill>
                    </a:ln>
                  </pic:spPr>
                </pic:pic>
              </a:graphicData>
            </a:graphic>
          </wp:inline>
        </w:drawing>
      </w:r>
    </w:p>
    <w:p w14:paraId="2228CB5D" w14:textId="32F5A472" w:rsidR="00B36C1B" w:rsidRPr="00AC061E" w:rsidRDefault="00B36C1B" w:rsidP="00AC061E">
      <w:pPr>
        <w:rPr>
          <w:rFonts w:ascii="Arial Narrow" w:hAnsi="Arial Narrow"/>
          <w:b/>
          <w:sz w:val="20"/>
        </w:rPr>
      </w:pPr>
      <w:r w:rsidRPr="00AC061E">
        <w:rPr>
          <w:rFonts w:ascii="Arial Narrow" w:hAnsi="Arial Narrow"/>
          <w:b/>
          <w:sz w:val="20"/>
        </w:rPr>
        <w:t xml:space="preserve">Figure </w:t>
      </w:r>
      <w:r w:rsidR="003C680B" w:rsidRPr="00AC061E">
        <w:rPr>
          <w:rFonts w:ascii="Arial Narrow" w:hAnsi="Arial Narrow"/>
          <w:b/>
          <w:sz w:val="20"/>
        </w:rPr>
        <w:fldChar w:fldCharType="begin"/>
      </w:r>
      <w:r w:rsidR="003C680B" w:rsidRPr="00AC061E">
        <w:rPr>
          <w:rFonts w:ascii="Arial Narrow" w:hAnsi="Arial Narrow"/>
          <w:b/>
          <w:sz w:val="20"/>
        </w:rPr>
        <w:instrText xml:space="preserve"> SEQ Figure \* ARABIC </w:instrText>
      </w:r>
      <w:r w:rsidR="003C680B" w:rsidRPr="00AC061E">
        <w:rPr>
          <w:rFonts w:ascii="Arial Narrow" w:hAnsi="Arial Narrow"/>
          <w:b/>
          <w:sz w:val="20"/>
        </w:rPr>
        <w:fldChar w:fldCharType="separate"/>
      </w:r>
      <w:r w:rsidR="007035C0" w:rsidRPr="00AC061E">
        <w:rPr>
          <w:rFonts w:ascii="Arial Narrow" w:hAnsi="Arial Narrow"/>
          <w:b/>
          <w:sz w:val="20"/>
        </w:rPr>
        <w:t>2</w:t>
      </w:r>
      <w:r w:rsidR="003C680B" w:rsidRPr="00AC061E">
        <w:rPr>
          <w:rFonts w:ascii="Arial Narrow" w:hAnsi="Arial Narrow"/>
          <w:b/>
          <w:sz w:val="20"/>
        </w:rPr>
        <w:fldChar w:fldCharType="end"/>
      </w:r>
      <w:r w:rsidR="00E40C30" w:rsidRPr="00AC061E">
        <w:rPr>
          <w:rFonts w:ascii="Arial Narrow" w:hAnsi="Arial Narrow"/>
          <w:b/>
          <w:sz w:val="20"/>
        </w:rPr>
        <w:tab/>
      </w:r>
      <w:r w:rsidRPr="00AC061E">
        <w:rPr>
          <w:rFonts w:ascii="Arial Narrow" w:hAnsi="Arial Narrow"/>
          <w:b/>
          <w:sz w:val="20"/>
        </w:rPr>
        <w:t>Proposed clinical management algorithm if TAVI-BEV was listed for the identified population</w:t>
      </w:r>
    </w:p>
    <w:p w14:paraId="120E7D3D" w14:textId="77777777" w:rsidR="00B36C1B" w:rsidRPr="00087A1B" w:rsidRDefault="00B36C1B" w:rsidP="00B36C1B">
      <w:pPr>
        <w:keepNext/>
        <w:keepLines/>
        <w:jc w:val="both"/>
        <w:rPr>
          <w:rFonts w:ascii="Arial Narrow" w:hAnsi="Arial Narrow" w:cs="Arial"/>
          <w:sz w:val="20"/>
          <w:lang w:eastAsia="en-US"/>
        </w:rPr>
      </w:pPr>
      <w:r w:rsidRPr="00087A1B">
        <w:rPr>
          <w:rFonts w:ascii="Arial Narrow" w:hAnsi="Arial Narrow" w:cs="Arial"/>
          <w:sz w:val="20"/>
          <w:lang w:eastAsia="en-US"/>
        </w:rPr>
        <w:t>Source: Figure A-2, p 26 of the ADAR</w:t>
      </w:r>
    </w:p>
    <w:p w14:paraId="50E74774" w14:textId="77777777" w:rsidR="00B36C1B" w:rsidRDefault="00B36C1B" w:rsidP="00B36C1B">
      <w:pPr>
        <w:sectPr w:rsidR="00B36C1B" w:rsidSect="00B36C1B">
          <w:pgSz w:w="16838" w:h="11906" w:orient="landscape"/>
          <w:pgMar w:top="1440" w:right="1440" w:bottom="1440" w:left="1134" w:header="708" w:footer="708" w:gutter="0"/>
          <w:cols w:space="708"/>
          <w:docGrid w:linePitch="360"/>
        </w:sectPr>
      </w:pPr>
    </w:p>
    <w:p w14:paraId="31C347E8" w14:textId="77777777" w:rsidR="00BC1364" w:rsidRPr="00F715D1" w:rsidRDefault="00BC1364" w:rsidP="00F715D1">
      <w:pPr>
        <w:pStyle w:val="Heading1"/>
      </w:pPr>
      <w:r w:rsidRPr="00F715D1">
        <w:t xml:space="preserve">Comparator </w:t>
      </w:r>
    </w:p>
    <w:p w14:paraId="2BAA593D" w14:textId="12765FD3" w:rsidR="00B36C1B" w:rsidRDefault="00B36C1B" w:rsidP="00B36C1B">
      <w:r>
        <w:t xml:space="preserve">The ADAR nominated SAVR as the main comparator and TAVI-SEV as a secondary comparator. </w:t>
      </w:r>
      <w:r w:rsidRPr="008F7E9B">
        <w:t>SAVR is an open-heart surgical procedure to repair or remove the narrowed aortic valve and replace it with a bioprosthetic or mechanical aortic valve. The procedure requires general anaesthetic and extracorporeal circulation, with access via a sternotomy or a less invasive transthoracic approach.</w:t>
      </w:r>
      <w:r>
        <w:t xml:space="preserve"> The comparators were consistent with the ratified PICO and considered appropriate by the </w:t>
      </w:r>
      <w:r w:rsidR="00DD7827">
        <w:t>Commentary</w:t>
      </w:r>
      <w:r>
        <w:t>.</w:t>
      </w:r>
    </w:p>
    <w:p w14:paraId="412E375A" w14:textId="77777777" w:rsidR="00B36C1B" w:rsidRDefault="00B36C1B" w:rsidP="00B36C1B"/>
    <w:p w14:paraId="250E4865" w14:textId="77777777" w:rsidR="00B36C1B" w:rsidRDefault="00B36C1B" w:rsidP="00B36C1B">
      <w:pPr>
        <w:tabs>
          <w:tab w:val="left" w:pos="720"/>
          <w:tab w:val="left" w:pos="1140"/>
        </w:tabs>
        <w:rPr>
          <w:rFonts w:ascii="Arial Narrow" w:hAnsi="Arial Narrow" w:cs="Arial"/>
          <w:sz w:val="18"/>
          <w:szCs w:val="22"/>
          <w:lang w:eastAsia="en-US"/>
        </w:rPr>
      </w:pPr>
      <w:r>
        <w:t>SAVR can be claimed under two existing MBS items (38488, 38489).</w:t>
      </w:r>
    </w:p>
    <w:p w14:paraId="2FFC1638" w14:textId="77777777" w:rsidR="00BC1364" w:rsidRPr="00F715D1" w:rsidRDefault="00BC1364" w:rsidP="00F715D1">
      <w:pPr>
        <w:pStyle w:val="Heading1"/>
      </w:pPr>
      <w:r w:rsidRPr="00F715D1">
        <w:t>Comparative safety</w:t>
      </w:r>
    </w:p>
    <w:p w14:paraId="74ED3FC7" w14:textId="6072BF2D" w:rsidR="00040D5B" w:rsidRPr="005B0EB5" w:rsidRDefault="00040D5B" w:rsidP="00040D5B">
      <w:r w:rsidRPr="00EC13D9">
        <w:t xml:space="preserve">There was no direct RCT evidence assessing </w:t>
      </w:r>
      <w:r w:rsidR="00E40C30">
        <w:t>TAVI-BEV</w:t>
      </w:r>
      <w:r w:rsidRPr="00EC13D9">
        <w:t xml:space="preserve"> </w:t>
      </w:r>
      <w:r w:rsidRPr="004822CA">
        <w:rPr>
          <w:i/>
        </w:rPr>
        <w:t>vs.</w:t>
      </w:r>
      <w:r>
        <w:t xml:space="preserve"> the primary comparator, SAVR. </w:t>
      </w:r>
      <w:r w:rsidRPr="005B0EB5">
        <w:t>The evidential basis of the ADAR consisted of results from:</w:t>
      </w:r>
    </w:p>
    <w:p w14:paraId="4CB4A28A" w14:textId="77777777" w:rsidR="00040D5B" w:rsidRPr="005B0EB5" w:rsidRDefault="00040D5B" w:rsidP="00040D5B">
      <w:pPr>
        <w:numPr>
          <w:ilvl w:val="0"/>
          <w:numId w:val="30"/>
        </w:numPr>
      </w:pPr>
      <w:r w:rsidRPr="005B0EB5">
        <w:t>PARTNER S3i</w:t>
      </w:r>
      <w:r>
        <w:t xml:space="preserve"> </w:t>
      </w:r>
      <w:r>
        <w:rPr>
          <w:rStyle w:val="FootnoteReference"/>
        </w:rPr>
        <w:footnoteReference w:id="9"/>
      </w:r>
      <w:r w:rsidRPr="005B0EB5">
        <w:t xml:space="preserve">, a propensity score-adjusted comparison of two sub-populations from two clinical </w:t>
      </w:r>
      <w:r>
        <w:t>studies</w:t>
      </w:r>
      <w:r w:rsidRPr="005B0EB5">
        <w:t xml:space="preserve">: intermediate risk patients (STS-PROM score: 4%-8%) from SAPIEN 3 single-arm </w:t>
      </w:r>
      <w:r>
        <w:t xml:space="preserve">observational study </w:t>
      </w:r>
      <w:r>
        <w:rPr>
          <w:rStyle w:val="FootnoteReference"/>
        </w:rPr>
        <w:footnoteReference w:id="10"/>
      </w:r>
      <w:r>
        <w:t xml:space="preserve"> </w:t>
      </w:r>
      <w:r w:rsidRPr="005B0EB5">
        <w:t>(TAVI-BEV arm</w:t>
      </w:r>
      <w:r>
        <w:t xml:space="preserve"> in PARTNER S3i</w:t>
      </w:r>
      <w:r w:rsidRPr="005B0EB5">
        <w:t>) and patients treated with SAVR from PARTNER 2A</w:t>
      </w:r>
      <w:r>
        <w:t xml:space="preserve"> RCT</w:t>
      </w:r>
      <w:r w:rsidRPr="005B0EB5">
        <w:t xml:space="preserve"> (SAVR arm); and</w:t>
      </w:r>
    </w:p>
    <w:p w14:paraId="62E5E9FE" w14:textId="5D1F2F96" w:rsidR="00040D5B" w:rsidRDefault="00040D5B" w:rsidP="00040D5B">
      <w:pPr>
        <w:numPr>
          <w:ilvl w:val="0"/>
          <w:numId w:val="30"/>
        </w:numPr>
      </w:pPr>
      <w:r w:rsidRPr="005B0EB5">
        <w:t>an indirect comparison of TAVI-BEV (SAPIEN 3) with TAVI-SEV via the common comparator, SAVR, with data sourced from the PARTNER S3i study and SURTAVI trial respectively.</w:t>
      </w:r>
    </w:p>
    <w:p w14:paraId="294E8F90" w14:textId="41E14603" w:rsidR="00040D5B" w:rsidRDefault="00040D5B" w:rsidP="0060464A">
      <w:pPr>
        <w:spacing w:before="240"/>
      </w:pPr>
      <w:r>
        <w:t xml:space="preserve">The </w:t>
      </w:r>
      <w:r w:rsidR="00DD7827">
        <w:t>Commentary</w:t>
      </w:r>
      <w:r>
        <w:t xml:space="preserve"> noted that the ADAR did not include a recent RCT (</w:t>
      </w:r>
      <w:r w:rsidRPr="005B0EB5">
        <w:t>SOLVE-TAVI</w:t>
      </w:r>
      <w:r>
        <w:t xml:space="preserve">; </w:t>
      </w:r>
      <w:r w:rsidRPr="005B0EB5">
        <w:t xml:space="preserve">Thiele et al., 2020), which directly compared a </w:t>
      </w:r>
      <w:r>
        <w:t>newer</w:t>
      </w:r>
      <w:r w:rsidRPr="005B0EB5">
        <w:t xml:space="preserve"> generation TAVI-BEV (SAPIEN 3) to a </w:t>
      </w:r>
      <w:r w:rsidRPr="00F146E5">
        <w:t xml:space="preserve">newer generation </w:t>
      </w:r>
      <w:r w:rsidRPr="005B0EB5">
        <w:t xml:space="preserve"> TAVI-SEV (Medtronic’s Evolut R CoreValve) in patients that were predominantly intermediate risk (median STS-PROM score of 4.7%</w:t>
      </w:r>
      <w:r>
        <w:t>, interquartile range 3.0%-9.8%</w:t>
      </w:r>
      <w:r w:rsidRPr="005B0EB5">
        <w:t>).</w:t>
      </w:r>
      <w:r>
        <w:t xml:space="preserve"> The </w:t>
      </w:r>
      <w:r w:rsidR="00021F25">
        <w:t>p</w:t>
      </w:r>
      <w:r>
        <w:t xml:space="preserve">re-ESC response highlighted that the population in SOLVE-TAVI was high risk defined by the European System for Cardiac Operative Risk Evaluation (EuroSCORE) of </w:t>
      </w:r>
      <w:r w:rsidR="00F011D4">
        <w:t>≥</w:t>
      </w:r>
      <w:r>
        <w:t xml:space="preserve">20% and/or a Society of Thoracic Surgeons (STS) risk score of </w:t>
      </w:r>
      <w:r w:rsidR="00F011D4">
        <w:t>≥</w:t>
      </w:r>
      <w:r>
        <w:t xml:space="preserve"> 10%, or other high-risk criteria determined by the Heart Team. The results of the </w:t>
      </w:r>
      <w:r w:rsidRPr="005B0EB5">
        <w:t>SOLVE-TAVI</w:t>
      </w:r>
      <w:r>
        <w:t xml:space="preserve"> trial were included in the </w:t>
      </w:r>
      <w:r w:rsidR="00DD7827">
        <w:t>Commentary</w:t>
      </w:r>
      <w:r>
        <w:t xml:space="preserve"> (Table 4).</w:t>
      </w:r>
    </w:p>
    <w:p w14:paraId="69359062" w14:textId="0761B069" w:rsidR="00040D5B" w:rsidRDefault="00040D5B" w:rsidP="0060464A">
      <w:pPr>
        <w:spacing w:before="240"/>
      </w:pPr>
      <w:r w:rsidRPr="00296A26">
        <w:t xml:space="preserve">The literature search was limited to SAPIEN 3 TAVI-BEV devices as earlier generations of this device are no longer marketed in Australia. </w:t>
      </w:r>
      <w:r>
        <w:t xml:space="preserve"> The </w:t>
      </w:r>
      <w:r w:rsidR="00DD7827">
        <w:t>Commentary</w:t>
      </w:r>
      <w:r>
        <w:t xml:space="preserve"> considered that t</w:t>
      </w:r>
      <w:r w:rsidRPr="00296A26">
        <w:t>his was appropriate as several studies have demonstrated the SAPIEN 3 may not be comparable with earlier versions of the device (i.e. SAPIEN XT) (Ando et al., 2016</w:t>
      </w:r>
      <w:r>
        <w:t xml:space="preserve"> </w:t>
      </w:r>
      <w:r>
        <w:rPr>
          <w:rStyle w:val="FootnoteReference"/>
        </w:rPr>
        <w:footnoteReference w:id="11"/>
      </w:r>
      <w:r w:rsidRPr="00296A26">
        <w:t>; Schofer et al., 2016</w:t>
      </w:r>
      <w:r>
        <w:t xml:space="preserve"> </w:t>
      </w:r>
      <w:r>
        <w:rPr>
          <w:rStyle w:val="FootnoteReference"/>
        </w:rPr>
        <w:footnoteReference w:id="12"/>
      </w:r>
      <w:r>
        <w:t xml:space="preserve">) </w:t>
      </w:r>
      <w:r w:rsidRPr="004822CA">
        <w:t>is indicated for relief of aortic stenosis in patients with symptomatic heart disease due to severe native calcific aortic stenosis who are judged by a Heart Team, including a cardiac surgeon, to be appropriate for the transcatheter heart valve replacement therapy</w:t>
      </w:r>
      <w:r w:rsidR="003257BF">
        <w:t>.</w:t>
      </w:r>
    </w:p>
    <w:p w14:paraId="46F0DC96" w14:textId="53455CA9" w:rsidR="00040D5B" w:rsidRPr="00AC061E" w:rsidRDefault="00E40C30" w:rsidP="00AC061E">
      <w:pPr>
        <w:keepNext/>
        <w:keepLines/>
        <w:rPr>
          <w:rFonts w:ascii="Arial Narrow" w:hAnsi="Arial Narrow"/>
          <w:b/>
          <w:sz w:val="20"/>
        </w:rPr>
      </w:pPr>
      <w:r w:rsidRPr="00AC061E">
        <w:rPr>
          <w:rFonts w:ascii="Arial Narrow" w:hAnsi="Arial Narrow"/>
          <w:b/>
          <w:sz w:val="20"/>
        </w:rPr>
        <w:t>Table 4</w:t>
      </w:r>
      <w:r w:rsidRPr="00AC061E">
        <w:rPr>
          <w:rFonts w:ascii="Arial Narrow" w:hAnsi="Arial Narrow"/>
          <w:b/>
          <w:sz w:val="20"/>
        </w:rPr>
        <w:tab/>
      </w:r>
      <w:r w:rsidR="00040D5B" w:rsidRPr="00AC061E">
        <w:rPr>
          <w:rFonts w:ascii="Arial Narrow" w:hAnsi="Arial Narrow"/>
          <w:b/>
          <w:sz w:val="20"/>
        </w:rPr>
        <w:t>Key features of the included evidence comparing TAVI-BEV with SAVR and TAVI-SEV</w:t>
      </w:r>
    </w:p>
    <w:tbl>
      <w:tblPr>
        <w:tblStyle w:val="TableGrid2"/>
        <w:tblW w:w="4985"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239"/>
        <w:gridCol w:w="581"/>
        <w:gridCol w:w="2235"/>
        <w:gridCol w:w="909"/>
        <w:gridCol w:w="1667"/>
        <w:gridCol w:w="1338"/>
        <w:gridCol w:w="1020"/>
      </w:tblGrid>
      <w:tr w:rsidR="00040D5B" w:rsidRPr="00F60AE4" w14:paraId="0CCDE048" w14:textId="77777777" w:rsidTr="00C55A2D">
        <w:trPr>
          <w:cnfStyle w:val="100000000000" w:firstRow="1" w:lastRow="0" w:firstColumn="0" w:lastColumn="0" w:oddVBand="0" w:evenVBand="0" w:oddHBand="0" w:evenHBand="0" w:firstRowFirstColumn="0" w:firstRowLastColumn="0" w:lastRowFirstColumn="0" w:lastRowLastColumn="0"/>
          <w:tblHeader/>
        </w:trPr>
        <w:tc>
          <w:tcPr>
            <w:tcW w:w="708" w:type="pct"/>
          </w:tcPr>
          <w:p w14:paraId="214B504B" w14:textId="77777777" w:rsidR="00040D5B" w:rsidRPr="00EE216E" w:rsidRDefault="00040D5B" w:rsidP="00AC061E">
            <w:pPr>
              <w:keepNext/>
              <w:keepLines/>
              <w:spacing w:before="0" w:after="0"/>
              <w:jc w:val="both"/>
              <w:rPr>
                <w:rFonts w:ascii="Arial Narrow" w:hAnsi="Arial Narrow" w:cs="Tahoma"/>
                <w:b/>
                <w:iCs/>
                <w:snapToGrid w:val="0"/>
                <w:sz w:val="20"/>
                <w:lang w:eastAsia="en-US"/>
              </w:rPr>
            </w:pPr>
            <w:r w:rsidRPr="00EE216E">
              <w:rPr>
                <w:rFonts w:ascii="Arial Narrow" w:hAnsi="Arial Narrow" w:cs="Tahoma"/>
                <w:b/>
                <w:iCs/>
                <w:snapToGrid w:val="0"/>
                <w:sz w:val="20"/>
                <w:lang w:eastAsia="en-US"/>
              </w:rPr>
              <w:t>Trial/Study</w:t>
            </w:r>
          </w:p>
        </w:tc>
        <w:tc>
          <w:tcPr>
            <w:tcW w:w="315" w:type="pct"/>
          </w:tcPr>
          <w:p w14:paraId="61541301" w14:textId="77777777" w:rsidR="00040D5B" w:rsidRPr="00EE216E" w:rsidRDefault="00040D5B" w:rsidP="00AC061E">
            <w:pPr>
              <w:keepNext/>
              <w:keepLines/>
              <w:spacing w:before="0" w:after="0"/>
              <w:jc w:val="center"/>
              <w:rPr>
                <w:rFonts w:ascii="Arial Narrow" w:hAnsi="Arial Narrow" w:cs="Tahoma"/>
                <w:b/>
                <w:iCs/>
                <w:snapToGrid w:val="0"/>
                <w:sz w:val="20"/>
                <w:lang w:eastAsia="en-US"/>
              </w:rPr>
            </w:pPr>
            <w:r w:rsidRPr="00EE216E">
              <w:rPr>
                <w:rFonts w:ascii="Arial Narrow" w:hAnsi="Arial Narrow" w:cs="Tahoma"/>
                <w:b/>
                <w:iCs/>
                <w:snapToGrid w:val="0"/>
                <w:sz w:val="20"/>
                <w:lang w:eastAsia="en-US"/>
              </w:rPr>
              <w:t>N</w:t>
            </w:r>
          </w:p>
        </w:tc>
        <w:tc>
          <w:tcPr>
            <w:tcW w:w="1262" w:type="pct"/>
          </w:tcPr>
          <w:p w14:paraId="7169EB52" w14:textId="77777777" w:rsidR="00040D5B" w:rsidRPr="00EE216E" w:rsidRDefault="00040D5B" w:rsidP="00AC061E">
            <w:pPr>
              <w:keepNext/>
              <w:keepLines/>
              <w:spacing w:before="0" w:after="0"/>
              <w:jc w:val="center"/>
              <w:rPr>
                <w:rFonts w:ascii="Arial Narrow" w:hAnsi="Arial Narrow" w:cs="Tahoma"/>
                <w:b/>
                <w:iCs/>
                <w:snapToGrid w:val="0"/>
                <w:sz w:val="20"/>
                <w:lang w:eastAsia="en-US"/>
              </w:rPr>
            </w:pPr>
            <w:r w:rsidRPr="00EE216E">
              <w:rPr>
                <w:rFonts w:ascii="Arial Narrow" w:hAnsi="Arial Narrow" w:cs="Tahoma"/>
                <w:b/>
                <w:iCs/>
                <w:snapToGrid w:val="0"/>
                <w:sz w:val="20"/>
                <w:lang w:eastAsia="en-US"/>
              </w:rPr>
              <w:t>Design/ duration</w:t>
            </w:r>
          </w:p>
        </w:tc>
        <w:tc>
          <w:tcPr>
            <w:tcW w:w="473" w:type="pct"/>
          </w:tcPr>
          <w:p w14:paraId="0775A074" w14:textId="77777777" w:rsidR="00040D5B" w:rsidRPr="00EE216E" w:rsidRDefault="00040D5B" w:rsidP="00AC061E">
            <w:pPr>
              <w:keepNext/>
              <w:keepLines/>
              <w:spacing w:before="0" w:after="0"/>
              <w:jc w:val="center"/>
              <w:rPr>
                <w:rFonts w:ascii="Arial Narrow" w:hAnsi="Arial Narrow" w:cs="Tahoma"/>
                <w:b/>
                <w:iCs/>
                <w:snapToGrid w:val="0"/>
                <w:sz w:val="20"/>
                <w:lang w:eastAsia="en-US"/>
              </w:rPr>
            </w:pPr>
            <w:r w:rsidRPr="00EE216E">
              <w:rPr>
                <w:rFonts w:ascii="Arial Narrow" w:hAnsi="Arial Narrow" w:cs="Tahoma"/>
                <w:b/>
                <w:iCs/>
                <w:snapToGrid w:val="0"/>
                <w:sz w:val="20"/>
                <w:lang w:eastAsia="en-US"/>
              </w:rPr>
              <w:t>Risk of bias</w:t>
            </w:r>
          </w:p>
        </w:tc>
        <w:tc>
          <w:tcPr>
            <w:tcW w:w="946" w:type="pct"/>
          </w:tcPr>
          <w:p w14:paraId="469938C3" w14:textId="77777777" w:rsidR="00040D5B" w:rsidRPr="00EE216E" w:rsidRDefault="00040D5B" w:rsidP="00AC061E">
            <w:pPr>
              <w:keepNext/>
              <w:keepLines/>
              <w:spacing w:before="0" w:after="0"/>
              <w:jc w:val="center"/>
              <w:rPr>
                <w:rFonts w:ascii="Arial Narrow" w:hAnsi="Arial Narrow" w:cs="Tahoma"/>
                <w:b/>
                <w:iCs/>
                <w:snapToGrid w:val="0"/>
                <w:sz w:val="20"/>
                <w:lang w:eastAsia="en-US"/>
              </w:rPr>
            </w:pPr>
            <w:r w:rsidRPr="00EE216E">
              <w:rPr>
                <w:rFonts w:ascii="Arial Narrow" w:hAnsi="Arial Narrow" w:cs="Tahoma"/>
                <w:b/>
                <w:iCs/>
                <w:snapToGrid w:val="0"/>
                <w:sz w:val="20"/>
                <w:lang w:eastAsia="en-US"/>
              </w:rPr>
              <w:t>Patient population</w:t>
            </w:r>
          </w:p>
        </w:tc>
        <w:tc>
          <w:tcPr>
            <w:tcW w:w="710" w:type="pct"/>
          </w:tcPr>
          <w:p w14:paraId="7F237AA3" w14:textId="77777777" w:rsidR="00040D5B" w:rsidRPr="00EE216E" w:rsidRDefault="00040D5B" w:rsidP="00AC061E">
            <w:pPr>
              <w:keepNext/>
              <w:keepLines/>
              <w:spacing w:before="0" w:after="0"/>
              <w:jc w:val="center"/>
              <w:rPr>
                <w:rFonts w:ascii="Arial Narrow" w:hAnsi="Arial Narrow" w:cs="Tahoma"/>
                <w:b/>
                <w:iCs/>
                <w:snapToGrid w:val="0"/>
                <w:sz w:val="20"/>
                <w:lang w:eastAsia="en-US"/>
              </w:rPr>
            </w:pPr>
            <w:r w:rsidRPr="00EE216E">
              <w:rPr>
                <w:rFonts w:ascii="Arial Narrow" w:hAnsi="Arial Narrow" w:cs="Tahoma"/>
                <w:b/>
                <w:iCs/>
                <w:snapToGrid w:val="0"/>
                <w:sz w:val="20"/>
                <w:lang w:eastAsia="en-US"/>
              </w:rPr>
              <w:t>Key outcome</w:t>
            </w:r>
          </w:p>
        </w:tc>
        <w:tc>
          <w:tcPr>
            <w:tcW w:w="587" w:type="pct"/>
          </w:tcPr>
          <w:p w14:paraId="0F24AB57" w14:textId="77777777" w:rsidR="00040D5B" w:rsidRPr="00EE216E" w:rsidRDefault="00040D5B" w:rsidP="00AC061E">
            <w:pPr>
              <w:keepNext/>
              <w:keepLines/>
              <w:spacing w:before="0" w:after="0"/>
              <w:jc w:val="center"/>
              <w:rPr>
                <w:rFonts w:ascii="Arial Narrow" w:hAnsi="Arial Narrow" w:cs="Tahoma"/>
                <w:b/>
                <w:iCs/>
                <w:snapToGrid w:val="0"/>
                <w:sz w:val="20"/>
                <w:lang w:eastAsia="en-US"/>
              </w:rPr>
            </w:pPr>
            <w:r w:rsidRPr="00EE216E">
              <w:rPr>
                <w:rFonts w:ascii="Arial Narrow" w:hAnsi="Arial Narrow" w:cs="Tahoma"/>
                <w:b/>
                <w:iCs/>
                <w:snapToGrid w:val="0"/>
                <w:sz w:val="20"/>
                <w:lang w:eastAsia="en-US"/>
              </w:rPr>
              <w:t>Result used in economic model</w:t>
            </w:r>
          </w:p>
        </w:tc>
      </w:tr>
      <w:tr w:rsidR="00040D5B" w:rsidRPr="00F60AE4" w14:paraId="77E1AB26" w14:textId="77777777" w:rsidTr="00AC061E">
        <w:tc>
          <w:tcPr>
            <w:tcW w:w="708" w:type="pct"/>
          </w:tcPr>
          <w:p w14:paraId="5121DC0F" w14:textId="77777777" w:rsidR="00040D5B" w:rsidRPr="00EE216E" w:rsidRDefault="00040D5B" w:rsidP="00AC061E">
            <w:pPr>
              <w:keepNext/>
              <w:keepLines/>
              <w:spacing w:before="0" w:after="0"/>
              <w:jc w:val="center"/>
              <w:rPr>
                <w:rFonts w:cs="Arial"/>
                <w:bCs/>
                <w:iCs/>
                <w:snapToGrid w:val="0"/>
                <w:sz w:val="20"/>
                <w:lang w:eastAsia="en-US"/>
              </w:rPr>
            </w:pPr>
            <w:r w:rsidRPr="00EE216E">
              <w:rPr>
                <w:rFonts w:cs="Arial"/>
                <w:bCs/>
                <w:iCs/>
                <w:snapToGrid w:val="0"/>
                <w:sz w:val="20"/>
                <w:lang w:eastAsia="en-US"/>
              </w:rPr>
              <w:t>PARTNER S3i</w:t>
            </w:r>
          </w:p>
          <w:p w14:paraId="1B04043E"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fldChar w:fldCharType="begin">
                <w:fldData xml:space="preserve">PEVuZE5vdGU+PENpdGU+PEF1dGhvcj5UaG91cmFuaTwvQXV0aG9yPjxZZWFyPjIwMTY8L1llYXI+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</w:fldData>
              </w:fldChar>
            </w:r>
            <w:r w:rsidRPr="00EE216E">
              <w:rPr>
                <w:rFonts w:cs="Arial"/>
                <w:bCs/>
                <w:iCs/>
                <w:sz w:val="20"/>
                <w:lang w:eastAsia="en-US"/>
              </w:rPr>
              <w:instrText xml:space="preserve"> ADDIN EN.CITE </w:instrText>
            </w:r>
            <w:r w:rsidRPr="00EE216E">
              <w:rPr>
                <w:rFonts w:cs="Arial"/>
                <w:bCs/>
                <w:iCs/>
                <w:sz w:val="20"/>
                <w:lang w:eastAsia="en-US"/>
              </w:rPr>
              <w:fldChar w:fldCharType="begin">
                <w:fldData xml:space="preserve">PEVuZE5vdGU+PENpdGU+PEF1dGhvcj5UaG91cmFuaTwvQXV0aG9yPjxZZWFyPjIwMTY8L1llYXI+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</w:fldData>
              </w:fldChar>
            </w:r>
            <w:r w:rsidRPr="00EE216E">
              <w:rPr>
                <w:rFonts w:cs="Arial"/>
                <w:bCs/>
                <w:iCs/>
                <w:sz w:val="20"/>
                <w:lang w:eastAsia="en-US"/>
              </w:rPr>
              <w:instrText xml:space="preserve"> ADDIN EN.CITE.DATA </w:instrText>
            </w:r>
            <w:r w:rsidRPr="00EE216E">
              <w:rPr>
                <w:rFonts w:cs="Arial"/>
                <w:bCs/>
                <w:iCs/>
                <w:sz w:val="20"/>
                <w:lang w:eastAsia="en-US"/>
              </w:rPr>
            </w:r>
            <w:r w:rsidRPr="00EE216E">
              <w:rPr>
                <w:rFonts w:cs="Arial"/>
                <w:bCs/>
                <w:iCs/>
                <w:sz w:val="20"/>
                <w:lang w:eastAsia="en-US"/>
              </w:rPr>
              <w:fldChar w:fldCharType="end"/>
            </w:r>
            <w:r w:rsidRPr="00EE216E">
              <w:rPr>
                <w:rFonts w:cs="Arial"/>
                <w:bCs/>
                <w:iCs/>
                <w:sz w:val="20"/>
                <w:lang w:eastAsia="en-US"/>
              </w:rPr>
            </w:r>
            <w:r w:rsidRPr="00EE216E">
              <w:rPr>
                <w:rFonts w:cs="Arial"/>
                <w:bCs/>
                <w:iCs/>
                <w:sz w:val="20"/>
                <w:lang w:eastAsia="en-US"/>
              </w:rPr>
              <w:fldChar w:fldCharType="separate"/>
            </w:r>
            <w:r w:rsidRPr="00EE216E">
              <w:rPr>
                <w:rFonts w:cs="Arial"/>
                <w:bCs/>
                <w:iCs/>
                <w:noProof/>
                <w:sz w:val="20"/>
                <w:lang w:eastAsia="en-US"/>
              </w:rPr>
              <w:t>(</w:t>
            </w:r>
            <w:hyperlink w:anchor="_ENREF_54" w:tooltip="Thourani, 2016 #2" w:history="1">
              <w:r w:rsidRPr="00EE216E">
                <w:rPr>
                  <w:rFonts w:cs="Arial"/>
                  <w:bCs/>
                  <w:iCs/>
                  <w:noProof/>
                  <w:sz w:val="20"/>
                  <w:lang w:eastAsia="en-US"/>
                </w:rPr>
                <w:t>Thourani et al., 2016</w:t>
              </w:r>
            </w:hyperlink>
            <w:r w:rsidRPr="00EE216E">
              <w:rPr>
                <w:rFonts w:cs="Arial"/>
                <w:bCs/>
                <w:iCs/>
                <w:noProof/>
                <w:sz w:val="20"/>
                <w:lang w:eastAsia="en-US"/>
              </w:rPr>
              <w:t>)</w:t>
            </w:r>
            <w:r w:rsidRPr="00EE216E">
              <w:rPr>
                <w:rFonts w:cs="Arial"/>
                <w:bCs/>
                <w:iCs/>
                <w:sz w:val="20"/>
                <w:lang w:eastAsia="en-US"/>
              </w:rPr>
              <w:fldChar w:fldCharType="end"/>
            </w:r>
          </w:p>
        </w:tc>
        <w:tc>
          <w:tcPr>
            <w:tcW w:w="315" w:type="pct"/>
          </w:tcPr>
          <w:p w14:paraId="04237B5F"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napToGrid w:val="0"/>
                <w:sz w:val="20"/>
                <w:lang w:eastAsia="en-US"/>
              </w:rPr>
              <w:t>1037</w:t>
            </w:r>
          </w:p>
        </w:tc>
        <w:tc>
          <w:tcPr>
            <w:tcW w:w="1262" w:type="pct"/>
          </w:tcPr>
          <w:p w14:paraId="60408B81"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t>PSA comparison of two sub-populations from SAPIEN 3 (TAVI-BEV) and PARTNER 2A (SAVR) trials</w:t>
            </w:r>
          </w:p>
          <w:p w14:paraId="2734C335" w14:textId="77777777" w:rsidR="00040D5B" w:rsidRPr="00EE216E" w:rsidRDefault="00040D5B" w:rsidP="00AC061E">
            <w:pPr>
              <w:keepNext/>
              <w:keepLines/>
              <w:spacing w:before="0" w:after="0"/>
              <w:jc w:val="center"/>
              <w:rPr>
                <w:rFonts w:cs="Arial"/>
                <w:bCs/>
                <w:iCs/>
                <w:sz w:val="20"/>
                <w:lang w:eastAsia="en-US"/>
              </w:rPr>
            </w:pPr>
          </w:p>
          <w:p w14:paraId="2E319EF3"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t>Follow-up: 30 days and 1-year</w:t>
            </w:r>
          </w:p>
        </w:tc>
        <w:tc>
          <w:tcPr>
            <w:tcW w:w="473" w:type="pct"/>
          </w:tcPr>
          <w:p w14:paraId="40AB89D3"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t>Low to moderate</w:t>
            </w:r>
          </w:p>
        </w:tc>
        <w:tc>
          <w:tcPr>
            <w:tcW w:w="946" w:type="pct"/>
          </w:tcPr>
          <w:p w14:paraId="0FD32A50"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t>Intermediate-risk patients (STS-PROM score (4%-8%))</w:t>
            </w:r>
            <w:r w:rsidRPr="00EE216E">
              <w:rPr>
                <w:rFonts w:cs="Arial"/>
                <w:b/>
                <w:iCs/>
                <w:sz w:val="20"/>
                <w:lang w:eastAsia="en-US"/>
              </w:rPr>
              <w:t xml:space="preserve"> </w:t>
            </w:r>
            <w:r w:rsidRPr="00EE216E">
              <w:rPr>
                <w:rFonts w:cs="Arial"/>
                <w:bCs/>
                <w:iCs/>
                <w:sz w:val="20"/>
                <w:lang w:eastAsia="en-US"/>
              </w:rPr>
              <w:t>with severe aortic stenosis</w:t>
            </w:r>
          </w:p>
        </w:tc>
        <w:tc>
          <w:tcPr>
            <w:tcW w:w="710" w:type="pct"/>
          </w:tcPr>
          <w:p w14:paraId="330AFD8E"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t>All-cause mortality, stroke, PVR, PPI, reinterventions, HRQoL</w:t>
            </w:r>
          </w:p>
        </w:tc>
        <w:tc>
          <w:tcPr>
            <w:tcW w:w="587" w:type="pct"/>
          </w:tcPr>
          <w:p w14:paraId="47ADF6CB" w14:textId="77777777" w:rsidR="00040D5B" w:rsidRPr="00EE216E" w:rsidRDefault="00040D5B" w:rsidP="00AC061E">
            <w:pPr>
              <w:keepNext/>
              <w:keepLines/>
              <w:spacing w:before="0" w:after="0"/>
              <w:jc w:val="center"/>
              <w:rPr>
                <w:rFonts w:cs="Arial"/>
                <w:bCs/>
                <w:iCs/>
                <w:sz w:val="20"/>
                <w:lang w:eastAsia="en-US"/>
              </w:rPr>
            </w:pPr>
            <w:r w:rsidRPr="00EE216E">
              <w:rPr>
                <w:rFonts w:cs="Arial"/>
                <w:bCs/>
                <w:iCs/>
                <w:sz w:val="20"/>
                <w:lang w:eastAsia="en-US"/>
              </w:rPr>
              <w:t>Yes</w:t>
            </w:r>
          </w:p>
        </w:tc>
      </w:tr>
      <w:tr w:rsidR="00040D5B" w:rsidRPr="00F60AE4" w14:paraId="41945B8D" w14:textId="77777777" w:rsidTr="00AC061E">
        <w:trPr>
          <w:trHeight w:val="323"/>
        </w:trPr>
        <w:tc>
          <w:tcPr>
            <w:tcW w:w="708" w:type="pct"/>
          </w:tcPr>
          <w:p w14:paraId="276FD61B" w14:textId="77777777" w:rsidR="00040D5B" w:rsidRPr="00F60AE4" w:rsidRDefault="00040D5B" w:rsidP="00AC061E">
            <w:pPr>
              <w:spacing w:before="0" w:after="0"/>
              <w:jc w:val="center"/>
              <w:rPr>
                <w:rFonts w:cs="Arial"/>
                <w:b/>
                <w:sz w:val="20"/>
                <w:lang w:eastAsia="en-US"/>
              </w:rPr>
            </w:pPr>
            <w:r w:rsidRPr="00EE216E">
              <w:rPr>
                <w:rFonts w:cs="Arial"/>
                <w:bCs/>
                <w:iCs/>
                <w:snapToGrid w:val="0"/>
                <w:sz w:val="20"/>
                <w:lang w:eastAsia="en-US"/>
              </w:rPr>
              <w:t>SURTAVI</w:t>
            </w:r>
            <w:r w:rsidRPr="00F60AE4">
              <w:rPr>
                <w:rFonts w:cs="Arial"/>
                <w:b/>
                <w:sz w:val="20"/>
                <w:lang w:eastAsia="en-US"/>
              </w:rPr>
              <w:t xml:space="preserve"> </w:t>
            </w:r>
          </w:p>
          <w:p w14:paraId="087582AF" w14:textId="77777777" w:rsidR="00040D5B" w:rsidRPr="00EE216E" w:rsidRDefault="00040D5B" w:rsidP="00AC061E">
            <w:pPr>
              <w:spacing w:before="0" w:after="0"/>
              <w:jc w:val="center"/>
              <w:rPr>
                <w:rFonts w:cs="Arial"/>
                <w:bCs/>
                <w:iCs/>
                <w:sz w:val="20"/>
                <w:lang w:eastAsia="en-US"/>
              </w:rPr>
            </w:pPr>
          </w:p>
        </w:tc>
        <w:tc>
          <w:tcPr>
            <w:tcW w:w="315" w:type="pct"/>
          </w:tcPr>
          <w:p w14:paraId="1F2321E2" w14:textId="77777777" w:rsidR="00040D5B" w:rsidRPr="00EE216E" w:rsidRDefault="00040D5B" w:rsidP="00AC061E">
            <w:pPr>
              <w:spacing w:before="0" w:after="0"/>
              <w:jc w:val="center"/>
              <w:rPr>
                <w:rFonts w:cs="Arial"/>
                <w:bCs/>
                <w:iCs/>
                <w:sz w:val="20"/>
                <w:lang w:eastAsia="en-US"/>
              </w:rPr>
            </w:pPr>
            <w:r w:rsidRPr="00EE216E">
              <w:rPr>
                <w:rFonts w:cs="Arial"/>
                <w:bCs/>
                <w:iCs/>
                <w:snapToGrid w:val="0"/>
                <w:sz w:val="20"/>
                <w:lang w:eastAsia="en-US"/>
              </w:rPr>
              <w:t>1657</w:t>
            </w:r>
          </w:p>
        </w:tc>
        <w:tc>
          <w:tcPr>
            <w:tcW w:w="1262" w:type="pct"/>
          </w:tcPr>
          <w:p w14:paraId="21D79852" w14:textId="77777777" w:rsidR="00040D5B" w:rsidRPr="00EE216E" w:rsidRDefault="00040D5B" w:rsidP="00AC061E">
            <w:pPr>
              <w:spacing w:before="0" w:after="0"/>
              <w:jc w:val="center"/>
              <w:rPr>
                <w:rFonts w:cs="Arial"/>
                <w:b/>
                <w:iCs/>
                <w:snapToGrid w:val="0"/>
                <w:sz w:val="20"/>
                <w:lang w:eastAsia="en-US"/>
              </w:rPr>
            </w:pPr>
            <w:r w:rsidRPr="00EE216E">
              <w:rPr>
                <w:rFonts w:cs="Arial"/>
                <w:bCs/>
                <w:iCs/>
                <w:sz w:val="20"/>
                <w:lang w:eastAsia="en-US"/>
              </w:rPr>
              <w:t>Design: R</w:t>
            </w:r>
            <w:r w:rsidRPr="00EE216E">
              <w:rPr>
                <w:rFonts w:cs="Arial"/>
                <w:bCs/>
                <w:iCs/>
                <w:snapToGrid w:val="0"/>
                <w:sz w:val="20"/>
                <w:lang w:eastAsia="en-US"/>
              </w:rPr>
              <w:t>, MC, OL,</w:t>
            </w:r>
            <w:r w:rsidRPr="00EE216E">
              <w:rPr>
                <w:rFonts w:cs="Arial"/>
                <w:b/>
                <w:bCs/>
                <w:iCs/>
                <w:snapToGrid w:val="0"/>
                <w:sz w:val="20"/>
                <w:lang w:eastAsia="en-US"/>
              </w:rPr>
              <w:t xml:space="preserve"> </w:t>
            </w:r>
            <w:r w:rsidRPr="00EE216E">
              <w:rPr>
                <w:rFonts w:cs="Arial"/>
                <w:iCs/>
                <w:snapToGrid w:val="0"/>
                <w:sz w:val="20"/>
                <w:lang w:eastAsia="en-US"/>
              </w:rPr>
              <w:t xml:space="preserve">NI, </w:t>
            </w:r>
            <w:r w:rsidRPr="00EE216E">
              <w:rPr>
                <w:rFonts w:cs="Arial"/>
                <w:bCs/>
                <w:iCs/>
                <w:sz w:val="20"/>
                <w:lang w:eastAsia="en-US"/>
              </w:rPr>
              <w:t>between TAVI-SEV and SAVR.</w:t>
            </w:r>
          </w:p>
          <w:p w14:paraId="66FB44A0" w14:textId="77777777" w:rsidR="00040D5B" w:rsidRPr="00EE216E" w:rsidRDefault="00040D5B" w:rsidP="00AC061E">
            <w:pPr>
              <w:spacing w:before="0" w:after="0"/>
              <w:jc w:val="center"/>
              <w:rPr>
                <w:rFonts w:cs="Arial"/>
                <w:b/>
                <w:iCs/>
                <w:snapToGrid w:val="0"/>
                <w:sz w:val="20"/>
                <w:lang w:eastAsia="en-US"/>
              </w:rPr>
            </w:pPr>
          </w:p>
          <w:p w14:paraId="508488DD" w14:textId="77777777" w:rsidR="00040D5B" w:rsidRPr="00EE216E" w:rsidRDefault="00040D5B" w:rsidP="00AC061E">
            <w:pPr>
              <w:spacing w:before="0" w:after="0"/>
              <w:jc w:val="center"/>
              <w:rPr>
                <w:rFonts w:cs="Arial"/>
                <w:iCs/>
                <w:sz w:val="20"/>
                <w:lang w:eastAsia="en-US"/>
              </w:rPr>
            </w:pPr>
            <w:r w:rsidRPr="00EE216E">
              <w:rPr>
                <w:rFonts w:cs="Arial"/>
                <w:iCs/>
                <w:sz w:val="20"/>
                <w:lang w:eastAsia="en-US"/>
              </w:rPr>
              <w:t>Follow-up: 30-days, 1 and 2 years</w:t>
            </w:r>
          </w:p>
        </w:tc>
        <w:tc>
          <w:tcPr>
            <w:tcW w:w="473" w:type="pct"/>
          </w:tcPr>
          <w:p w14:paraId="07835EDB"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Moderate</w:t>
            </w:r>
          </w:p>
        </w:tc>
        <w:tc>
          <w:tcPr>
            <w:tcW w:w="946" w:type="pct"/>
          </w:tcPr>
          <w:p w14:paraId="55DA9F7F"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Intermediate high-risk patients (STS-PROM score (3%-15%))</w:t>
            </w:r>
            <w:r w:rsidRPr="00EE216E">
              <w:rPr>
                <w:rFonts w:cs="Arial"/>
                <w:b/>
                <w:iCs/>
                <w:sz w:val="20"/>
                <w:lang w:eastAsia="en-US"/>
              </w:rPr>
              <w:t xml:space="preserve"> </w:t>
            </w:r>
            <w:r w:rsidRPr="00EE216E">
              <w:rPr>
                <w:rFonts w:cs="Arial"/>
                <w:bCs/>
                <w:iCs/>
                <w:sz w:val="20"/>
                <w:lang w:eastAsia="en-US"/>
              </w:rPr>
              <w:t>with severe aortic stenosis</w:t>
            </w:r>
          </w:p>
        </w:tc>
        <w:tc>
          <w:tcPr>
            <w:tcW w:w="710" w:type="pct"/>
          </w:tcPr>
          <w:p w14:paraId="3F259DDC"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All-cause mortality, stroke, PVR, PPI, reinterventions</w:t>
            </w:r>
          </w:p>
        </w:tc>
        <w:tc>
          <w:tcPr>
            <w:tcW w:w="587" w:type="pct"/>
          </w:tcPr>
          <w:p w14:paraId="2125C8C8"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No</w:t>
            </w:r>
          </w:p>
        </w:tc>
      </w:tr>
      <w:tr w:rsidR="00040D5B" w:rsidRPr="00F60AE4" w14:paraId="2F86E4F4" w14:textId="77777777" w:rsidTr="00AC061E">
        <w:tc>
          <w:tcPr>
            <w:tcW w:w="708" w:type="pct"/>
          </w:tcPr>
          <w:p w14:paraId="73890138" w14:textId="77777777" w:rsidR="00040D5B" w:rsidRPr="00EE216E" w:rsidRDefault="00040D5B" w:rsidP="00AC061E">
            <w:pPr>
              <w:spacing w:before="0" w:after="0"/>
              <w:jc w:val="center"/>
              <w:rPr>
                <w:rFonts w:cs="Arial"/>
                <w:bCs/>
                <w:iCs/>
                <w:sz w:val="20"/>
                <w:lang w:eastAsia="en-US"/>
              </w:rPr>
            </w:pPr>
            <w:r w:rsidRPr="00EE216E">
              <w:rPr>
                <w:rFonts w:cs="Arial"/>
                <w:bCs/>
                <w:iCs/>
                <w:snapToGrid w:val="0"/>
                <w:sz w:val="20"/>
                <w:lang w:eastAsia="en-US"/>
              </w:rPr>
              <w:t>SOLVE-TAVI</w:t>
            </w:r>
            <w:r w:rsidRPr="00EE216E">
              <w:rPr>
                <w:rFonts w:cs="Arial"/>
                <w:bCs/>
                <w:iCs/>
                <w:snapToGrid w:val="0"/>
                <w:sz w:val="20"/>
                <w:vertAlign w:val="superscript"/>
                <w:lang w:eastAsia="en-US"/>
              </w:rPr>
              <w:t>a</w:t>
            </w:r>
            <w:r w:rsidRPr="00F60AE4">
              <w:rPr>
                <w:rFonts w:cs="Arial"/>
                <w:b/>
                <w:sz w:val="20"/>
                <w:lang w:eastAsia="en-US"/>
              </w:rPr>
              <w:t xml:space="preserve"> </w:t>
            </w:r>
            <w:r w:rsidRPr="00EE216E">
              <w:rPr>
                <w:rFonts w:cs="Arial"/>
                <w:bCs/>
                <w:iCs/>
                <w:snapToGrid w:val="0"/>
                <w:sz w:val="20"/>
                <w:lang w:eastAsia="en-US"/>
              </w:rPr>
              <w:fldChar w:fldCharType="begin">
                <w:fldData xml:space="preserve">PEVuZE5vdGU+PENpdGU+PEF1dGhvcj5UaGllbGU8L0F1dGhvcj48WWVhcj4yMDIwPC9ZZWFyPjxS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</w:fldData>
              </w:fldChar>
            </w:r>
            <w:r w:rsidRPr="00EE216E">
              <w:rPr>
                <w:rFonts w:cs="Arial"/>
                <w:bCs/>
                <w:iCs/>
                <w:snapToGrid w:val="0"/>
                <w:sz w:val="20"/>
                <w:lang w:eastAsia="en-US"/>
              </w:rPr>
              <w:instrText xml:space="preserve"> ADDIN EN.CITE </w:instrText>
            </w:r>
            <w:r w:rsidRPr="00EE216E">
              <w:rPr>
                <w:rFonts w:cs="Arial"/>
                <w:bCs/>
                <w:iCs/>
                <w:snapToGrid w:val="0"/>
                <w:sz w:val="20"/>
                <w:lang w:eastAsia="en-US"/>
              </w:rPr>
              <w:fldChar w:fldCharType="begin">
                <w:fldData xml:space="preserve">PEVuZE5vdGU+PENpdGU+PEF1dGhvcj5UaGllbGU8L0F1dGhvcj48WWVhcj4yMDIwPC9ZZWFyPjxS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</w:fldData>
              </w:fldChar>
            </w:r>
            <w:r w:rsidRPr="00EE216E">
              <w:rPr>
                <w:rFonts w:cs="Arial"/>
                <w:bCs/>
                <w:iCs/>
                <w:snapToGrid w:val="0"/>
                <w:sz w:val="20"/>
                <w:lang w:eastAsia="en-US"/>
              </w:rPr>
              <w:instrText xml:space="preserve"> ADDIN EN.CITE.DATA </w:instrText>
            </w:r>
            <w:r w:rsidRPr="00EE216E">
              <w:rPr>
                <w:rFonts w:cs="Arial"/>
                <w:bCs/>
                <w:iCs/>
                <w:snapToGrid w:val="0"/>
                <w:sz w:val="20"/>
                <w:lang w:eastAsia="en-US"/>
              </w:rPr>
            </w:r>
            <w:r w:rsidRPr="00EE216E">
              <w:rPr>
                <w:rFonts w:cs="Arial"/>
                <w:bCs/>
                <w:iCs/>
                <w:snapToGrid w:val="0"/>
                <w:sz w:val="20"/>
                <w:lang w:eastAsia="en-US"/>
              </w:rPr>
              <w:fldChar w:fldCharType="end"/>
            </w:r>
            <w:r w:rsidRPr="00EE216E">
              <w:rPr>
                <w:rFonts w:cs="Arial"/>
                <w:bCs/>
                <w:iCs/>
                <w:snapToGrid w:val="0"/>
                <w:sz w:val="20"/>
                <w:lang w:eastAsia="en-US"/>
              </w:rPr>
            </w:r>
            <w:r w:rsidRPr="00EE216E">
              <w:rPr>
                <w:rFonts w:cs="Arial"/>
                <w:bCs/>
                <w:iCs/>
                <w:snapToGrid w:val="0"/>
                <w:sz w:val="20"/>
                <w:lang w:eastAsia="en-US"/>
              </w:rPr>
              <w:fldChar w:fldCharType="separate"/>
            </w:r>
            <w:r w:rsidRPr="00EE216E">
              <w:rPr>
                <w:rFonts w:cs="Arial"/>
                <w:bCs/>
                <w:iCs/>
                <w:noProof/>
                <w:snapToGrid w:val="0"/>
                <w:sz w:val="20"/>
                <w:lang w:eastAsia="en-US"/>
              </w:rPr>
              <w:t>(</w:t>
            </w:r>
            <w:hyperlink w:anchor="_ENREF_53" w:tooltip="Thiele, 2020 #1" w:history="1">
              <w:r w:rsidRPr="00EE216E">
                <w:rPr>
                  <w:rFonts w:cs="Arial"/>
                  <w:bCs/>
                  <w:iCs/>
                  <w:noProof/>
                  <w:snapToGrid w:val="0"/>
                  <w:sz w:val="20"/>
                  <w:lang w:eastAsia="en-US"/>
                </w:rPr>
                <w:t>Thiele et al., 2020</w:t>
              </w:r>
            </w:hyperlink>
            <w:r w:rsidRPr="00EE216E">
              <w:rPr>
                <w:rFonts w:cs="Arial"/>
                <w:bCs/>
                <w:iCs/>
                <w:noProof/>
                <w:snapToGrid w:val="0"/>
                <w:sz w:val="20"/>
                <w:lang w:eastAsia="en-US"/>
              </w:rPr>
              <w:t>)</w:t>
            </w:r>
            <w:r w:rsidRPr="00EE216E">
              <w:rPr>
                <w:rFonts w:cs="Arial"/>
                <w:bCs/>
                <w:iCs/>
                <w:snapToGrid w:val="0"/>
                <w:sz w:val="20"/>
                <w:lang w:eastAsia="en-US"/>
              </w:rPr>
              <w:fldChar w:fldCharType="end"/>
            </w:r>
          </w:p>
        </w:tc>
        <w:tc>
          <w:tcPr>
            <w:tcW w:w="315" w:type="pct"/>
          </w:tcPr>
          <w:p w14:paraId="6A00A8BE" w14:textId="77777777" w:rsidR="00040D5B" w:rsidRPr="00EE216E" w:rsidRDefault="00040D5B" w:rsidP="00AC061E">
            <w:pPr>
              <w:spacing w:before="0" w:after="0"/>
              <w:jc w:val="center"/>
              <w:rPr>
                <w:rFonts w:cs="Arial"/>
                <w:bCs/>
                <w:iCs/>
                <w:sz w:val="20"/>
                <w:lang w:eastAsia="en-US"/>
              </w:rPr>
            </w:pPr>
            <w:r w:rsidRPr="00EE216E">
              <w:rPr>
                <w:rFonts w:cs="Arial"/>
                <w:bCs/>
                <w:iCs/>
                <w:snapToGrid w:val="0"/>
                <w:sz w:val="20"/>
                <w:lang w:eastAsia="en-US"/>
              </w:rPr>
              <w:t>433</w:t>
            </w:r>
          </w:p>
        </w:tc>
        <w:tc>
          <w:tcPr>
            <w:tcW w:w="1262" w:type="pct"/>
          </w:tcPr>
          <w:p w14:paraId="36567457" w14:textId="77777777" w:rsidR="00040D5B" w:rsidRDefault="00040D5B" w:rsidP="00AC061E">
            <w:pPr>
              <w:spacing w:before="0" w:after="0"/>
              <w:jc w:val="center"/>
              <w:rPr>
                <w:rFonts w:cs="Arial"/>
                <w:bCs/>
                <w:iCs/>
                <w:sz w:val="20"/>
                <w:lang w:eastAsia="en-US"/>
              </w:rPr>
            </w:pPr>
            <w:r w:rsidRPr="00EE216E">
              <w:rPr>
                <w:rFonts w:cs="Tahoma"/>
                <w:bCs/>
                <w:iCs/>
                <w:sz w:val="20"/>
              </w:rPr>
              <w:t xml:space="preserve">Design: </w:t>
            </w:r>
            <w:r w:rsidRPr="00EE216E">
              <w:rPr>
                <w:rFonts w:cs="Arial"/>
                <w:bCs/>
                <w:iCs/>
                <w:sz w:val="20"/>
                <w:lang w:eastAsia="en-US"/>
              </w:rPr>
              <w:t>R</w:t>
            </w:r>
            <w:r w:rsidRPr="00EE216E">
              <w:rPr>
                <w:rFonts w:cs="Arial"/>
                <w:bCs/>
                <w:iCs/>
                <w:snapToGrid w:val="0"/>
                <w:sz w:val="20"/>
                <w:lang w:eastAsia="en-US"/>
              </w:rPr>
              <w:t xml:space="preserve">, MC, OL, NI, </w:t>
            </w:r>
            <w:r w:rsidRPr="00EE216E">
              <w:rPr>
                <w:rFonts w:cs="Arial"/>
                <w:bCs/>
                <w:iCs/>
                <w:sz w:val="20"/>
                <w:lang w:eastAsia="en-US"/>
              </w:rPr>
              <w:t xml:space="preserve">between TAVI-BEV and </w:t>
            </w:r>
          </w:p>
          <w:p w14:paraId="2DB9F5FD" w14:textId="77777777" w:rsidR="00040D5B" w:rsidRPr="00EE216E" w:rsidRDefault="00040D5B" w:rsidP="00AC061E">
            <w:pPr>
              <w:spacing w:before="0" w:after="0"/>
              <w:jc w:val="center"/>
              <w:rPr>
                <w:rFonts w:cs="Tahoma"/>
                <w:bCs/>
                <w:iCs/>
                <w:sz w:val="20"/>
              </w:rPr>
            </w:pPr>
            <w:r w:rsidRPr="00EE216E">
              <w:rPr>
                <w:rFonts w:cs="Arial"/>
                <w:bCs/>
                <w:iCs/>
                <w:sz w:val="20"/>
                <w:lang w:eastAsia="en-US"/>
              </w:rPr>
              <w:t>TAVI-SEV</w:t>
            </w:r>
            <w:r w:rsidRPr="00EE216E">
              <w:rPr>
                <w:rFonts w:cs="Arial"/>
                <w:b/>
                <w:bCs/>
                <w:iCs/>
                <w:sz w:val="20"/>
                <w:lang w:eastAsia="en-US"/>
              </w:rPr>
              <w:t>.</w:t>
            </w:r>
          </w:p>
          <w:p w14:paraId="521EB038" w14:textId="77777777" w:rsidR="00040D5B" w:rsidRPr="00EE216E" w:rsidRDefault="00040D5B" w:rsidP="00AC061E">
            <w:pPr>
              <w:spacing w:before="0" w:after="0"/>
              <w:jc w:val="center"/>
              <w:rPr>
                <w:rFonts w:cs="Tahoma"/>
                <w:bCs/>
                <w:iCs/>
                <w:sz w:val="20"/>
              </w:rPr>
            </w:pPr>
          </w:p>
          <w:p w14:paraId="7E5B2EDB" w14:textId="77777777" w:rsidR="00040D5B" w:rsidRPr="00EE216E" w:rsidRDefault="00040D5B" w:rsidP="00AC061E">
            <w:pPr>
              <w:spacing w:before="0" w:after="0"/>
              <w:jc w:val="center"/>
              <w:rPr>
                <w:rFonts w:cs="Tahoma"/>
                <w:bCs/>
                <w:iCs/>
                <w:sz w:val="20"/>
              </w:rPr>
            </w:pPr>
            <w:r w:rsidRPr="00EE216E">
              <w:rPr>
                <w:rFonts w:cs="Tahoma"/>
                <w:bCs/>
                <w:iCs/>
                <w:sz w:val="20"/>
              </w:rPr>
              <w:t>Follow-up: 30-days</w:t>
            </w:r>
          </w:p>
        </w:tc>
        <w:tc>
          <w:tcPr>
            <w:tcW w:w="473" w:type="pct"/>
          </w:tcPr>
          <w:p w14:paraId="0B217196"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L</w:t>
            </w:r>
            <w:r w:rsidRPr="00EE216E">
              <w:rPr>
                <w:rFonts w:cs="Arial"/>
                <w:bCs/>
                <w:iCs/>
                <w:snapToGrid w:val="0"/>
                <w:sz w:val="20"/>
                <w:lang w:eastAsia="en-US"/>
              </w:rPr>
              <w:t>ow</w:t>
            </w:r>
          </w:p>
        </w:tc>
        <w:tc>
          <w:tcPr>
            <w:tcW w:w="946" w:type="pct"/>
          </w:tcPr>
          <w:p w14:paraId="1D0F3BDF"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 xml:space="preserve"> Baseline demographics suggested patients were predominantly intermediate risk</w:t>
            </w:r>
          </w:p>
        </w:tc>
        <w:tc>
          <w:tcPr>
            <w:tcW w:w="710" w:type="pct"/>
          </w:tcPr>
          <w:p w14:paraId="6C788C36"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All-cause mortality, stroke, PVR, and PPI</w:t>
            </w:r>
          </w:p>
        </w:tc>
        <w:tc>
          <w:tcPr>
            <w:tcW w:w="587" w:type="pct"/>
          </w:tcPr>
          <w:p w14:paraId="67A7E847" w14:textId="77777777" w:rsidR="00040D5B" w:rsidRPr="00EE216E" w:rsidRDefault="00040D5B" w:rsidP="00AC061E">
            <w:pPr>
              <w:spacing w:before="0" w:after="0"/>
              <w:jc w:val="center"/>
              <w:rPr>
                <w:rFonts w:cs="Arial"/>
                <w:bCs/>
                <w:iCs/>
                <w:sz w:val="20"/>
                <w:lang w:eastAsia="en-US"/>
              </w:rPr>
            </w:pPr>
            <w:r w:rsidRPr="00EE216E">
              <w:rPr>
                <w:rFonts w:cs="Arial"/>
                <w:bCs/>
                <w:iCs/>
                <w:sz w:val="20"/>
                <w:lang w:eastAsia="en-US"/>
              </w:rPr>
              <w:t>No</w:t>
            </w:r>
          </w:p>
        </w:tc>
      </w:tr>
    </w:tbl>
    <w:p w14:paraId="650A3377" w14:textId="77777777" w:rsidR="00040D5B" w:rsidRPr="00F60AE4" w:rsidRDefault="00040D5B" w:rsidP="00040D5B">
      <w:pPr>
        <w:widowControl w:val="0"/>
        <w:snapToGrid w:val="0"/>
        <w:jc w:val="both"/>
        <w:rPr>
          <w:rFonts w:ascii="Arial Narrow" w:hAnsi="Arial Narrow" w:cs="Arial"/>
          <w:sz w:val="18"/>
          <w:szCs w:val="18"/>
          <w:lang w:eastAsia="en-US"/>
        </w:rPr>
      </w:pPr>
      <w:r w:rsidRPr="00EE216E">
        <w:rPr>
          <w:rFonts w:ascii="Arial Narrow" w:hAnsi="Arial Narrow" w:cs="Arial"/>
          <w:iCs/>
          <w:snapToGrid w:val="0"/>
          <w:sz w:val="18"/>
          <w:szCs w:val="22"/>
          <w:lang w:eastAsia="en-US"/>
        </w:rPr>
        <w:t xml:space="preserve">Abbreviations: HRQoL=health-related quality of life; MC=multi-centre; NI = non-inferiority, OL=open label (unblinded);  PPI = permanent pacemaker implanted; PSA = propensity score-adjusted;  PVR = prosthetic valve regurgitation; R=randomised; </w:t>
      </w:r>
      <w:r w:rsidRPr="00F60AE4">
        <w:rPr>
          <w:rFonts w:ascii="Arial Narrow" w:hAnsi="Arial Narrow" w:cs="Arial"/>
          <w:sz w:val="18"/>
          <w:szCs w:val="18"/>
          <w:lang w:eastAsia="en-US"/>
        </w:rPr>
        <w:t>SAVR = surgical aortic valve replacement;</w:t>
      </w:r>
      <w:r w:rsidRPr="00EE216E">
        <w:rPr>
          <w:rFonts w:ascii="Arial Narrow" w:hAnsi="Arial Narrow" w:cs="Arial"/>
          <w:iCs/>
          <w:snapToGrid w:val="0"/>
          <w:sz w:val="18"/>
          <w:szCs w:val="22"/>
          <w:lang w:eastAsia="en-US"/>
        </w:rPr>
        <w:t xml:space="preserve"> STS-PROM = Society of Thoracic Surgeons’ Predicted Risk of Mortality ; </w:t>
      </w:r>
      <w:r w:rsidRPr="00F60AE4">
        <w:rPr>
          <w:rFonts w:ascii="Arial Narrow" w:hAnsi="Arial Narrow" w:cs="Arial"/>
          <w:sz w:val="18"/>
          <w:szCs w:val="18"/>
          <w:lang w:eastAsia="en-US"/>
        </w:rPr>
        <w:t xml:space="preserve">TAVI-BEV = transcatheter aortic valve implantation - balloon-expandable valve; TAVI-SEV = transcatheter aortic valve implantation - self-expandable valve </w:t>
      </w:r>
    </w:p>
    <w:p w14:paraId="5365395E" w14:textId="77777777" w:rsidR="00040D5B" w:rsidRPr="00EE216E" w:rsidRDefault="00040D5B" w:rsidP="00040D5B">
      <w:pPr>
        <w:widowControl w:val="0"/>
        <w:snapToGrid w:val="0"/>
        <w:jc w:val="both"/>
        <w:rPr>
          <w:rFonts w:ascii="Arial Narrow" w:hAnsi="Arial Narrow" w:cs="Arial"/>
          <w:iCs/>
          <w:snapToGrid w:val="0"/>
          <w:sz w:val="18"/>
          <w:szCs w:val="22"/>
          <w:lang w:eastAsia="en-US"/>
        </w:rPr>
      </w:pPr>
      <w:r w:rsidRPr="00EE216E">
        <w:rPr>
          <w:rFonts w:ascii="Arial Narrow" w:hAnsi="Arial Narrow" w:cs="Arial"/>
          <w:iCs/>
          <w:sz w:val="18"/>
          <w:szCs w:val="18"/>
          <w:lang w:eastAsia="en-US"/>
        </w:rPr>
        <w:t>Notes: a = identified by the evaluation</w:t>
      </w:r>
    </w:p>
    <w:p w14:paraId="6D569C85" w14:textId="7626C511" w:rsidR="00040D5B" w:rsidRDefault="00040D5B" w:rsidP="00040D5B">
      <w:pPr>
        <w:widowControl w:val="0"/>
        <w:snapToGrid w:val="0"/>
        <w:spacing w:after="240"/>
        <w:jc w:val="both"/>
        <w:rPr>
          <w:rFonts w:ascii="Arial Narrow" w:hAnsi="Arial Narrow" w:cs="Arial"/>
          <w:iCs/>
          <w:snapToGrid w:val="0"/>
          <w:sz w:val="18"/>
          <w:szCs w:val="22"/>
          <w:lang w:eastAsia="en-US"/>
        </w:rPr>
      </w:pPr>
      <w:r w:rsidRPr="00EE216E">
        <w:rPr>
          <w:rFonts w:ascii="Arial Narrow" w:hAnsi="Arial Narrow" w:cs="Arial"/>
          <w:iCs/>
          <w:snapToGrid w:val="0"/>
          <w:sz w:val="18"/>
          <w:szCs w:val="22"/>
          <w:lang w:eastAsia="en-US"/>
        </w:rPr>
        <w:t xml:space="preserve">Source: </w:t>
      </w:r>
      <w:r>
        <w:rPr>
          <w:rFonts w:ascii="Arial Narrow" w:hAnsi="Arial Narrow" w:cs="Arial"/>
          <w:iCs/>
          <w:snapToGrid w:val="0"/>
          <w:sz w:val="18"/>
          <w:szCs w:val="22"/>
          <w:lang w:eastAsia="en-US"/>
        </w:rPr>
        <w:t xml:space="preserve">Table 3, pxii of the </w:t>
      </w:r>
      <w:r w:rsidR="00DD7827">
        <w:rPr>
          <w:rFonts w:ascii="Arial Narrow" w:hAnsi="Arial Narrow" w:cs="Arial"/>
          <w:iCs/>
          <w:snapToGrid w:val="0"/>
          <w:sz w:val="18"/>
          <w:szCs w:val="22"/>
          <w:lang w:eastAsia="en-US"/>
        </w:rPr>
        <w:t>Commentary</w:t>
      </w:r>
    </w:p>
    <w:p w14:paraId="2EBF7E32" w14:textId="77777777" w:rsidR="00040D5B" w:rsidRDefault="00040D5B" w:rsidP="00040D5B">
      <w:pPr>
        <w:pStyle w:val="Heading2"/>
      </w:pPr>
      <w:r w:rsidRPr="00EE216E">
        <w:t xml:space="preserve">TAVI-BEV </w:t>
      </w:r>
      <w:r w:rsidRPr="004822CA">
        <w:t>vs</w:t>
      </w:r>
      <w:r>
        <w:t>.</w:t>
      </w:r>
      <w:r w:rsidRPr="00EE216E">
        <w:t xml:space="preserve"> SAVR</w:t>
      </w:r>
    </w:p>
    <w:p w14:paraId="035922F4" w14:textId="174CBFF6" w:rsidR="00040D5B" w:rsidRDefault="00040D5B" w:rsidP="00040D5B">
      <w:r w:rsidRPr="00270F47">
        <w:t>The results of the propensity score-adjusted comparison</w:t>
      </w:r>
      <w:r>
        <w:t xml:space="preserve"> (Table 5)</w:t>
      </w:r>
      <w:r w:rsidRPr="00270F47">
        <w:t xml:space="preserve"> showed that patients treated with TAVI-BEV ha</w:t>
      </w:r>
      <w:r>
        <w:t>ve</w:t>
      </w:r>
      <w:r w:rsidRPr="00270F47">
        <w:t xml:space="preserve"> higher rate of </w:t>
      </w:r>
      <w:r w:rsidRPr="000B5EA2">
        <w:t>moderate or severe aortic regurgitation</w:t>
      </w:r>
      <w:r w:rsidRPr="00270F47">
        <w:t xml:space="preserve"> than patients treated with SAVR at 12-months follow-up</w:t>
      </w:r>
      <w:r>
        <w:t xml:space="preserve"> </w:t>
      </w:r>
      <w:r w:rsidRPr="00CD1461">
        <w:t xml:space="preserve">(weighted </w:t>
      </w:r>
      <w:r>
        <w:t>differences of proportions [WDP]:</w:t>
      </w:r>
      <w:r w:rsidRPr="00CD1461">
        <w:t xml:space="preserve"> 1.2%, 95% </w:t>
      </w:r>
      <w:r>
        <w:t>confidence interval [</w:t>
      </w:r>
      <w:r w:rsidRPr="00CD1461">
        <w:t>CI</w:t>
      </w:r>
      <w:r>
        <w:t>]</w:t>
      </w:r>
      <w:r w:rsidRPr="00CD1461">
        <w:t>: 0.2 to 2.2; p-value = 0·0149)</w:t>
      </w:r>
      <w:r w:rsidR="003257BF">
        <w:t>.</w:t>
      </w:r>
    </w:p>
    <w:p w14:paraId="307D99E2" w14:textId="32818D1A" w:rsidR="00021F25" w:rsidRPr="0060464A" w:rsidRDefault="00040D5B" w:rsidP="0060464A">
      <w:pPr>
        <w:spacing w:before="240"/>
        <w:rPr>
          <w:color w:val="3366FF"/>
          <w:szCs w:val="24"/>
        </w:rPr>
      </w:pPr>
      <w:r w:rsidRPr="00270F47">
        <w:t xml:space="preserve">The unadjusted (i.e. naïve) comparison found that patients treated with TAVI-BEV had </w:t>
      </w:r>
      <w:r>
        <w:t xml:space="preserve">significantly higher rates of </w:t>
      </w:r>
      <w:r w:rsidRPr="000B5EA2">
        <w:t>new permanent pacemaker implantations and numerically higher rates of aortic valve re-intervention</w:t>
      </w:r>
      <w:r w:rsidRPr="00270F47">
        <w:t xml:space="preserve"> over 12-months follow-up. However, patients treated with TAVI-BEV had significantly lower rates </w:t>
      </w:r>
      <w:r w:rsidRPr="000B5EA2">
        <w:t>of re-hospitalisations, new cases of atrial fibrillation, myocardial infarction and life-threatening or disabling bleeding</w:t>
      </w:r>
      <w:r w:rsidRPr="00270F47">
        <w:t xml:space="preserve"> than patients treated with SAVR. However,</w:t>
      </w:r>
      <w:r>
        <w:t xml:space="preserve"> as acknowledged in the ADAR, the </w:t>
      </w:r>
      <w:r w:rsidR="00DD7827">
        <w:t>Commentary</w:t>
      </w:r>
      <w:r>
        <w:t xml:space="preserve"> considered that</w:t>
      </w:r>
      <w:r w:rsidRPr="00270F47">
        <w:t xml:space="preserve"> the results from the unadjusted (naïve) analyses were highly uncertain</w:t>
      </w:r>
      <w:r>
        <w:rPr>
          <w:color w:val="3366FF"/>
          <w:szCs w:val="24"/>
        </w:rPr>
        <w:t>.</w:t>
      </w:r>
      <w:r w:rsidR="00021F25">
        <w:rPr>
          <w:rFonts w:ascii="Arial Narrow" w:hAnsi="Arial Narrow"/>
          <w:b/>
          <w:bCs/>
          <w:iCs/>
          <w:sz w:val="20"/>
          <w:lang w:eastAsia="en-US"/>
        </w:rPr>
        <w:br w:type="page"/>
      </w:r>
    </w:p>
    <w:p w14:paraId="453FBADE" w14:textId="2A3E3B81" w:rsidR="00040D5B" w:rsidRPr="00040D5B" w:rsidRDefault="00E40C30" w:rsidP="00040D5B">
      <w:pPr>
        <w:rPr>
          <w:rFonts w:ascii="Arial Narrow" w:hAnsi="Arial Narrow"/>
          <w:b/>
          <w:bCs/>
          <w:iCs/>
          <w:sz w:val="20"/>
          <w:lang w:eastAsia="en-US"/>
        </w:rPr>
      </w:pPr>
      <w:r>
        <w:rPr>
          <w:rFonts w:ascii="Arial Narrow" w:hAnsi="Arial Narrow"/>
          <w:b/>
          <w:bCs/>
          <w:iCs/>
          <w:sz w:val="20"/>
          <w:lang w:eastAsia="en-US"/>
        </w:rPr>
        <w:t>Table 5</w:t>
      </w:r>
      <w:r>
        <w:rPr>
          <w:rFonts w:ascii="Arial Narrow" w:hAnsi="Arial Narrow"/>
          <w:b/>
          <w:bCs/>
          <w:iCs/>
          <w:sz w:val="20"/>
          <w:lang w:eastAsia="en-US"/>
        </w:rPr>
        <w:tab/>
      </w:r>
      <w:r w:rsidR="00040D5B" w:rsidRPr="00040D5B">
        <w:rPr>
          <w:rFonts w:ascii="Arial Narrow" w:hAnsi="Arial Narrow"/>
          <w:b/>
          <w:bCs/>
          <w:iCs/>
          <w:sz w:val="20"/>
          <w:lang w:eastAsia="en-US"/>
        </w:rPr>
        <w:t>Key safety outcomes reported by the ADAR based on PARTNER S3i- 30 days and 1 year</w:t>
      </w:r>
    </w:p>
    <w:tbl>
      <w:tblPr>
        <w:tblW w:w="89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114"/>
        <w:gridCol w:w="1205"/>
        <w:gridCol w:w="1205"/>
        <w:gridCol w:w="1984"/>
        <w:gridCol w:w="1418"/>
      </w:tblGrid>
      <w:tr w:rsidR="00040D5B" w:rsidRPr="00040D5B" w14:paraId="76807EA6" w14:textId="77777777" w:rsidTr="00040D5B">
        <w:trPr>
          <w:trHeight w:val="144"/>
          <w:tblHeader/>
        </w:trPr>
        <w:tc>
          <w:tcPr>
            <w:tcW w:w="3114" w:type="dxa"/>
            <w:tcBorders>
              <w:top w:val="single" w:sz="4" w:space="0" w:color="auto"/>
              <w:bottom w:val="single" w:sz="4" w:space="0" w:color="auto"/>
              <w:right w:val="single" w:sz="4" w:space="0" w:color="auto"/>
            </w:tcBorders>
            <w:vAlign w:val="center"/>
          </w:tcPr>
          <w:p w14:paraId="38F0B7C2" w14:textId="77777777" w:rsidR="00040D5B" w:rsidRPr="00040D5B" w:rsidRDefault="00040D5B" w:rsidP="00040D5B">
            <w:pPr>
              <w:rPr>
                <w:rFonts w:ascii="Arial Narrow" w:hAnsi="Arial Narrow"/>
                <w:b/>
                <w:bCs/>
                <w:sz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05C6508B"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TAVI-BEV</w:t>
            </w:r>
          </w:p>
        </w:tc>
        <w:tc>
          <w:tcPr>
            <w:tcW w:w="1205" w:type="dxa"/>
            <w:tcBorders>
              <w:top w:val="single" w:sz="4" w:space="0" w:color="auto"/>
              <w:left w:val="single" w:sz="4" w:space="0" w:color="auto"/>
              <w:bottom w:val="single" w:sz="4" w:space="0" w:color="auto"/>
              <w:right w:val="single" w:sz="4" w:space="0" w:color="auto"/>
            </w:tcBorders>
            <w:vAlign w:val="center"/>
          </w:tcPr>
          <w:p w14:paraId="240C876A"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SAVR</w:t>
            </w:r>
          </w:p>
        </w:tc>
        <w:tc>
          <w:tcPr>
            <w:tcW w:w="1984" w:type="dxa"/>
            <w:tcBorders>
              <w:top w:val="single" w:sz="4" w:space="0" w:color="auto"/>
              <w:left w:val="single" w:sz="4" w:space="0" w:color="auto"/>
              <w:bottom w:val="single" w:sz="4" w:space="0" w:color="auto"/>
              <w:right w:val="single" w:sz="4" w:space="0" w:color="auto"/>
            </w:tcBorders>
            <w:vAlign w:val="center"/>
          </w:tcPr>
          <w:p w14:paraId="0FB3B9B7"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RD (95% CI)</w:t>
            </w:r>
          </w:p>
        </w:tc>
        <w:tc>
          <w:tcPr>
            <w:tcW w:w="1418" w:type="dxa"/>
            <w:tcBorders>
              <w:top w:val="single" w:sz="4" w:space="0" w:color="auto"/>
              <w:left w:val="single" w:sz="4" w:space="0" w:color="auto"/>
              <w:bottom w:val="single" w:sz="4" w:space="0" w:color="auto"/>
              <w:right w:val="single" w:sz="4" w:space="0" w:color="auto"/>
            </w:tcBorders>
            <w:vAlign w:val="center"/>
          </w:tcPr>
          <w:p w14:paraId="7CE84A8A" w14:textId="77777777" w:rsidR="00040D5B" w:rsidRPr="00040D5B" w:rsidRDefault="00040D5B" w:rsidP="00040D5B">
            <w:pPr>
              <w:rPr>
                <w:rFonts w:ascii="Arial Narrow" w:hAnsi="Arial Narrow"/>
                <w:sz w:val="20"/>
                <w:lang w:eastAsia="en-US"/>
              </w:rPr>
            </w:pPr>
            <w:r w:rsidRPr="00040D5B">
              <w:rPr>
                <w:rFonts w:ascii="Arial Narrow" w:hAnsi="Arial Narrow"/>
                <w:b/>
                <w:bCs/>
                <w:sz w:val="20"/>
                <w:lang w:eastAsia="en-US"/>
              </w:rPr>
              <w:t>RR (95% CI)</w:t>
            </w:r>
          </w:p>
        </w:tc>
      </w:tr>
      <w:tr w:rsidR="00040D5B" w:rsidRPr="00040D5B" w14:paraId="11F8826D" w14:textId="77777777" w:rsidTr="00040D5B">
        <w:trPr>
          <w:trHeight w:val="70"/>
        </w:trPr>
        <w:tc>
          <w:tcPr>
            <w:tcW w:w="3114" w:type="dxa"/>
            <w:tcBorders>
              <w:top w:val="single" w:sz="4" w:space="0" w:color="auto"/>
              <w:left w:val="single" w:sz="4" w:space="0" w:color="auto"/>
              <w:bottom w:val="single" w:sz="4" w:space="0" w:color="auto"/>
              <w:right w:val="nil"/>
            </w:tcBorders>
            <w:vAlign w:val="center"/>
          </w:tcPr>
          <w:p w14:paraId="3A87A383" w14:textId="77777777" w:rsidR="00040D5B" w:rsidRPr="00040D5B" w:rsidRDefault="00040D5B" w:rsidP="00040D5B">
            <w:pPr>
              <w:rPr>
                <w:rFonts w:ascii="Arial Narrow" w:hAnsi="Arial Narrow"/>
                <w:b/>
                <w:sz w:val="20"/>
                <w:lang w:eastAsia="en-US"/>
              </w:rPr>
            </w:pPr>
            <w:r w:rsidRPr="00040D5B">
              <w:rPr>
                <w:rFonts w:ascii="Arial Narrow" w:hAnsi="Arial Narrow"/>
                <w:b/>
                <w:sz w:val="20"/>
                <w:lang w:eastAsia="en-US"/>
              </w:rPr>
              <w:t xml:space="preserve">Propensity score-adjusted comparison </w:t>
            </w:r>
          </w:p>
        </w:tc>
        <w:tc>
          <w:tcPr>
            <w:tcW w:w="1205" w:type="dxa"/>
            <w:tcBorders>
              <w:top w:val="single" w:sz="4" w:space="0" w:color="auto"/>
              <w:left w:val="nil"/>
              <w:bottom w:val="single" w:sz="4" w:space="0" w:color="auto"/>
              <w:right w:val="nil"/>
            </w:tcBorders>
            <w:vAlign w:val="center"/>
          </w:tcPr>
          <w:p w14:paraId="0098A027" w14:textId="77777777" w:rsidR="00040D5B" w:rsidRPr="00040D5B" w:rsidRDefault="00040D5B" w:rsidP="00040D5B">
            <w:pPr>
              <w:rPr>
                <w:rFonts w:ascii="Arial Narrow" w:hAnsi="Arial Narrow"/>
                <w:sz w:val="20"/>
                <w:lang w:eastAsia="en-US"/>
              </w:rPr>
            </w:pPr>
          </w:p>
        </w:tc>
        <w:tc>
          <w:tcPr>
            <w:tcW w:w="1205" w:type="dxa"/>
            <w:tcBorders>
              <w:top w:val="single" w:sz="4" w:space="0" w:color="auto"/>
              <w:left w:val="nil"/>
              <w:bottom w:val="single" w:sz="4" w:space="0" w:color="auto"/>
              <w:right w:val="nil"/>
            </w:tcBorders>
            <w:vAlign w:val="center"/>
          </w:tcPr>
          <w:p w14:paraId="7A44972F" w14:textId="77777777" w:rsidR="00040D5B" w:rsidRPr="00040D5B" w:rsidRDefault="00040D5B" w:rsidP="00040D5B">
            <w:pPr>
              <w:rPr>
                <w:rFonts w:ascii="Arial Narrow" w:hAnsi="Arial Narrow"/>
                <w:sz w:val="20"/>
                <w:lang w:eastAsia="en-US"/>
              </w:rPr>
            </w:pPr>
          </w:p>
        </w:tc>
        <w:tc>
          <w:tcPr>
            <w:tcW w:w="1984" w:type="dxa"/>
            <w:tcBorders>
              <w:top w:val="single" w:sz="4" w:space="0" w:color="auto"/>
              <w:left w:val="nil"/>
              <w:bottom w:val="single" w:sz="4" w:space="0" w:color="auto"/>
              <w:right w:val="nil"/>
            </w:tcBorders>
            <w:vAlign w:val="center"/>
          </w:tcPr>
          <w:p w14:paraId="3468EDEC" w14:textId="77777777" w:rsidR="00040D5B" w:rsidRPr="00040D5B" w:rsidRDefault="00040D5B" w:rsidP="00040D5B">
            <w:pPr>
              <w:rPr>
                <w:rFonts w:ascii="Arial Narrow" w:hAnsi="Arial Narrow"/>
                <w:sz w:val="20"/>
                <w:lang w:eastAsia="en-US"/>
              </w:rPr>
            </w:pPr>
          </w:p>
        </w:tc>
        <w:tc>
          <w:tcPr>
            <w:tcW w:w="1418" w:type="dxa"/>
            <w:tcBorders>
              <w:top w:val="single" w:sz="4" w:space="0" w:color="auto"/>
              <w:left w:val="nil"/>
              <w:bottom w:val="single" w:sz="4" w:space="0" w:color="auto"/>
              <w:right w:val="single" w:sz="4" w:space="0" w:color="auto"/>
            </w:tcBorders>
            <w:vAlign w:val="center"/>
          </w:tcPr>
          <w:p w14:paraId="387C41E3" w14:textId="77777777" w:rsidR="00040D5B" w:rsidRPr="00040D5B" w:rsidRDefault="00040D5B" w:rsidP="00040D5B">
            <w:pPr>
              <w:rPr>
                <w:rFonts w:ascii="Arial Narrow" w:hAnsi="Arial Narrow"/>
                <w:sz w:val="20"/>
                <w:lang w:eastAsia="en-US"/>
              </w:rPr>
            </w:pPr>
          </w:p>
        </w:tc>
      </w:tr>
      <w:tr w:rsidR="00040D5B" w:rsidRPr="00040D5B" w14:paraId="357FC18A" w14:textId="77777777" w:rsidTr="00040D5B">
        <w:trPr>
          <w:trHeight w:val="434"/>
        </w:trPr>
        <w:tc>
          <w:tcPr>
            <w:tcW w:w="3114" w:type="dxa"/>
            <w:tcBorders>
              <w:top w:val="single" w:sz="4" w:space="0" w:color="auto"/>
              <w:bottom w:val="single" w:sz="4" w:space="0" w:color="auto"/>
              <w:right w:val="single" w:sz="4" w:space="0" w:color="auto"/>
            </w:tcBorders>
            <w:vAlign w:val="center"/>
          </w:tcPr>
          <w:p w14:paraId="05B044B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Moderate to severe aortic regurgitation (12 months)</w:t>
            </w:r>
          </w:p>
        </w:tc>
        <w:tc>
          <w:tcPr>
            <w:tcW w:w="1205" w:type="dxa"/>
            <w:tcBorders>
              <w:top w:val="single" w:sz="4" w:space="0" w:color="auto"/>
              <w:left w:val="single" w:sz="4" w:space="0" w:color="auto"/>
              <w:bottom w:val="single" w:sz="4" w:space="0" w:color="auto"/>
              <w:right w:val="single" w:sz="4" w:space="0" w:color="auto"/>
            </w:tcBorders>
            <w:vAlign w:val="center"/>
          </w:tcPr>
          <w:p w14:paraId="56493EB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w:t>
            </w:r>
          </w:p>
        </w:tc>
        <w:tc>
          <w:tcPr>
            <w:tcW w:w="1205" w:type="dxa"/>
            <w:tcBorders>
              <w:top w:val="single" w:sz="4" w:space="0" w:color="auto"/>
              <w:left w:val="single" w:sz="4" w:space="0" w:color="auto"/>
              <w:bottom w:val="single" w:sz="4" w:space="0" w:color="auto"/>
              <w:right w:val="single" w:sz="4" w:space="0" w:color="auto"/>
            </w:tcBorders>
            <w:vAlign w:val="center"/>
          </w:tcPr>
          <w:p w14:paraId="52F85763"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14:paraId="1C3D476F" w14:textId="77777777" w:rsidR="00040D5B" w:rsidRPr="00040D5B" w:rsidRDefault="00040D5B" w:rsidP="00040D5B">
            <w:pPr>
              <w:rPr>
                <w:rFonts w:ascii="Arial Narrow" w:hAnsi="Arial Narrow"/>
                <w:b/>
                <w:bCs/>
                <w:sz w:val="20"/>
                <w:lang w:eastAsia="en-US"/>
              </w:rPr>
            </w:pPr>
            <w:r w:rsidRPr="00040D5B">
              <w:rPr>
                <w:rFonts w:ascii="Arial Narrow" w:hAnsi="Arial Narrow"/>
                <w:b/>
                <w:sz w:val="20"/>
                <w:lang w:eastAsia="en-US"/>
              </w:rPr>
              <w:t xml:space="preserve">1.2%, (0.2 to 2.2) </w:t>
            </w:r>
            <w:r w:rsidRPr="00040D5B">
              <w:rPr>
                <w:rFonts w:ascii="Arial Narrow" w:hAnsi="Arial Narrow"/>
                <w:b/>
                <w:sz w:val="20"/>
                <w:vertAlign w:val="superscript"/>
                <w:lang w:eastAsia="en-US"/>
              </w:rPr>
              <w:t>a</w:t>
            </w:r>
          </w:p>
        </w:tc>
        <w:tc>
          <w:tcPr>
            <w:tcW w:w="1418" w:type="dxa"/>
            <w:tcBorders>
              <w:top w:val="single" w:sz="4" w:space="0" w:color="auto"/>
              <w:left w:val="single" w:sz="4" w:space="0" w:color="auto"/>
              <w:bottom w:val="single" w:sz="4" w:space="0" w:color="auto"/>
              <w:right w:val="single" w:sz="4" w:space="0" w:color="auto"/>
            </w:tcBorders>
            <w:vAlign w:val="center"/>
          </w:tcPr>
          <w:p w14:paraId="75EA3853" w14:textId="77777777" w:rsidR="00040D5B" w:rsidRPr="00040D5B" w:rsidRDefault="00040D5B" w:rsidP="00040D5B">
            <w:pPr>
              <w:rPr>
                <w:rFonts w:ascii="Arial Narrow" w:hAnsi="Arial Narrow"/>
                <w:b/>
                <w:bCs/>
                <w:sz w:val="20"/>
                <w:lang w:eastAsia="en-US"/>
              </w:rPr>
            </w:pPr>
            <w:r w:rsidRPr="00040D5B">
              <w:rPr>
                <w:rFonts w:ascii="Arial Narrow" w:hAnsi="Arial Narrow"/>
                <w:sz w:val="20"/>
                <w:lang w:eastAsia="en-US"/>
              </w:rPr>
              <w:t>-</w:t>
            </w:r>
          </w:p>
        </w:tc>
      </w:tr>
      <w:tr w:rsidR="00040D5B" w:rsidRPr="00040D5B" w14:paraId="7B166437" w14:textId="77777777" w:rsidTr="00040D5B">
        <w:trPr>
          <w:trHeight w:val="263"/>
        </w:trPr>
        <w:tc>
          <w:tcPr>
            <w:tcW w:w="3114" w:type="dxa"/>
            <w:tcBorders>
              <w:top w:val="single" w:sz="4" w:space="0" w:color="auto"/>
              <w:bottom w:val="single" w:sz="4" w:space="0" w:color="auto"/>
              <w:right w:val="single" w:sz="4" w:space="0" w:color="auto"/>
            </w:tcBorders>
            <w:vAlign w:val="center"/>
          </w:tcPr>
          <w:p w14:paraId="01308881" w14:textId="77777777" w:rsidR="00040D5B" w:rsidRPr="00040D5B" w:rsidRDefault="00040D5B" w:rsidP="00040D5B">
            <w:pPr>
              <w:rPr>
                <w:rFonts w:ascii="Arial Narrow" w:hAnsi="Arial Narrow"/>
                <w:b/>
                <w:sz w:val="20"/>
                <w:lang w:eastAsia="en-US"/>
              </w:rPr>
            </w:pPr>
            <w:r w:rsidRPr="00040D5B">
              <w:rPr>
                <w:rFonts w:ascii="Arial Narrow" w:hAnsi="Arial Narrow"/>
                <w:b/>
                <w:sz w:val="20"/>
                <w:lang w:eastAsia="en-US"/>
              </w:rPr>
              <w:t>Unadjusted (naïve comparison)</w:t>
            </w:r>
          </w:p>
        </w:tc>
        <w:tc>
          <w:tcPr>
            <w:tcW w:w="1205" w:type="dxa"/>
            <w:tcBorders>
              <w:top w:val="single" w:sz="4" w:space="0" w:color="auto"/>
              <w:left w:val="single" w:sz="4" w:space="0" w:color="auto"/>
              <w:bottom w:val="single" w:sz="4" w:space="0" w:color="auto"/>
              <w:right w:val="single" w:sz="4" w:space="0" w:color="auto"/>
            </w:tcBorders>
            <w:vAlign w:val="center"/>
          </w:tcPr>
          <w:p w14:paraId="3DF16746" w14:textId="77777777" w:rsidR="00040D5B" w:rsidRPr="00040D5B" w:rsidRDefault="00040D5B" w:rsidP="00040D5B">
            <w:pPr>
              <w:rPr>
                <w:rFonts w:ascii="Arial Narrow" w:hAnsi="Arial Narrow"/>
                <w:sz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14:paraId="7113BAED" w14:textId="77777777" w:rsidR="00040D5B" w:rsidRPr="00040D5B" w:rsidRDefault="00040D5B" w:rsidP="00040D5B">
            <w:pPr>
              <w:rPr>
                <w:rFonts w:ascii="Arial Narrow" w:hAnsi="Arial Narrow"/>
                <w:sz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CF6FAE1" w14:textId="77777777" w:rsidR="00040D5B" w:rsidRPr="00040D5B" w:rsidRDefault="00040D5B" w:rsidP="00040D5B">
            <w:pPr>
              <w:rPr>
                <w:rFonts w:ascii="Arial Narrow" w:hAnsi="Arial Narrow"/>
                <w:b/>
                <w:bCs/>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A03490D" w14:textId="77777777" w:rsidR="00040D5B" w:rsidRPr="00040D5B" w:rsidRDefault="00040D5B" w:rsidP="00040D5B">
            <w:pPr>
              <w:rPr>
                <w:rFonts w:ascii="Arial Narrow" w:hAnsi="Arial Narrow"/>
                <w:b/>
                <w:bCs/>
                <w:sz w:val="20"/>
                <w:lang w:eastAsia="en-US"/>
              </w:rPr>
            </w:pPr>
          </w:p>
        </w:tc>
      </w:tr>
      <w:tr w:rsidR="00040D5B" w:rsidRPr="00040D5B" w14:paraId="2465D3CD" w14:textId="77777777" w:rsidTr="00040D5B">
        <w:trPr>
          <w:trHeight w:val="434"/>
        </w:trPr>
        <w:tc>
          <w:tcPr>
            <w:tcW w:w="3114" w:type="dxa"/>
            <w:tcBorders>
              <w:top w:val="single" w:sz="4" w:space="0" w:color="auto"/>
              <w:bottom w:val="single" w:sz="4" w:space="0" w:color="auto"/>
              <w:right w:val="single" w:sz="4" w:space="0" w:color="auto"/>
            </w:tcBorders>
            <w:vAlign w:val="center"/>
          </w:tcPr>
          <w:p w14:paraId="250F92C9"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 xml:space="preserve">Life-threatening or disabling bleeding </w:t>
            </w:r>
          </w:p>
          <w:p w14:paraId="617EE5C9"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(30 days)</w:t>
            </w:r>
          </w:p>
        </w:tc>
        <w:tc>
          <w:tcPr>
            <w:tcW w:w="1205" w:type="dxa"/>
            <w:tcBorders>
              <w:top w:val="single" w:sz="4" w:space="0" w:color="auto"/>
              <w:left w:val="single" w:sz="4" w:space="0" w:color="auto"/>
              <w:bottom w:val="single" w:sz="4" w:space="0" w:color="auto"/>
              <w:right w:val="single" w:sz="4" w:space="0" w:color="auto"/>
            </w:tcBorders>
            <w:vAlign w:val="center"/>
          </w:tcPr>
          <w:p w14:paraId="5C4235C5"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50/1018 (49%)</w:t>
            </w:r>
          </w:p>
        </w:tc>
        <w:tc>
          <w:tcPr>
            <w:tcW w:w="1205" w:type="dxa"/>
            <w:tcBorders>
              <w:top w:val="single" w:sz="4" w:space="0" w:color="auto"/>
              <w:left w:val="single" w:sz="4" w:space="0" w:color="auto"/>
              <w:bottom w:val="single" w:sz="4" w:space="0" w:color="auto"/>
              <w:right w:val="single" w:sz="4" w:space="0" w:color="auto"/>
            </w:tcBorders>
            <w:vAlign w:val="center"/>
          </w:tcPr>
          <w:p w14:paraId="7315BA07"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440/493</w:t>
            </w:r>
          </w:p>
          <w:p w14:paraId="238E9B3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(89.2%)</w:t>
            </w:r>
          </w:p>
        </w:tc>
        <w:tc>
          <w:tcPr>
            <w:tcW w:w="1984" w:type="dxa"/>
            <w:tcBorders>
              <w:top w:val="single" w:sz="4" w:space="0" w:color="auto"/>
              <w:left w:val="single" w:sz="4" w:space="0" w:color="auto"/>
              <w:bottom w:val="single" w:sz="4" w:space="0" w:color="auto"/>
              <w:right w:val="single" w:sz="4" w:space="0" w:color="auto"/>
            </w:tcBorders>
            <w:vAlign w:val="center"/>
          </w:tcPr>
          <w:p w14:paraId="30E5BD23"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-84.3% (-87.4%; -81.3%)</w:t>
            </w:r>
          </w:p>
        </w:tc>
        <w:tc>
          <w:tcPr>
            <w:tcW w:w="1418" w:type="dxa"/>
            <w:tcBorders>
              <w:top w:val="single" w:sz="4" w:space="0" w:color="auto"/>
              <w:left w:val="single" w:sz="4" w:space="0" w:color="auto"/>
              <w:bottom w:val="single" w:sz="4" w:space="0" w:color="auto"/>
              <w:right w:val="single" w:sz="4" w:space="0" w:color="auto"/>
            </w:tcBorders>
            <w:vAlign w:val="center"/>
          </w:tcPr>
          <w:p w14:paraId="7895C2F9"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0.06 (0.04; 0.07)</w:t>
            </w:r>
          </w:p>
        </w:tc>
      </w:tr>
      <w:tr w:rsidR="00040D5B" w:rsidRPr="00040D5B" w14:paraId="65E3FCFC" w14:textId="77777777" w:rsidTr="00040D5B">
        <w:trPr>
          <w:trHeight w:val="323"/>
        </w:trPr>
        <w:tc>
          <w:tcPr>
            <w:tcW w:w="3114" w:type="dxa"/>
            <w:tcBorders>
              <w:top w:val="single" w:sz="4" w:space="0" w:color="auto"/>
              <w:bottom w:val="single" w:sz="4" w:space="0" w:color="auto"/>
              <w:right w:val="single" w:sz="4" w:space="0" w:color="auto"/>
            </w:tcBorders>
            <w:vAlign w:val="center"/>
          </w:tcPr>
          <w:p w14:paraId="717B375C"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 xml:space="preserve">Aortic valve reintervention </w:t>
            </w:r>
          </w:p>
          <w:p w14:paraId="1F07C719"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(12 months)</w:t>
            </w:r>
          </w:p>
        </w:tc>
        <w:tc>
          <w:tcPr>
            <w:tcW w:w="1205" w:type="dxa"/>
            <w:tcBorders>
              <w:top w:val="single" w:sz="4" w:space="0" w:color="auto"/>
              <w:left w:val="single" w:sz="4" w:space="0" w:color="auto"/>
              <w:bottom w:val="single" w:sz="4" w:space="0" w:color="auto"/>
              <w:right w:val="single" w:sz="4" w:space="0" w:color="auto"/>
            </w:tcBorders>
            <w:vAlign w:val="center"/>
          </w:tcPr>
          <w:p w14:paraId="086DDB88"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6/958 (&lt;1%)</w:t>
            </w:r>
          </w:p>
        </w:tc>
        <w:tc>
          <w:tcPr>
            <w:tcW w:w="1205" w:type="dxa"/>
            <w:tcBorders>
              <w:top w:val="single" w:sz="4" w:space="0" w:color="auto"/>
              <w:left w:val="single" w:sz="4" w:space="0" w:color="auto"/>
              <w:bottom w:val="single" w:sz="4" w:space="0" w:color="auto"/>
              <w:right w:val="single" w:sz="4" w:space="0" w:color="auto"/>
            </w:tcBorders>
            <w:vAlign w:val="center"/>
          </w:tcPr>
          <w:p w14:paraId="798BB4E3"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4/794 (&lt;1%)</w:t>
            </w:r>
          </w:p>
        </w:tc>
        <w:tc>
          <w:tcPr>
            <w:tcW w:w="1984" w:type="dxa"/>
            <w:tcBorders>
              <w:top w:val="single" w:sz="4" w:space="0" w:color="auto"/>
              <w:left w:val="single" w:sz="4" w:space="0" w:color="auto"/>
              <w:bottom w:val="single" w:sz="4" w:space="0" w:color="auto"/>
            </w:tcBorders>
            <w:vAlign w:val="center"/>
          </w:tcPr>
          <w:p w14:paraId="7FA7696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0.1% (-0.6%; 0.8%)</w:t>
            </w:r>
          </w:p>
        </w:tc>
        <w:tc>
          <w:tcPr>
            <w:tcW w:w="1418" w:type="dxa"/>
            <w:tcBorders>
              <w:top w:val="single" w:sz="4" w:space="0" w:color="auto"/>
              <w:left w:val="single" w:sz="4" w:space="0" w:color="auto"/>
              <w:bottom w:val="single" w:sz="4" w:space="0" w:color="auto"/>
            </w:tcBorders>
            <w:vAlign w:val="center"/>
          </w:tcPr>
          <w:p w14:paraId="5483F893" w14:textId="77777777" w:rsidR="00040D5B" w:rsidRPr="00040D5B" w:rsidRDefault="00040D5B" w:rsidP="00040D5B">
            <w:pPr>
              <w:rPr>
                <w:rFonts w:ascii="Arial Narrow" w:hAnsi="Arial Narrow"/>
                <w:i/>
                <w:sz w:val="20"/>
                <w:lang w:eastAsia="en-US"/>
              </w:rPr>
            </w:pPr>
            <w:r w:rsidRPr="00040D5B">
              <w:rPr>
                <w:rFonts w:ascii="Arial Narrow" w:hAnsi="Arial Narrow"/>
                <w:i/>
                <w:sz w:val="20"/>
                <w:lang w:eastAsia="en-US"/>
              </w:rPr>
              <w:t>1.24 (0.35; 4.39)</w:t>
            </w:r>
          </w:p>
        </w:tc>
      </w:tr>
      <w:tr w:rsidR="00040D5B" w:rsidRPr="00040D5B" w14:paraId="7E16631A" w14:textId="77777777" w:rsidTr="00040D5B">
        <w:trPr>
          <w:trHeight w:val="434"/>
        </w:trPr>
        <w:tc>
          <w:tcPr>
            <w:tcW w:w="3114" w:type="dxa"/>
            <w:tcBorders>
              <w:top w:val="single" w:sz="4" w:space="0" w:color="auto"/>
              <w:bottom w:val="single" w:sz="4" w:space="0" w:color="auto"/>
              <w:right w:val="single" w:sz="4" w:space="0" w:color="auto"/>
            </w:tcBorders>
          </w:tcPr>
          <w:p w14:paraId="766D4AB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 xml:space="preserve">New permanent pacemakers </w:t>
            </w:r>
          </w:p>
          <w:p w14:paraId="59D8B316"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(30 days)</w:t>
            </w:r>
          </w:p>
        </w:tc>
        <w:tc>
          <w:tcPr>
            <w:tcW w:w="1205" w:type="dxa"/>
            <w:tcBorders>
              <w:top w:val="single" w:sz="4" w:space="0" w:color="auto"/>
              <w:left w:val="single" w:sz="4" w:space="0" w:color="auto"/>
              <w:bottom w:val="single" w:sz="4" w:space="0" w:color="auto"/>
              <w:right w:val="single" w:sz="4" w:space="0" w:color="auto"/>
            </w:tcBorders>
            <w:vAlign w:val="center"/>
          </w:tcPr>
          <w:p w14:paraId="695B3406"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109/955</w:t>
            </w:r>
          </w:p>
          <w:p w14:paraId="6AE7ACA2"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(11%)</w:t>
            </w:r>
          </w:p>
        </w:tc>
        <w:tc>
          <w:tcPr>
            <w:tcW w:w="1205" w:type="dxa"/>
            <w:tcBorders>
              <w:top w:val="single" w:sz="4" w:space="0" w:color="auto"/>
              <w:left w:val="single" w:sz="4" w:space="0" w:color="auto"/>
              <w:bottom w:val="single" w:sz="4" w:space="0" w:color="auto"/>
              <w:right w:val="single" w:sz="4" w:space="0" w:color="auto"/>
            </w:tcBorders>
            <w:vAlign w:val="center"/>
          </w:tcPr>
          <w:p w14:paraId="54D6B69D"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68/836 (8%)</w:t>
            </w:r>
          </w:p>
        </w:tc>
        <w:tc>
          <w:tcPr>
            <w:tcW w:w="1984" w:type="dxa"/>
            <w:tcBorders>
              <w:top w:val="single" w:sz="4" w:space="0" w:color="auto"/>
              <w:left w:val="single" w:sz="4" w:space="0" w:color="auto"/>
              <w:bottom w:val="single" w:sz="4" w:space="0" w:color="auto"/>
              <w:right w:val="single" w:sz="4" w:space="0" w:color="auto"/>
            </w:tcBorders>
            <w:vAlign w:val="center"/>
          </w:tcPr>
          <w:p w14:paraId="4C28974D"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3.3% (0.5%; 6.0%)</w:t>
            </w:r>
          </w:p>
        </w:tc>
        <w:tc>
          <w:tcPr>
            <w:tcW w:w="1418" w:type="dxa"/>
            <w:tcBorders>
              <w:top w:val="single" w:sz="4" w:space="0" w:color="auto"/>
              <w:left w:val="single" w:sz="4" w:space="0" w:color="auto"/>
              <w:bottom w:val="single" w:sz="4" w:space="0" w:color="auto"/>
              <w:right w:val="single" w:sz="4" w:space="0" w:color="auto"/>
            </w:tcBorders>
            <w:vAlign w:val="center"/>
          </w:tcPr>
          <w:p w14:paraId="4C413EE3"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1.40 (1.05; 1.87)</w:t>
            </w:r>
          </w:p>
        </w:tc>
      </w:tr>
      <w:tr w:rsidR="00040D5B" w:rsidRPr="00040D5B" w14:paraId="603ACD05" w14:textId="77777777" w:rsidTr="00040D5B">
        <w:trPr>
          <w:trHeight w:val="434"/>
        </w:trPr>
        <w:tc>
          <w:tcPr>
            <w:tcW w:w="3114" w:type="dxa"/>
            <w:tcBorders>
              <w:top w:val="single" w:sz="4" w:space="0" w:color="auto"/>
              <w:bottom w:val="single" w:sz="4" w:space="0" w:color="auto"/>
              <w:right w:val="single" w:sz="4" w:space="0" w:color="auto"/>
            </w:tcBorders>
            <w:vAlign w:val="center"/>
          </w:tcPr>
          <w:p w14:paraId="3BE4D814"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New permanent pacemakers</w:t>
            </w:r>
          </w:p>
          <w:p w14:paraId="55424604"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 xml:space="preserve"> (12 months)</w:t>
            </w:r>
          </w:p>
        </w:tc>
        <w:tc>
          <w:tcPr>
            <w:tcW w:w="1205" w:type="dxa"/>
            <w:tcBorders>
              <w:top w:val="single" w:sz="4" w:space="0" w:color="auto"/>
              <w:left w:val="single" w:sz="4" w:space="0" w:color="auto"/>
              <w:bottom w:val="single" w:sz="4" w:space="0" w:color="auto"/>
              <w:right w:val="single" w:sz="4" w:space="0" w:color="auto"/>
            </w:tcBorders>
            <w:vAlign w:val="center"/>
          </w:tcPr>
          <w:p w14:paraId="6A84DD9E"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132/842</w:t>
            </w:r>
          </w:p>
          <w:p w14:paraId="0636F242"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(6%)</w:t>
            </w:r>
          </w:p>
        </w:tc>
        <w:tc>
          <w:tcPr>
            <w:tcW w:w="1205" w:type="dxa"/>
            <w:tcBorders>
              <w:top w:val="single" w:sz="4" w:space="0" w:color="auto"/>
              <w:left w:val="single" w:sz="4" w:space="0" w:color="auto"/>
              <w:bottom w:val="single" w:sz="4" w:space="0" w:color="auto"/>
              <w:right w:val="single" w:sz="4" w:space="0" w:color="auto"/>
            </w:tcBorders>
            <w:vAlign w:val="center"/>
          </w:tcPr>
          <w:p w14:paraId="04F88B1F"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85/721 (2%)</w:t>
            </w:r>
          </w:p>
        </w:tc>
        <w:tc>
          <w:tcPr>
            <w:tcW w:w="1984" w:type="dxa"/>
            <w:tcBorders>
              <w:top w:val="single" w:sz="4" w:space="0" w:color="auto"/>
              <w:left w:val="single" w:sz="4" w:space="0" w:color="auto"/>
              <w:bottom w:val="single" w:sz="4" w:space="0" w:color="auto"/>
            </w:tcBorders>
            <w:vAlign w:val="center"/>
          </w:tcPr>
          <w:p w14:paraId="4DFDE021"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3.9% (0.5%; 7.3%)</w:t>
            </w:r>
          </w:p>
        </w:tc>
        <w:tc>
          <w:tcPr>
            <w:tcW w:w="1418" w:type="dxa"/>
            <w:tcBorders>
              <w:top w:val="single" w:sz="4" w:space="0" w:color="auto"/>
              <w:left w:val="single" w:sz="4" w:space="0" w:color="auto"/>
              <w:bottom w:val="single" w:sz="4" w:space="0" w:color="auto"/>
            </w:tcBorders>
            <w:vAlign w:val="center"/>
          </w:tcPr>
          <w:p w14:paraId="1F8C30DA" w14:textId="77777777" w:rsidR="00040D5B" w:rsidRPr="00040D5B" w:rsidRDefault="00040D5B" w:rsidP="00040D5B">
            <w:pPr>
              <w:rPr>
                <w:rFonts w:ascii="Arial Narrow" w:hAnsi="Arial Narrow"/>
                <w:b/>
                <w:bCs/>
                <w:sz w:val="20"/>
                <w:lang w:eastAsia="en-US"/>
              </w:rPr>
            </w:pPr>
            <w:r w:rsidRPr="00040D5B">
              <w:rPr>
                <w:rFonts w:ascii="Arial Narrow" w:hAnsi="Arial Narrow"/>
                <w:b/>
                <w:bCs/>
                <w:sz w:val="20"/>
                <w:lang w:eastAsia="en-US"/>
              </w:rPr>
              <w:t>1.33 (1.03; 1.71)</w:t>
            </w:r>
          </w:p>
        </w:tc>
      </w:tr>
      <w:tr w:rsidR="00040D5B" w:rsidRPr="00040D5B" w14:paraId="53315935" w14:textId="77777777" w:rsidTr="00040D5B">
        <w:trPr>
          <w:trHeight w:val="434"/>
        </w:trPr>
        <w:tc>
          <w:tcPr>
            <w:tcW w:w="3114" w:type="dxa"/>
            <w:tcBorders>
              <w:top w:val="single" w:sz="4" w:space="0" w:color="auto"/>
              <w:bottom w:val="single" w:sz="4" w:space="0" w:color="auto"/>
              <w:right w:val="single" w:sz="4" w:space="0" w:color="auto"/>
            </w:tcBorders>
          </w:tcPr>
          <w:p w14:paraId="4AD83100"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Rehospitalisation</w:t>
            </w:r>
          </w:p>
          <w:p w14:paraId="62DCB453"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(30 days)</w:t>
            </w:r>
          </w:p>
        </w:tc>
        <w:tc>
          <w:tcPr>
            <w:tcW w:w="1205" w:type="dxa"/>
            <w:tcBorders>
              <w:top w:val="single" w:sz="4" w:space="0" w:color="auto"/>
              <w:left w:val="single" w:sz="4" w:space="0" w:color="auto"/>
              <w:bottom w:val="single" w:sz="4" w:space="0" w:color="auto"/>
              <w:right w:val="single" w:sz="4" w:space="0" w:color="auto"/>
            </w:tcBorders>
            <w:vAlign w:val="center"/>
          </w:tcPr>
          <w:p w14:paraId="47FEC080"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49/1017 (5%)</w:t>
            </w:r>
          </w:p>
        </w:tc>
        <w:tc>
          <w:tcPr>
            <w:tcW w:w="1205" w:type="dxa"/>
            <w:tcBorders>
              <w:top w:val="single" w:sz="4" w:space="0" w:color="auto"/>
              <w:left w:val="single" w:sz="4" w:space="0" w:color="auto"/>
              <w:bottom w:val="single" w:sz="4" w:space="0" w:color="auto"/>
              <w:right w:val="single" w:sz="4" w:space="0" w:color="auto"/>
            </w:tcBorders>
            <w:vAlign w:val="center"/>
          </w:tcPr>
          <w:p w14:paraId="132BBB01"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62/845 (9%)</w:t>
            </w:r>
          </w:p>
        </w:tc>
        <w:tc>
          <w:tcPr>
            <w:tcW w:w="1984" w:type="dxa"/>
            <w:tcBorders>
              <w:top w:val="single" w:sz="4" w:space="0" w:color="auto"/>
              <w:left w:val="single" w:sz="4" w:space="0" w:color="auto"/>
              <w:bottom w:val="single" w:sz="4" w:space="0" w:color="auto"/>
              <w:right w:val="single" w:sz="4" w:space="0" w:color="auto"/>
            </w:tcBorders>
            <w:vAlign w:val="center"/>
          </w:tcPr>
          <w:p w14:paraId="0FB1DA4D" w14:textId="77777777" w:rsidR="00040D5B" w:rsidRPr="00040D5B" w:rsidRDefault="00040D5B" w:rsidP="00040D5B">
            <w:pPr>
              <w:rPr>
                <w:rFonts w:ascii="Arial Narrow" w:hAnsi="Arial Narrow"/>
                <w:b/>
                <w:bCs/>
                <w:sz w:val="20"/>
                <w:lang w:eastAsia="en-US"/>
              </w:rPr>
            </w:pPr>
            <w:r w:rsidRPr="00040D5B">
              <w:rPr>
                <w:rFonts w:ascii="Arial Narrow" w:hAnsi="Arial Narrow"/>
                <w:b/>
                <w:sz w:val="20"/>
                <w:lang w:eastAsia="en-US"/>
              </w:rPr>
              <w:t>-3.8% (-6.1%; -1.5%)</w:t>
            </w:r>
          </w:p>
        </w:tc>
        <w:tc>
          <w:tcPr>
            <w:tcW w:w="1418" w:type="dxa"/>
            <w:tcBorders>
              <w:top w:val="single" w:sz="4" w:space="0" w:color="auto"/>
              <w:left w:val="single" w:sz="4" w:space="0" w:color="auto"/>
              <w:bottom w:val="single" w:sz="4" w:space="0" w:color="auto"/>
              <w:right w:val="single" w:sz="4" w:space="0" w:color="auto"/>
            </w:tcBorders>
            <w:vAlign w:val="center"/>
          </w:tcPr>
          <w:p w14:paraId="351073A5" w14:textId="77777777" w:rsidR="00040D5B" w:rsidRPr="00040D5B" w:rsidRDefault="00040D5B" w:rsidP="00040D5B">
            <w:pPr>
              <w:rPr>
                <w:rFonts w:ascii="Arial Narrow" w:hAnsi="Arial Narrow"/>
                <w:b/>
                <w:bCs/>
                <w:sz w:val="20"/>
                <w:lang w:eastAsia="en-US"/>
              </w:rPr>
            </w:pPr>
            <w:r w:rsidRPr="00040D5B">
              <w:rPr>
                <w:rFonts w:ascii="Arial Narrow" w:hAnsi="Arial Narrow"/>
                <w:b/>
                <w:sz w:val="20"/>
                <w:lang w:eastAsia="en-US"/>
              </w:rPr>
              <w:t>0.56 (0.39; 0.79)</w:t>
            </w:r>
          </w:p>
        </w:tc>
      </w:tr>
      <w:tr w:rsidR="00040D5B" w:rsidRPr="00040D5B" w14:paraId="0843FC36" w14:textId="77777777" w:rsidTr="00040D5B">
        <w:trPr>
          <w:trHeight w:val="434"/>
        </w:trPr>
        <w:tc>
          <w:tcPr>
            <w:tcW w:w="3114" w:type="dxa"/>
            <w:tcBorders>
              <w:top w:val="single" w:sz="4" w:space="0" w:color="auto"/>
              <w:bottom w:val="single" w:sz="4" w:space="0" w:color="auto"/>
              <w:right w:val="single" w:sz="4" w:space="0" w:color="auto"/>
            </w:tcBorders>
          </w:tcPr>
          <w:p w14:paraId="27381F0C"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Myocardial infarction</w:t>
            </w:r>
          </w:p>
          <w:p w14:paraId="2F0BCC34"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(30 days)</w:t>
            </w:r>
          </w:p>
        </w:tc>
        <w:tc>
          <w:tcPr>
            <w:tcW w:w="1205" w:type="dxa"/>
            <w:tcBorders>
              <w:top w:val="single" w:sz="4" w:space="0" w:color="auto"/>
              <w:left w:val="single" w:sz="4" w:space="0" w:color="auto"/>
              <w:bottom w:val="single" w:sz="4" w:space="0" w:color="auto"/>
              <w:right w:val="single" w:sz="4" w:space="0" w:color="auto"/>
            </w:tcBorders>
            <w:vAlign w:val="center"/>
          </w:tcPr>
          <w:p w14:paraId="72A5AD3F"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3/1060 (&lt;1%)</w:t>
            </w:r>
          </w:p>
        </w:tc>
        <w:tc>
          <w:tcPr>
            <w:tcW w:w="1205" w:type="dxa"/>
            <w:tcBorders>
              <w:top w:val="single" w:sz="4" w:space="0" w:color="auto"/>
              <w:left w:val="single" w:sz="4" w:space="0" w:color="auto"/>
              <w:bottom w:val="single" w:sz="4" w:space="0" w:color="auto"/>
              <w:right w:val="single" w:sz="4" w:space="0" w:color="auto"/>
            </w:tcBorders>
            <w:vAlign w:val="center"/>
          </w:tcPr>
          <w:p w14:paraId="58F4393B"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18/889 (2%)</w:t>
            </w:r>
          </w:p>
        </w:tc>
        <w:tc>
          <w:tcPr>
            <w:tcW w:w="1984" w:type="dxa"/>
            <w:tcBorders>
              <w:top w:val="single" w:sz="4" w:space="0" w:color="auto"/>
              <w:left w:val="single" w:sz="4" w:space="0" w:color="auto"/>
              <w:bottom w:val="single" w:sz="4" w:space="0" w:color="auto"/>
              <w:right w:val="single" w:sz="4" w:space="0" w:color="auto"/>
            </w:tcBorders>
            <w:vAlign w:val="center"/>
          </w:tcPr>
          <w:p w14:paraId="2C446347" w14:textId="77777777" w:rsidR="00040D5B" w:rsidRPr="00040D5B" w:rsidRDefault="00040D5B" w:rsidP="00040D5B">
            <w:pPr>
              <w:rPr>
                <w:rFonts w:ascii="Arial Narrow" w:hAnsi="Arial Narrow"/>
                <w:b/>
                <w:bCs/>
                <w:sz w:val="20"/>
                <w:lang w:eastAsia="en-US"/>
              </w:rPr>
            </w:pPr>
            <w:r w:rsidRPr="00040D5B">
              <w:rPr>
                <w:rFonts w:ascii="Arial Narrow" w:hAnsi="Arial Narrow"/>
                <w:b/>
                <w:sz w:val="20"/>
                <w:lang w:eastAsia="en-US"/>
              </w:rPr>
              <w:t>-1.7% (-2.7%; -0.8%)</w:t>
            </w:r>
          </w:p>
        </w:tc>
        <w:tc>
          <w:tcPr>
            <w:tcW w:w="1418" w:type="dxa"/>
            <w:tcBorders>
              <w:top w:val="single" w:sz="4" w:space="0" w:color="auto"/>
              <w:left w:val="single" w:sz="4" w:space="0" w:color="auto"/>
              <w:bottom w:val="single" w:sz="4" w:space="0" w:color="auto"/>
              <w:right w:val="single" w:sz="4" w:space="0" w:color="auto"/>
            </w:tcBorders>
            <w:vAlign w:val="center"/>
          </w:tcPr>
          <w:p w14:paraId="56A16246" w14:textId="77777777" w:rsidR="00040D5B" w:rsidRPr="00040D5B" w:rsidRDefault="00040D5B" w:rsidP="00040D5B">
            <w:pPr>
              <w:rPr>
                <w:rFonts w:ascii="Arial Narrow" w:hAnsi="Arial Narrow"/>
                <w:b/>
                <w:bCs/>
                <w:sz w:val="20"/>
                <w:lang w:eastAsia="en-US"/>
              </w:rPr>
            </w:pPr>
            <w:r w:rsidRPr="00040D5B">
              <w:rPr>
                <w:rFonts w:ascii="Arial Narrow" w:hAnsi="Arial Narrow"/>
                <w:b/>
                <w:sz w:val="20"/>
                <w:lang w:eastAsia="en-US"/>
              </w:rPr>
              <w:t>0.14 (0.04; 0.47)</w:t>
            </w:r>
          </w:p>
        </w:tc>
      </w:tr>
      <w:tr w:rsidR="00040D5B" w:rsidRPr="00040D5B" w14:paraId="7D67E1D6" w14:textId="77777777" w:rsidTr="00040D5B">
        <w:trPr>
          <w:trHeight w:val="434"/>
        </w:trPr>
        <w:tc>
          <w:tcPr>
            <w:tcW w:w="3114" w:type="dxa"/>
            <w:tcBorders>
              <w:top w:val="single" w:sz="4" w:space="0" w:color="auto"/>
              <w:bottom w:val="single" w:sz="4" w:space="0" w:color="auto"/>
              <w:right w:val="single" w:sz="4" w:space="0" w:color="auto"/>
            </w:tcBorders>
          </w:tcPr>
          <w:p w14:paraId="332F62DC"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New atrial fibrillation</w:t>
            </w:r>
          </w:p>
          <w:p w14:paraId="3BF05116" w14:textId="77777777" w:rsidR="00040D5B" w:rsidRPr="00040D5B" w:rsidRDefault="00040D5B" w:rsidP="00040D5B">
            <w:pPr>
              <w:rPr>
                <w:rFonts w:ascii="Arial Narrow" w:hAnsi="Arial Narrow"/>
                <w:b/>
                <w:sz w:val="20"/>
                <w:lang w:eastAsia="en-US"/>
              </w:rPr>
            </w:pPr>
            <w:r w:rsidRPr="00040D5B">
              <w:rPr>
                <w:rFonts w:ascii="Arial Narrow" w:hAnsi="Arial Narrow"/>
                <w:sz w:val="20"/>
                <w:lang w:eastAsia="en-US"/>
              </w:rPr>
              <w:t>(30 days)</w:t>
            </w:r>
          </w:p>
        </w:tc>
        <w:tc>
          <w:tcPr>
            <w:tcW w:w="1205" w:type="dxa"/>
            <w:tcBorders>
              <w:top w:val="single" w:sz="4" w:space="0" w:color="auto"/>
              <w:left w:val="single" w:sz="4" w:space="0" w:color="auto"/>
              <w:bottom w:val="single" w:sz="4" w:space="0" w:color="auto"/>
              <w:right w:val="single" w:sz="4" w:space="0" w:color="auto"/>
            </w:tcBorders>
            <w:vAlign w:val="center"/>
          </w:tcPr>
          <w:p w14:paraId="0D63978E"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54/1012 (5%)</w:t>
            </w:r>
          </w:p>
        </w:tc>
        <w:tc>
          <w:tcPr>
            <w:tcW w:w="1205" w:type="dxa"/>
            <w:tcBorders>
              <w:top w:val="single" w:sz="4" w:space="0" w:color="auto"/>
              <w:left w:val="single" w:sz="4" w:space="0" w:color="auto"/>
              <w:bottom w:val="single" w:sz="4" w:space="0" w:color="auto"/>
              <w:right w:val="single" w:sz="4" w:space="0" w:color="auto"/>
            </w:tcBorders>
            <w:vAlign w:val="center"/>
          </w:tcPr>
          <w:p w14:paraId="40B9DEE7"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265/649 (41%)</w:t>
            </w:r>
          </w:p>
        </w:tc>
        <w:tc>
          <w:tcPr>
            <w:tcW w:w="1984" w:type="dxa"/>
            <w:tcBorders>
              <w:top w:val="single" w:sz="4" w:space="0" w:color="auto"/>
              <w:left w:val="single" w:sz="4" w:space="0" w:color="auto"/>
              <w:bottom w:val="single" w:sz="4" w:space="0" w:color="auto"/>
              <w:right w:val="single" w:sz="4" w:space="0" w:color="auto"/>
            </w:tcBorders>
            <w:vAlign w:val="center"/>
          </w:tcPr>
          <w:p w14:paraId="35A9263A" w14:textId="77777777" w:rsidR="00040D5B" w:rsidRPr="00040D5B" w:rsidRDefault="00040D5B" w:rsidP="00040D5B">
            <w:pPr>
              <w:rPr>
                <w:rFonts w:ascii="Arial Narrow" w:hAnsi="Arial Narrow"/>
                <w:b/>
                <w:sz w:val="20"/>
                <w:lang w:eastAsia="en-US"/>
              </w:rPr>
            </w:pPr>
            <w:r w:rsidRPr="00040D5B">
              <w:rPr>
                <w:rFonts w:ascii="Arial Narrow" w:hAnsi="Arial Narrow"/>
                <w:b/>
                <w:sz w:val="20"/>
                <w:lang w:eastAsia="en-US"/>
              </w:rPr>
              <w:t>-35.5% (-39.5%; -31.5%)</w:t>
            </w:r>
          </w:p>
        </w:tc>
        <w:tc>
          <w:tcPr>
            <w:tcW w:w="1418" w:type="dxa"/>
            <w:tcBorders>
              <w:top w:val="single" w:sz="4" w:space="0" w:color="auto"/>
              <w:left w:val="single" w:sz="4" w:space="0" w:color="auto"/>
              <w:bottom w:val="single" w:sz="4" w:space="0" w:color="auto"/>
              <w:right w:val="single" w:sz="4" w:space="0" w:color="auto"/>
            </w:tcBorders>
            <w:vAlign w:val="center"/>
          </w:tcPr>
          <w:p w14:paraId="352C3E89" w14:textId="77777777" w:rsidR="00040D5B" w:rsidRPr="00040D5B" w:rsidRDefault="00040D5B" w:rsidP="00040D5B">
            <w:pPr>
              <w:rPr>
                <w:rFonts w:ascii="Arial Narrow" w:hAnsi="Arial Narrow"/>
                <w:b/>
                <w:sz w:val="20"/>
                <w:lang w:eastAsia="en-US"/>
              </w:rPr>
            </w:pPr>
            <w:r w:rsidRPr="00040D5B">
              <w:rPr>
                <w:rFonts w:ascii="Arial Narrow" w:hAnsi="Arial Narrow"/>
                <w:b/>
                <w:sz w:val="20"/>
                <w:lang w:eastAsia="en-US"/>
              </w:rPr>
              <w:t>0.13 (0.10; 0.17)</w:t>
            </w:r>
          </w:p>
        </w:tc>
      </w:tr>
      <w:tr w:rsidR="00040D5B" w:rsidRPr="00040D5B" w14:paraId="329E9108" w14:textId="77777777" w:rsidTr="00040D5B">
        <w:trPr>
          <w:trHeight w:val="434"/>
        </w:trPr>
        <w:tc>
          <w:tcPr>
            <w:tcW w:w="3114" w:type="dxa"/>
            <w:tcBorders>
              <w:top w:val="single" w:sz="4" w:space="0" w:color="auto"/>
              <w:bottom w:val="single" w:sz="4" w:space="0" w:color="auto"/>
              <w:right w:val="single" w:sz="4" w:space="0" w:color="auto"/>
            </w:tcBorders>
            <w:vAlign w:val="center"/>
          </w:tcPr>
          <w:p w14:paraId="154FC74E"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 xml:space="preserve">Stage 3 acute kidney injury </w:t>
            </w:r>
          </w:p>
          <w:p w14:paraId="309DB8D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(30 days)</w:t>
            </w:r>
          </w:p>
        </w:tc>
        <w:tc>
          <w:tcPr>
            <w:tcW w:w="1205" w:type="dxa"/>
            <w:tcBorders>
              <w:top w:val="single" w:sz="4" w:space="0" w:color="auto"/>
              <w:left w:val="single" w:sz="4" w:space="0" w:color="auto"/>
              <w:bottom w:val="single" w:sz="4" w:space="0" w:color="auto"/>
              <w:right w:val="single" w:sz="4" w:space="0" w:color="auto"/>
            </w:tcBorders>
            <w:vAlign w:val="center"/>
          </w:tcPr>
          <w:p w14:paraId="2DC961E8"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5/1058 (&lt;1%)</w:t>
            </w:r>
          </w:p>
        </w:tc>
        <w:tc>
          <w:tcPr>
            <w:tcW w:w="1205" w:type="dxa"/>
            <w:tcBorders>
              <w:top w:val="single" w:sz="4" w:space="0" w:color="auto"/>
              <w:left w:val="single" w:sz="4" w:space="0" w:color="auto"/>
              <w:bottom w:val="single" w:sz="4" w:space="0" w:color="auto"/>
              <w:right w:val="single" w:sz="4" w:space="0" w:color="auto"/>
            </w:tcBorders>
            <w:vAlign w:val="center"/>
          </w:tcPr>
          <w:p w14:paraId="21BDCB8A"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31/879 (4%)</w:t>
            </w:r>
          </w:p>
        </w:tc>
        <w:tc>
          <w:tcPr>
            <w:tcW w:w="1984" w:type="dxa"/>
            <w:tcBorders>
              <w:top w:val="single" w:sz="4" w:space="0" w:color="auto"/>
              <w:left w:val="single" w:sz="4" w:space="0" w:color="auto"/>
              <w:bottom w:val="single" w:sz="4" w:space="0" w:color="auto"/>
              <w:right w:val="single" w:sz="4" w:space="0" w:color="auto"/>
            </w:tcBorders>
            <w:vAlign w:val="center"/>
          </w:tcPr>
          <w:p w14:paraId="093620D6"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-3.1% (-4.3%; 1.8%)</w:t>
            </w:r>
          </w:p>
        </w:tc>
        <w:tc>
          <w:tcPr>
            <w:tcW w:w="1418" w:type="dxa"/>
            <w:tcBorders>
              <w:top w:val="single" w:sz="4" w:space="0" w:color="auto"/>
              <w:left w:val="single" w:sz="4" w:space="0" w:color="auto"/>
              <w:bottom w:val="single" w:sz="4" w:space="0" w:color="auto"/>
              <w:right w:val="single" w:sz="4" w:space="0" w:color="auto"/>
            </w:tcBorders>
            <w:vAlign w:val="center"/>
          </w:tcPr>
          <w:p w14:paraId="7C9671F4" w14:textId="77777777" w:rsidR="00040D5B" w:rsidRPr="00040D5B" w:rsidRDefault="00040D5B" w:rsidP="00040D5B">
            <w:pPr>
              <w:rPr>
                <w:rFonts w:ascii="Arial Narrow" w:hAnsi="Arial Narrow"/>
                <w:sz w:val="20"/>
                <w:lang w:eastAsia="en-US"/>
              </w:rPr>
            </w:pPr>
            <w:r w:rsidRPr="00040D5B">
              <w:rPr>
                <w:rFonts w:ascii="Arial Narrow" w:hAnsi="Arial Narrow"/>
                <w:sz w:val="20"/>
                <w:lang w:eastAsia="en-US"/>
              </w:rPr>
              <w:t>0.13 (0.05; 0.34)</w:t>
            </w:r>
          </w:p>
        </w:tc>
      </w:tr>
    </w:tbl>
    <w:p w14:paraId="082EAF42" w14:textId="77777777" w:rsidR="00040D5B" w:rsidRPr="00040D5B" w:rsidRDefault="00040D5B" w:rsidP="00040D5B">
      <w:pPr>
        <w:pStyle w:val="Tablenotes1"/>
        <w:rPr>
          <w:b/>
          <w:bCs/>
        </w:rPr>
      </w:pPr>
      <w:r w:rsidRPr="00040D5B">
        <w:t>Abbreviations: ADAR = ADAR-based assessment; CI = confidence interval; RD = risk difference; RR =relative risk;</w:t>
      </w:r>
      <w:r w:rsidRPr="00040D5B">
        <w:rPr>
          <w:b/>
          <w:bCs/>
        </w:rPr>
        <w:t xml:space="preserve"> </w:t>
      </w:r>
      <w:r w:rsidRPr="00040D5B">
        <w:t>SAVR = surgical aortic valve replacement TAVI-BEV = transcatheter aortic valve implantation with a balloon-expandable valve</w:t>
      </w:r>
    </w:p>
    <w:p w14:paraId="0206382B" w14:textId="77777777" w:rsidR="00040D5B" w:rsidRPr="00040D5B" w:rsidRDefault="00040D5B" w:rsidP="00040D5B">
      <w:pPr>
        <w:pStyle w:val="Tablenotes1"/>
        <w:rPr>
          <w:i/>
        </w:rPr>
      </w:pPr>
      <w:r w:rsidRPr="00040D5B">
        <w:rPr>
          <w:b/>
          <w:bCs/>
        </w:rPr>
        <w:t>Bold</w:t>
      </w:r>
      <w:r w:rsidRPr="00040D5B">
        <w:t xml:space="preserve"> = statistically significant at p-value &lt; 0.05; </w:t>
      </w:r>
      <w:r w:rsidRPr="00040D5B">
        <w:rPr>
          <w:i/>
        </w:rPr>
        <w:t xml:space="preserve">Italics </w:t>
      </w:r>
      <w:r w:rsidRPr="00040D5B">
        <w:t>= corrected in the ESC report</w:t>
      </w:r>
    </w:p>
    <w:p w14:paraId="43A57E25" w14:textId="26D3D4E0" w:rsidR="00040D5B" w:rsidRPr="00040D5B" w:rsidRDefault="00040D5B" w:rsidP="00040D5B">
      <w:pPr>
        <w:pStyle w:val="Tablenotes1"/>
      </w:pPr>
      <w:r w:rsidRPr="00040D5B">
        <w:t xml:space="preserve">Source: Tables 26 – 30, p54-57 of the </w:t>
      </w:r>
      <w:r w:rsidR="00DD7827">
        <w:t>Commentary</w:t>
      </w:r>
    </w:p>
    <w:p w14:paraId="3EE537F2" w14:textId="77777777" w:rsidR="00040D5B" w:rsidRDefault="00040D5B" w:rsidP="00040D5B">
      <w:pPr>
        <w:pStyle w:val="Tablenotes1"/>
      </w:pPr>
      <w:r w:rsidRPr="00040D5B">
        <w:rPr>
          <w:vertAlign w:val="superscript"/>
        </w:rPr>
        <w:t xml:space="preserve">a </w:t>
      </w:r>
      <w:r w:rsidRPr="00040D5B">
        <w:t>Propensity score-adjusted analysis weighted difference of proportions</w:t>
      </w:r>
    </w:p>
    <w:p w14:paraId="7AA01BF9" w14:textId="77777777" w:rsidR="00040D5B" w:rsidRDefault="00040D5B" w:rsidP="00040D5B">
      <w:pPr>
        <w:pStyle w:val="Heading2"/>
      </w:pPr>
      <w:r w:rsidRPr="00EE216E">
        <w:t xml:space="preserve">TAVI-BEV </w:t>
      </w:r>
      <w:r w:rsidRPr="00EF4810">
        <w:t>vs.</w:t>
      </w:r>
      <w:r w:rsidRPr="00EE216E">
        <w:t xml:space="preserve"> TAVI-SEV</w:t>
      </w:r>
    </w:p>
    <w:p w14:paraId="6B5E1039" w14:textId="77777777" w:rsidR="00040D5B" w:rsidRDefault="00040D5B" w:rsidP="00040D5B">
      <w:r w:rsidRPr="00A107DD">
        <w:t>The</w:t>
      </w:r>
      <w:r>
        <w:t xml:space="preserve"> ADARs</w:t>
      </w:r>
      <w:r w:rsidRPr="00A107DD">
        <w:t xml:space="preserve"> indirect comparison between </w:t>
      </w:r>
      <w:r>
        <w:t>TAVI-BEV</w:t>
      </w:r>
      <w:r w:rsidRPr="00A107DD">
        <w:t xml:space="preserve"> and </w:t>
      </w:r>
      <w:r>
        <w:t>TAVI-SEV</w:t>
      </w:r>
      <w:r w:rsidRPr="00A107DD">
        <w:t xml:space="preserve"> suggested</w:t>
      </w:r>
      <w:r>
        <w:t>:</w:t>
      </w:r>
    </w:p>
    <w:p w14:paraId="12A142C9" w14:textId="03C6A576" w:rsidR="00040D5B" w:rsidRDefault="00040D5B" w:rsidP="00040D5B">
      <w:pPr>
        <w:pStyle w:val="ListParagraph"/>
        <w:numPr>
          <w:ilvl w:val="0"/>
          <w:numId w:val="31"/>
        </w:numPr>
      </w:pPr>
      <w:r>
        <w:t>TAVI-BEV</w:t>
      </w:r>
      <w:r w:rsidRPr="00A107DD">
        <w:t xml:space="preserve"> were significantly less likely to require a permanent pacemaker at </w:t>
      </w:r>
      <w:r w:rsidR="00021F25">
        <w:br/>
      </w:r>
      <w:r w:rsidRPr="00A107DD">
        <w:t>30-days follow-up</w:t>
      </w:r>
    </w:p>
    <w:p w14:paraId="4F8BD809" w14:textId="127A84D1" w:rsidR="00040D5B" w:rsidRDefault="00040D5B" w:rsidP="00040D5B">
      <w:pPr>
        <w:pStyle w:val="ListParagraph"/>
        <w:numPr>
          <w:ilvl w:val="0"/>
          <w:numId w:val="31"/>
        </w:numPr>
      </w:pPr>
      <w:r>
        <w:t>TAVI-BEV</w:t>
      </w:r>
      <w:r w:rsidRPr="00A107DD">
        <w:t xml:space="preserve"> patients were significantly less likely to experience atrial fibrillation, myocardial infarction and major vascular complications than </w:t>
      </w:r>
      <w:r>
        <w:t>TAVI-SEV (see Table B-23 o</w:t>
      </w:r>
      <w:r w:rsidR="003257BF">
        <w:t>f the ADAR).</w:t>
      </w:r>
    </w:p>
    <w:p w14:paraId="42EBA1E4" w14:textId="77777777" w:rsidR="00040D5B" w:rsidRDefault="00040D5B" w:rsidP="00040D5B">
      <w:r>
        <w:t xml:space="preserve">However, </w:t>
      </w:r>
      <w:r w:rsidRPr="00EE216E">
        <w:t>The ADAR concluded there was too much clinical heterogeneity between trials to draw conclusions from the results of the indirect comparison</w:t>
      </w:r>
      <w:r>
        <w:t>.</w:t>
      </w:r>
      <w:r w:rsidRPr="00883DC8">
        <w:t xml:space="preserve"> Patients in SURTAVI were generally lower ris</w:t>
      </w:r>
      <w:r>
        <w:t xml:space="preserve">k than patients in PARTNER S3i; </w:t>
      </w:r>
      <w:r w:rsidRPr="00883DC8">
        <w:t>SURTAVI patients were generally younger (mean age of 80 years versus 82 years), had lower rates of NYHA class III or IV (58%-60% vs. 73%-76%) and atrial fibrillation (27%-28% versus 35-36%).</w:t>
      </w:r>
    </w:p>
    <w:p w14:paraId="69B8126B" w14:textId="29D85B11" w:rsidR="009742FC" w:rsidRDefault="00040D5B" w:rsidP="0060464A">
      <w:pPr>
        <w:spacing w:before="240"/>
        <w:rPr>
          <w:rFonts w:ascii="Arial Narrow" w:hAnsi="Arial Narrow" w:cs="Arial"/>
          <w:b/>
          <w:bCs/>
          <w:iCs/>
          <w:sz w:val="20"/>
          <w:lang w:eastAsia="en-US"/>
        </w:rPr>
      </w:pPr>
      <w:r>
        <w:t xml:space="preserve">The </w:t>
      </w:r>
      <w:r w:rsidR="00DD7827">
        <w:t>Commentary</w:t>
      </w:r>
      <w:r>
        <w:t xml:space="preserve"> noted the results from the SOLVE-TAVI trial (Table 6), p</w:t>
      </w:r>
      <w:r w:rsidRPr="00E44A72">
        <w:t xml:space="preserve">atients treated with TAVI-BEV had </w:t>
      </w:r>
      <w:r>
        <w:t>numerically</w:t>
      </w:r>
      <w:r w:rsidRPr="00E44A72">
        <w:t xml:space="preserve"> lower rates of moderate to severe prosthetic valve regurgitation (2% </w:t>
      </w:r>
      <w:r w:rsidRPr="00EF4810">
        <w:rPr>
          <w:i/>
        </w:rPr>
        <w:t>vs.</w:t>
      </w:r>
      <w:r w:rsidRPr="00E44A72">
        <w:t xml:space="preserve"> 3%) and required fewer new permanent pacemakers (</w:t>
      </w:r>
      <w:r>
        <w:t>19</w:t>
      </w:r>
      <w:r w:rsidRPr="00E44A72">
        <w:t xml:space="preserve">% </w:t>
      </w:r>
      <w:r w:rsidRPr="00121BC1">
        <w:rPr>
          <w:i/>
        </w:rPr>
        <w:t>vs.</w:t>
      </w:r>
      <w:r w:rsidRPr="00E44A72">
        <w:t xml:space="preserve"> </w:t>
      </w:r>
      <w:r>
        <w:t>23</w:t>
      </w:r>
      <w:r w:rsidRPr="00E44A72">
        <w:t xml:space="preserve">%) at 30-day follow-up, compared </w:t>
      </w:r>
      <w:r>
        <w:t>with</w:t>
      </w:r>
      <w:r w:rsidRPr="00E44A72">
        <w:t xml:space="preserve"> patients treated with TAVI-SEV. </w:t>
      </w:r>
      <w:r>
        <w:t>T</w:t>
      </w:r>
      <w:r w:rsidRPr="00E44A72">
        <w:t xml:space="preserve">hese differences were statistically </w:t>
      </w:r>
      <w:r>
        <w:t xml:space="preserve">not </w:t>
      </w:r>
      <w:r w:rsidRPr="00E44A72">
        <w:t xml:space="preserve">significant. </w:t>
      </w:r>
      <w:r>
        <w:t xml:space="preserve">Additionally, the </w:t>
      </w:r>
      <w:r w:rsidR="00DD7827">
        <w:t>Commentary</w:t>
      </w:r>
      <w:r>
        <w:t xml:space="preserve"> noted that t</w:t>
      </w:r>
      <w:r w:rsidRPr="00E44A72">
        <w:t xml:space="preserve">he duration of follow-up in </w:t>
      </w:r>
      <w:r>
        <w:t xml:space="preserve">the SOLVE-TAVI trial </w:t>
      </w:r>
      <w:r w:rsidRPr="00E44A72">
        <w:t>was only 30-days, and as such the results should be interpreted with caution as there is the potential for additional long-term differences in adverse outcomes.</w:t>
      </w:r>
      <w:r>
        <w:t xml:space="preserve"> The </w:t>
      </w:r>
      <w:r w:rsidR="00021F25">
        <w:t>p</w:t>
      </w:r>
      <w:r>
        <w:t>re-ESC response considered that the results of SOLVE-TAVI were not relevant as the study authors stated that that “the study included mainly high-risk patients undergoing TAVI. Therefore, the impact of the two different valve types on outcome in lower-risk cohorts cannot be extrapolated.”</w:t>
      </w:r>
      <w:r w:rsidR="009742FC">
        <w:br w:type="page"/>
      </w:r>
    </w:p>
    <w:p w14:paraId="76CBCA2B" w14:textId="0AA15149" w:rsidR="00040D5B" w:rsidRPr="00AC061E" w:rsidRDefault="00E40C30" w:rsidP="00AC061E">
      <w:pPr>
        <w:rPr>
          <w:rFonts w:ascii="Arial Narrow" w:hAnsi="Arial Narrow"/>
          <w:b/>
          <w:sz w:val="20"/>
        </w:rPr>
      </w:pPr>
      <w:r w:rsidRPr="00AC061E">
        <w:rPr>
          <w:rFonts w:ascii="Arial Narrow" w:hAnsi="Arial Narrow"/>
          <w:b/>
          <w:sz w:val="20"/>
        </w:rPr>
        <w:t>Table 6</w:t>
      </w:r>
      <w:r w:rsidRPr="00AC061E">
        <w:rPr>
          <w:rFonts w:ascii="Arial Narrow" w:hAnsi="Arial Narrow"/>
          <w:b/>
          <w:sz w:val="20"/>
        </w:rPr>
        <w:tab/>
      </w:r>
      <w:r w:rsidR="00040D5B" w:rsidRPr="00AC061E">
        <w:rPr>
          <w:rFonts w:ascii="Arial Narrow" w:hAnsi="Arial Narrow"/>
          <w:b/>
          <w:sz w:val="20"/>
        </w:rPr>
        <w:t>Perioperative outcomes from the SOLVE-TAVI Trial (Thiele et al., 2020)- 30 days</w:t>
      </w:r>
    </w:p>
    <w:tbl>
      <w:tblPr>
        <w:tblStyle w:val="Summarybox1"/>
        <w:tblW w:w="9276" w:type="dxa"/>
        <w:tblLook w:val="04A0" w:firstRow="1" w:lastRow="0" w:firstColumn="1" w:lastColumn="0" w:noHBand="0" w:noVBand="1"/>
        <w:tblDescription w:val="Perioperative outcomes from the SOLVE-TAVI Trial (Thiele et al., 2020)- 30 days"/>
      </w:tblPr>
      <w:tblGrid>
        <w:gridCol w:w="2405"/>
        <w:gridCol w:w="1985"/>
        <w:gridCol w:w="1984"/>
        <w:gridCol w:w="1701"/>
        <w:gridCol w:w="1201"/>
      </w:tblGrid>
      <w:tr w:rsidR="00040D5B" w:rsidRPr="00312383" w14:paraId="5818FB7A" w14:textId="77777777" w:rsidTr="00AC061E">
        <w:trPr>
          <w:trHeight w:val="257"/>
          <w:tblHeader/>
        </w:trPr>
        <w:tc>
          <w:tcPr>
            <w:tcW w:w="2405" w:type="dxa"/>
            <w:shd w:val="clear" w:color="auto" w:fill="auto"/>
          </w:tcPr>
          <w:p w14:paraId="0317C870" w14:textId="77777777" w:rsidR="00040D5B" w:rsidRPr="00040D5B" w:rsidRDefault="00040D5B" w:rsidP="00040D5B">
            <w:pPr>
              <w:pStyle w:val="Tabletextcentred"/>
              <w:ind w:left="0"/>
              <w:jc w:val="left"/>
              <w:rPr>
                <w:b/>
              </w:rPr>
            </w:pPr>
            <w:r w:rsidRPr="00040D5B">
              <w:rPr>
                <w:b/>
              </w:rPr>
              <w:t>Outcome</w:t>
            </w:r>
          </w:p>
        </w:tc>
        <w:tc>
          <w:tcPr>
            <w:tcW w:w="1985" w:type="dxa"/>
            <w:shd w:val="clear" w:color="auto" w:fill="auto"/>
            <w:vAlign w:val="center"/>
          </w:tcPr>
          <w:p w14:paraId="42712B0F" w14:textId="77777777" w:rsidR="00040D5B" w:rsidRPr="00040D5B" w:rsidRDefault="00040D5B" w:rsidP="00040D5B">
            <w:pPr>
              <w:pStyle w:val="Tabletextcentred"/>
              <w:ind w:left="0"/>
              <w:jc w:val="left"/>
              <w:rPr>
                <w:rFonts w:cstheme="minorHAnsi"/>
                <w:b/>
                <w:bCs/>
                <w:lang w:val="da-DK"/>
              </w:rPr>
            </w:pPr>
            <w:r w:rsidRPr="00040D5B">
              <w:rPr>
                <w:rFonts w:cstheme="minorHAnsi"/>
                <w:b/>
                <w:bCs/>
                <w:lang w:val="da-DK"/>
              </w:rPr>
              <w:t>TAVI-SEV (EVOLUT R)</w:t>
            </w:r>
          </w:p>
          <w:p w14:paraId="0A8DA50A" w14:textId="77777777" w:rsidR="00040D5B" w:rsidRPr="00040D5B" w:rsidRDefault="00040D5B" w:rsidP="00040D5B">
            <w:pPr>
              <w:pStyle w:val="Tabletextcentred"/>
              <w:ind w:left="0"/>
              <w:jc w:val="left"/>
              <w:rPr>
                <w:rFonts w:cstheme="minorHAnsi"/>
                <w:b/>
                <w:bCs/>
                <w:lang w:val="da-DK"/>
              </w:rPr>
            </w:pPr>
            <w:r w:rsidRPr="00040D5B">
              <w:rPr>
                <w:rFonts w:cstheme="minorHAnsi"/>
                <w:b/>
                <w:bCs/>
                <w:lang w:val="da-DK"/>
              </w:rPr>
              <w:t>N = 218</w:t>
            </w:r>
          </w:p>
        </w:tc>
        <w:tc>
          <w:tcPr>
            <w:tcW w:w="1984" w:type="dxa"/>
            <w:shd w:val="clear" w:color="auto" w:fill="auto"/>
            <w:vAlign w:val="center"/>
          </w:tcPr>
          <w:p w14:paraId="770118CB" w14:textId="77777777" w:rsidR="00040D5B" w:rsidRPr="00040D5B" w:rsidRDefault="00040D5B" w:rsidP="00040D5B">
            <w:pPr>
              <w:pStyle w:val="Tabletextcentred"/>
              <w:ind w:left="0"/>
              <w:jc w:val="left"/>
              <w:rPr>
                <w:rFonts w:cstheme="minorHAnsi"/>
                <w:b/>
                <w:bCs/>
              </w:rPr>
            </w:pPr>
            <w:r w:rsidRPr="00040D5B">
              <w:rPr>
                <w:rFonts w:cstheme="minorHAnsi"/>
                <w:b/>
                <w:bCs/>
              </w:rPr>
              <w:t>TAVI-BEV (SAPIEN 3)</w:t>
            </w:r>
          </w:p>
          <w:p w14:paraId="00210B60" w14:textId="77777777" w:rsidR="00040D5B" w:rsidRPr="00040D5B" w:rsidRDefault="00040D5B" w:rsidP="00040D5B">
            <w:pPr>
              <w:pStyle w:val="Tabletextcentred"/>
              <w:ind w:left="0"/>
              <w:jc w:val="left"/>
              <w:rPr>
                <w:rFonts w:cstheme="minorHAnsi"/>
                <w:b/>
                <w:bCs/>
              </w:rPr>
            </w:pPr>
            <w:r w:rsidRPr="00040D5B">
              <w:rPr>
                <w:rFonts w:cstheme="minorHAnsi"/>
                <w:b/>
                <w:bCs/>
              </w:rPr>
              <w:t>N = 219</w:t>
            </w:r>
          </w:p>
        </w:tc>
        <w:tc>
          <w:tcPr>
            <w:tcW w:w="1701" w:type="dxa"/>
            <w:shd w:val="clear" w:color="auto" w:fill="auto"/>
            <w:vAlign w:val="center"/>
          </w:tcPr>
          <w:p w14:paraId="0EBE1D72" w14:textId="77777777" w:rsidR="00040D5B" w:rsidRPr="00040D5B" w:rsidRDefault="00040D5B" w:rsidP="00040D5B">
            <w:pPr>
              <w:pStyle w:val="Tabletextcentred"/>
              <w:ind w:left="0"/>
              <w:jc w:val="left"/>
              <w:rPr>
                <w:rFonts w:cstheme="minorHAnsi"/>
                <w:b/>
                <w:bCs/>
              </w:rPr>
            </w:pPr>
            <w:r w:rsidRPr="00040D5B">
              <w:rPr>
                <w:rFonts w:cstheme="minorHAnsi"/>
                <w:b/>
                <w:bCs/>
              </w:rPr>
              <w:t>Rate Difference</w:t>
            </w:r>
          </w:p>
          <w:p w14:paraId="2E7C6167" w14:textId="77777777" w:rsidR="00040D5B" w:rsidRPr="00040D5B" w:rsidRDefault="00040D5B" w:rsidP="00040D5B">
            <w:pPr>
              <w:pStyle w:val="Tabletextcentred"/>
              <w:ind w:left="0"/>
              <w:jc w:val="left"/>
              <w:rPr>
                <w:rFonts w:cstheme="minorHAnsi"/>
                <w:b/>
                <w:bCs/>
              </w:rPr>
            </w:pPr>
            <w:r w:rsidRPr="00040D5B">
              <w:rPr>
                <w:rFonts w:cstheme="minorHAnsi"/>
                <w:b/>
                <w:bCs/>
              </w:rPr>
              <w:t>(90% CI)</w:t>
            </w:r>
          </w:p>
        </w:tc>
        <w:tc>
          <w:tcPr>
            <w:tcW w:w="1201" w:type="dxa"/>
          </w:tcPr>
          <w:p w14:paraId="74B17D18" w14:textId="77777777" w:rsidR="00040D5B" w:rsidRPr="00040D5B" w:rsidRDefault="00040D5B" w:rsidP="00040D5B">
            <w:pPr>
              <w:pStyle w:val="Tabletextcentred"/>
              <w:ind w:left="0"/>
              <w:jc w:val="left"/>
              <w:rPr>
                <w:rFonts w:cstheme="minorHAnsi"/>
                <w:b/>
                <w:bCs/>
              </w:rPr>
            </w:pPr>
            <w:r w:rsidRPr="00040D5B">
              <w:rPr>
                <w:rFonts w:cstheme="minorHAnsi"/>
                <w:b/>
                <w:bCs/>
              </w:rPr>
              <w:t>P-value equivalence</w:t>
            </w:r>
          </w:p>
        </w:tc>
      </w:tr>
      <w:tr w:rsidR="00040D5B" w:rsidRPr="00312383" w14:paraId="052417CF" w14:textId="77777777" w:rsidTr="00040D5B">
        <w:trPr>
          <w:trHeight w:val="170"/>
        </w:trPr>
        <w:tc>
          <w:tcPr>
            <w:tcW w:w="2405" w:type="dxa"/>
          </w:tcPr>
          <w:p w14:paraId="5174579A" w14:textId="77777777" w:rsidR="00040D5B" w:rsidRPr="00735614" w:rsidRDefault="00040D5B" w:rsidP="00040D5B">
            <w:pPr>
              <w:pStyle w:val="Tabletextcentred"/>
              <w:ind w:left="0"/>
              <w:jc w:val="left"/>
              <w:rPr>
                <w:rFonts w:cstheme="minorHAnsi"/>
                <w:vertAlign w:val="superscript"/>
              </w:rPr>
            </w:pPr>
            <w:r w:rsidRPr="00735614">
              <w:rPr>
                <w:rFonts w:cstheme="minorHAnsi"/>
              </w:rPr>
              <w:t xml:space="preserve">Composite primary endpoint </w:t>
            </w:r>
            <w:r w:rsidRPr="00735614">
              <w:rPr>
                <w:rFonts w:cstheme="minorHAnsi"/>
                <w:vertAlign w:val="superscript"/>
              </w:rPr>
              <w:t>a</w:t>
            </w:r>
          </w:p>
        </w:tc>
        <w:tc>
          <w:tcPr>
            <w:tcW w:w="1985" w:type="dxa"/>
            <w:vAlign w:val="center"/>
          </w:tcPr>
          <w:p w14:paraId="77519871" w14:textId="77777777" w:rsidR="00040D5B" w:rsidRPr="00735614" w:rsidRDefault="00040D5B" w:rsidP="00040D5B">
            <w:pPr>
              <w:pStyle w:val="Tabletextcentred"/>
              <w:ind w:left="0"/>
              <w:rPr>
                <w:rFonts w:cstheme="minorHAnsi"/>
              </w:rPr>
            </w:pPr>
            <w:r w:rsidRPr="00735614">
              <w:rPr>
                <w:rFonts w:cstheme="minorHAnsi"/>
              </w:rPr>
              <w:t>62/218 (28%)</w:t>
            </w:r>
          </w:p>
        </w:tc>
        <w:tc>
          <w:tcPr>
            <w:tcW w:w="1984" w:type="dxa"/>
            <w:vAlign w:val="center"/>
          </w:tcPr>
          <w:p w14:paraId="10521DAA" w14:textId="77777777" w:rsidR="00040D5B" w:rsidRPr="00735614" w:rsidRDefault="00040D5B" w:rsidP="00040D5B">
            <w:pPr>
              <w:pStyle w:val="Tabletextcentred"/>
              <w:ind w:left="0"/>
              <w:rPr>
                <w:rFonts w:cstheme="minorHAnsi"/>
              </w:rPr>
            </w:pPr>
            <w:r w:rsidRPr="00735614">
              <w:rPr>
                <w:rFonts w:cstheme="minorHAnsi"/>
              </w:rPr>
              <w:t>56/216 (26%)</w:t>
            </w:r>
          </w:p>
        </w:tc>
        <w:tc>
          <w:tcPr>
            <w:tcW w:w="1701" w:type="dxa"/>
            <w:vAlign w:val="center"/>
          </w:tcPr>
          <w:p w14:paraId="3948CAEA" w14:textId="77777777" w:rsidR="00040D5B" w:rsidRPr="00735614" w:rsidRDefault="00040D5B" w:rsidP="00040D5B">
            <w:pPr>
              <w:pStyle w:val="Tabletextcentred"/>
              <w:ind w:left="0"/>
              <w:rPr>
                <w:rFonts w:cstheme="minorHAnsi"/>
                <w:vertAlign w:val="superscript"/>
              </w:rPr>
            </w:pPr>
            <w:r w:rsidRPr="00735614">
              <w:rPr>
                <w:rFonts w:cstheme="minorHAnsi"/>
              </w:rPr>
              <w:t xml:space="preserve">-2.51 (-9.56, 4.53) </w:t>
            </w:r>
            <w:r w:rsidRPr="00735614">
              <w:rPr>
                <w:rFonts w:cstheme="minorHAnsi"/>
                <w:vertAlign w:val="superscript"/>
              </w:rPr>
              <w:t>b</w:t>
            </w:r>
          </w:p>
        </w:tc>
        <w:tc>
          <w:tcPr>
            <w:tcW w:w="1201" w:type="dxa"/>
          </w:tcPr>
          <w:p w14:paraId="389D49C7" w14:textId="77777777" w:rsidR="00040D5B" w:rsidRPr="00735614" w:rsidRDefault="00040D5B" w:rsidP="00040D5B">
            <w:pPr>
              <w:pStyle w:val="Tabletextcentred"/>
              <w:ind w:left="0"/>
              <w:rPr>
                <w:rFonts w:cstheme="minorHAnsi"/>
              </w:rPr>
            </w:pPr>
            <w:r w:rsidRPr="00735614">
              <w:rPr>
                <w:rFonts w:cstheme="minorHAnsi"/>
              </w:rPr>
              <w:t>0.004</w:t>
            </w:r>
          </w:p>
        </w:tc>
      </w:tr>
      <w:tr w:rsidR="00040D5B" w:rsidRPr="00312383" w14:paraId="318EA03B" w14:textId="77777777" w:rsidTr="00040D5B">
        <w:trPr>
          <w:trHeight w:val="170"/>
        </w:trPr>
        <w:tc>
          <w:tcPr>
            <w:tcW w:w="2405" w:type="dxa"/>
          </w:tcPr>
          <w:p w14:paraId="54B222BC" w14:textId="77777777" w:rsidR="00040D5B" w:rsidRPr="00735614" w:rsidRDefault="00040D5B" w:rsidP="00040D5B">
            <w:pPr>
              <w:pStyle w:val="Tabletextcentred"/>
              <w:ind w:left="0"/>
              <w:jc w:val="left"/>
              <w:rPr>
                <w:rFonts w:cstheme="minorHAnsi"/>
              </w:rPr>
            </w:pPr>
            <w:r w:rsidRPr="00735614">
              <w:rPr>
                <w:rFonts w:cstheme="minorHAnsi"/>
              </w:rPr>
              <w:t>All-cause mortality</w:t>
            </w:r>
          </w:p>
        </w:tc>
        <w:tc>
          <w:tcPr>
            <w:tcW w:w="1985" w:type="dxa"/>
            <w:vAlign w:val="center"/>
          </w:tcPr>
          <w:p w14:paraId="50EB6B86" w14:textId="77777777" w:rsidR="00040D5B" w:rsidRPr="00735614" w:rsidRDefault="00040D5B" w:rsidP="00040D5B">
            <w:pPr>
              <w:pStyle w:val="Tabletextcentred"/>
              <w:ind w:left="0"/>
              <w:rPr>
                <w:rFonts w:cstheme="minorHAnsi"/>
              </w:rPr>
            </w:pPr>
            <w:r w:rsidRPr="00735614">
              <w:rPr>
                <w:rFonts w:cstheme="minorHAnsi"/>
              </w:rPr>
              <w:t>7/217 (3%)</w:t>
            </w:r>
          </w:p>
        </w:tc>
        <w:tc>
          <w:tcPr>
            <w:tcW w:w="1984" w:type="dxa"/>
            <w:vAlign w:val="center"/>
          </w:tcPr>
          <w:p w14:paraId="7288DCBA" w14:textId="77777777" w:rsidR="00040D5B" w:rsidRPr="00735614" w:rsidRDefault="00040D5B" w:rsidP="00040D5B">
            <w:pPr>
              <w:pStyle w:val="Tabletextcentred"/>
              <w:ind w:left="0"/>
              <w:rPr>
                <w:rFonts w:cstheme="minorHAnsi"/>
              </w:rPr>
            </w:pPr>
            <w:r w:rsidRPr="00735614">
              <w:rPr>
                <w:rFonts w:cstheme="minorHAnsi"/>
              </w:rPr>
              <w:t>5/219 (2%)</w:t>
            </w:r>
          </w:p>
        </w:tc>
        <w:tc>
          <w:tcPr>
            <w:tcW w:w="1701" w:type="dxa"/>
            <w:vAlign w:val="center"/>
          </w:tcPr>
          <w:p w14:paraId="0788BEBD" w14:textId="77777777" w:rsidR="00040D5B" w:rsidRPr="00735614" w:rsidRDefault="00040D5B" w:rsidP="00040D5B">
            <w:pPr>
              <w:pStyle w:val="Tabletextcentred"/>
              <w:ind w:left="0"/>
              <w:rPr>
                <w:rFonts w:cstheme="minorHAnsi"/>
              </w:rPr>
            </w:pPr>
            <w:r w:rsidRPr="00735614">
              <w:rPr>
                <w:rFonts w:cstheme="minorHAnsi"/>
              </w:rPr>
              <w:t>-0.94 (-4.79, 2.91)</w:t>
            </w:r>
          </w:p>
        </w:tc>
        <w:tc>
          <w:tcPr>
            <w:tcW w:w="1201" w:type="dxa"/>
          </w:tcPr>
          <w:p w14:paraId="240A132E" w14:textId="77777777" w:rsidR="00040D5B" w:rsidRPr="00735614" w:rsidRDefault="00040D5B" w:rsidP="00040D5B">
            <w:pPr>
              <w:pStyle w:val="Tabletextcentred"/>
              <w:ind w:left="0"/>
              <w:rPr>
                <w:rFonts w:cstheme="minorHAnsi"/>
              </w:rPr>
            </w:pPr>
            <w:r w:rsidRPr="00735614">
              <w:rPr>
                <w:rFonts w:cstheme="minorHAnsi"/>
              </w:rPr>
              <w:t>&lt;0.0001</w:t>
            </w:r>
          </w:p>
        </w:tc>
      </w:tr>
      <w:tr w:rsidR="00040D5B" w:rsidRPr="00312383" w14:paraId="24C3780D" w14:textId="77777777" w:rsidTr="00040D5B">
        <w:trPr>
          <w:trHeight w:val="170"/>
        </w:trPr>
        <w:tc>
          <w:tcPr>
            <w:tcW w:w="2405" w:type="dxa"/>
          </w:tcPr>
          <w:p w14:paraId="47A5CD14" w14:textId="77777777" w:rsidR="00040D5B" w:rsidRPr="00735614" w:rsidRDefault="00040D5B" w:rsidP="00040D5B">
            <w:pPr>
              <w:pStyle w:val="Tabletextcentred"/>
              <w:ind w:left="0"/>
              <w:jc w:val="left"/>
              <w:rPr>
                <w:rFonts w:cstheme="minorHAnsi"/>
              </w:rPr>
            </w:pPr>
            <w:r w:rsidRPr="00735614">
              <w:rPr>
                <w:rFonts w:cstheme="minorHAnsi"/>
              </w:rPr>
              <w:t xml:space="preserve">Stroke </w:t>
            </w:r>
          </w:p>
        </w:tc>
        <w:tc>
          <w:tcPr>
            <w:tcW w:w="1985" w:type="dxa"/>
            <w:vAlign w:val="center"/>
          </w:tcPr>
          <w:p w14:paraId="3EB94358" w14:textId="77777777" w:rsidR="00040D5B" w:rsidRPr="00735614" w:rsidRDefault="00040D5B" w:rsidP="00040D5B">
            <w:pPr>
              <w:pStyle w:val="Tabletextcentred"/>
              <w:ind w:left="0"/>
              <w:rPr>
                <w:rFonts w:cstheme="minorHAnsi"/>
              </w:rPr>
            </w:pPr>
            <w:r w:rsidRPr="00735614">
              <w:rPr>
                <w:rFonts w:cstheme="minorHAnsi"/>
              </w:rPr>
              <w:t>1/210 (1%)</w:t>
            </w:r>
          </w:p>
        </w:tc>
        <w:tc>
          <w:tcPr>
            <w:tcW w:w="1984" w:type="dxa"/>
            <w:vAlign w:val="center"/>
          </w:tcPr>
          <w:p w14:paraId="645960F5" w14:textId="77777777" w:rsidR="00040D5B" w:rsidRPr="00735614" w:rsidRDefault="00040D5B" w:rsidP="00040D5B">
            <w:pPr>
              <w:pStyle w:val="Tabletextcentred"/>
              <w:ind w:left="0"/>
              <w:rPr>
                <w:rFonts w:cstheme="minorHAnsi"/>
              </w:rPr>
            </w:pPr>
            <w:r w:rsidRPr="00735614">
              <w:rPr>
                <w:rFonts w:cstheme="minorHAnsi"/>
              </w:rPr>
              <w:t>10/214 (5%)</w:t>
            </w:r>
          </w:p>
        </w:tc>
        <w:tc>
          <w:tcPr>
            <w:tcW w:w="1701" w:type="dxa"/>
            <w:vAlign w:val="center"/>
          </w:tcPr>
          <w:p w14:paraId="53E9769D" w14:textId="77777777" w:rsidR="00040D5B" w:rsidRPr="00735614" w:rsidRDefault="00040D5B" w:rsidP="00040D5B">
            <w:pPr>
              <w:pStyle w:val="Tabletextcentred"/>
              <w:ind w:left="0"/>
              <w:rPr>
                <w:rFonts w:cstheme="minorHAnsi"/>
              </w:rPr>
            </w:pPr>
            <w:r w:rsidRPr="00735614">
              <w:rPr>
                <w:rFonts w:cstheme="minorHAnsi"/>
              </w:rPr>
              <w:t>4.2 (0.11 to 8.28)</w:t>
            </w:r>
          </w:p>
        </w:tc>
        <w:tc>
          <w:tcPr>
            <w:tcW w:w="1201" w:type="dxa"/>
          </w:tcPr>
          <w:p w14:paraId="3E78362F" w14:textId="77777777" w:rsidR="00040D5B" w:rsidRPr="00735614" w:rsidRDefault="00040D5B" w:rsidP="00040D5B">
            <w:pPr>
              <w:pStyle w:val="Tabletextcentred"/>
              <w:ind w:left="0"/>
              <w:rPr>
                <w:rFonts w:cstheme="minorHAnsi"/>
              </w:rPr>
            </w:pPr>
            <w:r w:rsidRPr="00735614">
              <w:rPr>
                <w:rFonts w:cstheme="minorHAnsi"/>
              </w:rPr>
              <w:t>0.003</w:t>
            </w:r>
          </w:p>
        </w:tc>
      </w:tr>
      <w:tr w:rsidR="00040D5B" w:rsidRPr="00312383" w14:paraId="621A1AB3" w14:textId="77777777" w:rsidTr="00040D5B">
        <w:trPr>
          <w:trHeight w:val="170"/>
        </w:trPr>
        <w:tc>
          <w:tcPr>
            <w:tcW w:w="2405" w:type="dxa"/>
          </w:tcPr>
          <w:p w14:paraId="79E14F6E" w14:textId="77777777" w:rsidR="00040D5B" w:rsidRPr="00735614" w:rsidRDefault="00040D5B" w:rsidP="00040D5B">
            <w:pPr>
              <w:pStyle w:val="Tabletextcentred"/>
              <w:ind w:left="0"/>
              <w:jc w:val="left"/>
              <w:rPr>
                <w:rFonts w:cstheme="minorHAnsi"/>
              </w:rPr>
            </w:pPr>
            <w:r w:rsidRPr="00735614">
              <w:rPr>
                <w:rFonts w:cstheme="minorHAnsi"/>
              </w:rPr>
              <w:t>Moderate or severe paravalvular regurgitation</w:t>
            </w:r>
          </w:p>
        </w:tc>
        <w:tc>
          <w:tcPr>
            <w:tcW w:w="1985" w:type="dxa"/>
            <w:vAlign w:val="center"/>
          </w:tcPr>
          <w:p w14:paraId="53B11E74" w14:textId="77777777" w:rsidR="00040D5B" w:rsidRPr="00735614" w:rsidRDefault="00040D5B" w:rsidP="00040D5B">
            <w:pPr>
              <w:pStyle w:val="Tabletextcentred"/>
              <w:ind w:left="0"/>
              <w:rPr>
                <w:rFonts w:cstheme="minorHAnsi"/>
              </w:rPr>
            </w:pPr>
            <w:r w:rsidRPr="00735614">
              <w:rPr>
                <w:rFonts w:cstheme="minorHAnsi"/>
              </w:rPr>
              <w:t>7/208 (3%)</w:t>
            </w:r>
          </w:p>
        </w:tc>
        <w:tc>
          <w:tcPr>
            <w:tcW w:w="1984" w:type="dxa"/>
            <w:vAlign w:val="center"/>
          </w:tcPr>
          <w:p w14:paraId="4CEA2CC5" w14:textId="77777777" w:rsidR="00040D5B" w:rsidRPr="00735614" w:rsidRDefault="00040D5B" w:rsidP="00040D5B">
            <w:pPr>
              <w:pStyle w:val="Tabletextcentred"/>
              <w:ind w:left="0"/>
              <w:rPr>
                <w:rFonts w:cstheme="minorHAnsi"/>
              </w:rPr>
            </w:pPr>
            <w:r w:rsidRPr="00735614">
              <w:rPr>
                <w:rFonts w:cstheme="minorHAnsi"/>
              </w:rPr>
              <w:t>3/207 (2%)</w:t>
            </w:r>
          </w:p>
        </w:tc>
        <w:tc>
          <w:tcPr>
            <w:tcW w:w="1701" w:type="dxa"/>
            <w:vAlign w:val="center"/>
          </w:tcPr>
          <w:p w14:paraId="4EC4593B" w14:textId="77777777" w:rsidR="00040D5B" w:rsidRPr="00735614" w:rsidRDefault="00040D5B" w:rsidP="00040D5B">
            <w:pPr>
              <w:pStyle w:val="Tabletextcentred"/>
              <w:ind w:left="0"/>
              <w:rPr>
                <w:rFonts w:cstheme="minorHAnsi"/>
              </w:rPr>
            </w:pPr>
            <w:r w:rsidRPr="00735614">
              <w:rPr>
                <w:rFonts w:cstheme="minorHAnsi"/>
              </w:rPr>
              <w:t>-1.92 (-5.88, 2.05)</w:t>
            </w:r>
          </w:p>
        </w:tc>
        <w:tc>
          <w:tcPr>
            <w:tcW w:w="1201" w:type="dxa"/>
            <w:vAlign w:val="center"/>
          </w:tcPr>
          <w:p w14:paraId="5DA01A34" w14:textId="77777777" w:rsidR="00040D5B" w:rsidRPr="00735614" w:rsidRDefault="00040D5B" w:rsidP="00040D5B">
            <w:pPr>
              <w:pStyle w:val="Tabletextcentred"/>
              <w:ind w:left="0"/>
              <w:rPr>
                <w:rFonts w:cstheme="minorHAnsi"/>
              </w:rPr>
            </w:pPr>
            <w:r w:rsidRPr="00735614">
              <w:rPr>
                <w:rFonts w:cstheme="minorHAnsi"/>
              </w:rPr>
              <w:t>0.0002</w:t>
            </w:r>
          </w:p>
        </w:tc>
      </w:tr>
      <w:tr w:rsidR="00040D5B" w:rsidRPr="00312383" w14:paraId="4149F8B2" w14:textId="77777777" w:rsidTr="00040D5B">
        <w:trPr>
          <w:trHeight w:val="170"/>
        </w:trPr>
        <w:tc>
          <w:tcPr>
            <w:tcW w:w="2405" w:type="dxa"/>
          </w:tcPr>
          <w:p w14:paraId="1E7F2EC1" w14:textId="77777777" w:rsidR="00040D5B" w:rsidRPr="00735614" w:rsidRDefault="00040D5B" w:rsidP="00040D5B">
            <w:pPr>
              <w:pStyle w:val="Tabletextcentred"/>
              <w:ind w:left="0"/>
              <w:jc w:val="left"/>
              <w:rPr>
                <w:rFonts w:cstheme="minorHAnsi"/>
              </w:rPr>
            </w:pPr>
            <w:r w:rsidRPr="00735614">
              <w:rPr>
                <w:rFonts w:cstheme="minorHAnsi"/>
              </w:rPr>
              <w:t>Permanent pacemaker</w:t>
            </w:r>
          </w:p>
        </w:tc>
        <w:tc>
          <w:tcPr>
            <w:tcW w:w="1985" w:type="dxa"/>
            <w:vAlign w:val="center"/>
          </w:tcPr>
          <w:p w14:paraId="103160E8" w14:textId="77777777" w:rsidR="00040D5B" w:rsidRPr="00735614" w:rsidRDefault="00040D5B" w:rsidP="00040D5B">
            <w:pPr>
              <w:pStyle w:val="Tabletextcentred"/>
              <w:ind w:left="0"/>
              <w:rPr>
                <w:rFonts w:cstheme="minorHAnsi"/>
              </w:rPr>
            </w:pPr>
            <w:r w:rsidRPr="00735614">
              <w:rPr>
                <w:rFonts w:cstheme="minorHAnsi"/>
              </w:rPr>
              <w:t>49/213 (23%)</w:t>
            </w:r>
          </w:p>
        </w:tc>
        <w:tc>
          <w:tcPr>
            <w:tcW w:w="1984" w:type="dxa"/>
            <w:vAlign w:val="center"/>
          </w:tcPr>
          <w:p w14:paraId="515F6000" w14:textId="77777777" w:rsidR="00040D5B" w:rsidRPr="00735614" w:rsidRDefault="00040D5B" w:rsidP="00040D5B">
            <w:pPr>
              <w:pStyle w:val="Tabletextcentred"/>
              <w:ind w:left="0"/>
              <w:rPr>
                <w:rFonts w:cstheme="minorHAnsi"/>
              </w:rPr>
            </w:pPr>
            <w:r w:rsidRPr="00735614">
              <w:rPr>
                <w:rFonts w:cstheme="minorHAnsi"/>
              </w:rPr>
              <w:t>41/214 (19%)</w:t>
            </w:r>
          </w:p>
        </w:tc>
        <w:tc>
          <w:tcPr>
            <w:tcW w:w="1701" w:type="dxa"/>
            <w:vAlign w:val="center"/>
          </w:tcPr>
          <w:p w14:paraId="52F2B0EC" w14:textId="77777777" w:rsidR="00040D5B" w:rsidRPr="00735614" w:rsidRDefault="00040D5B" w:rsidP="00040D5B">
            <w:pPr>
              <w:pStyle w:val="Tabletextcentred"/>
              <w:ind w:left="0"/>
              <w:rPr>
                <w:rFonts w:cstheme="minorHAnsi"/>
              </w:rPr>
            </w:pPr>
            <w:r w:rsidRPr="00735614">
              <w:rPr>
                <w:rFonts w:cstheme="minorHAnsi"/>
              </w:rPr>
              <w:t>-3.85 (-10.4, 2.72)</w:t>
            </w:r>
          </w:p>
        </w:tc>
        <w:tc>
          <w:tcPr>
            <w:tcW w:w="1201" w:type="dxa"/>
          </w:tcPr>
          <w:p w14:paraId="437A2E2B" w14:textId="77777777" w:rsidR="00040D5B" w:rsidRPr="00735614" w:rsidRDefault="00040D5B" w:rsidP="00040D5B">
            <w:pPr>
              <w:pStyle w:val="Tabletextcentred"/>
              <w:ind w:left="0"/>
              <w:rPr>
                <w:rFonts w:cstheme="minorHAnsi"/>
              </w:rPr>
            </w:pPr>
            <w:r w:rsidRPr="00735614">
              <w:rPr>
                <w:rFonts w:cstheme="minorHAnsi"/>
              </w:rPr>
              <w:t>0.06</w:t>
            </w:r>
          </w:p>
        </w:tc>
      </w:tr>
    </w:tbl>
    <w:p w14:paraId="4DD68CAB" w14:textId="1CC416D2" w:rsidR="00040D5B" w:rsidRPr="00312383" w:rsidRDefault="00040D5B" w:rsidP="00040D5B">
      <w:pPr>
        <w:widowControl w:val="0"/>
        <w:snapToGrid w:val="0"/>
        <w:jc w:val="both"/>
        <w:rPr>
          <w:rFonts w:ascii="Arial Narrow" w:hAnsi="Arial Narrow" w:cs="Arial"/>
          <w:sz w:val="18"/>
          <w:szCs w:val="22"/>
          <w:lang w:eastAsia="en-US"/>
        </w:rPr>
      </w:pPr>
      <w:r w:rsidRPr="00312383">
        <w:rPr>
          <w:rFonts w:ascii="Arial Narrow" w:hAnsi="Arial Narrow" w:cs="Arial"/>
          <w:sz w:val="18"/>
          <w:szCs w:val="22"/>
          <w:lang w:eastAsia="en-US"/>
        </w:rPr>
        <w:t xml:space="preserve">Source: Table 99, pp123-124 of the </w:t>
      </w:r>
      <w:r w:rsidR="00DD7827">
        <w:rPr>
          <w:rFonts w:ascii="Arial Narrow" w:hAnsi="Arial Narrow" w:cs="Arial"/>
          <w:sz w:val="18"/>
          <w:szCs w:val="22"/>
          <w:lang w:eastAsia="en-US"/>
        </w:rPr>
        <w:t>Commentary</w:t>
      </w:r>
    </w:p>
    <w:p w14:paraId="3ADF6B51" w14:textId="77777777" w:rsidR="00040D5B" w:rsidRDefault="00040D5B" w:rsidP="00040D5B">
      <w:pPr>
        <w:widowControl w:val="0"/>
        <w:snapToGrid w:val="0"/>
        <w:jc w:val="both"/>
        <w:rPr>
          <w:rFonts w:ascii="Arial Narrow" w:hAnsi="Arial Narrow" w:cs="Arial"/>
          <w:sz w:val="18"/>
          <w:szCs w:val="22"/>
          <w:lang w:eastAsia="en-US"/>
        </w:rPr>
      </w:pPr>
      <w:r w:rsidRPr="00312383">
        <w:rPr>
          <w:rFonts w:ascii="Arial Narrow" w:hAnsi="Arial Narrow" w:cs="Arial"/>
          <w:sz w:val="18"/>
          <w:szCs w:val="22"/>
          <w:lang w:eastAsia="en-US"/>
        </w:rPr>
        <w:t>Abbreviation: BEV = balloon expandable valve; SEV = self-expanding valves; TAVI = transcatheter aortic valve implantation</w:t>
      </w:r>
    </w:p>
    <w:p w14:paraId="2824CB2F" w14:textId="77777777" w:rsidR="00040D5B" w:rsidRPr="00735614" w:rsidRDefault="00040D5B" w:rsidP="00040D5B">
      <w:pPr>
        <w:widowControl w:val="0"/>
        <w:snapToGrid w:val="0"/>
        <w:jc w:val="both"/>
        <w:rPr>
          <w:rFonts w:ascii="Arial Narrow" w:hAnsi="Arial Narrow" w:cs="Arial"/>
          <w:sz w:val="18"/>
          <w:szCs w:val="22"/>
          <w:lang w:eastAsia="en-US"/>
        </w:rPr>
      </w:pPr>
      <w:r>
        <w:rPr>
          <w:rFonts w:ascii="Arial Narrow" w:hAnsi="Arial Narrow" w:cs="Arial"/>
          <w:i/>
          <w:sz w:val="18"/>
          <w:szCs w:val="22"/>
          <w:lang w:eastAsia="en-US"/>
        </w:rPr>
        <w:t xml:space="preserve">Italics = </w:t>
      </w:r>
      <w:r>
        <w:rPr>
          <w:rFonts w:ascii="Arial Narrow" w:hAnsi="Arial Narrow" w:cs="Arial"/>
          <w:sz w:val="18"/>
          <w:szCs w:val="22"/>
          <w:lang w:eastAsia="en-US"/>
        </w:rPr>
        <w:t>revised in the ESC report</w:t>
      </w:r>
    </w:p>
    <w:p w14:paraId="26938BDD" w14:textId="77777777" w:rsidR="00040D5B" w:rsidRDefault="00040D5B" w:rsidP="00040D5B">
      <w:pPr>
        <w:rPr>
          <w:rFonts w:ascii="Arial Narrow" w:hAnsi="Arial Narrow" w:cs="Arial"/>
          <w:iCs/>
          <w:sz w:val="18"/>
          <w:szCs w:val="18"/>
          <w:lang w:eastAsia="en-US"/>
        </w:rPr>
      </w:pPr>
      <w:r w:rsidRPr="00C542D3">
        <w:rPr>
          <w:rFonts w:ascii="Arial Narrow" w:hAnsi="Arial Narrow" w:cs="Arial"/>
          <w:iCs/>
          <w:sz w:val="18"/>
          <w:szCs w:val="18"/>
          <w:vertAlign w:val="superscript"/>
          <w:lang w:eastAsia="en-US"/>
        </w:rPr>
        <w:t>a</w:t>
      </w:r>
      <w:r w:rsidRPr="00C542D3">
        <w:rPr>
          <w:rFonts w:ascii="Arial Narrow" w:hAnsi="Arial Narrow" w:cs="Arial"/>
          <w:iCs/>
          <w:sz w:val="18"/>
          <w:szCs w:val="18"/>
          <w:lang w:eastAsia="en-US"/>
        </w:rPr>
        <w:t xml:space="preserve"> Composite of all-cause mortality, stroke, moderate or severe prosthetic valve regurgitation; permanent pacemaker implantation at 30-day follow-up</w:t>
      </w:r>
    </w:p>
    <w:p w14:paraId="05696332" w14:textId="77777777" w:rsidR="00040D5B" w:rsidRPr="00735614" w:rsidRDefault="00040D5B" w:rsidP="00040D5B">
      <w:pPr>
        <w:rPr>
          <w:rFonts w:ascii="Arial Narrow" w:hAnsi="Arial Narrow" w:cs="Arial"/>
          <w:i/>
          <w:iCs/>
          <w:sz w:val="18"/>
          <w:szCs w:val="18"/>
          <w:lang w:eastAsia="en-US"/>
        </w:rPr>
      </w:pPr>
      <w:r w:rsidRPr="00735614">
        <w:rPr>
          <w:rFonts w:ascii="Arial Narrow" w:hAnsi="Arial Narrow" w:cs="Arial"/>
          <w:i/>
          <w:iCs/>
          <w:sz w:val="18"/>
          <w:szCs w:val="18"/>
          <w:vertAlign w:val="superscript"/>
          <w:lang w:eastAsia="en-US"/>
        </w:rPr>
        <w:t>b</w:t>
      </w:r>
      <w:r w:rsidRPr="00735614">
        <w:rPr>
          <w:rFonts w:ascii="Arial Narrow" w:hAnsi="Arial Narrow" w:cs="Arial"/>
          <w:i/>
          <w:iCs/>
          <w:sz w:val="18"/>
          <w:szCs w:val="18"/>
          <w:lang w:eastAsia="en-US"/>
        </w:rPr>
        <w:t xml:space="preserve"> Also reported as rate difference -2.39 (90% CI -9.45, 4.66) in the abstract</w:t>
      </w:r>
    </w:p>
    <w:p w14:paraId="0B3CA7AC" w14:textId="77777777" w:rsidR="00BC1364" w:rsidRPr="00F715D1" w:rsidRDefault="00BC1364" w:rsidP="00F715D1">
      <w:pPr>
        <w:pStyle w:val="Heading1"/>
      </w:pPr>
      <w:r w:rsidRPr="00F715D1">
        <w:t>Comparative effectiveness</w:t>
      </w:r>
    </w:p>
    <w:p w14:paraId="30F93885" w14:textId="77777777" w:rsidR="00040D5B" w:rsidRDefault="00040D5B" w:rsidP="00040D5B">
      <w:pPr>
        <w:rPr>
          <w:u w:val="single"/>
        </w:rPr>
      </w:pPr>
      <w:r w:rsidRPr="00207F16">
        <w:rPr>
          <w:u w:val="single"/>
        </w:rPr>
        <w:t xml:space="preserve">TAVI-BEV </w:t>
      </w:r>
      <w:r w:rsidRPr="00296D8C">
        <w:rPr>
          <w:i/>
          <w:u w:val="single"/>
        </w:rPr>
        <w:t>vs.</w:t>
      </w:r>
      <w:r w:rsidRPr="00207F16">
        <w:rPr>
          <w:u w:val="single"/>
        </w:rPr>
        <w:t xml:space="preserve"> SAVR</w:t>
      </w:r>
    </w:p>
    <w:p w14:paraId="63FA0148" w14:textId="03B47570" w:rsidR="00040D5B" w:rsidRDefault="00040D5B" w:rsidP="00040D5B">
      <w:pPr>
        <w:rPr>
          <w:iCs/>
        </w:rPr>
      </w:pPr>
      <w:r w:rsidRPr="00EE216E">
        <w:rPr>
          <w:iCs/>
        </w:rPr>
        <w:t xml:space="preserve">The </w:t>
      </w:r>
      <w:r w:rsidRPr="00D82C09">
        <w:rPr>
          <w:iCs/>
        </w:rPr>
        <w:t>results of propensity score-adjusted comparison</w:t>
      </w:r>
      <w:r>
        <w:rPr>
          <w:iCs/>
        </w:rPr>
        <w:t xml:space="preserve"> (Table 5)</w:t>
      </w:r>
      <w:r w:rsidRPr="00D82C09">
        <w:rPr>
          <w:iCs/>
        </w:rPr>
        <w:t xml:space="preserve"> showed that TAVI-BEV was superior to SAVR at 12-months follow-up for the composite endpoint, death, stroke, and moderate to severe aortic regurgitation (</w:t>
      </w:r>
      <w:r>
        <w:rPr>
          <w:iCs/>
        </w:rPr>
        <w:t>WDP:</w:t>
      </w:r>
      <w:r w:rsidRPr="00D82C09">
        <w:rPr>
          <w:iCs/>
        </w:rPr>
        <w:t xml:space="preserve"> -9·2%, 95% CI -13.0 to -5.4; p-value &lt; 0·0001), and for the indi</w:t>
      </w:r>
      <w:r>
        <w:rPr>
          <w:iCs/>
        </w:rPr>
        <w:t xml:space="preserve">vidual outcomes of death (WDP: </w:t>
      </w:r>
      <w:r w:rsidRPr="00D82C09">
        <w:rPr>
          <w:iCs/>
        </w:rPr>
        <w:t>-5.2%, -8.0 to -2.4; p-value = 0·0003) and stroke (WDP = -3·5%, -5·9 to -1·1; p-value = 0·0038), but inferior to SAVR for the outcome for moderate or se</w:t>
      </w:r>
      <w:r>
        <w:rPr>
          <w:iCs/>
        </w:rPr>
        <w:t>vere aortic regurgitation (WDP:</w:t>
      </w:r>
      <w:r w:rsidRPr="00D82C09">
        <w:rPr>
          <w:iCs/>
        </w:rPr>
        <w:t xml:space="preserve"> 1.2%, 95% CI: 0.2 to 2.2; p-value = 0·0149).</w:t>
      </w:r>
      <w:r w:rsidRPr="00EE216E">
        <w:rPr>
          <w:iCs/>
        </w:rPr>
        <w:t xml:space="preserve"> </w:t>
      </w:r>
      <w:r>
        <w:rPr>
          <w:iCs/>
        </w:rPr>
        <w:t xml:space="preserve">The results of the unadjusted (naïve) comparison, which were agreed to be uncertain in the ADAR and </w:t>
      </w:r>
      <w:r w:rsidR="00DD7827">
        <w:rPr>
          <w:iCs/>
        </w:rPr>
        <w:t>Commentary</w:t>
      </w:r>
      <w:r>
        <w:rPr>
          <w:iCs/>
        </w:rPr>
        <w:t>, are also included in Table 7.</w:t>
      </w:r>
    </w:p>
    <w:p w14:paraId="4B7AE954" w14:textId="57C704AB" w:rsidR="00040D5B" w:rsidRPr="00AC061E" w:rsidRDefault="00E40C30" w:rsidP="00AC061E">
      <w:pPr>
        <w:spacing w:before="240"/>
        <w:rPr>
          <w:rFonts w:ascii="Arial Narrow" w:hAnsi="Arial Narrow"/>
          <w:b/>
          <w:sz w:val="20"/>
        </w:rPr>
      </w:pPr>
      <w:r w:rsidRPr="00AC061E">
        <w:rPr>
          <w:rFonts w:ascii="Arial Narrow" w:hAnsi="Arial Narrow"/>
          <w:b/>
          <w:sz w:val="20"/>
        </w:rPr>
        <w:t>Table 7</w:t>
      </w:r>
      <w:r w:rsidRPr="00AC061E">
        <w:rPr>
          <w:rFonts w:ascii="Arial Narrow" w:hAnsi="Arial Narrow"/>
          <w:b/>
          <w:sz w:val="20"/>
        </w:rPr>
        <w:tab/>
      </w:r>
      <w:r w:rsidR="00040D5B" w:rsidRPr="00AC061E">
        <w:rPr>
          <w:rFonts w:ascii="Arial Narrow" w:hAnsi="Arial Narrow"/>
          <w:b/>
          <w:sz w:val="20"/>
        </w:rPr>
        <w:t>Key effectiveness outcomes reported by the ADAR from PARTNER S3i- 30 days and 1 year</w:t>
      </w:r>
    </w:p>
    <w:tbl>
      <w:tblPr>
        <w:tblStyle w:val="TableGrid"/>
        <w:tblW w:w="5000" w:type="pct"/>
        <w:tblBorders>
          <w:insideH w:val="none" w:sz="0" w:space="0" w:color="auto"/>
          <w:insideV w:val="none" w:sz="0" w:space="0" w:color="auto"/>
        </w:tblBorders>
        <w:tblLook w:val="04A0" w:firstRow="1" w:lastRow="0" w:firstColumn="1" w:lastColumn="0" w:noHBand="0" w:noVBand="1"/>
        <w:tblDescription w:val="Key effectiveness outcomes reported by the ADAR from PARTNER S3i- 30 days and 1 year"/>
      </w:tblPr>
      <w:tblGrid>
        <w:gridCol w:w="2690"/>
        <w:gridCol w:w="1275"/>
        <w:gridCol w:w="1417"/>
        <w:gridCol w:w="2128"/>
        <w:gridCol w:w="1506"/>
      </w:tblGrid>
      <w:tr w:rsidR="00040D5B" w:rsidRPr="004C553E" w14:paraId="29E0E8E0" w14:textId="77777777" w:rsidTr="00AC061E">
        <w:trPr>
          <w:cantSplit/>
          <w:tblHeader/>
        </w:trPr>
        <w:tc>
          <w:tcPr>
            <w:tcW w:w="1492" w:type="pct"/>
            <w:tcBorders>
              <w:top w:val="single" w:sz="4" w:space="0" w:color="auto"/>
              <w:left w:val="single" w:sz="4" w:space="0" w:color="auto"/>
              <w:bottom w:val="single" w:sz="4" w:space="0" w:color="auto"/>
              <w:right w:val="single" w:sz="4" w:space="0" w:color="auto"/>
            </w:tcBorders>
          </w:tcPr>
          <w:p w14:paraId="455608D7" w14:textId="77777777" w:rsidR="00040D5B" w:rsidRPr="004C553E" w:rsidRDefault="00040D5B" w:rsidP="00040D5B">
            <w:pPr>
              <w:pStyle w:val="Tabletextcentred"/>
              <w:jc w:val="left"/>
              <w:rPr>
                <w:b/>
              </w:rPr>
            </w:pPr>
            <w:r>
              <w:rPr>
                <w:b/>
              </w:rPr>
              <w:t>Outcome</w:t>
            </w:r>
          </w:p>
        </w:tc>
        <w:tc>
          <w:tcPr>
            <w:tcW w:w="707" w:type="pct"/>
            <w:tcBorders>
              <w:top w:val="single" w:sz="4" w:space="0" w:color="auto"/>
              <w:left w:val="single" w:sz="4" w:space="0" w:color="auto"/>
              <w:bottom w:val="single" w:sz="4" w:space="0" w:color="auto"/>
              <w:right w:val="single" w:sz="4" w:space="0" w:color="auto"/>
            </w:tcBorders>
            <w:vAlign w:val="center"/>
          </w:tcPr>
          <w:p w14:paraId="109E0B55" w14:textId="77777777" w:rsidR="00040D5B" w:rsidRPr="004C553E" w:rsidRDefault="00040D5B" w:rsidP="00040D5B">
            <w:pPr>
              <w:pStyle w:val="Tabletextcentred"/>
              <w:rPr>
                <w:b/>
              </w:rPr>
            </w:pPr>
            <w:r w:rsidRPr="004C553E">
              <w:rPr>
                <w:b/>
              </w:rPr>
              <w:t>TAVI-BEV</w:t>
            </w:r>
          </w:p>
        </w:tc>
        <w:tc>
          <w:tcPr>
            <w:tcW w:w="786" w:type="pct"/>
            <w:tcBorders>
              <w:top w:val="single" w:sz="4" w:space="0" w:color="auto"/>
              <w:left w:val="single" w:sz="4" w:space="0" w:color="auto"/>
              <w:bottom w:val="single" w:sz="4" w:space="0" w:color="auto"/>
              <w:right w:val="single" w:sz="4" w:space="0" w:color="auto"/>
            </w:tcBorders>
            <w:vAlign w:val="center"/>
          </w:tcPr>
          <w:p w14:paraId="1A256C96" w14:textId="77777777" w:rsidR="00040D5B" w:rsidRPr="004C553E" w:rsidRDefault="00040D5B" w:rsidP="00040D5B">
            <w:pPr>
              <w:pStyle w:val="Tabletextcentred"/>
              <w:rPr>
                <w:b/>
              </w:rPr>
            </w:pPr>
            <w:r w:rsidRPr="004C553E">
              <w:rPr>
                <w:b/>
              </w:rPr>
              <w:t>SAVR</w:t>
            </w:r>
          </w:p>
        </w:tc>
        <w:tc>
          <w:tcPr>
            <w:tcW w:w="1180" w:type="pct"/>
            <w:tcBorders>
              <w:top w:val="single" w:sz="4" w:space="0" w:color="auto"/>
              <w:left w:val="single" w:sz="4" w:space="0" w:color="auto"/>
              <w:bottom w:val="single" w:sz="4" w:space="0" w:color="auto"/>
              <w:right w:val="single" w:sz="4" w:space="0" w:color="auto"/>
            </w:tcBorders>
            <w:vAlign w:val="center"/>
          </w:tcPr>
          <w:p w14:paraId="28C36C84" w14:textId="77777777" w:rsidR="00040D5B" w:rsidRPr="004C553E" w:rsidRDefault="00040D5B" w:rsidP="00040D5B">
            <w:pPr>
              <w:pStyle w:val="Tabletextcentred"/>
              <w:rPr>
                <w:b/>
              </w:rPr>
            </w:pPr>
            <w:r w:rsidRPr="004C553E">
              <w:rPr>
                <w:b/>
              </w:rPr>
              <w:t>RD (95% CI)</w:t>
            </w:r>
          </w:p>
        </w:tc>
        <w:tc>
          <w:tcPr>
            <w:tcW w:w="835" w:type="pct"/>
            <w:tcBorders>
              <w:top w:val="single" w:sz="4" w:space="0" w:color="auto"/>
              <w:left w:val="single" w:sz="4" w:space="0" w:color="auto"/>
              <w:bottom w:val="single" w:sz="4" w:space="0" w:color="auto"/>
              <w:right w:val="single" w:sz="4" w:space="0" w:color="auto"/>
            </w:tcBorders>
          </w:tcPr>
          <w:p w14:paraId="6C26DC5E" w14:textId="77777777" w:rsidR="00040D5B" w:rsidRPr="004C553E" w:rsidRDefault="00040D5B" w:rsidP="00040D5B">
            <w:pPr>
              <w:pStyle w:val="Tabletextcentred"/>
              <w:rPr>
                <w:b/>
              </w:rPr>
            </w:pPr>
            <w:r w:rsidRPr="004C553E">
              <w:rPr>
                <w:b/>
              </w:rPr>
              <w:t>RR (95% CI)</w:t>
            </w:r>
          </w:p>
        </w:tc>
      </w:tr>
      <w:tr w:rsidR="00040D5B" w:rsidRPr="004C553E" w14:paraId="564E7180" w14:textId="77777777" w:rsidTr="00040D5B">
        <w:tc>
          <w:tcPr>
            <w:tcW w:w="1492" w:type="pct"/>
            <w:tcBorders>
              <w:top w:val="single" w:sz="4" w:space="0" w:color="auto"/>
              <w:left w:val="single" w:sz="4" w:space="0" w:color="auto"/>
              <w:bottom w:val="single" w:sz="4" w:space="0" w:color="auto"/>
              <w:right w:val="nil"/>
            </w:tcBorders>
          </w:tcPr>
          <w:p w14:paraId="3452B46A" w14:textId="77777777" w:rsidR="00040D5B" w:rsidRDefault="00040D5B" w:rsidP="00040D5B">
            <w:pPr>
              <w:pStyle w:val="Tabletextcentred"/>
              <w:jc w:val="left"/>
            </w:pPr>
            <w:r w:rsidRPr="004822CA">
              <w:rPr>
                <w:rFonts w:cs="Tahoma"/>
                <w:b/>
              </w:rPr>
              <w:t xml:space="preserve">Propensity score-adjusted </w:t>
            </w:r>
          </w:p>
        </w:tc>
        <w:tc>
          <w:tcPr>
            <w:tcW w:w="707" w:type="pct"/>
            <w:tcBorders>
              <w:top w:val="single" w:sz="4" w:space="0" w:color="auto"/>
              <w:left w:val="nil"/>
              <w:bottom w:val="single" w:sz="4" w:space="0" w:color="auto"/>
              <w:right w:val="nil"/>
            </w:tcBorders>
            <w:vAlign w:val="center"/>
          </w:tcPr>
          <w:p w14:paraId="63E01495" w14:textId="77777777" w:rsidR="00040D5B" w:rsidRDefault="00040D5B" w:rsidP="00040D5B">
            <w:pPr>
              <w:pStyle w:val="Tabletextcentred"/>
            </w:pPr>
          </w:p>
        </w:tc>
        <w:tc>
          <w:tcPr>
            <w:tcW w:w="786" w:type="pct"/>
            <w:tcBorders>
              <w:top w:val="single" w:sz="4" w:space="0" w:color="auto"/>
              <w:left w:val="nil"/>
              <w:bottom w:val="single" w:sz="4" w:space="0" w:color="auto"/>
              <w:right w:val="nil"/>
            </w:tcBorders>
            <w:vAlign w:val="center"/>
          </w:tcPr>
          <w:p w14:paraId="26827C4F" w14:textId="77777777" w:rsidR="00040D5B" w:rsidRDefault="00040D5B" w:rsidP="00040D5B">
            <w:pPr>
              <w:pStyle w:val="Tabletextcentred"/>
            </w:pPr>
          </w:p>
        </w:tc>
        <w:tc>
          <w:tcPr>
            <w:tcW w:w="1180" w:type="pct"/>
            <w:tcBorders>
              <w:top w:val="single" w:sz="4" w:space="0" w:color="auto"/>
              <w:left w:val="nil"/>
              <w:bottom w:val="single" w:sz="4" w:space="0" w:color="auto"/>
              <w:right w:val="nil"/>
            </w:tcBorders>
            <w:vAlign w:val="center"/>
          </w:tcPr>
          <w:p w14:paraId="76E7B6EA" w14:textId="77777777" w:rsidR="00040D5B" w:rsidRPr="004C553E" w:rsidRDefault="00040D5B" w:rsidP="00040D5B">
            <w:pPr>
              <w:pStyle w:val="Tabletextcentred"/>
              <w:rPr>
                <w:b/>
              </w:rPr>
            </w:pPr>
          </w:p>
        </w:tc>
        <w:tc>
          <w:tcPr>
            <w:tcW w:w="835" w:type="pct"/>
            <w:tcBorders>
              <w:top w:val="single" w:sz="4" w:space="0" w:color="auto"/>
              <w:left w:val="nil"/>
              <w:bottom w:val="single" w:sz="4" w:space="0" w:color="auto"/>
              <w:right w:val="single" w:sz="4" w:space="0" w:color="auto"/>
            </w:tcBorders>
            <w:vAlign w:val="center"/>
          </w:tcPr>
          <w:p w14:paraId="32613581" w14:textId="77777777" w:rsidR="00040D5B" w:rsidRDefault="00040D5B" w:rsidP="00040D5B">
            <w:pPr>
              <w:pStyle w:val="Tabletextcentred"/>
            </w:pPr>
          </w:p>
        </w:tc>
      </w:tr>
      <w:tr w:rsidR="00040D5B" w:rsidRPr="004C553E" w14:paraId="56B434AE" w14:textId="77777777" w:rsidTr="00040D5B">
        <w:tc>
          <w:tcPr>
            <w:tcW w:w="1492" w:type="pct"/>
            <w:tcBorders>
              <w:top w:val="single" w:sz="4" w:space="0" w:color="auto"/>
              <w:left w:val="single" w:sz="4" w:space="0" w:color="auto"/>
              <w:bottom w:val="single" w:sz="4" w:space="0" w:color="auto"/>
              <w:right w:val="single" w:sz="4" w:space="0" w:color="auto"/>
            </w:tcBorders>
          </w:tcPr>
          <w:p w14:paraId="1A651AF6" w14:textId="77777777" w:rsidR="00040D5B" w:rsidRPr="004C553E" w:rsidRDefault="00040D5B" w:rsidP="00040D5B">
            <w:pPr>
              <w:pStyle w:val="Tabletextcentred"/>
              <w:jc w:val="left"/>
              <w:rPr>
                <w:vertAlign w:val="superscript"/>
              </w:rPr>
            </w:pPr>
            <w:r>
              <w:t xml:space="preserve">Primary composite outcome </w:t>
            </w:r>
            <w:r>
              <w:rPr>
                <w:vertAlign w:val="superscript"/>
              </w:rPr>
              <w:t>a</w:t>
            </w:r>
          </w:p>
        </w:tc>
        <w:tc>
          <w:tcPr>
            <w:tcW w:w="707" w:type="pct"/>
            <w:tcBorders>
              <w:top w:val="single" w:sz="4" w:space="0" w:color="auto"/>
              <w:left w:val="single" w:sz="4" w:space="0" w:color="auto"/>
              <w:bottom w:val="single" w:sz="4" w:space="0" w:color="auto"/>
              <w:right w:val="single" w:sz="4" w:space="0" w:color="auto"/>
            </w:tcBorders>
            <w:vAlign w:val="center"/>
          </w:tcPr>
          <w:p w14:paraId="33C81294" w14:textId="77777777" w:rsidR="00040D5B" w:rsidRPr="004C553E" w:rsidRDefault="00040D5B" w:rsidP="00040D5B">
            <w:pPr>
              <w:pStyle w:val="Tabletextcentred"/>
            </w:pPr>
            <w:r>
              <w:t>-</w:t>
            </w:r>
          </w:p>
        </w:tc>
        <w:tc>
          <w:tcPr>
            <w:tcW w:w="786" w:type="pct"/>
            <w:tcBorders>
              <w:top w:val="single" w:sz="4" w:space="0" w:color="auto"/>
              <w:left w:val="single" w:sz="4" w:space="0" w:color="auto"/>
              <w:bottom w:val="single" w:sz="4" w:space="0" w:color="auto"/>
              <w:right w:val="single" w:sz="4" w:space="0" w:color="auto"/>
            </w:tcBorders>
            <w:vAlign w:val="center"/>
          </w:tcPr>
          <w:p w14:paraId="1D7D8EFC" w14:textId="77777777" w:rsidR="00040D5B" w:rsidRPr="004C553E" w:rsidRDefault="00040D5B" w:rsidP="00040D5B">
            <w:pPr>
              <w:pStyle w:val="Tabletextcentred"/>
            </w:pPr>
            <w:r>
              <w:t>-</w:t>
            </w:r>
          </w:p>
        </w:tc>
        <w:tc>
          <w:tcPr>
            <w:tcW w:w="1180" w:type="pct"/>
            <w:tcBorders>
              <w:top w:val="single" w:sz="4" w:space="0" w:color="auto"/>
              <w:left w:val="single" w:sz="4" w:space="0" w:color="auto"/>
              <w:bottom w:val="single" w:sz="4" w:space="0" w:color="auto"/>
              <w:right w:val="single" w:sz="4" w:space="0" w:color="auto"/>
            </w:tcBorders>
            <w:vAlign w:val="center"/>
          </w:tcPr>
          <w:p w14:paraId="74E31D81" w14:textId="77777777" w:rsidR="00040D5B" w:rsidRPr="004C553E" w:rsidRDefault="00040D5B" w:rsidP="00040D5B">
            <w:pPr>
              <w:pStyle w:val="Tabletextcentred"/>
              <w:rPr>
                <w:b/>
                <w:vertAlign w:val="superscript"/>
              </w:rPr>
            </w:pPr>
            <w:r w:rsidRPr="004C553E">
              <w:rPr>
                <w:b/>
              </w:rPr>
              <w:t>-9.2% (-13.0%</w:t>
            </w:r>
            <w:r>
              <w:rPr>
                <w:b/>
              </w:rPr>
              <w:t>;</w:t>
            </w:r>
            <w:r w:rsidRPr="004C553E">
              <w:rPr>
                <w:b/>
              </w:rPr>
              <w:t>-5.4%)</w:t>
            </w:r>
            <w:r>
              <w:rPr>
                <w:b/>
              </w:rPr>
              <w:t xml:space="preserve"> </w:t>
            </w:r>
            <w:r>
              <w:rPr>
                <w:b/>
                <w:vertAlign w:val="superscript"/>
              </w:rPr>
              <w:t xml:space="preserve">b </w:t>
            </w:r>
          </w:p>
        </w:tc>
        <w:tc>
          <w:tcPr>
            <w:tcW w:w="835" w:type="pct"/>
            <w:tcBorders>
              <w:top w:val="single" w:sz="4" w:space="0" w:color="auto"/>
              <w:left w:val="single" w:sz="4" w:space="0" w:color="auto"/>
              <w:bottom w:val="single" w:sz="4" w:space="0" w:color="auto"/>
              <w:right w:val="single" w:sz="4" w:space="0" w:color="auto"/>
            </w:tcBorders>
            <w:vAlign w:val="center"/>
          </w:tcPr>
          <w:p w14:paraId="47EFD466" w14:textId="77777777" w:rsidR="00040D5B" w:rsidRPr="004C553E" w:rsidRDefault="00040D5B" w:rsidP="00040D5B">
            <w:pPr>
              <w:pStyle w:val="Tabletextcentred"/>
            </w:pPr>
            <w:r>
              <w:t>-</w:t>
            </w:r>
          </w:p>
        </w:tc>
      </w:tr>
      <w:tr w:rsidR="00040D5B" w:rsidRPr="004C553E" w14:paraId="2AEAE0FA" w14:textId="77777777" w:rsidTr="00040D5B">
        <w:tc>
          <w:tcPr>
            <w:tcW w:w="1492" w:type="pct"/>
            <w:tcBorders>
              <w:top w:val="single" w:sz="4" w:space="0" w:color="auto"/>
              <w:left w:val="single" w:sz="4" w:space="0" w:color="auto"/>
              <w:bottom w:val="single" w:sz="4" w:space="0" w:color="auto"/>
              <w:right w:val="single" w:sz="4" w:space="0" w:color="auto"/>
            </w:tcBorders>
          </w:tcPr>
          <w:p w14:paraId="5A55D911" w14:textId="77777777" w:rsidR="00040D5B" w:rsidRDefault="00040D5B" w:rsidP="00040D5B">
            <w:pPr>
              <w:pStyle w:val="Tabletextcentred"/>
              <w:jc w:val="left"/>
            </w:pPr>
            <w:r>
              <w:t>Stroke (12 months)</w:t>
            </w:r>
          </w:p>
        </w:tc>
        <w:tc>
          <w:tcPr>
            <w:tcW w:w="707" w:type="pct"/>
            <w:tcBorders>
              <w:top w:val="single" w:sz="4" w:space="0" w:color="auto"/>
              <w:left w:val="single" w:sz="4" w:space="0" w:color="auto"/>
              <w:bottom w:val="single" w:sz="4" w:space="0" w:color="auto"/>
              <w:right w:val="single" w:sz="4" w:space="0" w:color="auto"/>
            </w:tcBorders>
            <w:vAlign w:val="center"/>
          </w:tcPr>
          <w:p w14:paraId="2A75438F" w14:textId="77777777" w:rsidR="00040D5B" w:rsidRDefault="00040D5B" w:rsidP="00040D5B">
            <w:pPr>
              <w:pStyle w:val="Tabletextcentred"/>
            </w:pPr>
            <w:r>
              <w:t>-</w:t>
            </w:r>
          </w:p>
        </w:tc>
        <w:tc>
          <w:tcPr>
            <w:tcW w:w="786" w:type="pct"/>
            <w:tcBorders>
              <w:top w:val="single" w:sz="4" w:space="0" w:color="auto"/>
              <w:left w:val="single" w:sz="4" w:space="0" w:color="auto"/>
              <w:bottom w:val="single" w:sz="4" w:space="0" w:color="auto"/>
              <w:right w:val="single" w:sz="4" w:space="0" w:color="auto"/>
            </w:tcBorders>
            <w:vAlign w:val="center"/>
          </w:tcPr>
          <w:p w14:paraId="6FAD8B61" w14:textId="77777777" w:rsidR="00040D5B" w:rsidRDefault="00040D5B" w:rsidP="00040D5B">
            <w:pPr>
              <w:pStyle w:val="Tabletextcentred"/>
            </w:pPr>
            <w:r>
              <w:t>-</w:t>
            </w:r>
          </w:p>
        </w:tc>
        <w:tc>
          <w:tcPr>
            <w:tcW w:w="1180" w:type="pct"/>
            <w:tcBorders>
              <w:top w:val="single" w:sz="4" w:space="0" w:color="auto"/>
              <w:left w:val="single" w:sz="4" w:space="0" w:color="auto"/>
              <w:bottom w:val="single" w:sz="4" w:space="0" w:color="auto"/>
              <w:right w:val="single" w:sz="4" w:space="0" w:color="auto"/>
            </w:tcBorders>
            <w:vAlign w:val="center"/>
          </w:tcPr>
          <w:p w14:paraId="6FC8FE8C" w14:textId="77777777" w:rsidR="00040D5B" w:rsidRPr="004C553E" w:rsidRDefault="00040D5B" w:rsidP="00040D5B">
            <w:pPr>
              <w:pStyle w:val="Tabletextcentred"/>
              <w:rPr>
                <w:b/>
              </w:rPr>
            </w:pPr>
            <w:r w:rsidRPr="00277A4D">
              <w:rPr>
                <w:b/>
              </w:rPr>
              <w:t>-</w:t>
            </w:r>
            <w:r>
              <w:rPr>
                <w:b/>
              </w:rPr>
              <w:t>3.5</w:t>
            </w:r>
            <w:r w:rsidRPr="00277A4D">
              <w:rPr>
                <w:b/>
              </w:rPr>
              <w:t>%, (</w:t>
            </w:r>
            <w:r>
              <w:rPr>
                <w:b/>
              </w:rPr>
              <w:t>-5.9%; -1.1%)</w:t>
            </w:r>
            <w:r>
              <w:rPr>
                <w:b/>
                <w:vertAlign w:val="superscript"/>
              </w:rPr>
              <w:t xml:space="preserve"> b</w:t>
            </w:r>
          </w:p>
        </w:tc>
        <w:tc>
          <w:tcPr>
            <w:tcW w:w="835" w:type="pct"/>
            <w:tcBorders>
              <w:top w:val="single" w:sz="4" w:space="0" w:color="auto"/>
              <w:left w:val="single" w:sz="4" w:space="0" w:color="auto"/>
              <w:bottom w:val="single" w:sz="4" w:space="0" w:color="auto"/>
              <w:right w:val="single" w:sz="4" w:space="0" w:color="auto"/>
            </w:tcBorders>
            <w:vAlign w:val="center"/>
          </w:tcPr>
          <w:p w14:paraId="0CDA39DF" w14:textId="77777777" w:rsidR="00040D5B" w:rsidRDefault="00040D5B" w:rsidP="00040D5B">
            <w:pPr>
              <w:pStyle w:val="Tabletextcentred"/>
            </w:pPr>
            <w:r>
              <w:t>-</w:t>
            </w:r>
          </w:p>
        </w:tc>
      </w:tr>
      <w:tr w:rsidR="00040D5B" w:rsidRPr="004C553E" w14:paraId="2F1F5B42" w14:textId="77777777" w:rsidTr="00040D5B">
        <w:tc>
          <w:tcPr>
            <w:tcW w:w="1492" w:type="pct"/>
            <w:tcBorders>
              <w:top w:val="single" w:sz="4" w:space="0" w:color="auto"/>
              <w:left w:val="single" w:sz="4" w:space="0" w:color="auto"/>
              <w:bottom w:val="single" w:sz="4" w:space="0" w:color="auto"/>
              <w:right w:val="single" w:sz="4" w:space="0" w:color="auto"/>
            </w:tcBorders>
          </w:tcPr>
          <w:p w14:paraId="0FC59CCE" w14:textId="77777777" w:rsidR="00040D5B" w:rsidRDefault="00040D5B" w:rsidP="00040D5B">
            <w:pPr>
              <w:pStyle w:val="Tabletextcentred"/>
              <w:jc w:val="left"/>
            </w:pPr>
            <w:r>
              <w:t>M</w:t>
            </w:r>
            <w:r w:rsidRPr="00045E8A">
              <w:t>oderate or severe aortic regurgitation</w:t>
            </w:r>
          </w:p>
        </w:tc>
        <w:tc>
          <w:tcPr>
            <w:tcW w:w="707" w:type="pct"/>
            <w:tcBorders>
              <w:top w:val="single" w:sz="4" w:space="0" w:color="auto"/>
              <w:left w:val="single" w:sz="4" w:space="0" w:color="auto"/>
              <w:bottom w:val="single" w:sz="4" w:space="0" w:color="auto"/>
              <w:right w:val="single" w:sz="4" w:space="0" w:color="auto"/>
            </w:tcBorders>
            <w:vAlign w:val="center"/>
          </w:tcPr>
          <w:p w14:paraId="2B1D5757" w14:textId="77777777" w:rsidR="00040D5B" w:rsidRDefault="00040D5B" w:rsidP="00040D5B">
            <w:pPr>
              <w:pStyle w:val="Tabletextcentred"/>
            </w:pPr>
            <w:r>
              <w:t>-</w:t>
            </w:r>
          </w:p>
        </w:tc>
        <w:tc>
          <w:tcPr>
            <w:tcW w:w="786" w:type="pct"/>
            <w:tcBorders>
              <w:top w:val="single" w:sz="4" w:space="0" w:color="auto"/>
              <w:left w:val="single" w:sz="4" w:space="0" w:color="auto"/>
              <w:bottom w:val="single" w:sz="4" w:space="0" w:color="auto"/>
              <w:right w:val="single" w:sz="4" w:space="0" w:color="auto"/>
            </w:tcBorders>
            <w:vAlign w:val="center"/>
          </w:tcPr>
          <w:p w14:paraId="1FAC698B" w14:textId="77777777" w:rsidR="00040D5B" w:rsidRDefault="00040D5B" w:rsidP="00040D5B">
            <w:pPr>
              <w:pStyle w:val="Tabletextcentred"/>
            </w:pPr>
            <w:r>
              <w:t>-</w:t>
            </w:r>
          </w:p>
        </w:tc>
        <w:tc>
          <w:tcPr>
            <w:tcW w:w="1180" w:type="pct"/>
            <w:tcBorders>
              <w:top w:val="single" w:sz="4" w:space="0" w:color="auto"/>
              <w:left w:val="single" w:sz="4" w:space="0" w:color="auto"/>
              <w:bottom w:val="single" w:sz="4" w:space="0" w:color="auto"/>
              <w:right w:val="single" w:sz="4" w:space="0" w:color="auto"/>
            </w:tcBorders>
            <w:vAlign w:val="center"/>
          </w:tcPr>
          <w:p w14:paraId="3459B12B" w14:textId="77777777" w:rsidR="00040D5B" w:rsidRPr="00277A4D" w:rsidRDefault="00040D5B" w:rsidP="00040D5B">
            <w:pPr>
              <w:pStyle w:val="Tabletextcentred"/>
              <w:rPr>
                <w:b/>
              </w:rPr>
            </w:pPr>
            <w:r>
              <w:rPr>
                <w:b/>
              </w:rPr>
              <w:t>1.2% (0.2;</w:t>
            </w:r>
            <w:r w:rsidRPr="00045E8A">
              <w:rPr>
                <w:b/>
              </w:rPr>
              <w:t xml:space="preserve"> 2.2</w:t>
            </w:r>
            <w:r>
              <w:rPr>
                <w:b/>
              </w:rPr>
              <w:t>)</w:t>
            </w:r>
            <w:r>
              <w:rPr>
                <w:b/>
                <w:vertAlign w:val="superscript"/>
              </w:rPr>
              <w:t xml:space="preserve"> b</w:t>
            </w:r>
          </w:p>
        </w:tc>
        <w:tc>
          <w:tcPr>
            <w:tcW w:w="835" w:type="pct"/>
            <w:tcBorders>
              <w:top w:val="single" w:sz="4" w:space="0" w:color="auto"/>
              <w:left w:val="single" w:sz="4" w:space="0" w:color="auto"/>
              <w:bottom w:val="single" w:sz="4" w:space="0" w:color="auto"/>
              <w:right w:val="single" w:sz="4" w:space="0" w:color="auto"/>
            </w:tcBorders>
            <w:vAlign w:val="center"/>
          </w:tcPr>
          <w:p w14:paraId="6FEE96E2" w14:textId="77777777" w:rsidR="00040D5B" w:rsidRDefault="00040D5B" w:rsidP="00040D5B">
            <w:pPr>
              <w:pStyle w:val="Tabletextcentred"/>
            </w:pPr>
            <w:r>
              <w:t>-</w:t>
            </w:r>
          </w:p>
        </w:tc>
      </w:tr>
      <w:tr w:rsidR="00040D5B" w:rsidRPr="004C553E" w14:paraId="6AAC2C9B" w14:textId="77777777" w:rsidTr="00040D5B">
        <w:tc>
          <w:tcPr>
            <w:tcW w:w="1492" w:type="pct"/>
            <w:tcBorders>
              <w:top w:val="single" w:sz="4" w:space="0" w:color="auto"/>
              <w:left w:val="single" w:sz="4" w:space="0" w:color="auto"/>
              <w:bottom w:val="single" w:sz="4" w:space="0" w:color="auto"/>
              <w:right w:val="nil"/>
            </w:tcBorders>
          </w:tcPr>
          <w:p w14:paraId="60FCAFE4" w14:textId="77777777" w:rsidR="00040D5B" w:rsidRPr="00C542D3" w:rsidRDefault="00040D5B" w:rsidP="00040D5B">
            <w:pPr>
              <w:pStyle w:val="Tabletextcentred"/>
              <w:jc w:val="left"/>
              <w:rPr>
                <w:b/>
              </w:rPr>
            </w:pPr>
            <w:r w:rsidRPr="00C542D3">
              <w:rPr>
                <w:b/>
              </w:rPr>
              <w:t>Unadjusted (naïve comparison)</w:t>
            </w:r>
          </w:p>
        </w:tc>
        <w:tc>
          <w:tcPr>
            <w:tcW w:w="707" w:type="pct"/>
            <w:tcBorders>
              <w:top w:val="single" w:sz="4" w:space="0" w:color="auto"/>
              <w:left w:val="nil"/>
              <w:bottom w:val="single" w:sz="4" w:space="0" w:color="auto"/>
              <w:right w:val="nil"/>
            </w:tcBorders>
            <w:vAlign w:val="center"/>
          </w:tcPr>
          <w:p w14:paraId="58F4B184" w14:textId="77777777" w:rsidR="00040D5B" w:rsidRPr="004C553E" w:rsidRDefault="00040D5B" w:rsidP="00040D5B">
            <w:pPr>
              <w:pStyle w:val="Tabletextcentred"/>
            </w:pPr>
          </w:p>
        </w:tc>
        <w:tc>
          <w:tcPr>
            <w:tcW w:w="786" w:type="pct"/>
            <w:tcBorders>
              <w:top w:val="single" w:sz="4" w:space="0" w:color="auto"/>
              <w:left w:val="nil"/>
              <w:bottom w:val="single" w:sz="4" w:space="0" w:color="auto"/>
              <w:right w:val="nil"/>
            </w:tcBorders>
            <w:vAlign w:val="center"/>
          </w:tcPr>
          <w:p w14:paraId="3E4B002D" w14:textId="77777777" w:rsidR="00040D5B" w:rsidRPr="004C553E" w:rsidRDefault="00040D5B" w:rsidP="00040D5B">
            <w:pPr>
              <w:pStyle w:val="Tabletextcentred"/>
            </w:pPr>
          </w:p>
        </w:tc>
        <w:tc>
          <w:tcPr>
            <w:tcW w:w="1180" w:type="pct"/>
            <w:tcBorders>
              <w:top w:val="single" w:sz="4" w:space="0" w:color="auto"/>
              <w:left w:val="nil"/>
              <w:bottom w:val="single" w:sz="4" w:space="0" w:color="auto"/>
              <w:right w:val="nil"/>
            </w:tcBorders>
            <w:vAlign w:val="center"/>
          </w:tcPr>
          <w:p w14:paraId="5E52956A" w14:textId="77777777" w:rsidR="00040D5B" w:rsidRPr="004C553E" w:rsidRDefault="00040D5B" w:rsidP="00040D5B">
            <w:pPr>
              <w:pStyle w:val="Tabletextcentred"/>
              <w:rPr>
                <w:b/>
              </w:rPr>
            </w:pPr>
          </w:p>
        </w:tc>
        <w:tc>
          <w:tcPr>
            <w:tcW w:w="835" w:type="pct"/>
            <w:tcBorders>
              <w:top w:val="single" w:sz="4" w:space="0" w:color="auto"/>
              <w:left w:val="nil"/>
              <w:bottom w:val="single" w:sz="4" w:space="0" w:color="auto"/>
              <w:right w:val="single" w:sz="4" w:space="0" w:color="auto"/>
            </w:tcBorders>
            <w:vAlign w:val="center"/>
          </w:tcPr>
          <w:p w14:paraId="213ADFE6" w14:textId="77777777" w:rsidR="00040D5B" w:rsidRPr="004C553E" w:rsidRDefault="00040D5B" w:rsidP="00040D5B">
            <w:pPr>
              <w:pStyle w:val="Tabletextcentred"/>
              <w:rPr>
                <w:b/>
              </w:rPr>
            </w:pPr>
          </w:p>
        </w:tc>
      </w:tr>
      <w:tr w:rsidR="00040D5B" w:rsidRPr="004C553E" w14:paraId="23A7CF97" w14:textId="77777777" w:rsidTr="00040D5B">
        <w:tc>
          <w:tcPr>
            <w:tcW w:w="1492" w:type="pct"/>
            <w:tcBorders>
              <w:top w:val="single" w:sz="4" w:space="0" w:color="auto"/>
              <w:left w:val="single" w:sz="4" w:space="0" w:color="auto"/>
              <w:bottom w:val="single" w:sz="4" w:space="0" w:color="auto"/>
              <w:right w:val="nil"/>
            </w:tcBorders>
          </w:tcPr>
          <w:p w14:paraId="6A381D08" w14:textId="77777777" w:rsidR="00040D5B" w:rsidRDefault="00040D5B" w:rsidP="00040D5B">
            <w:pPr>
              <w:pStyle w:val="Tabletextcentred"/>
              <w:jc w:val="left"/>
            </w:pPr>
            <w:r>
              <w:t>All-cause mortality</w:t>
            </w:r>
          </w:p>
        </w:tc>
        <w:tc>
          <w:tcPr>
            <w:tcW w:w="707" w:type="pct"/>
            <w:tcBorders>
              <w:top w:val="single" w:sz="4" w:space="0" w:color="auto"/>
              <w:left w:val="nil"/>
              <w:bottom w:val="single" w:sz="4" w:space="0" w:color="auto"/>
              <w:right w:val="nil"/>
            </w:tcBorders>
            <w:vAlign w:val="center"/>
          </w:tcPr>
          <w:p w14:paraId="05BEBD3D" w14:textId="77777777" w:rsidR="00040D5B" w:rsidRPr="004C553E" w:rsidRDefault="00040D5B" w:rsidP="00040D5B">
            <w:pPr>
              <w:pStyle w:val="Tabletextcentred"/>
            </w:pPr>
          </w:p>
        </w:tc>
        <w:tc>
          <w:tcPr>
            <w:tcW w:w="786" w:type="pct"/>
            <w:tcBorders>
              <w:top w:val="single" w:sz="4" w:space="0" w:color="auto"/>
              <w:left w:val="nil"/>
              <w:bottom w:val="single" w:sz="4" w:space="0" w:color="auto"/>
              <w:right w:val="nil"/>
            </w:tcBorders>
            <w:vAlign w:val="center"/>
          </w:tcPr>
          <w:p w14:paraId="016E6DE8" w14:textId="77777777" w:rsidR="00040D5B" w:rsidRPr="004C553E" w:rsidRDefault="00040D5B" w:rsidP="00040D5B">
            <w:pPr>
              <w:pStyle w:val="Tabletextcentred"/>
            </w:pPr>
          </w:p>
        </w:tc>
        <w:tc>
          <w:tcPr>
            <w:tcW w:w="1180" w:type="pct"/>
            <w:tcBorders>
              <w:top w:val="single" w:sz="4" w:space="0" w:color="auto"/>
              <w:left w:val="nil"/>
              <w:bottom w:val="single" w:sz="4" w:space="0" w:color="auto"/>
              <w:right w:val="nil"/>
            </w:tcBorders>
            <w:vAlign w:val="center"/>
          </w:tcPr>
          <w:p w14:paraId="047B1F39" w14:textId="77777777" w:rsidR="00040D5B" w:rsidRPr="004C553E" w:rsidRDefault="00040D5B" w:rsidP="00040D5B">
            <w:pPr>
              <w:pStyle w:val="Tabletextcentred"/>
              <w:rPr>
                <w:b/>
              </w:rPr>
            </w:pPr>
          </w:p>
        </w:tc>
        <w:tc>
          <w:tcPr>
            <w:tcW w:w="835" w:type="pct"/>
            <w:tcBorders>
              <w:top w:val="single" w:sz="4" w:space="0" w:color="auto"/>
              <w:left w:val="nil"/>
              <w:bottom w:val="single" w:sz="4" w:space="0" w:color="auto"/>
              <w:right w:val="single" w:sz="4" w:space="0" w:color="auto"/>
            </w:tcBorders>
            <w:vAlign w:val="center"/>
          </w:tcPr>
          <w:p w14:paraId="02697B32" w14:textId="77777777" w:rsidR="00040D5B" w:rsidRPr="004C553E" w:rsidRDefault="00040D5B" w:rsidP="00040D5B">
            <w:pPr>
              <w:pStyle w:val="Tabletextcentred"/>
              <w:rPr>
                <w:b/>
              </w:rPr>
            </w:pPr>
          </w:p>
        </w:tc>
      </w:tr>
      <w:tr w:rsidR="00040D5B" w:rsidRPr="004C553E" w14:paraId="0DA13C99" w14:textId="77777777" w:rsidTr="00040D5B">
        <w:tc>
          <w:tcPr>
            <w:tcW w:w="1492" w:type="pct"/>
            <w:tcBorders>
              <w:top w:val="single" w:sz="4" w:space="0" w:color="auto"/>
              <w:left w:val="single" w:sz="4" w:space="0" w:color="auto"/>
              <w:bottom w:val="single" w:sz="4" w:space="0" w:color="auto"/>
              <w:right w:val="single" w:sz="4" w:space="0" w:color="auto"/>
            </w:tcBorders>
          </w:tcPr>
          <w:p w14:paraId="77D3A4AE" w14:textId="77777777" w:rsidR="00040D5B" w:rsidRPr="004C553E" w:rsidRDefault="00040D5B" w:rsidP="00040D5B">
            <w:pPr>
              <w:pStyle w:val="Tabletextcentred"/>
              <w:ind w:left="284"/>
              <w:jc w:val="left"/>
            </w:pPr>
            <w:r>
              <w:t>30-days postop</w:t>
            </w:r>
          </w:p>
        </w:tc>
        <w:tc>
          <w:tcPr>
            <w:tcW w:w="707" w:type="pct"/>
            <w:tcBorders>
              <w:top w:val="single" w:sz="4" w:space="0" w:color="auto"/>
              <w:left w:val="single" w:sz="4" w:space="0" w:color="auto"/>
              <w:bottom w:val="single" w:sz="4" w:space="0" w:color="auto"/>
              <w:right w:val="single" w:sz="4" w:space="0" w:color="auto"/>
            </w:tcBorders>
            <w:vAlign w:val="center"/>
          </w:tcPr>
          <w:p w14:paraId="0D6197E8" w14:textId="77777777" w:rsidR="00040D5B" w:rsidRPr="004C553E" w:rsidRDefault="00040D5B" w:rsidP="00040D5B">
            <w:pPr>
              <w:pStyle w:val="Tabletextcentred"/>
            </w:pPr>
            <w:r w:rsidRPr="004C553E">
              <w:t>12/1063 (1%)</w:t>
            </w:r>
          </w:p>
        </w:tc>
        <w:tc>
          <w:tcPr>
            <w:tcW w:w="786" w:type="pct"/>
            <w:tcBorders>
              <w:top w:val="single" w:sz="4" w:space="0" w:color="auto"/>
              <w:left w:val="single" w:sz="4" w:space="0" w:color="auto"/>
              <w:bottom w:val="single" w:sz="4" w:space="0" w:color="auto"/>
              <w:right w:val="single" w:sz="4" w:space="0" w:color="auto"/>
            </w:tcBorders>
            <w:vAlign w:val="center"/>
          </w:tcPr>
          <w:p w14:paraId="740D59F2" w14:textId="77777777" w:rsidR="00040D5B" w:rsidRPr="004C553E" w:rsidRDefault="00040D5B" w:rsidP="00040D5B">
            <w:pPr>
              <w:pStyle w:val="Tabletextcentred"/>
            </w:pPr>
            <w:r w:rsidRPr="004C553E">
              <w:t>38/902 (4%)</w:t>
            </w:r>
          </w:p>
        </w:tc>
        <w:tc>
          <w:tcPr>
            <w:tcW w:w="1180" w:type="pct"/>
            <w:tcBorders>
              <w:top w:val="single" w:sz="4" w:space="0" w:color="auto"/>
              <w:left w:val="single" w:sz="4" w:space="0" w:color="auto"/>
              <w:bottom w:val="single" w:sz="4" w:space="0" w:color="auto"/>
              <w:right w:val="single" w:sz="4" w:space="0" w:color="auto"/>
            </w:tcBorders>
            <w:vAlign w:val="center"/>
          </w:tcPr>
          <w:p w14:paraId="3F40A1BC" w14:textId="77777777" w:rsidR="00040D5B" w:rsidRPr="004C553E" w:rsidRDefault="00040D5B" w:rsidP="00040D5B">
            <w:pPr>
              <w:pStyle w:val="Tabletextcentred"/>
              <w:rPr>
                <w:b/>
              </w:rPr>
            </w:pPr>
            <w:r w:rsidRPr="004C553E">
              <w:rPr>
                <w:b/>
              </w:rPr>
              <w:t>-3.1% (-4.5%; -1.6%)</w:t>
            </w:r>
          </w:p>
        </w:tc>
        <w:tc>
          <w:tcPr>
            <w:tcW w:w="835" w:type="pct"/>
            <w:tcBorders>
              <w:top w:val="single" w:sz="4" w:space="0" w:color="auto"/>
              <w:left w:val="single" w:sz="4" w:space="0" w:color="auto"/>
              <w:bottom w:val="single" w:sz="4" w:space="0" w:color="auto"/>
              <w:right w:val="single" w:sz="4" w:space="0" w:color="auto"/>
            </w:tcBorders>
            <w:vAlign w:val="center"/>
          </w:tcPr>
          <w:p w14:paraId="2D8976D9" w14:textId="77777777" w:rsidR="00040D5B" w:rsidRPr="004C553E" w:rsidRDefault="00040D5B" w:rsidP="00040D5B">
            <w:pPr>
              <w:pStyle w:val="Tabletextcentred"/>
              <w:rPr>
                <w:b/>
              </w:rPr>
            </w:pPr>
            <w:r w:rsidRPr="004C553E">
              <w:rPr>
                <w:b/>
              </w:rPr>
              <w:t>0.27 (0.14; 0.51)</w:t>
            </w:r>
          </w:p>
        </w:tc>
      </w:tr>
      <w:tr w:rsidR="00040D5B" w:rsidRPr="004C553E" w14:paraId="1C24F4E4" w14:textId="77777777" w:rsidTr="00040D5B">
        <w:tc>
          <w:tcPr>
            <w:tcW w:w="1492" w:type="pct"/>
            <w:tcBorders>
              <w:top w:val="single" w:sz="4" w:space="0" w:color="auto"/>
              <w:left w:val="single" w:sz="4" w:space="0" w:color="auto"/>
              <w:bottom w:val="single" w:sz="4" w:space="0" w:color="auto"/>
              <w:right w:val="single" w:sz="4" w:space="0" w:color="auto"/>
            </w:tcBorders>
          </w:tcPr>
          <w:p w14:paraId="7D9E8448" w14:textId="77777777" w:rsidR="00040D5B" w:rsidRPr="004C553E" w:rsidRDefault="00040D5B" w:rsidP="00040D5B">
            <w:pPr>
              <w:pStyle w:val="Tabletextcentred"/>
              <w:ind w:left="284"/>
              <w:jc w:val="left"/>
            </w:pPr>
            <w:r>
              <w:t>12 months follow up</w:t>
            </w:r>
          </w:p>
        </w:tc>
        <w:tc>
          <w:tcPr>
            <w:tcW w:w="707" w:type="pct"/>
            <w:tcBorders>
              <w:top w:val="single" w:sz="4" w:space="0" w:color="auto"/>
              <w:left w:val="single" w:sz="4" w:space="0" w:color="auto"/>
              <w:bottom w:val="single" w:sz="4" w:space="0" w:color="auto"/>
              <w:right w:val="single" w:sz="4" w:space="0" w:color="auto"/>
            </w:tcBorders>
            <w:vAlign w:val="center"/>
          </w:tcPr>
          <w:p w14:paraId="4545C208" w14:textId="77777777" w:rsidR="00040D5B" w:rsidRPr="004C553E" w:rsidRDefault="00040D5B" w:rsidP="00040D5B">
            <w:pPr>
              <w:pStyle w:val="Tabletextcentred"/>
            </w:pPr>
            <w:r w:rsidRPr="009C59DF">
              <w:t>79/963 (8%)</w:t>
            </w:r>
          </w:p>
        </w:tc>
        <w:tc>
          <w:tcPr>
            <w:tcW w:w="786" w:type="pct"/>
            <w:tcBorders>
              <w:top w:val="single" w:sz="4" w:space="0" w:color="auto"/>
              <w:left w:val="single" w:sz="4" w:space="0" w:color="auto"/>
              <w:bottom w:val="single" w:sz="4" w:space="0" w:color="auto"/>
              <w:right w:val="single" w:sz="4" w:space="0" w:color="auto"/>
            </w:tcBorders>
            <w:vAlign w:val="center"/>
          </w:tcPr>
          <w:p w14:paraId="20317AC2" w14:textId="77777777" w:rsidR="00040D5B" w:rsidRPr="004C553E" w:rsidRDefault="00040D5B" w:rsidP="00040D5B">
            <w:pPr>
              <w:pStyle w:val="Tabletextcentred"/>
            </w:pPr>
            <w:r w:rsidRPr="009C59DF">
              <w:t>121/795 (15%)</w:t>
            </w:r>
          </w:p>
        </w:tc>
        <w:tc>
          <w:tcPr>
            <w:tcW w:w="1180" w:type="pct"/>
            <w:tcBorders>
              <w:top w:val="single" w:sz="4" w:space="0" w:color="auto"/>
              <w:left w:val="single" w:sz="4" w:space="0" w:color="auto"/>
              <w:bottom w:val="single" w:sz="4" w:space="0" w:color="auto"/>
              <w:right w:val="single" w:sz="4" w:space="0" w:color="auto"/>
            </w:tcBorders>
            <w:vAlign w:val="center"/>
          </w:tcPr>
          <w:p w14:paraId="253F33C1" w14:textId="77777777" w:rsidR="00040D5B" w:rsidRPr="004C553E" w:rsidRDefault="00040D5B" w:rsidP="00040D5B">
            <w:pPr>
              <w:pStyle w:val="Tabletextcentred"/>
              <w:rPr>
                <w:b/>
              </w:rPr>
            </w:pPr>
            <w:r w:rsidRPr="004C553E">
              <w:rPr>
                <w:b/>
              </w:rPr>
              <w:t>-7.0% (-10.1%; -4.0%)</w:t>
            </w:r>
          </w:p>
        </w:tc>
        <w:tc>
          <w:tcPr>
            <w:tcW w:w="835" w:type="pct"/>
            <w:tcBorders>
              <w:top w:val="single" w:sz="4" w:space="0" w:color="auto"/>
              <w:left w:val="single" w:sz="4" w:space="0" w:color="auto"/>
              <w:bottom w:val="single" w:sz="4" w:space="0" w:color="auto"/>
              <w:right w:val="single" w:sz="4" w:space="0" w:color="auto"/>
            </w:tcBorders>
            <w:vAlign w:val="center"/>
          </w:tcPr>
          <w:p w14:paraId="04B12D56" w14:textId="77777777" w:rsidR="00040D5B" w:rsidRPr="004C553E" w:rsidRDefault="00040D5B" w:rsidP="00040D5B">
            <w:pPr>
              <w:pStyle w:val="Tabletextcentred"/>
              <w:rPr>
                <w:b/>
              </w:rPr>
            </w:pPr>
            <w:r w:rsidRPr="004C553E">
              <w:rPr>
                <w:b/>
              </w:rPr>
              <w:t>0.54 (0.41; 0.70)</w:t>
            </w:r>
          </w:p>
        </w:tc>
      </w:tr>
      <w:tr w:rsidR="00040D5B" w:rsidRPr="004C553E" w14:paraId="4563BBDF" w14:textId="77777777" w:rsidTr="00040D5B">
        <w:tc>
          <w:tcPr>
            <w:tcW w:w="1492" w:type="pct"/>
            <w:tcBorders>
              <w:top w:val="single" w:sz="4" w:space="0" w:color="auto"/>
              <w:left w:val="single" w:sz="4" w:space="0" w:color="auto"/>
              <w:bottom w:val="single" w:sz="4" w:space="0" w:color="auto"/>
              <w:right w:val="nil"/>
            </w:tcBorders>
          </w:tcPr>
          <w:p w14:paraId="50D38E97" w14:textId="77777777" w:rsidR="00040D5B" w:rsidRPr="004C553E" w:rsidRDefault="00040D5B" w:rsidP="00040D5B">
            <w:pPr>
              <w:pStyle w:val="Tabletextcentred"/>
              <w:jc w:val="left"/>
              <w:rPr>
                <w:b/>
              </w:rPr>
            </w:pPr>
            <w:r w:rsidRPr="004C553E">
              <w:rPr>
                <w:b/>
              </w:rPr>
              <w:t>30-day stroke outcomes</w:t>
            </w:r>
          </w:p>
        </w:tc>
        <w:tc>
          <w:tcPr>
            <w:tcW w:w="707" w:type="pct"/>
            <w:tcBorders>
              <w:top w:val="single" w:sz="4" w:space="0" w:color="auto"/>
              <w:left w:val="nil"/>
              <w:bottom w:val="single" w:sz="4" w:space="0" w:color="auto"/>
              <w:right w:val="nil"/>
            </w:tcBorders>
            <w:vAlign w:val="center"/>
          </w:tcPr>
          <w:p w14:paraId="5F1226CC" w14:textId="77777777" w:rsidR="00040D5B" w:rsidRPr="004C553E" w:rsidRDefault="00040D5B" w:rsidP="00040D5B">
            <w:pPr>
              <w:pStyle w:val="Tabletextcentred"/>
            </w:pPr>
          </w:p>
        </w:tc>
        <w:tc>
          <w:tcPr>
            <w:tcW w:w="786" w:type="pct"/>
            <w:tcBorders>
              <w:top w:val="single" w:sz="4" w:space="0" w:color="auto"/>
              <w:left w:val="nil"/>
              <w:bottom w:val="single" w:sz="4" w:space="0" w:color="auto"/>
              <w:right w:val="nil"/>
            </w:tcBorders>
            <w:vAlign w:val="center"/>
          </w:tcPr>
          <w:p w14:paraId="5667482F" w14:textId="77777777" w:rsidR="00040D5B" w:rsidRPr="004C553E" w:rsidRDefault="00040D5B" w:rsidP="00040D5B">
            <w:pPr>
              <w:pStyle w:val="Tabletextcentred"/>
            </w:pPr>
          </w:p>
        </w:tc>
        <w:tc>
          <w:tcPr>
            <w:tcW w:w="1180" w:type="pct"/>
            <w:tcBorders>
              <w:top w:val="single" w:sz="4" w:space="0" w:color="auto"/>
              <w:left w:val="nil"/>
              <w:bottom w:val="single" w:sz="4" w:space="0" w:color="auto"/>
              <w:right w:val="nil"/>
            </w:tcBorders>
            <w:vAlign w:val="center"/>
          </w:tcPr>
          <w:p w14:paraId="53491860" w14:textId="77777777" w:rsidR="00040D5B" w:rsidRPr="004C553E" w:rsidRDefault="00040D5B" w:rsidP="00040D5B">
            <w:pPr>
              <w:pStyle w:val="Tabletextcentred"/>
            </w:pPr>
          </w:p>
        </w:tc>
        <w:tc>
          <w:tcPr>
            <w:tcW w:w="835" w:type="pct"/>
            <w:tcBorders>
              <w:top w:val="single" w:sz="4" w:space="0" w:color="auto"/>
              <w:left w:val="nil"/>
              <w:bottom w:val="single" w:sz="4" w:space="0" w:color="auto"/>
              <w:right w:val="single" w:sz="4" w:space="0" w:color="auto"/>
            </w:tcBorders>
            <w:vAlign w:val="center"/>
          </w:tcPr>
          <w:p w14:paraId="36390AE5" w14:textId="77777777" w:rsidR="00040D5B" w:rsidRPr="004C553E" w:rsidRDefault="00040D5B" w:rsidP="00040D5B">
            <w:pPr>
              <w:pStyle w:val="Tabletextcentred"/>
            </w:pPr>
          </w:p>
        </w:tc>
      </w:tr>
      <w:tr w:rsidR="00040D5B" w:rsidRPr="004C553E" w14:paraId="4307148C" w14:textId="77777777" w:rsidTr="00040D5B">
        <w:tc>
          <w:tcPr>
            <w:tcW w:w="1492" w:type="pct"/>
            <w:tcBorders>
              <w:top w:val="single" w:sz="4" w:space="0" w:color="auto"/>
              <w:bottom w:val="single" w:sz="4" w:space="0" w:color="auto"/>
              <w:right w:val="single" w:sz="4" w:space="0" w:color="auto"/>
            </w:tcBorders>
            <w:vAlign w:val="center"/>
          </w:tcPr>
          <w:p w14:paraId="1E2B3B32" w14:textId="77777777" w:rsidR="00040D5B" w:rsidRPr="004C553E" w:rsidRDefault="00040D5B" w:rsidP="00040D5B">
            <w:pPr>
              <w:pStyle w:val="Tabletextcentred"/>
              <w:jc w:val="left"/>
            </w:pPr>
            <w:r w:rsidRPr="00A107DD">
              <w:t>Any stroke</w:t>
            </w:r>
          </w:p>
        </w:tc>
        <w:tc>
          <w:tcPr>
            <w:tcW w:w="707" w:type="pct"/>
            <w:tcBorders>
              <w:top w:val="single" w:sz="4" w:space="0" w:color="auto"/>
              <w:left w:val="single" w:sz="4" w:space="0" w:color="auto"/>
              <w:bottom w:val="single" w:sz="4" w:space="0" w:color="auto"/>
              <w:right w:val="single" w:sz="4" w:space="0" w:color="auto"/>
            </w:tcBorders>
            <w:vAlign w:val="center"/>
          </w:tcPr>
          <w:p w14:paraId="7B8AB731" w14:textId="77777777" w:rsidR="00040D5B" w:rsidRPr="004C553E" w:rsidRDefault="00040D5B" w:rsidP="00040D5B">
            <w:pPr>
              <w:pStyle w:val="Tabletextcentred"/>
            </w:pPr>
            <w:r w:rsidRPr="00A107DD">
              <w:t>29/1035 (3%)</w:t>
            </w:r>
          </w:p>
        </w:tc>
        <w:tc>
          <w:tcPr>
            <w:tcW w:w="786" w:type="pct"/>
            <w:tcBorders>
              <w:top w:val="single" w:sz="4" w:space="0" w:color="auto"/>
              <w:left w:val="single" w:sz="4" w:space="0" w:color="auto"/>
              <w:bottom w:val="single" w:sz="4" w:space="0" w:color="auto"/>
              <w:right w:val="single" w:sz="4" w:space="0" w:color="auto"/>
            </w:tcBorders>
            <w:vAlign w:val="center"/>
          </w:tcPr>
          <w:p w14:paraId="13A2BE53" w14:textId="77777777" w:rsidR="00040D5B" w:rsidRPr="004C553E" w:rsidRDefault="00040D5B" w:rsidP="00040D5B">
            <w:pPr>
              <w:pStyle w:val="Tabletextcentred"/>
            </w:pPr>
            <w:r w:rsidRPr="00A107DD">
              <w:t>57/852 (7%)</w:t>
            </w:r>
          </w:p>
        </w:tc>
        <w:tc>
          <w:tcPr>
            <w:tcW w:w="1180" w:type="pct"/>
            <w:tcBorders>
              <w:top w:val="single" w:sz="4" w:space="0" w:color="auto"/>
              <w:left w:val="single" w:sz="4" w:space="0" w:color="auto"/>
              <w:bottom w:val="single" w:sz="4" w:space="0" w:color="auto"/>
            </w:tcBorders>
            <w:vAlign w:val="center"/>
          </w:tcPr>
          <w:p w14:paraId="656C42CD" w14:textId="77777777" w:rsidR="00040D5B" w:rsidRPr="004C553E" w:rsidRDefault="00040D5B" w:rsidP="00040D5B">
            <w:pPr>
              <w:pStyle w:val="Tabletextcentred"/>
            </w:pPr>
            <w:r w:rsidRPr="00405067">
              <w:rPr>
                <w:b/>
                <w:bCs/>
              </w:rPr>
              <w:t>-</w:t>
            </w:r>
            <w:r>
              <w:rPr>
                <w:b/>
                <w:bCs/>
              </w:rPr>
              <w:t>4</w:t>
            </w:r>
            <w:r w:rsidRPr="00405067">
              <w:rPr>
                <w:b/>
                <w:bCs/>
              </w:rPr>
              <w:t>% (-5.8%; -1.9%)</w:t>
            </w:r>
          </w:p>
        </w:tc>
        <w:tc>
          <w:tcPr>
            <w:tcW w:w="835" w:type="pct"/>
            <w:tcBorders>
              <w:top w:val="single" w:sz="4" w:space="0" w:color="auto"/>
              <w:left w:val="single" w:sz="4" w:space="0" w:color="auto"/>
              <w:bottom w:val="single" w:sz="4" w:space="0" w:color="auto"/>
            </w:tcBorders>
          </w:tcPr>
          <w:p w14:paraId="054BABB6" w14:textId="77777777" w:rsidR="00040D5B" w:rsidRPr="004C553E" w:rsidRDefault="00040D5B" w:rsidP="00040D5B">
            <w:pPr>
              <w:pStyle w:val="Tabletextcentred"/>
            </w:pPr>
            <w:r w:rsidRPr="00046101">
              <w:rPr>
                <w:b/>
                <w:bCs/>
              </w:rPr>
              <w:t>0.42 (0.27; 0.65)</w:t>
            </w:r>
          </w:p>
        </w:tc>
      </w:tr>
      <w:tr w:rsidR="00040D5B" w:rsidRPr="004C553E" w14:paraId="2A886342" w14:textId="77777777" w:rsidTr="00040D5B">
        <w:tc>
          <w:tcPr>
            <w:tcW w:w="1492" w:type="pct"/>
            <w:tcBorders>
              <w:top w:val="single" w:sz="4" w:space="0" w:color="auto"/>
              <w:bottom w:val="single" w:sz="4" w:space="0" w:color="auto"/>
              <w:right w:val="single" w:sz="4" w:space="0" w:color="auto"/>
            </w:tcBorders>
            <w:vAlign w:val="center"/>
          </w:tcPr>
          <w:p w14:paraId="01AC17E1" w14:textId="77777777" w:rsidR="00040D5B" w:rsidRPr="004C553E" w:rsidRDefault="00040D5B" w:rsidP="00040D5B">
            <w:pPr>
              <w:pStyle w:val="Tabletextcentred"/>
              <w:jc w:val="left"/>
            </w:pPr>
            <w:r w:rsidRPr="00A107DD">
              <w:t>Disabling stroke</w:t>
            </w:r>
          </w:p>
        </w:tc>
        <w:tc>
          <w:tcPr>
            <w:tcW w:w="707" w:type="pct"/>
            <w:tcBorders>
              <w:top w:val="single" w:sz="4" w:space="0" w:color="auto"/>
              <w:left w:val="single" w:sz="4" w:space="0" w:color="auto"/>
              <w:bottom w:val="single" w:sz="4" w:space="0" w:color="auto"/>
              <w:right w:val="single" w:sz="4" w:space="0" w:color="auto"/>
            </w:tcBorders>
            <w:vAlign w:val="center"/>
          </w:tcPr>
          <w:p w14:paraId="421CBE1F" w14:textId="77777777" w:rsidR="00040D5B" w:rsidRPr="004C553E" w:rsidRDefault="00040D5B" w:rsidP="00040D5B">
            <w:pPr>
              <w:pStyle w:val="Tabletextcentred"/>
            </w:pPr>
            <w:r w:rsidRPr="00A107DD">
              <w:t>11/1053 (1%)</w:t>
            </w:r>
          </w:p>
        </w:tc>
        <w:tc>
          <w:tcPr>
            <w:tcW w:w="786" w:type="pct"/>
            <w:tcBorders>
              <w:top w:val="single" w:sz="4" w:space="0" w:color="auto"/>
              <w:left w:val="single" w:sz="4" w:space="0" w:color="auto"/>
              <w:bottom w:val="single" w:sz="4" w:space="0" w:color="auto"/>
              <w:right w:val="single" w:sz="4" w:space="0" w:color="auto"/>
            </w:tcBorders>
            <w:vAlign w:val="center"/>
          </w:tcPr>
          <w:p w14:paraId="63B68B9F" w14:textId="77777777" w:rsidR="00040D5B" w:rsidRPr="004C553E" w:rsidRDefault="00040D5B" w:rsidP="00040D5B">
            <w:pPr>
              <w:pStyle w:val="Tabletextcentred"/>
            </w:pPr>
            <w:r w:rsidRPr="00A107DD">
              <w:t>41/868 (5%)</w:t>
            </w:r>
          </w:p>
        </w:tc>
        <w:tc>
          <w:tcPr>
            <w:tcW w:w="1180" w:type="pct"/>
            <w:tcBorders>
              <w:top w:val="single" w:sz="4" w:space="0" w:color="auto"/>
              <w:left w:val="single" w:sz="4" w:space="0" w:color="auto"/>
              <w:bottom w:val="single" w:sz="4" w:space="0" w:color="auto"/>
            </w:tcBorders>
            <w:vAlign w:val="center"/>
          </w:tcPr>
          <w:p w14:paraId="6D1733DE" w14:textId="77777777" w:rsidR="00040D5B" w:rsidRPr="004C553E" w:rsidRDefault="00040D5B" w:rsidP="00040D5B">
            <w:pPr>
              <w:pStyle w:val="Tabletextcentred"/>
            </w:pPr>
            <w:r w:rsidRPr="00A107DD">
              <w:rPr>
                <w:b/>
                <w:bCs/>
              </w:rPr>
              <w:t>-</w:t>
            </w:r>
            <w:r>
              <w:rPr>
                <w:b/>
                <w:bCs/>
              </w:rPr>
              <w:t>4</w:t>
            </w:r>
            <w:r w:rsidRPr="00A107DD">
              <w:rPr>
                <w:b/>
                <w:bCs/>
              </w:rPr>
              <w:t>%</w:t>
            </w:r>
            <w:r>
              <w:rPr>
                <w:b/>
                <w:bCs/>
              </w:rPr>
              <w:t xml:space="preserve"> </w:t>
            </w:r>
            <w:r w:rsidRPr="00A107DD">
              <w:rPr>
                <w:b/>
                <w:bCs/>
              </w:rPr>
              <w:t>(-5.2%; -2.1%)</w:t>
            </w:r>
          </w:p>
        </w:tc>
        <w:tc>
          <w:tcPr>
            <w:tcW w:w="835" w:type="pct"/>
            <w:tcBorders>
              <w:top w:val="single" w:sz="4" w:space="0" w:color="auto"/>
              <w:left w:val="single" w:sz="4" w:space="0" w:color="auto"/>
              <w:bottom w:val="single" w:sz="4" w:space="0" w:color="auto"/>
            </w:tcBorders>
          </w:tcPr>
          <w:p w14:paraId="2E2DB513" w14:textId="77777777" w:rsidR="00040D5B" w:rsidRPr="004C553E" w:rsidRDefault="00040D5B" w:rsidP="00040D5B">
            <w:pPr>
              <w:pStyle w:val="Tabletextcentred"/>
            </w:pPr>
            <w:r w:rsidRPr="00046101">
              <w:rPr>
                <w:b/>
                <w:bCs/>
              </w:rPr>
              <w:t>0.22 (0.11; 0.43)</w:t>
            </w:r>
          </w:p>
        </w:tc>
      </w:tr>
      <w:tr w:rsidR="00040D5B" w:rsidRPr="004C553E" w14:paraId="751193D1" w14:textId="77777777" w:rsidTr="00040D5B">
        <w:tc>
          <w:tcPr>
            <w:tcW w:w="1492" w:type="pct"/>
            <w:tcBorders>
              <w:top w:val="single" w:sz="4" w:space="0" w:color="auto"/>
              <w:bottom w:val="single" w:sz="4" w:space="0" w:color="auto"/>
              <w:right w:val="single" w:sz="4" w:space="0" w:color="auto"/>
            </w:tcBorders>
            <w:vAlign w:val="center"/>
          </w:tcPr>
          <w:p w14:paraId="4D54AE25" w14:textId="77777777" w:rsidR="00040D5B" w:rsidRPr="004C553E" w:rsidRDefault="00040D5B" w:rsidP="00040D5B">
            <w:pPr>
              <w:pStyle w:val="Tabletextcentred"/>
              <w:jc w:val="left"/>
            </w:pPr>
            <w:r w:rsidRPr="004E5DE4">
              <w:t>Death or disabling stroke</w:t>
            </w:r>
          </w:p>
        </w:tc>
        <w:tc>
          <w:tcPr>
            <w:tcW w:w="707" w:type="pct"/>
            <w:tcBorders>
              <w:top w:val="single" w:sz="4" w:space="0" w:color="auto"/>
              <w:left w:val="single" w:sz="4" w:space="0" w:color="auto"/>
              <w:bottom w:val="single" w:sz="4" w:space="0" w:color="auto"/>
              <w:right w:val="single" w:sz="4" w:space="0" w:color="auto"/>
            </w:tcBorders>
            <w:vAlign w:val="center"/>
          </w:tcPr>
          <w:p w14:paraId="44A9B31C" w14:textId="77777777" w:rsidR="00040D5B" w:rsidRPr="004C553E" w:rsidRDefault="00040D5B" w:rsidP="00040D5B">
            <w:pPr>
              <w:pStyle w:val="Tabletextcentred"/>
            </w:pPr>
            <w:r w:rsidRPr="004E5DE4">
              <w:t>22/1053 (2%)</w:t>
            </w:r>
          </w:p>
        </w:tc>
        <w:tc>
          <w:tcPr>
            <w:tcW w:w="786" w:type="pct"/>
            <w:tcBorders>
              <w:top w:val="single" w:sz="4" w:space="0" w:color="auto"/>
              <w:left w:val="single" w:sz="4" w:space="0" w:color="auto"/>
              <w:bottom w:val="single" w:sz="4" w:space="0" w:color="auto"/>
              <w:right w:val="single" w:sz="4" w:space="0" w:color="auto"/>
            </w:tcBorders>
            <w:vAlign w:val="center"/>
          </w:tcPr>
          <w:p w14:paraId="3D4901B4" w14:textId="77777777" w:rsidR="00040D5B" w:rsidRPr="004C553E" w:rsidRDefault="00040D5B" w:rsidP="00040D5B">
            <w:pPr>
              <w:pStyle w:val="Tabletextcentred"/>
            </w:pPr>
            <w:r w:rsidRPr="004E5DE4">
              <w:t>75/868 (9%)</w:t>
            </w:r>
          </w:p>
        </w:tc>
        <w:tc>
          <w:tcPr>
            <w:tcW w:w="1180" w:type="pct"/>
            <w:tcBorders>
              <w:top w:val="single" w:sz="4" w:space="0" w:color="auto"/>
              <w:left w:val="single" w:sz="4" w:space="0" w:color="auto"/>
              <w:bottom w:val="single" w:sz="4" w:space="0" w:color="auto"/>
            </w:tcBorders>
            <w:vAlign w:val="center"/>
          </w:tcPr>
          <w:p w14:paraId="34D329A3" w14:textId="77777777" w:rsidR="00040D5B" w:rsidRPr="004C553E" w:rsidRDefault="00040D5B" w:rsidP="00040D5B">
            <w:pPr>
              <w:pStyle w:val="Tabletextcentred"/>
            </w:pPr>
            <w:r w:rsidRPr="004E5DE4">
              <w:rPr>
                <w:b/>
                <w:bCs/>
              </w:rPr>
              <w:t>-</w:t>
            </w:r>
            <w:r>
              <w:rPr>
                <w:b/>
                <w:bCs/>
              </w:rPr>
              <w:t>7</w:t>
            </w:r>
            <w:r w:rsidRPr="004E5DE4">
              <w:rPr>
                <w:b/>
                <w:bCs/>
              </w:rPr>
              <w:t>% (-8.6%; -4.5%)</w:t>
            </w:r>
          </w:p>
        </w:tc>
        <w:tc>
          <w:tcPr>
            <w:tcW w:w="835" w:type="pct"/>
            <w:tcBorders>
              <w:top w:val="single" w:sz="4" w:space="0" w:color="auto"/>
              <w:left w:val="single" w:sz="4" w:space="0" w:color="auto"/>
              <w:bottom w:val="single" w:sz="4" w:space="0" w:color="auto"/>
            </w:tcBorders>
          </w:tcPr>
          <w:p w14:paraId="23F1247D" w14:textId="77777777" w:rsidR="00040D5B" w:rsidRPr="004C553E" w:rsidRDefault="00040D5B" w:rsidP="00040D5B">
            <w:pPr>
              <w:pStyle w:val="Tabletextcentred"/>
            </w:pPr>
            <w:r w:rsidRPr="00046101">
              <w:rPr>
                <w:b/>
                <w:bCs/>
              </w:rPr>
              <w:t>0.24 (0.15; 0.39</w:t>
            </w:r>
            <w:r>
              <w:rPr>
                <w:b/>
                <w:bCs/>
              </w:rPr>
              <w:t>)</w:t>
            </w:r>
          </w:p>
        </w:tc>
      </w:tr>
      <w:tr w:rsidR="00040D5B" w:rsidRPr="004C553E" w14:paraId="6121E352" w14:textId="77777777" w:rsidTr="00040D5B">
        <w:tc>
          <w:tcPr>
            <w:tcW w:w="1492" w:type="pct"/>
            <w:tcBorders>
              <w:top w:val="single" w:sz="4" w:space="0" w:color="auto"/>
              <w:bottom w:val="single" w:sz="4" w:space="0" w:color="auto"/>
              <w:right w:val="nil"/>
            </w:tcBorders>
            <w:vAlign w:val="center"/>
          </w:tcPr>
          <w:p w14:paraId="3E60B2E9" w14:textId="77777777" w:rsidR="00040D5B" w:rsidRPr="004C553E" w:rsidRDefault="00040D5B" w:rsidP="00040D5B">
            <w:pPr>
              <w:pStyle w:val="Tabletextcentred"/>
              <w:jc w:val="left"/>
              <w:rPr>
                <w:b/>
              </w:rPr>
            </w:pPr>
            <w:r w:rsidRPr="004C553E">
              <w:rPr>
                <w:b/>
              </w:rPr>
              <w:t>12 month stroke outcomes</w:t>
            </w:r>
          </w:p>
        </w:tc>
        <w:tc>
          <w:tcPr>
            <w:tcW w:w="707" w:type="pct"/>
            <w:tcBorders>
              <w:top w:val="single" w:sz="4" w:space="0" w:color="auto"/>
              <w:left w:val="nil"/>
              <w:bottom w:val="single" w:sz="4" w:space="0" w:color="auto"/>
              <w:right w:val="nil"/>
            </w:tcBorders>
            <w:vAlign w:val="center"/>
          </w:tcPr>
          <w:p w14:paraId="1EBC6366" w14:textId="77777777" w:rsidR="00040D5B" w:rsidRPr="004E5DE4" w:rsidRDefault="00040D5B" w:rsidP="00040D5B">
            <w:pPr>
              <w:pStyle w:val="Tabletextcentred"/>
            </w:pPr>
          </w:p>
        </w:tc>
        <w:tc>
          <w:tcPr>
            <w:tcW w:w="786" w:type="pct"/>
            <w:tcBorders>
              <w:top w:val="single" w:sz="4" w:space="0" w:color="auto"/>
              <w:left w:val="nil"/>
              <w:bottom w:val="single" w:sz="4" w:space="0" w:color="auto"/>
              <w:right w:val="nil"/>
            </w:tcBorders>
            <w:vAlign w:val="center"/>
          </w:tcPr>
          <w:p w14:paraId="3C3DEFDC" w14:textId="77777777" w:rsidR="00040D5B" w:rsidRPr="004E5DE4" w:rsidRDefault="00040D5B" w:rsidP="00040D5B">
            <w:pPr>
              <w:pStyle w:val="Tabletextcentred"/>
            </w:pPr>
          </w:p>
        </w:tc>
        <w:tc>
          <w:tcPr>
            <w:tcW w:w="1180" w:type="pct"/>
            <w:tcBorders>
              <w:top w:val="single" w:sz="4" w:space="0" w:color="auto"/>
              <w:left w:val="nil"/>
              <w:bottom w:val="single" w:sz="4" w:space="0" w:color="auto"/>
              <w:right w:val="nil"/>
            </w:tcBorders>
            <w:vAlign w:val="center"/>
          </w:tcPr>
          <w:p w14:paraId="2F27A06B" w14:textId="77777777" w:rsidR="00040D5B" w:rsidRPr="004E5DE4" w:rsidRDefault="00040D5B" w:rsidP="00040D5B">
            <w:pPr>
              <w:pStyle w:val="Tabletextcentred"/>
              <w:rPr>
                <w:b/>
                <w:bCs/>
              </w:rPr>
            </w:pPr>
          </w:p>
        </w:tc>
        <w:tc>
          <w:tcPr>
            <w:tcW w:w="835" w:type="pct"/>
            <w:tcBorders>
              <w:top w:val="single" w:sz="4" w:space="0" w:color="auto"/>
              <w:left w:val="nil"/>
              <w:bottom w:val="single" w:sz="4" w:space="0" w:color="auto"/>
            </w:tcBorders>
          </w:tcPr>
          <w:p w14:paraId="1E41E604" w14:textId="77777777" w:rsidR="00040D5B" w:rsidRPr="00046101" w:rsidRDefault="00040D5B" w:rsidP="00040D5B">
            <w:pPr>
              <w:pStyle w:val="Tabletextcentred"/>
              <w:rPr>
                <w:b/>
                <w:bCs/>
              </w:rPr>
            </w:pPr>
          </w:p>
        </w:tc>
      </w:tr>
      <w:tr w:rsidR="00040D5B" w:rsidRPr="004C553E" w14:paraId="6C092AFD" w14:textId="77777777" w:rsidTr="00040D5B">
        <w:tc>
          <w:tcPr>
            <w:tcW w:w="1492" w:type="pct"/>
            <w:tcBorders>
              <w:top w:val="single" w:sz="4" w:space="0" w:color="auto"/>
              <w:bottom w:val="single" w:sz="4" w:space="0" w:color="auto"/>
              <w:right w:val="single" w:sz="4" w:space="0" w:color="auto"/>
            </w:tcBorders>
            <w:vAlign w:val="center"/>
          </w:tcPr>
          <w:p w14:paraId="6C1A9FA5" w14:textId="77777777" w:rsidR="00040D5B" w:rsidRPr="004E5DE4" w:rsidRDefault="00040D5B" w:rsidP="00040D5B">
            <w:pPr>
              <w:pStyle w:val="Tabletextcentred"/>
              <w:jc w:val="left"/>
            </w:pPr>
            <w:r w:rsidRPr="00A107DD">
              <w:t>Any stroke</w:t>
            </w:r>
          </w:p>
        </w:tc>
        <w:tc>
          <w:tcPr>
            <w:tcW w:w="707" w:type="pct"/>
            <w:tcBorders>
              <w:top w:val="single" w:sz="4" w:space="0" w:color="auto"/>
              <w:left w:val="single" w:sz="4" w:space="0" w:color="auto"/>
              <w:bottom w:val="single" w:sz="4" w:space="0" w:color="auto"/>
              <w:right w:val="single" w:sz="4" w:space="0" w:color="auto"/>
            </w:tcBorders>
            <w:vAlign w:val="center"/>
          </w:tcPr>
          <w:p w14:paraId="546B7B7F" w14:textId="77777777" w:rsidR="00040D5B" w:rsidRPr="004E5DE4" w:rsidRDefault="00040D5B" w:rsidP="00040D5B">
            <w:pPr>
              <w:pStyle w:val="Tabletextcentred"/>
            </w:pPr>
            <w:r w:rsidRPr="00A107DD">
              <w:t xml:space="preserve">49/930 </w:t>
            </w:r>
            <w:r>
              <w:t>(</w:t>
            </w:r>
            <w:r w:rsidRPr="00A107DD">
              <w:t>5%)</w:t>
            </w:r>
          </w:p>
        </w:tc>
        <w:tc>
          <w:tcPr>
            <w:tcW w:w="786" w:type="pct"/>
            <w:tcBorders>
              <w:top w:val="single" w:sz="4" w:space="0" w:color="auto"/>
              <w:left w:val="single" w:sz="4" w:space="0" w:color="auto"/>
              <w:bottom w:val="single" w:sz="4" w:space="0" w:color="auto"/>
              <w:right w:val="single" w:sz="4" w:space="0" w:color="auto"/>
            </w:tcBorders>
            <w:vAlign w:val="center"/>
          </w:tcPr>
          <w:p w14:paraId="3A6D8909" w14:textId="77777777" w:rsidR="00040D5B" w:rsidRPr="004E5DE4" w:rsidRDefault="00040D5B" w:rsidP="00040D5B">
            <w:pPr>
              <w:pStyle w:val="Tabletextcentred"/>
            </w:pPr>
            <w:r w:rsidRPr="00A107DD">
              <w:t>75/743 (10%)</w:t>
            </w:r>
          </w:p>
        </w:tc>
        <w:tc>
          <w:tcPr>
            <w:tcW w:w="1180" w:type="pct"/>
            <w:tcBorders>
              <w:top w:val="single" w:sz="4" w:space="0" w:color="auto"/>
              <w:left w:val="single" w:sz="4" w:space="0" w:color="auto"/>
              <w:bottom w:val="single" w:sz="4" w:space="0" w:color="auto"/>
            </w:tcBorders>
            <w:vAlign w:val="center"/>
          </w:tcPr>
          <w:p w14:paraId="172EE634" w14:textId="77777777" w:rsidR="00040D5B" w:rsidRPr="004E5DE4" w:rsidRDefault="00040D5B" w:rsidP="00040D5B">
            <w:pPr>
              <w:pStyle w:val="Tabletextcentred"/>
              <w:rPr>
                <w:b/>
                <w:bCs/>
              </w:rPr>
            </w:pPr>
            <w:r w:rsidRPr="00A107DD">
              <w:rPr>
                <w:b/>
                <w:bCs/>
              </w:rPr>
              <w:t>-4.8%</w:t>
            </w:r>
            <w:r>
              <w:rPr>
                <w:b/>
                <w:bCs/>
              </w:rPr>
              <w:t xml:space="preserve"> </w:t>
            </w:r>
            <w:r w:rsidRPr="00A107DD">
              <w:rPr>
                <w:b/>
                <w:bCs/>
              </w:rPr>
              <w:t>(-7.4; -2.2%)</w:t>
            </w:r>
          </w:p>
        </w:tc>
        <w:tc>
          <w:tcPr>
            <w:tcW w:w="835" w:type="pct"/>
            <w:tcBorders>
              <w:top w:val="single" w:sz="4" w:space="0" w:color="auto"/>
              <w:left w:val="single" w:sz="4" w:space="0" w:color="auto"/>
              <w:bottom w:val="single" w:sz="4" w:space="0" w:color="auto"/>
            </w:tcBorders>
          </w:tcPr>
          <w:p w14:paraId="7D421AC0" w14:textId="77777777" w:rsidR="00040D5B" w:rsidRPr="00046101" w:rsidRDefault="00040D5B" w:rsidP="00040D5B">
            <w:pPr>
              <w:pStyle w:val="Tabletextcentred"/>
              <w:rPr>
                <w:b/>
                <w:bCs/>
              </w:rPr>
            </w:pPr>
            <w:r w:rsidRPr="00BF311D">
              <w:rPr>
                <w:b/>
                <w:bCs/>
              </w:rPr>
              <w:t>0.52 (0.37; 0.74)</w:t>
            </w:r>
          </w:p>
        </w:tc>
      </w:tr>
      <w:tr w:rsidR="00040D5B" w:rsidRPr="004C553E" w14:paraId="7EE81550" w14:textId="77777777" w:rsidTr="00040D5B">
        <w:tc>
          <w:tcPr>
            <w:tcW w:w="1492" w:type="pct"/>
            <w:tcBorders>
              <w:top w:val="single" w:sz="4" w:space="0" w:color="auto"/>
              <w:bottom w:val="single" w:sz="4" w:space="0" w:color="auto"/>
              <w:right w:val="single" w:sz="4" w:space="0" w:color="auto"/>
            </w:tcBorders>
            <w:vAlign w:val="center"/>
          </w:tcPr>
          <w:p w14:paraId="36C313D6" w14:textId="77777777" w:rsidR="00040D5B" w:rsidRPr="004E5DE4" w:rsidRDefault="00040D5B" w:rsidP="00040D5B">
            <w:pPr>
              <w:pStyle w:val="Tabletextcentred"/>
              <w:jc w:val="left"/>
            </w:pPr>
            <w:r w:rsidRPr="00A107DD">
              <w:t>Disabling stroke</w:t>
            </w:r>
          </w:p>
        </w:tc>
        <w:tc>
          <w:tcPr>
            <w:tcW w:w="707" w:type="pct"/>
            <w:tcBorders>
              <w:top w:val="single" w:sz="4" w:space="0" w:color="auto"/>
              <w:left w:val="single" w:sz="4" w:space="0" w:color="auto"/>
              <w:bottom w:val="single" w:sz="4" w:space="0" w:color="auto"/>
              <w:right w:val="single" w:sz="4" w:space="0" w:color="auto"/>
            </w:tcBorders>
            <w:vAlign w:val="center"/>
          </w:tcPr>
          <w:p w14:paraId="74DCD02E" w14:textId="77777777" w:rsidR="00040D5B" w:rsidRPr="004E5DE4" w:rsidRDefault="00040D5B" w:rsidP="00040D5B">
            <w:pPr>
              <w:pStyle w:val="Tabletextcentred"/>
            </w:pPr>
            <w:r w:rsidRPr="00A107DD">
              <w:t>24/953</w:t>
            </w:r>
            <w:r>
              <w:t xml:space="preserve"> </w:t>
            </w:r>
            <w:r w:rsidRPr="00A107DD">
              <w:t>(3%)</w:t>
            </w:r>
          </w:p>
        </w:tc>
        <w:tc>
          <w:tcPr>
            <w:tcW w:w="786" w:type="pct"/>
            <w:tcBorders>
              <w:top w:val="single" w:sz="4" w:space="0" w:color="auto"/>
              <w:left w:val="single" w:sz="4" w:space="0" w:color="auto"/>
              <w:bottom w:val="single" w:sz="4" w:space="0" w:color="auto"/>
              <w:right w:val="single" w:sz="4" w:space="0" w:color="auto"/>
            </w:tcBorders>
            <w:vAlign w:val="center"/>
          </w:tcPr>
          <w:p w14:paraId="562B73F0" w14:textId="77777777" w:rsidR="00040D5B" w:rsidRPr="004E5DE4" w:rsidRDefault="00040D5B" w:rsidP="00040D5B">
            <w:pPr>
              <w:pStyle w:val="Tabletextcentred"/>
            </w:pPr>
            <w:r w:rsidRPr="00A107DD">
              <w:t>54/764</w:t>
            </w:r>
            <w:r>
              <w:t xml:space="preserve"> </w:t>
            </w:r>
            <w:r w:rsidRPr="00A107DD">
              <w:t>(7%)</w:t>
            </w:r>
          </w:p>
        </w:tc>
        <w:tc>
          <w:tcPr>
            <w:tcW w:w="1180" w:type="pct"/>
            <w:tcBorders>
              <w:top w:val="single" w:sz="4" w:space="0" w:color="auto"/>
              <w:left w:val="single" w:sz="4" w:space="0" w:color="auto"/>
              <w:bottom w:val="single" w:sz="4" w:space="0" w:color="auto"/>
            </w:tcBorders>
            <w:vAlign w:val="center"/>
          </w:tcPr>
          <w:p w14:paraId="5C0BA882" w14:textId="77777777" w:rsidR="00040D5B" w:rsidRPr="004E5DE4" w:rsidRDefault="00040D5B" w:rsidP="00040D5B">
            <w:pPr>
              <w:pStyle w:val="Tabletextcentred"/>
              <w:rPr>
                <w:b/>
                <w:bCs/>
              </w:rPr>
            </w:pPr>
            <w:r w:rsidRPr="00A107DD">
              <w:rPr>
                <w:b/>
                <w:bCs/>
              </w:rPr>
              <w:t>-4.6%</w:t>
            </w:r>
            <w:r>
              <w:rPr>
                <w:b/>
                <w:bCs/>
              </w:rPr>
              <w:t xml:space="preserve"> </w:t>
            </w:r>
            <w:r w:rsidRPr="00A107DD">
              <w:rPr>
                <w:b/>
                <w:bCs/>
              </w:rPr>
              <w:t>(-6.6%; -2.5%)</w:t>
            </w:r>
          </w:p>
        </w:tc>
        <w:tc>
          <w:tcPr>
            <w:tcW w:w="835" w:type="pct"/>
            <w:tcBorders>
              <w:top w:val="single" w:sz="4" w:space="0" w:color="auto"/>
              <w:left w:val="single" w:sz="4" w:space="0" w:color="auto"/>
              <w:bottom w:val="single" w:sz="4" w:space="0" w:color="auto"/>
            </w:tcBorders>
          </w:tcPr>
          <w:p w14:paraId="464C79C3" w14:textId="77777777" w:rsidR="00040D5B" w:rsidRPr="00046101" w:rsidRDefault="00040D5B" w:rsidP="00040D5B">
            <w:pPr>
              <w:pStyle w:val="Tabletextcentred"/>
              <w:rPr>
                <w:b/>
                <w:bCs/>
              </w:rPr>
            </w:pPr>
            <w:r w:rsidRPr="00E33AC4">
              <w:rPr>
                <w:b/>
                <w:bCs/>
              </w:rPr>
              <w:t>0.36 (0.22; 0.57)</w:t>
            </w:r>
          </w:p>
        </w:tc>
      </w:tr>
      <w:tr w:rsidR="00040D5B" w:rsidRPr="004C553E" w14:paraId="3CE2A438" w14:textId="77777777" w:rsidTr="00040D5B">
        <w:tc>
          <w:tcPr>
            <w:tcW w:w="1492" w:type="pct"/>
            <w:tcBorders>
              <w:top w:val="single" w:sz="4" w:space="0" w:color="auto"/>
              <w:bottom w:val="single" w:sz="4" w:space="0" w:color="auto"/>
              <w:right w:val="single" w:sz="4" w:space="0" w:color="auto"/>
            </w:tcBorders>
            <w:vAlign w:val="center"/>
          </w:tcPr>
          <w:p w14:paraId="28869859" w14:textId="77777777" w:rsidR="00040D5B" w:rsidRPr="004E5DE4" w:rsidRDefault="00040D5B" w:rsidP="00040D5B">
            <w:pPr>
              <w:pStyle w:val="Tabletextcentred"/>
              <w:jc w:val="left"/>
            </w:pPr>
            <w:r w:rsidRPr="00405067">
              <w:t>Death or disabling stroke</w:t>
            </w:r>
          </w:p>
        </w:tc>
        <w:tc>
          <w:tcPr>
            <w:tcW w:w="707" w:type="pct"/>
            <w:tcBorders>
              <w:top w:val="single" w:sz="4" w:space="0" w:color="auto"/>
              <w:left w:val="single" w:sz="4" w:space="0" w:color="auto"/>
              <w:bottom w:val="single" w:sz="4" w:space="0" w:color="auto"/>
              <w:right w:val="single" w:sz="4" w:space="0" w:color="auto"/>
            </w:tcBorders>
            <w:vAlign w:val="center"/>
          </w:tcPr>
          <w:p w14:paraId="4E8F5297" w14:textId="77777777" w:rsidR="00040D5B" w:rsidRPr="004E5DE4" w:rsidRDefault="00040D5B" w:rsidP="00040D5B">
            <w:pPr>
              <w:pStyle w:val="Tabletextcentred"/>
            </w:pPr>
            <w:r w:rsidRPr="00405067">
              <w:t>90/953 (9%)</w:t>
            </w:r>
          </w:p>
        </w:tc>
        <w:tc>
          <w:tcPr>
            <w:tcW w:w="786" w:type="pct"/>
            <w:tcBorders>
              <w:top w:val="single" w:sz="4" w:space="0" w:color="auto"/>
              <w:left w:val="single" w:sz="4" w:space="0" w:color="auto"/>
              <w:bottom w:val="single" w:sz="4" w:space="0" w:color="auto"/>
              <w:right w:val="single" w:sz="4" w:space="0" w:color="auto"/>
            </w:tcBorders>
            <w:vAlign w:val="center"/>
          </w:tcPr>
          <w:p w14:paraId="6B6056E6" w14:textId="77777777" w:rsidR="00040D5B" w:rsidRPr="004E5DE4" w:rsidRDefault="00040D5B" w:rsidP="00040D5B">
            <w:pPr>
              <w:pStyle w:val="Tabletextcentred"/>
            </w:pPr>
            <w:r w:rsidRPr="00405067">
              <w:t>155/764 (20%)</w:t>
            </w:r>
          </w:p>
        </w:tc>
        <w:tc>
          <w:tcPr>
            <w:tcW w:w="1180" w:type="pct"/>
            <w:tcBorders>
              <w:top w:val="single" w:sz="4" w:space="0" w:color="auto"/>
              <w:left w:val="single" w:sz="4" w:space="0" w:color="auto"/>
              <w:bottom w:val="single" w:sz="4" w:space="0" w:color="auto"/>
            </w:tcBorders>
            <w:vAlign w:val="center"/>
          </w:tcPr>
          <w:p w14:paraId="69F2B2E8" w14:textId="77777777" w:rsidR="00040D5B" w:rsidRPr="004E5DE4" w:rsidRDefault="00040D5B" w:rsidP="00040D5B">
            <w:pPr>
              <w:pStyle w:val="Tabletextcentred"/>
              <w:jc w:val="left"/>
              <w:rPr>
                <w:b/>
                <w:bCs/>
              </w:rPr>
            </w:pPr>
            <w:r>
              <w:rPr>
                <w:b/>
                <w:bCs/>
              </w:rPr>
              <w:t xml:space="preserve">-10.8% </w:t>
            </w:r>
            <w:r w:rsidRPr="00405067">
              <w:rPr>
                <w:b/>
                <w:bCs/>
              </w:rPr>
              <w:t>(</w:t>
            </w:r>
            <w:r w:rsidRPr="00405067">
              <w:rPr>
                <w:b/>
                <w:bCs/>
              </w:rPr>
              <w:noBreakHyphen/>
              <w:t xml:space="preserve">14.3%; </w:t>
            </w:r>
            <w:r w:rsidRPr="00405067">
              <w:rPr>
                <w:b/>
                <w:bCs/>
              </w:rPr>
              <w:noBreakHyphen/>
              <w:t>7.4%)</w:t>
            </w:r>
          </w:p>
        </w:tc>
        <w:tc>
          <w:tcPr>
            <w:tcW w:w="835" w:type="pct"/>
            <w:tcBorders>
              <w:top w:val="single" w:sz="4" w:space="0" w:color="auto"/>
              <w:left w:val="single" w:sz="4" w:space="0" w:color="auto"/>
              <w:bottom w:val="single" w:sz="4" w:space="0" w:color="auto"/>
            </w:tcBorders>
          </w:tcPr>
          <w:p w14:paraId="1EC66A24" w14:textId="77777777" w:rsidR="00040D5B" w:rsidRPr="00046101" w:rsidRDefault="00040D5B" w:rsidP="00040D5B">
            <w:pPr>
              <w:pStyle w:val="Tabletextcentred"/>
              <w:rPr>
                <w:b/>
                <w:bCs/>
              </w:rPr>
            </w:pPr>
            <w:r w:rsidRPr="00405067">
              <w:t>0.47 (0.37; 0.59)</w:t>
            </w:r>
          </w:p>
        </w:tc>
      </w:tr>
    </w:tbl>
    <w:p w14:paraId="5DC2DA93" w14:textId="0395C90E" w:rsidR="00040D5B" w:rsidRPr="00C542D3" w:rsidRDefault="00040D5B" w:rsidP="00040D5B">
      <w:pPr>
        <w:pStyle w:val="Tablecaption"/>
        <w:rPr>
          <w:sz w:val="18"/>
        </w:rPr>
      </w:pPr>
      <w:r w:rsidRPr="00C542D3">
        <w:rPr>
          <w:sz w:val="18"/>
        </w:rPr>
        <w:t xml:space="preserve">Source: Outcome 1, p58 and Tables 31-33, pp59-60 of the </w:t>
      </w:r>
      <w:r w:rsidR="00DD7827">
        <w:rPr>
          <w:sz w:val="18"/>
        </w:rPr>
        <w:t>Commentary</w:t>
      </w:r>
      <w:r w:rsidRPr="00C542D3">
        <w:rPr>
          <w:sz w:val="18"/>
        </w:rPr>
        <w:t xml:space="preserve"> </w:t>
      </w:r>
    </w:p>
    <w:p w14:paraId="17481844" w14:textId="77777777" w:rsidR="00040D5B" w:rsidRPr="00C542D3" w:rsidRDefault="00040D5B" w:rsidP="00040D5B">
      <w:pPr>
        <w:pStyle w:val="Tablecaption"/>
        <w:rPr>
          <w:sz w:val="18"/>
        </w:rPr>
      </w:pPr>
      <w:r w:rsidRPr="00C542D3">
        <w:rPr>
          <w:sz w:val="18"/>
        </w:rPr>
        <w:t xml:space="preserve">ADAR = Applicant Developed Assessment Report; CI = confidence interval; TAVI-BEV = transcatheter aortic valve implantation with a balloon-expandable valve; SAVR = surgical aortic valve replacement; RD = risk difference; </w:t>
      </w:r>
      <w:r w:rsidRPr="00C542D3">
        <w:rPr>
          <w:b/>
          <w:bCs/>
          <w:sz w:val="18"/>
        </w:rPr>
        <w:t>Bold</w:t>
      </w:r>
      <w:r w:rsidRPr="00C542D3">
        <w:rPr>
          <w:sz w:val="18"/>
        </w:rPr>
        <w:t xml:space="preserve"> = statistically significant at p-value&lt; 0.05</w:t>
      </w:r>
    </w:p>
    <w:p w14:paraId="43D79A88" w14:textId="48702B13" w:rsidR="00040D5B" w:rsidRDefault="00040D5B" w:rsidP="00040D5B">
      <w:pPr>
        <w:pStyle w:val="Tablenotes1"/>
      </w:pPr>
      <w:r>
        <w:rPr>
          <w:vertAlign w:val="superscript"/>
        </w:rPr>
        <w:t>a</w:t>
      </w:r>
      <w:r>
        <w:t xml:space="preserve"> One</w:t>
      </w:r>
      <w:r w:rsidR="003B7D3C">
        <w:t>-</w:t>
      </w:r>
      <w:r w:rsidRPr="00725370">
        <w:t>year non</w:t>
      </w:r>
      <w:r w:rsidR="003B7D3C">
        <w:t>-</w:t>
      </w:r>
      <w:r w:rsidRPr="00725370">
        <w:t xml:space="preserve">composite  event  of  death  from  any  cause, </w:t>
      </w:r>
      <w:r>
        <w:t>stroke</w:t>
      </w:r>
      <w:r w:rsidRPr="00725370">
        <w:t>, and moderate   or</w:t>
      </w:r>
      <w:r>
        <w:t xml:space="preserve"> severe</w:t>
      </w:r>
      <w:r w:rsidRPr="00725370">
        <w:t xml:space="preserve">   post-treatment aortic regurgitation </w:t>
      </w:r>
    </w:p>
    <w:p w14:paraId="4150253A" w14:textId="77777777" w:rsidR="00040D5B" w:rsidRPr="00040D5B" w:rsidRDefault="00040D5B" w:rsidP="00040D5B">
      <w:pPr>
        <w:pStyle w:val="Tablenotes1"/>
      </w:pPr>
      <w:r w:rsidRPr="00040D5B">
        <w:t>b Weighted difference of proportions</w:t>
      </w:r>
    </w:p>
    <w:p w14:paraId="34C2540A" w14:textId="08094C27" w:rsidR="00040D5B" w:rsidRPr="0060464A" w:rsidRDefault="00040D5B" w:rsidP="00040D5B">
      <w:r w:rsidRPr="00F146E5">
        <w:t xml:space="preserve">Patients treated with TAVI-BEV had superior perioperative </w:t>
      </w:r>
      <w:r>
        <w:t>h</w:t>
      </w:r>
      <w:r w:rsidRPr="00F146E5">
        <w:t>ealth-related quality of life</w:t>
      </w:r>
      <w:r>
        <w:t xml:space="preserve"> (</w:t>
      </w:r>
      <w:r w:rsidRPr="00F146E5">
        <w:t>HRQoL</w:t>
      </w:r>
      <w:r>
        <w:t>)</w:t>
      </w:r>
      <w:r w:rsidRPr="00F146E5">
        <w:t>, as measured by the SF-36 physical and mental health component summary score, the Kansas City Cardiomyopathy Questionnaire (KCCQ) overall summary score and by the EQ-5D, and this was significant at 30-days</w:t>
      </w:r>
      <w:r>
        <w:t xml:space="preserve">. </w:t>
      </w:r>
      <w:r w:rsidRPr="00F146E5">
        <w:t>However, at 12-months, there was no significant difference in the treatment groups HRQoL (except for t</w:t>
      </w:r>
      <w:r w:rsidR="003257BF">
        <w:t>he KCCQ overall summary score).</w:t>
      </w:r>
    </w:p>
    <w:p w14:paraId="1E1ED023" w14:textId="77777777" w:rsidR="00040D5B" w:rsidRDefault="00040D5B" w:rsidP="0060464A">
      <w:pPr>
        <w:spacing w:before="240"/>
        <w:rPr>
          <w:u w:val="single"/>
        </w:rPr>
      </w:pPr>
      <w:r>
        <w:rPr>
          <w:u w:val="single"/>
        </w:rPr>
        <w:t xml:space="preserve">TAVI-BEV </w:t>
      </w:r>
      <w:r w:rsidRPr="00121BC1">
        <w:rPr>
          <w:i/>
          <w:u w:val="single"/>
        </w:rPr>
        <w:t>vs</w:t>
      </w:r>
      <w:r>
        <w:rPr>
          <w:u w:val="single"/>
        </w:rPr>
        <w:t>. TAVI-SEV</w:t>
      </w:r>
    </w:p>
    <w:p w14:paraId="32E42557" w14:textId="010DB4DB" w:rsidR="00040D5B" w:rsidRDefault="00040D5B" w:rsidP="00040D5B">
      <w:r>
        <w:t>The ADAR did not perform an indirect comparison for the primary outcomes (Table 8), noting the differences in primary outcomes and clinical heterogeneity between trials.</w:t>
      </w:r>
    </w:p>
    <w:p w14:paraId="757952DE" w14:textId="0933271A" w:rsidR="00040D5B" w:rsidRPr="00AC061E" w:rsidRDefault="00040D5B" w:rsidP="00AC061E">
      <w:pPr>
        <w:spacing w:before="240"/>
        <w:rPr>
          <w:rFonts w:ascii="Arial Narrow" w:hAnsi="Arial Narrow"/>
          <w:b/>
          <w:sz w:val="20"/>
        </w:rPr>
      </w:pPr>
      <w:bookmarkStart w:id="3" w:name="_Ref42523793"/>
      <w:bookmarkStart w:id="4" w:name="_Toc42617134"/>
      <w:r w:rsidRPr="00AC061E">
        <w:rPr>
          <w:rFonts w:ascii="Arial Narrow" w:hAnsi="Arial Narrow"/>
          <w:b/>
          <w:sz w:val="20"/>
        </w:rPr>
        <w:t xml:space="preserve">Table </w:t>
      </w:r>
      <w:bookmarkEnd w:id="3"/>
      <w:bookmarkEnd w:id="4"/>
      <w:r w:rsidR="00E40C30" w:rsidRPr="00AC061E">
        <w:rPr>
          <w:rFonts w:ascii="Arial Narrow" w:hAnsi="Arial Narrow"/>
          <w:b/>
          <w:sz w:val="20"/>
        </w:rPr>
        <w:t>8</w:t>
      </w:r>
      <w:r w:rsidR="00E40C30" w:rsidRPr="00AC061E">
        <w:rPr>
          <w:rFonts w:ascii="Arial Narrow" w:hAnsi="Arial Narrow"/>
          <w:b/>
          <w:sz w:val="20"/>
        </w:rPr>
        <w:tab/>
      </w:r>
      <w:r w:rsidRPr="00AC061E">
        <w:rPr>
          <w:rFonts w:ascii="Arial Narrow" w:hAnsi="Arial Narrow"/>
          <w:b/>
          <w:sz w:val="20"/>
        </w:rPr>
        <w:t xml:space="preserve">Results of primary outcomes for </w:t>
      </w:r>
      <w:r w:rsidR="00E40C30" w:rsidRPr="00AC061E">
        <w:rPr>
          <w:rFonts w:ascii="Arial Narrow" w:hAnsi="Arial Narrow"/>
          <w:b/>
          <w:sz w:val="20"/>
        </w:rPr>
        <w:t>TAVI-BEV</w:t>
      </w:r>
      <w:r w:rsidRPr="00AC061E">
        <w:rPr>
          <w:rFonts w:ascii="Arial Narrow" w:hAnsi="Arial Narrow"/>
          <w:b/>
          <w:sz w:val="20"/>
        </w:rPr>
        <w:t xml:space="preserve"> vs. SAVR and </w:t>
      </w:r>
      <w:r w:rsidR="00E40C30" w:rsidRPr="00AC061E">
        <w:rPr>
          <w:rFonts w:ascii="Arial Narrow" w:hAnsi="Arial Narrow"/>
          <w:b/>
          <w:sz w:val="20"/>
        </w:rPr>
        <w:t>TAVI-SEV</w:t>
      </w:r>
      <w:r w:rsidRPr="00AC061E">
        <w:rPr>
          <w:rFonts w:ascii="Arial Narrow" w:hAnsi="Arial Narrow"/>
          <w:b/>
          <w:sz w:val="20"/>
        </w:rPr>
        <w:t xml:space="preserve"> vs. SAVR</w:t>
      </w:r>
    </w:p>
    <w:tbl>
      <w:tblPr>
        <w:tblStyle w:val="TableGrid"/>
        <w:tblW w:w="0" w:type="auto"/>
        <w:tblCellMar>
          <w:left w:w="28" w:type="dxa"/>
          <w:right w:w="28" w:type="dxa"/>
        </w:tblCellMar>
        <w:tblLook w:val="04A0" w:firstRow="1" w:lastRow="0" w:firstColumn="1" w:lastColumn="0" w:noHBand="0" w:noVBand="1"/>
        <w:tblDescription w:val="Results of primary outcomes for TAVI-BEV vs. SAVR and TAVI-SEV vs. SAVR"/>
      </w:tblPr>
      <w:tblGrid>
        <w:gridCol w:w="1435"/>
        <w:gridCol w:w="2824"/>
        <w:gridCol w:w="2824"/>
        <w:gridCol w:w="1933"/>
      </w:tblGrid>
      <w:tr w:rsidR="00040D5B" w:rsidRPr="00B74282" w14:paraId="2317ADB7" w14:textId="77777777" w:rsidTr="00040D5B">
        <w:trPr>
          <w:tblHeader/>
        </w:trPr>
        <w:tc>
          <w:tcPr>
            <w:tcW w:w="1435" w:type="dxa"/>
            <w:shd w:val="clear" w:color="auto" w:fill="auto"/>
          </w:tcPr>
          <w:p w14:paraId="4A6D0DCD" w14:textId="77777777" w:rsidR="00040D5B" w:rsidRPr="00296D8C" w:rsidRDefault="00040D5B" w:rsidP="00040D5B">
            <w:pPr>
              <w:pStyle w:val="Tabletext0"/>
              <w:rPr>
                <w:b/>
              </w:rPr>
            </w:pPr>
          </w:p>
        </w:tc>
        <w:tc>
          <w:tcPr>
            <w:tcW w:w="2824" w:type="dxa"/>
            <w:shd w:val="clear" w:color="auto" w:fill="auto"/>
          </w:tcPr>
          <w:p w14:paraId="54B754C0" w14:textId="77777777" w:rsidR="00040D5B" w:rsidRPr="00296D8C" w:rsidRDefault="00040D5B" w:rsidP="00040D5B">
            <w:pPr>
              <w:pStyle w:val="Tabletext0"/>
              <w:rPr>
                <w:b/>
              </w:rPr>
            </w:pPr>
            <w:r w:rsidRPr="00296D8C">
              <w:rPr>
                <w:b/>
              </w:rPr>
              <w:t>TAVI-BEV vs SAVR- 1 year</w:t>
            </w:r>
          </w:p>
        </w:tc>
        <w:tc>
          <w:tcPr>
            <w:tcW w:w="2824" w:type="dxa"/>
            <w:shd w:val="clear" w:color="auto" w:fill="auto"/>
          </w:tcPr>
          <w:p w14:paraId="183B3D71" w14:textId="77777777" w:rsidR="00040D5B" w:rsidRPr="00296D8C" w:rsidRDefault="00040D5B" w:rsidP="00040D5B">
            <w:pPr>
              <w:pStyle w:val="Tabletext0"/>
              <w:rPr>
                <w:b/>
              </w:rPr>
            </w:pPr>
            <w:r w:rsidRPr="00296D8C">
              <w:rPr>
                <w:b/>
              </w:rPr>
              <w:t>TAVI-SEV vs SAVR- 2 year</w:t>
            </w:r>
          </w:p>
        </w:tc>
        <w:tc>
          <w:tcPr>
            <w:tcW w:w="1933" w:type="dxa"/>
            <w:shd w:val="clear" w:color="auto" w:fill="auto"/>
          </w:tcPr>
          <w:p w14:paraId="33B0DCE9" w14:textId="77777777" w:rsidR="00040D5B" w:rsidRPr="00296D8C" w:rsidRDefault="00040D5B" w:rsidP="00040D5B">
            <w:pPr>
              <w:pStyle w:val="Tabletext0"/>
              <w:rPr>
                <w:b/>
                <w:lang w:val="da-DK"/>
              </w:rPr>
            </w:pPr>
            <w:r w:rsidRPr="00296D8C">
              <w:rPr>
                <w:b/>
                <w:lang w:val="da-DK"/>
              </w:rPr>
              <w:t>TAVI-BEV vs TAVI-SEV</w:t>
            </w:r>
          </w:p>
        </w:tc>
      </w:tr>
      <w:tr w:rsidR="00040D5B" w:rsidRPr="0059534C" w14:paraId="410893A2" w14:textId="77777777" w:rsidTr="00040D5B">
        <w:tc>
          <w:tcPr>
            <w:tcW w:w="1435" w:type="dxa"/>
            <w:tcBorders>
              <w:bottom w:val="single" w:sz="4" w:space="0" w:color="auto"/>
            </w:tcBorders>
          </w:tcPr>
          <w:p w14:paraId="5E6FFB81" w14:textId="77777777" w:rsidR="00040D5B" w:rsidRPr="0059534C" w:rsidRDefault="00040D5B" w:rsidP="00040D5B">
            <w:pPr>
              <w:pStyle w:val="Tabletext0"/>
            </w:pPr>
            <w:r w:rsidRPr="0059534C">
              <w:t xml:space="preserve">Primary composite endpoint </w:t>
            </w:r>
          </w:p>
          <w:p w14:paraId="09105C48" w14:textId="77777777" w:rsidR="00040D5B" w:rsidRPr="0059534C" w:rsidRDefault="00040D5B" w:rsidP="00040D5B">
            <w:pPr>
              <w:pStyle w:val="Tabletext0"/>
            </w:pPr>
          </w:p>
        </w:tc>
        <w:tc>
          <w:tcPr>
            <w:tcW w:w="2824" w:type="dxa"/>
            <w:tcBorders>
              <w:bottom w:val="single" w:sz="4" w:space="0" w:color="auto"/>
            </w:tcBorders>
          </w:tcPr>
          <w:p w14:paraId="53B0F685" w14:textId="77777777" w:rsidR="00040D5B" w:rsidRPr="0059534C" w:rsidRDefault="00040D5B" w:rsidP="00040D5B">
            <w:pPr>
              <w:pStyle w:val="Tabletext0"/>
            </w:pPr>
            <w:r w:rsidRPr="0059534C">
              <w:t xml:space="preserve">death from any cause </w:t>
            </w:r>
          </w:p>
          <w:p w14:paraId="46EE2747" w14:textId="77777777" w:rsidR="00040D5B" w:rsidRPr="0059534C" w:rsidRDefault="00040D5B" w:rsidP="00040D5B">
            <w:pPr>
              <w:pStyle w:val="Tabletext0"/>
            </w:pPr>
            <w:r w:rsidRPr="0059534C">
              <w:t xml:space="preserve">all strokes </w:t>
            </w:r>
          </w:p>
          <w:p w14:paraId="3965BC44" w14:textId="77777777" w:rsidR="00040D5B" w:rsidRPr="0059534C" w:rsidRDefault="00040D5B" w:rsidP="00040D5B">
            <w:pPr>
              <w:pStyle w:val="Tabletext0"/>
            </w:pPr>
            <w:r w:rsidRPr="0059534C">
              <w:t xml:space="preserve">post-treatment aortic regurgitation (moderate or greater [severe]) </w:t>
            </w:r>
          </w:p>
        </w:tc>
        <w:tc>
          <w:tcPr>
            <w:tcW w:w="2824" w:type="dxa"/>
            <w:tcBorders>
              <w:bottom w:val="single" w:sz="4" w:space="0" w:color="auto"/>
            </w:tcBorders>
          </w:tcPr>
          <w:p w14:paraId="0EF43EA5" w14:textId="77777777" w:rsidR="00040D5B" w:rsidRPr="0059534C" w:rsidRDefault="00040D5B" w:rsidP="00040D5B">
            <w:pPr>
              <w:pStyle w:val="Tabletext0"/>
            </w:pPr>
            <w:r w:rsidRPr="0059534C">
              <w:rPr>
                <w:bCs/>
              </w:rPr>
              <w:t>death from any cause</w:t>
            </w:r>
          </w:p>
          <w:p w14:paraId="4B13ED6C" w14:textId="77777777" w:rsidR="00040D5B" w:rsidRPr="0059534C" w:rsidRDefault="00040D5B" w:rsidP="00040D5B">
            <w:pPr>
              <w:pStyle w:val="Tabletext0"/>
            </w:pPr>
            <w:r w:rsidRPr="0059534C">
              <w:rPr>
                <w:bCs/>
              </w:rPr>
              <w:t>disabling stroke</w:t>
            </w:r>
          </w:p>
        </w:tc>
        <w:tc>
          <w:tcPr>
            <w:tcW w:w="1933" w:type="dxa"/>
            <w:tcBorders>
              <w:bottom w:val="single" w:sz="4" w:space="0" w:color="auto"/>
            </w:tcBorders>
          </w:tcPr>
          <w:p w14:paraId="56882BE3" w14:textId="77777777" w:rsidR="00040D5B" w:rsidRPr="0059534C" w:rsidRDefault="00040D5B" w:rsidP="00040D5B">
            <w:pPr>
              <w:pStyle w:val="Tabletext0"/>
            </w:pPr>
            <w:r>
              <w:t>Not applicable</w:t>
            </w:r>
          </w:p>
        </w:tc>
      </w:tr>
      <w:tr w:rsidR="00040D5B" w:rsidRPr="0059534C" w14:paraId="10045C7D" w14:textId="77777777" w:rsidTr="00040D5B">
        <w:tc>
          <w:tcPr>
            <w:tcW w:w="1435" w:type="dxa"/>
            <w:tcBorders>
              <w:top w:val="single" w:sz="4" w:space="0" w:color="auto"/>
              <w:left w:val="single" w:sz="4" w:space="0" w:color="auto"/>
              <w:bottom w:val="single" w:sz="4" w:space="0" w:color="auto"/>
              <w:right w:val="single" w:sz="4" w:space="0" w:color="auto"/>
            </w:tcBorders>
          </w:tcPr>
          <w:p w14:paraId="01148479" w14:textId="77777777" w:rsidR="00040D5B" w:rsidRPr="0059534C" w:rsidRDefault="00040D5B" w:rsidP="00040D5B">
            <w:pPr>
              <w:pStyle w:val="Tabletext0"/>
            </w:pPr>
            <w:r w:rsidRPr="0059534C">
              <w:t>Results</w:t>
            </w:r>
          </w:p>
        </w:tc>
        <w:tc>
          <w:tcPr>
            <w:tcW w:w="2824" w:type="dxa"/>
            <w:tcBorders>
              <w:top w:val="single" w:sz="4" w:space="0" w:color="auto"/>
              <w:left w:val="single" w:sz="4" w:space="0" w:color="auto"/>
              <w:bottom w:val="single" w:sz="4" w:space="0" w:color="auto"/>
              <w:right w:val="single" w:sz="4" w:space="0" w:color="auto"/>
            </w:tcBorders>
          </w:tcPr>
          <w:p w14:paraId="0B2AC88A" w14:textId="77777777" w:rsidR="00040D5B" w:rsidRPr="0059534C" w:rsidRDefault="00040D5B" w:rsidP="00040D5B">
            <w:pPr>
              <w:pStyle w:val="Tabletext0"/>
            </w:pPr>
            <w:r w:rsidRPr="0059534C">
              <w:t>Weighted difference of proportions -9.2% (95% CI -13.0 to -5.4; p&lt;0·0001) in favour of TAVI-BEV.</w:t>
            </w:r>
          </w:p>
        </w:tc>
        <w:tc>
          <w:tcPr>
            <w:tcW w:w="2824" w:type="dxa"/>
            <w:tcBorders>
              <w:top w:val="single" w:sz="4" w:space="0" w:color="auto"/>
              <w:left w:val="single" w:sz="4" w:space="0" w:color="auto"/>
              <w:bottom w:val="single" w:sz="4" w:space="0" w:color="auto"/>
              <w:right w:val="single" w:sz="4" w:space="0" w:color="auto"/>
            </w:tcBorders>
          </w:tcPr>
          <w:p w14:paraId="035BFA8E" w14:textId="77777777" w:rsidR="00040D5B" w:rsidRPr="0059534C" w:rsidRDefault="00040D5B" w:rsidP="00040D5B">
            <w:pPr>
              <w:pStyle w:val="Tabletext0"/>
            </w:pPr>
            <w:r w:rsidRPr="0059534C">
              <w:t>TAVI-SEV=12.6% vs SAVR=14.0%, 95% CI: -5.2 to 2.3% (p-value for non-inferiority &gt;0.999)</w:t>
            </w:r>
          </w:p>
        </w:tc>
        <w:tc>
          <w:tcPr>
            <w:tcW w:w="1933" w:type="dxa"/>
            <w:tcBorders>
              <w:top w:val="single" w:sz="4" w:space="0" w:color="auto"/>
              <w:left w:val="single" w:sz="4" w:space="0" w:color="auto"/>
              <w:bottom w:val="single" w:sz="4" w:space="0" w:color="auto"/>
              <w:right w:val="single" w:sz="4" w:space="0" w:color="auto"/>
            </w:tcBorders>
          </w:tcPr>
          <w:p w14:paraId="7AA7BCD6" w14:textId="77777777" w:rsidR="00040D5B" w:rsidRPr="0059534C" w:rsidRDefault="00040D5B" w:rsidP="00040D5B">
            <w:pPr>
              <w:pStyle w:val="Tabletext0"/>
            </w:pPr>
            <w:r>
              <w:t>Not applicable</w:t>
            </w:r>
          </w:p>
        </w:tc>
      </w:tr>
    </w:tbl>
    <w:p w14:paraId="125CD126" w14:textId="77777777" w:rsidR="00040D5B" w:rsidRPr="00040D5B" w:rsidRDefault="00040D5B" w:rsidP="00040D5B">
      <w:pPr>
        <w:pStyle w:val="Tablenotes"/>
      </w:pPr>
      <w:r>
        <w:t xml:space="preserve">Source: </w:t>
      </w:r>
      <w:r w:rsidRPr="00121BC1">
        <w:rPr>
          <w:i/>
        </w:rPr>
        <w:t>Compiled from Table B-25 of the ADAR</w:t>
      </w:r>
    </w:p>
    <w:p w14:paraId="0DD058F4" w14:textId="77777777" w:rsidR="00F37B9C" w:rsidRDefault="00C06B0B" w:rsidP="00E40C30">
      <w:pPr>
        <w:tabs>
          <w:tab w:val="left" w:pos="720"/>
          <w:tab w:val="left" w:pos="1140"/>
        </w:tabs>
        <w:spacing w:after="120"/>
        <w:rPr>
          <w:b/>
          <w:szCs w:val="24"/>
        </w:rPr>
      </w:pPr>
      <w:r>
        <w:rPr>
          <w:b/>
          <w:szCs w:val="24"/>
        </w:rPr>
        <w:t>Clinical c</w:t>
      </w:r>
      <w:r w:rsidR="00F37B9C" w:rsidRPr="00F37B9C">
        <w:rPr>
          <w:b/>
          <w:szCs w:val="24"/>
        </w:rPr>
        <w:t>laim</w:t>
      </w:r>
    </w:p>
    <w:p w14:paraId="0CF13A52" w14:textId="77777777" w:rsidR="00040D5B" w:rsidRPr="00296D8C" w:rsidRDefault="00040D5B" w:rsidP="00040D5B">
      <w:pPr>
        <w:rPr>
          <w:u w:val="single"/>
        </w:rPr>
      </w:pPr>
      <w:r w:rsidRPr="00207F16">
        <w:rPr>
          <w:u w:val="single"/>
        </w:rPr>
        <w:t xml:space="preserve">TAVI-BEV </w:t>
      </w:r>
      <w:r w:rsidRPr="00121BC1">
        <w:rPr>
          <w:i/>
          <w:u w:val="single"/>
        </w:rPr>
        <w:t>vs.</w:t>
      </w:r>
      <w:r w:rsidRPr="00207F16">
        <w:rPr>
          <w:u w:val="single"/>
        </w:rPr>
        <w:t xml:space="preserve"> SAVR</w:t>
      </w:r>
    </w:p>
    <w:p w14:paraId="3266F90E" w14:textId="2535434A" w:rsidR="00040D5B" w:rsidRDefault="00040D5B" w:rsidP="00040D5B">
      <w:r>
        <w:t>The ADAR claimed that</w:t>
      </w:r>
      <w:r w:rsidRPr="00145E90">
        <w:t xml:space="preserve"> </w:t>
      </w:r>
      <w:r>
        <w:t>TAVI-BEV</w:t>
      </w:r>
      <w:r w:rsidRPr="00145E90">
        <w:t xml:space="preserve"> is superior to SAVR in patients with symptomatic severe AS at intermediate risk for surgery, in terms of</w:t>
      </w:r>
      <w:r>
        <w:t xml:space="preserve"> overall survival at 30-days and one</w:t>
      </w:r>
      <w:r>
        <w:noBreakHyphen/>
        <w:t xml:space="preserve">year </w:t>
      </w:r>
      <w:r w:rsidRPr="0059534C">
        <w:t>post</w:t>
      </w:r>
      <w:r>
        <w:t>-</w:t>
      </w:r>
      <w:r w:rsidRPr="0059534C">
        <w:t>procedure</w:t>
      </w:r>
      <w:r>
        <w:t>; and in terms of</w:t>
      </w:r>
      <w:r w:rsidRPr="0059534C">
        <w:t xml:space="preserve"> the risk of disabling stroke at 30 days and one-year post</w:t>
      </w:r>
      <w:r>
        <w:t>-</w:t>
      </w:r>
      <w:r w:rsidRPr="0059534C">
        <w:t>procedure</w:t>
      </w:r>
      <w:r>
        <w:t xml:space="preserve">. </w:t>
      </w:r>
      <w:r w:rsidRPr="00116C3B">
        <w:t xml:space="preserve">The ADAR claimed TAVI-BEV was inferior to SAVR in terms of post-procedural moderate-severe aortic regurgitation and need for aortic valve re-intervention. The </w:t>
      </w:r>
      <w:r w:rsidR="00DD7827">
        <w:t>Commentary</w:t>
      </w:r>
      <w:r>
        <w:t xml:space="preserve"> considered the </w:t>
      </w:r>
      <w:r w:rsidRPr="00116C3B">
        <w:t>clinical claim was</w:t>
      </w:r>
      <w:r>
        <w:t xml:space="preserve"> supported by the evidence base in the short term (up to 12 months), but noted that w</w:t>
      </w:r>
      <w:r w:rsidRPr="002B2817">
        <w:t xml:space="preserve">hile the propensity score adjustment controlled for all relevant observed characteristics, </w:t>
      </w:r>
      <w:r>
        <w:t xml:space="preserve">there remained </w:t>
      </w:r>
      <w:r w:rsidRPr="002B2817">
        <w:t>potential bias due to potential differences in unobserved variables</w:t>
      </w:r>
      <w:r>
        <w:t xml:space="preserve">. The </w:t>
      </w:r>
      <w:r w:rsidR="00DD7827">
        <w:t>Commentary</w:t>
      </w:r>
      <w:r>
        <w:t xml:space="preserve"> noted that b</w:t>
      </w:r>
      <w:r w:rsidRPr="00116C3B">
        <w:t>ased on the unadjusted analyses conducted by the ADAR, relative to SAVR, TAVI-BEV is also inferior for rates of new permanent pacemaker at 30-days and one-year, and superior for rates of myocardial infarction and atrial fibrillation at 30-days and one-year.</w:t>
      </w:r>
      <w:r>
        <w:t xml:space="preserve"> However, the ADAR did not make an explicit claim for comparative safety and both the ADAR and </w:t>
      </w:r>
      <w:r w:rsidR="00DD7827">
        <w:t>Commentary</w:t>
      </w:r>
      <w:r>
        <w:t xml:space="preserve"> considered that the unadjusted results were highly uncertain.</w:t>
      </w:r>
    </w:p>
    <w:p w14:paraId="336D5352" w14:textId="4F3DDB0F" w:rsidR="00040D5B" w:rsidRDefault="00040D5B" w:rsidP="0060464A">
      <w:pPr>
        <w:spacing w:before="240"/>
      </w:pPr>
      <w:r>
        <w:t xml:space="preserve">The </w:t>
      </w:r>
      <w:r w:rsidR="00DD7827">
        <w:t>Commentary</w:t>
      </w:r>
      <w:r>
        <w:t xml:space="preserve"> also noted that </w:t>
      </w:r>
      <w:r w:rsidRPr="00B37A07">
        <w:t>long-term comparative effectiveness and safety was</w:t>
      </w:r>
      <w:r>
        <w:t xml:space="preserve"> also uncertain as </w:t>
      </w:r>
      <w:r w:rsidRPr="00B37A07">
        <w:t>there was no comparative data provided beyond 12 months</w:t>
      </w:r>
      <w:r>
        <w:t xml:space="preserve"> for </w:t>
      </w:r>
      <w:r w:rsidR="00E40C30">
        <w:t>TAVI-BEV</w:t>
      </w:r>
      <w:r>
        <w:t xml:space="preserve"> </w:t>
      </w:r>
      <w:r w:rsidRPr="00296D8C">
        <w:rPr>
          <w:i/>
        </w:rPr>
        <w:t>vs</w:t>
      </w:r>
      <w:r>
        <w:t>. SAVR.</w:t>
      </w:r>
    </w:p>
    <w:p w14:paraId="65ABA4DC" w14:textId="23806A4A" w:rsidR="0060464A" w:rsidRDefault="00040D5B" w:rsidP="0060464A">
      <w:pPr>
        <w:spacing w:before="240"/>
      </w:pPr>
      <w:r>
        <w:t>In the pre-ESC response, the applicant highlighted that a recent presentation reporting on f</w:t>
      </w:r>
      <w:r w:rsidRPr="00E21E38">
        <w:t>ive-year outcome data fr</w:t>
      </w:r>
      <w:r w:rsidR="00F011D4">
        <w:t>om patients enrolled in PARTNER</w:t>
      </w:r>
      <w:r w:rsidRPr="00E21E38">
        <w:t xml:space="preserve"> 3Si</w:t>
      </w:r>
      <w:r>
        <w:t xml:space="preserve"> showed that differences between the TAVI-BEV and SAVR groups in terms of mortality and disabling stroke persisted, although survival curves for mortality began to converge from Year 3. The applicant also stated that follow-up data showed at 5 five years, the need for PPM still favoured SAVR (16.2% TAVI_BEV </w:t>
      </w:r>
      <w:r w:rsidRPr="007D5AC9">
        <w:rPr>
          <w:i/>
        </w:rPr>
        <w:t>vs.</w:t>
      </w:r>
      <w:r>
        <w:t xml:space="preserve"> 11.7% SAVR, p=0.01) but not aortic regurgitation (1.3% TAVI-BEV vs. 0.8% SAVR, p=0.31). In terms of valve integrity, the applicant indicated that very low rates of valve dysfunction were noted at five years: 0.63% haemodynamic valve deterioration and 0.6</w:t>
      </w:r>
      <w:r w:rsidR="003257BF">
        <w:t>3% bioprosthetic valve failure.</w:t>
      </w:r>
      <w:r w:rsidR="0060464A">
        <w:br w:type="page"/>
      </w:r>
    </w:p>
    <w:p w14:paraId="2ECF27B7" w14:textId="320E3247" w:rsidR="00040D5B" w:rsidRDefault="00040D5B" w:rsidP="0060464A">
      <w:pPr>
        <w:spacing w:before="240"/>
        <w:rPr>
          <w:u w:val="single"/>
        </w:rPr>
      </w:pPr>
      <w:r>
        <w:rPr>
          <w:u w:val="single"/>
        </w:rPr>
        <w:t xml:space="preserve">TAVI-BEV </w:t>
      </w:r>
      <w:r w:rsidRPr="00296D8C">
        <w:rPr>
          <w:i/>
          <w:u w:val="single"/>
        </w:rPr>
        <w:t>vs</w:t>
      </w:r>
      <w:r>
        <w:rPr>
          <w:u w:val="single"/>
        </w:rPr>
        <w:t>. TAVI-SEV</w:t>
      </w:r>
    </w:p>
    <w:p w14:paraId="5C335824" w14:textId="7EE1DB84" w:rsidR="00040D5B" w:rsidRDefault="00040D5B" w:rsidP="00040D5B">
      <w:r w:rsidRPr="00F17EC5">
        <w:t xml:space="preserve">The ADAR </w:t>
      </w:r>
      <w:r>
        <w:t>did not make a</w:t>
      </w:r>
      <w:r w:rsidRPr="00F17EC5">
        <w:t xml:space="preserve"> clinical claim for </w:t>
      </w:r>
      <w:r>
        <w:t xml:space="preserve">its comparison of </w:t>
      </w:r>
      <w:r w:rsidRPr="00F17EC5">
        <w:t>TAVI-BEV with TAVI-SEV, on the basis that there were no direct clinical trials and too much heterogeneity between studies to conduct an indirect comparison.</w:t>
      </w:r>
      <w:r>
        <w:t xml:space="preserve"> The </w:t>
      </w:r>
      <w:r w:rsidR="00DD7827">
        <w:t>Commentary</w:t>
      </w:r>
      <w:r>
        <w:t xml:space="preserve"> supported this conclusion noting that the key factors that affect the </w:t>
      </w:r>
      <w:r w:rsidRPr="00702A1C">
        <w:t>exchangeability PARTNER S3i and SURTAVI are</w:t>
      </w:r>
      <w:r>
        <w:t xml:space="preserve">: the different generation TAVI devices used with </w:t>
      </w:r>
      <w:r w:rsidR="00E40C30">
        <w:t>TAVI-BEV</w:t>
      </w:r>
      <w:r>
        <w:t xml:space="preserve"> a </w:t>
      </w:r>
      <w:r w:rsidRPr="009824D0">
        <w:t xml:space="preserve">newer generation </w:t>
      </w:r>
      <w:r>
        <w:t xml:space="preserve">device </w:t>
      </w:r>
      <w:r w:rsidRPr="00121BC1">
        <w:rPr>
          <w:i/>
        </w:rPr>
        <w:t>vs.</w:t>
      </w:r>
      <w:r>
        <w:t xml:space="preserve"> the predominant use [84%] of first generation devices, respectively; patients in PARTNER S3i were higher risk than SURTAVI (mean age 82 vs. 80 years, respectively; NYHA class II-IV 73-76% </w:t>
      </w:r>
      <w:r w:rsidRPr="00121BC1">
        <w:rPr>
          <w:i/>
        </w:rPr>
        <w:t>vs.</w:t>
      </w:r>
      <w:r>
        <w:t xml:space="preserve"> 58-60%, respectively; and atrial fibrillation 35=36% </w:t>
      </w:r>
      <w:r w:rsidRPr="00121BC1">
        <w:rPr>
          <w:i/>
        </w:rPr>
        <w:t>vs.</w:t>
      </w:r>
      <w:r>
        <w:t xml:space="preserve"> 27-28%, respectively).</w:t>
      </w:r>
    </w:p>
    <w:p w14:paraId="1EA514FF" w14:textId="254B150C" w:rsidR="00040D5B" w:rsidRDefault="00040D5B" w:rsidP="0060464A">
      <w:pPr>
        <w:spacing w:before="240"/>
      </w:pPr>
      <w:r>
        <w:t xml:space="preserve">The </w:t>
      </w:r>
      <w:r w:rsidR="00DD7827">
        <w:t>Commentary</w:t>
      </w:r>
      <w:r>
        <w:t xml:space="preserve"> noted that results of the SOLVE-TAVI trial </w:t>
      </w:r>
      <w:r w:rsidRPr="00A01A4B">
        <w:t xml:space="preserve">suggested that TAVI-BEV and TAVI-SEV were equivalent in terms of the composite primary endpoint ‘all-cause mortality, stroke, moderate/severe prosthetic valve regurgitation, and permanent pacemaker implantation’. </w:t>
      </w:r>
      <w:r>
        <w:t xml:space="preserve">The </w:t>
      </w:r>
      <w:r w:rsidR="00DD7827">
        <w:t>Commentary</w:t>
      </w:r>
      <w:r>
        <w:t xml:space="preserve"> highlighted that</w:t>
      </w:r>
      <w:r w:rsidRPr="00A01A4B">
        <w:t xml:space="preserve"> as the duration of follow-up in this study was only 30-days, the results should be interpreted with caution.</w:t>
      </w:r>
    </w:p>
    <w:p w14:paraId="3E233E13" w14:textId="77777777" w:rsidR="00040D5B" w:rsidRDefault="00040D5B" w:rsidP="00040D5B">
      <w:pPr>
        <w:pStyle w:val="Heading2"/>
      </w:pPr>
      <w:r>
        <w:t>Translation issues</w:t>
      </w:r>
    </w:p>
    <w:p w14:paraId="691124A9" w14:textId="77777777" w:rsidR="00040D5B" w:rsidRDefault="00040D5B" w:rsidP="00040D5B">
      <w:r>
        <w:t>There were several translation issues:</w:t>
      </w:r>
    </w:p>
    <w:p w14:paraId="51B8455B" w14:textId="2420A365" w:rsidR="00040D5B" w:rsidRDefault="00040D5B" w:rsidP="00040D5B">
      <w:pPr>
        <w:pStyle w:val="ListParagraph"/>
        <w:numPr>
          <w:ilvl w:val="0"/>
          <w:numId w:val="32"/>
        </w:numPr>
      </w:pPr>
      <w:r w:rsidRPr="002B1FC9">
        <w:t xml:space="preserve">Based on data presented by the ADAR, patients in PARTNER S3i appeared to be </w:t>
      </w:r>
      <w:r>
        <w:t xml:space="preserve">applicable or </w:t>
      </w:r>
      <w:r w:rsidRPr="002B1FC9">
        <w:t>broadly similar to the proposed MBS p</w:t>
      </w:r>
      <w:r>
        <w:t xml:space="preserve">opulation. </w:t>
      </w:r>
      <w:r w:rsidRPr="002B1FC9">
        <w:t>However,</w:t>
      </w:r>
      <w:r>
        <w:t xml:space="preserve"> the </w:t>
      </w:r>
      <w:r w:rsidR="00DD7827">
        <w:t>Commentary</w:t>
      </w:r>
      <w:r w:rsidRPr="002B1FC9">
        <w:t xml:space="preserve"> noted that patients treated with various TAVI devices (which included TAVI-BEV) in Australian studies had substantially longer stays in hospital (mean: 6-9 days) than patients in PARTNER S3i (median 4-days) (Lee et al., 2019</w:t>
      </w:r>
      <w:r>
        <w:t xml:space="preserve"> </w:t>
      </w:r>
      <w:r>
        <w:rPr>
          <w:rStyle w:val="FootnoteReference"/>
        </w:rPr>
        <w:footnoteReference w:id="13"/>
      </w:r>
      <w:r w:rsidRPr="002B1FC9">
        <w:t>; Thourani et al., 2016</w:t>
      </w:r>
      <w:r>
        <w:t xml:space="preserve"> </w:t>
      </w:r>
      <w:r>
        <w:rPr>
          <w:rStyle w:val="FootnoteReference"/>
        </w:rPr>
        <w:footnoteReference w:id="14"/>
      </w:r>
      <w:r>
        <w:t xml:space="preserve">). </w:t>
      </w:r>
      <w:r w:rsidRPr="002B1FC9">
        <w:t xml:space="preserve">As the ADAR used the ratio of hospital stay between </w:t>
      </w:r>
      <w:r w:rsidR="00E40C30">
        <w:t>TAVI-BEV</w:t>
      </w:r>
      <w:r w:rsidRPr="002B1FC9">
        <w:t xml:space="preserve"> and SAVR patients (median 4 days [range: 1.0-122.0] </w:t>
      </w:r>
      <w:r w:rsidRPr="003027E7">
        <w:rPr>
          <w:i/>
        </w:rPr>
        <w:t>vs.</w:t>
      </w:r>
      <w:r w:rsidRPr="002B1FC9">
        <w:t xml:space="preserve"> 9 days (range: 1.0-77.0]) in PARTNER S3i to derive the hospitalisation cost of TAVI-BEV, the extent of the reduction in hospitalisation costs due to treat</w:t>
      </w:r>
      <w:r>
        <w:t>ment with TAVI-BEV is uncertain</w:t>
      </w:r>
    </w:p>
    <w:p w14:paraId="2549855C" w14:textId="2C7EDACF" w:rsidR="00040D5B" w:rsidRPr="00DA49AC" w:rsidRDefault="00040D5B" w:rsidP="00040D5B">
      <w:pPr>
        <w:pStyle w:val="ListParagraph"/>
        <w:numPr>
          <w:ilvl w:val="0"/>
          <w:numId w:val="32"/>
        </w:numPr>
        <w:tabs>
          <w:tab w:val="left" w:pos="720"/>
          <w:tab w:val="left" w:pos="1140"/>
        </w:tabs>
        <w:rPr>
          <w:szCs w:val="24"/>
        </w:rPr>
      </w:pPr>
      <w:r>
        <w:t xml:space="preserve">The ADAR did not present any justification for the selection of utility values in Section C. The </w:t>
      </w:r>
      <w:r w:rsidR="00DD7827">
        <w:t>Commentary</w:t>
      </w:r>
      <w:r>
        <w:t xml:space="preserve"> considered it was not reasonable to assume that patients without stroke, with severe AS and who have undergone major surgery (either with TAVI-BEV or SAVR) have similar utility values to Australian population norms; they would have substantially lower utility values than the general population. Moreover, the MSAC has previously considered this approach inappropriate </w:t>
      </w:r>
      <w:r w:rsidRPr="004D0A62">
        <w:rPr>
          <w:szCs w:val="24"/>
        </w:rPr>
        <w:t>[</w:t>
      </w:r>
      <w:hyperlink r:id="rId22" w:history="1">
        <w:r w:rsidRPr="004D0A62">
          <w:rPr>
            <w:rStyle w:val="Hyperlink"/>
            <w:szCs w:val="24"/>
          </w:rPr>
          <w:t>PSD Application No. 1361</w:t>
        </w:r>
      </w:hyperlink>
      <w:r w:rsidRPr="004D0A62">
        <w:rPr>
          <w:szCs w:val="24"/>
        </w:rPr>
        <w:t xml:space="preserve">, p4]. </w:t>
      </w:r>
      <w:r>
        <w:t xml:space="preserve">A more reasonable approach would have been to directly apply the utility values from PARTNER S3i as was done by Baron et al., 2018 </w:t>
      </w:r>
      <w:r>
        <w:rPr>
          <w:rStyle w:val="FootnoteReference"/>
        </w:rPr>
        <w:footnoteReference w:id="15"/>
      </w:r>
      <w:r>
        <w:t xml:space="preserve">. The published economic model of TAVI-BEV comparing SAVR in patients with severe, symptomatic AS at intermediate risk of surgery in the Australian context (Zhou et al., 2019) applied trial-based utility values derived from (Baron et al., 2018). </w:t>
      </w:r>
      <w:r w:rsidRPr="00296D8C">
        <w:rPr>
          <w:iCs/>
        </w:rPr>
        <w:t xml:space="preserve">However, the </w:t>
      </w:r>
      <w:r w:rsidR="00DD7827">
        <w:rPr>
          <w:iCs/>
        </w:rPr>
        <w:t>Commentary</w:t>
      </w:r>
      <w:r>
        <w:rPr>
          <w:iCs/>
        </w:rPr>
        <w:t xml:space="preserve"> considered that the </w:t>
      </w:r>
      <w:r w:rsidRPr="00296D8C">
        <w:rPr>
          <w:iCs/>
        </w:rPr>
        <w:t>selection of utility values was not a significant driver of the economic model</w:t>
      </w:r>
    </w:p>
    <w:p w14:paraId="108DD0F9" w14:textId="340D0FB1" w:rsidR="00040D5B" w:rsidRPr="00040D5B" w:rsidRDefault="00040D5B" w:rsidP="00040D5B">
      <w:pPr>
        <w:pStyle w:val="ListParagraph"/>
        <w:numPr>
          <w:ilvl w:val="0"/>
          <w:numId w:val="32"/>
        </w:numPr>
      </w:pPr>
      <w:r>
        <w:t xml:space="preserve">The ADAR derived transition probabilities from the PARTNER S3i study, which </w:t>
      </w:r>
      <w:r w:rsidRPr="0034399B">
        <w:t xml:space="preserve">reported on outcomes at 30 days and </w:t>
      </w:r>
      <w:r>
        <w:t>12-month follow-up</w:t>
      </w:r>
      <w:r w:rsidRPr="0034399B">
        <w:t>. For the first 30-day cycle of the model, transition probabilities were based on the risks of 30-day outcomes observed in PARTNER S3i.</w:t>
      </w:r>
      <w:r w:rsidRPr="000D4360">
        <w:t xml:space="preserve"> For cycles 2-12 (until one-year post procedure), transition probabilities were estimated usin</w:t>
      </w:r>
      <w:r>
        <w:t xml:space="preserve">g the 12-month follow-up data. </w:t>
      </w:r>
      <w:r w:rsidRPr="00E8431D">
        <w:t xml:space="preserve">From Cycle 13 (Year 1) onwards, transition probabilities were based on Australian age and sex-specific data for mortality and hospitalisations, but no differences in these probabilities were assumed between the </w:t>
      </w:r>
      <w:r>
        <w:t>TAVI-BEV</w:t>
      </w:r>
      <w:r w:rsidRPr="00E8431D">
        <w:t xml:space="preserve"> and SAVR groups</w:t>
      </w:r>
      <w:r>
        <w:t xml:space="preserve"> (i.e. no treatment benefit after 12-months). The </w:t>
      </w:r>
      <w:r w:rsidR="00DD7827">
        <w:t>Commentary</w:t>
      </w:r>
      <w:r>
        <w:t xml:space="preserve"> considered that t</w:t>
      </w:r>
      <w:r w:rsidRPr="00485398">
        <w:t>he impact of this approach was uncertain, given no longer-term data are available to inform the maintenance of treatment benefit of TAVI-BEV compared to SAVR</w:t>
      </w:r>
      <w:r>
        <w:t xml:space="preserve"> (see model validation below)</w:t>
      </w:r>
      <w:r w:rsidRPr="00485398">
        <w:t xml:space="preserve">. </w:t>
      </w:r>
      <w:r>
        <w:t xml:space="preserve">The </w:t>
      </w:r>
      <w:r w:rsidR="00DD7827">
        <w:t>Commentary</w:t>
      </w:r>
      <w:r>
        <w:t xml:space="preserve"> noted that t</w:t>
      </w:r>
      <w:r w:rsidRPr="00485398">
        <w:t xml:space="preserve">he economic model considered in MSAC 1361 for high risk patients relied upon longer term follow-up data (PARTNER </w:t>
      </w:r>
      <w:r w:rsidR="000E6900">
        <w:t xml:space="preserve">trial </w:t>
      </w:r>
      <w:r w:rsidRPr="00485398">
        <w:t>had 5-years of published follow-up data) than was available for the current application in intermediate-risk patients (PARTNER S3i had 12-months of published follow-up data).</w:t>
      </w:r>
    </w:p>
    <w:p w14:paraId="2B969CED" w14:textId="77777777" w:rsidR="00BC1364" w:rsidRPr="00F715D1" w:rsidRDefault="00BC1364" w:rsidP="00F715D1">
      <w:pPr>
        <w:pStyle w:val="Heading1"/>
      </w:pPr>
      <w:r w:rsidRPr="0060464A">
        <w:t xml:space="preserve">Economic </w:t>
      </w:r>
      <w:r w:rsidRPr="00F715D1">
        <w:t>evaluation</w:t>
      </w:r>
    </w:p>
    <w:p w14:paraId="4C0EF9FA" w14:textId="790AC694" w:rsidR="00040D5B" w:rsidRDefault="00040D5B" w:rsidP="00040D5B">
      <w:r>
        <w:t xml:space="preserve">The ADAR presented two cost-utility analyses (CUAs): a primary comparison of TAVI-BEV with SAVR and a secondary comparison of TAVI-BEV with TAVI-SEV. CUA was considered the most appropriate form of economic evaluation for TAVI-BEV based on the clinical claim of superior effectiveness compared with SAVR in terms of death and disabling stroke but inferior </w:t>
      </w:r>
      <w:r w:rsidRPr="00D1389A">
        <w:t>in terms of aortic regurgitation and aortic valve re-intervention.</w:t>
      </w:r>
      <w:r>
        <w:t xml:space="preserve"> The </w:t>
      </w:r>
      <w:r w:rsidR="00DD7827">
        <w:t>Commentary</w:t>
      </w:r>
      <w:r>
        <w:t xml:space="preserve"> highlighted that the ADAR did not make an explicit clinical claim against TAVI-SEV, which is typically necessary to s</w:t>
      </w:r>
      <w:r w:rsidR="00ED374F">
        <w:t>upport the rationale for a CUA.</w:t>
      </w:r>
    </w:p>
    <w:p w14:paraId="5F145024" w14:textId="467CFBB5" w:rsidR="00E40CBB" w:rsidRPr="0060464A" w:rsidRDefault="00E40CBB" w:rsidP="0060464A">
      <w:pPr>
        <w:spacing w:before="240"/>
      </w:pPr>
      <w:r>
        <w:t>Table 9</w:t>
      </w:r>
      <w:r w:rsidR="00040D5B">
        <w:t xml:space="preserve"> presents a summary of the economic evaluations. A comparison of the current economic evaluation with the economic evaluations for the high risk and inoperable populations is presented in </w:t>
      </w:r>
      <w:r>
        <w:t>Table 10</w:t>
      </w:r>
      <w:r w:rsidR="00ED374F">
        <w:t>.</w:t>
      </w:r>
      <w:bookmarkStart w:id="5" w:name="_Ref51848612"/>
      <w:r>
        <w:br w:type="page"/>
      </w:r>
    </w:p>
    <w:p w14:paraId="77C7CA0A" w14:textId="6640CD64" w:rsidR="00040D5B" w:rsidRPr="00AC061E" w:rsidRDefault="00040D5B" w:rsidP="00AC061E">
      <w:pPr>
        <w:rPr>
          <w:rFonts w:ascii="Arial Narrow" w:hAnsi="Arial Narrow"/>
          <w:b/>
          <w:sz w:val="20"/>
        </w:rPr>
      </w:pPr>
      <w:r w:rsidRPr="00AC061E">
        <w:rPr>
          <w:rFonts w:ascii="Arial Narrow" w:hAnsi="Arial Narrow"/>
          <w:b/>
          <w:sz w:val="20"/>
        </w:rPr>
        <w:t xml:space="preserve">Table </w:t>
      </w:r>
      <w:bookmarkEnd w:id="5"/>
      <w:r w:rsidR="005D25EA" w:rsidRPr="00AC061E">
        <w:rPr>
          <w:rFonts w:ascii="Arial Narrow" w:hAnsi="Arial Narrow"/>
          <w:b/>
          <w:sz w:val="20"/>
        </w:rPr>
        <w:t>9</w:t>
      </w:r>
      <w:r w:rsidR="00E40C30" w:rsidRPr="00AC061E">
        <w:rPr>
          <w:rFonts w:ascii="Arial Narrow" w:hAnsi="Arial Narrow"/>
          <w:b/>
          <w:sz w:val="20"/>
        </w:rPr>
        <w:tab/>
      </w:r>
      <w:r w:rsidRPr="00AC061E">
        <w:rPr>
          <w:rFonts w:ascii="Arial Narrow" w:hAnsi="Arial Narrow"/>
          <w:b/>
          <w:sz w:val="20"/>
        </w:rPr>
        <w:t>Summary of the economic evaluation</w:t>
      </w:r>
    </w:p>
    <w:tbl>
      <w:tblPr>
        <w:tblStyle w:val="TableGrid2"/>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09"/>
        <w:gridCol w:w="5907"/>
      </w:tblGrid>
      <w:tr w:rsidR="00040D5B" w:rsidRPr="004E70E0" w14:paraId="174D367D" w14:textId="77777777" w:rsidTr="00C55A2D">
        <w:trPr>
          <w:cnfStyle w:val="100000000000" w:firstRow="1" w:lastRow="0" w:firstColumn="0" w:lastColumn="0" w:oddVBand="0" w:evenVBand="0" w:oddHBand="0" w:evenHBand="0" w:firstRowFirstColumn="0" w:firstRowLastColumn="0" w:lastRowFirstColumn="0" w:lastRowLastColumn="0"/>
          <w:trHeight w:val="20"/>
          <w:tblHeader/>
        </w:trPr>
        <w:tc>
          <w:tcPr>
            <w:tcW w:w="1724" w:type="pct"/>
          </w:tcPr>
          <w:p w14:paraId="469EC896" w14:textId="77777777" w:rsidR="00040D5B" w:rsidRPr="004E70E0" w:rsidRDefault="00040D5B" w:rsidP="00B14FF0">
            <w:pPr>
              <w:keepNext/>
              <w:keepLines/>
              <w:rPr>
                <w:rFonts w:ascii="Arial Narrow" w:hAnsi="Arial Narrow" w:cs="Tahoma"/>
                <w:sz w:val="20"/>
              </w:rPr>
            </w:pPr>
            <w:r w:rsidRPr="004E70E0">
              <w:rPr>
                <w:rFonts w:ascii="Arial Narrow" w:hAnsi="Arial Narrow" w:cs="Tahoma"/>
                <w:sz w:val="20"/>
              </w:rPr>
              <w:t>Perspective</w:t>
            </w:r>
          </w:p>
        </w:tc>
        <w:tc>
          <w:tcPr>
            <w:tcW w:w="3276" w:type="pct"/>
          </w:tcPr>
          <w:p w14:paraId="5481EC25" w14:textId="77777777" w:rsidR="00040D5B" w:rsidRPr="004E70E0" w:rsidRDefault="00040D5B" w:rsidP="00B14FF0">
            <w:pPr>
              <w:keepNext/>
              <w:keepLines/>
              <w:rPr>
                <w:rFonts w:ascii="Arial Narrow" w:hAnsi="Arial Narrow" w:cs="Tahoma"/>
                <w:sz w:val="20"/>
              </w:rPr>
            </w:pPr>
            <w:r w:rsidRPr="004E70E0">
              <w:rPr>
                <w:rFonts w:ascii="Arial Narrow" w:hAnsi="Arial Narrow" w:cs="Tahoma"/>
                <w:sz w:val="20"/>
              </w:rPr>
              <w:t>Australian health-care system perspective</w:t>
            </w:r>
          </w:p>
        </w:tc>
      </w:tr>
      <w:tr w:rsidR="00040D5B" w:rsidRPr="004E70E0" w14:paraId="0063CB65" w14:textId="77777777" w:rsidTr="00C55A2D">
        <w:trPr>
          <w:trHeight w:val="20"/>
        </w:trPr>
        <w:tc>
          <w:tcPr>
            <w:tcW w:w="1724" w:type="pct"/>
          </w:tcPr>
          <w:p w14:paraId="0830143C" w14:textId="77777777" w:rsidR="00040D5B" w:rsidRPr="004E70E0" w:rsidRDefault="00040D5B" w:rsidP="00B14FF0">
            <w:pPr>
              <w:keepNext/>
              <w:keepLines/>
              <w:rPr>
                <w:rFonts w:cs="Tahoma"/>
                <w:sz w:val="20"/>
              </w:rPr>
            </w:pPr>
            <w:r w:rsidRPr="004E70E0">
              <w:rPr>
                <w:rFonts w:cs="Tahoma"/>
                <w:sz w:val="20"/>
              </w:rPr>
              <w:t>Comparator</w:t>
            </w:r>
          </w:p>
        </w:tc>
        <w:tc>
          <w:tcPr>
            <w:tcW w:w="3276" w:type="pct"/>
          </w:tcPr>
          <w:p w14:paraId="3784E577" w14:textId="77777777" w:rsidR="00040D5B" w:rsidRPr="004E70E0" w:rsidRDefault="00040D5B" w:rsidP="00B14FF0">
            <w:pPr>
              <w:keepNext/>
              <w:keepLines/>
              <w:rPr>
                <w:rFonts w:cs="Tahoma"/>
                <w:sz w:val="20"/>
              </w:rPr>
            </w:pPr>
            <w:r w:rsidRPr="004E70E0">
              <w:rPr>
                <w:rFonts w:cs="Tahoma"/>
                <w:sz w:val="20"/>
              </w:rPr>
              <w:t>SAVR or TAVI-SEV</w:t>
            </w:r>
          </w:p>
        </w:tc>
      </w:tr>
      <w:tr w:rsidR="00040D5B" w:rsidRPr="004E70E0" w14:paraId="57BE425B" w14:textId="77777777" w:rsidTr="00C55A2D">
        <w:trPr>
          <w:trHeight w:val="20"/>
        </w:trPr>
        <w:tc>
          <w:tcPr>
            <w:tcW w:w="1724" w:type="pct"/>
          </w:tcPr>
          <w:p w14:paraId="0F7E87E8" w14:textId="77777777" w:rsidR="00040D5B" w:rsidRPr="004E70E0" w:rsidRDefault="00040D5B" w:rsidP="00B14FF0">
            <w:pPr>
              <w:keepNext/>
              <w:keepLines/>
              <w:rPr>
                <w:rFonts w:cs="Tahoma"/>
                <w:sz w:val="20"/>
              </w:rPr>
            </w:pPr>
            <w:r w:rsidRPr="004E70E0">
              <w:rPr>
                <w:rFonts w:cs="Tahoma"/>
                <w:sz w:val="20"/>
              </w:rPr>
              <w:t>Type of economic evaluation</w:t>
            </w:r>
          </w:p>
        </w:tc>
        <w:tc>
          <w:tcPr>
            <w:tcW w:w="3276" w:type="pct"/>
          </w:tcPr>
          <w:p w14:paraId="04309B30" w14:textId="77777777" w:rsidR="00040D5B" w:rsidRPr="004E70E0" w:rsidRDefault="00040D5B" w:rsidP="00B14FF0">
            <w:pPr>
              <w:keepNext/>
              <w:keepLines/>
              <w:rPr>
                <w:rFonts w:cs="Tahoma"/>
                <w:sz w:val="20"/>
              </w:rPr>
            </w:pPr>
            <w:r w:rsidRPr="004E70E0">
              <w:rPr>
                <w:rFonts w:cs="Tahoma"/>
                <w:sz w:val="20"/>
              </w:rPr>
              <w:t>Cost-utility analysis</w:t>
            </w:r>
          </w:p>
        </w:tc>
      </w:tr>
      <w:tr w:rsidR="00040D5B" w:rsidRPr="004E70E0" w14:paraId="43072A39" w14:textId="77777777" w:rsidTr="00C55A2D">
        <w:trPr>
          <w:trHeight w:val="20"/>
        </w:trPr>
        <w:tc>
          <w:tcPr>
            <w:tcW w:w="1724" w:type="pct"/>
          </w:tcPr>
          <w:p w14:paraId="390478C1" w14:textId="77777777" w:rsidR="00040D5B" w:rsidRPr="004E70E0" w:rsidRDefault="00040D5B" w:rsidP="00B14FF0">
            <w:pPr>
              <w:rPr>
                <w:rFonts w:cs="Tahoma"/>
                <w:sz w:val="20"/>
              </w:rPr>
            </w:pPr>
            <w:r w:rsidRPr="004E70E0">
              <w:rPr>
                <w:rFonts w:cs="Tahoma"/>
                <w:sz w:val="20"/>
              </w:rPr>
              <w:t>Sources of evidence</w:t>
            </w:r>
          </w:p>
        </w:tc>
        <w:tc>
          <w:tcPr>
            <w:tcW w:w="3276" w:type="pct"/>
          </w:tcPr>
          <w:p w14:paraId="7B994C0B" w14:textId="77777777" w:rsidR="00040D5B" w:rsidRPr="004E70E0" w:rsidRDefault="00040D5B" w:rsidP="00B14FF0">
            <w:pPr>
              <w:rPr>
                <w:rFonts w:cs="Tahoma"/>
                <w:sz w:val="20"/>
              </w:rPr>
            </w:pPr>
            <w:r w:rsidRPr="004E70E0">
              <w:rPr>
                <w:rFonts w:cs="Tahoma"/>
                <w:sz w:val="20"/>
              </w:rPr>
              <w:t>Clinical data from PARTNER S3i</w:t>
            </w:r>
            <w:r>
              <w:rPr>
                <w:rFonts w:cs="Tahoma"/>
                <w:sz w:val="20"/>
              </w:rPr>
              <w:t xml:space="preserve"> </w:t>
            </w:r>
            <w:r>
              <w:rPr>
                <w:rFonts w:cs="Tahoma"/>
                <w:sz w:val="20"/>
                <w:vertAlign w:val="superscript"/>
              </w:rPr>
              <w:t>a</w:t>
            </w:r>
            <w:r w:rsidRPr="004E70E0">
              <w:rPr>
                <w:rFonts w:cs="Tahoma"/>
                <w:sz w:val="20"/>
              </w:rPr>
              <w:t xml:space="preserve"> </w:t>
            </w:r>
            <w:r>
              <w:rPr>
                <w:rFonts w:cs="Tahoma"/>
                <w:sz w:val="20"/>
              </w:rPr>
              <w:t>published</w:t>
            </w:r>
            <w:r w:rsidRPr="004E70E0">
              <w:rPr>
                <w:rFonts w:cs="Tahoma"/>
                <w:sz w:val="20"/>
              </w:rPr>
              <w:t xml:space="preserve"> data from AIHW and ABS</w:t>
            </w:r>
          </w:p>
        </w:tc>
      </w:tr>
      <w:tr w:rsidR="00040D5B" w:rsidRPr="004E70E0" w14:paraId="13F4879B" w14:textId="77777777" w:rsidTr="00C55A2D">
        <w:trPr>
          <w:trHeight w:val="20"/>
        </w:trPr>
        <w:tc>
          <w:tcPr>
            <w:tcW w:w="1724" w:type="pct"/>
            <w:hideMark/>
          </w:tcPr>
          <w:p w14:paraId="04EB99AA" w14:textId="77777777" w:rsidR="00040D5B" w:rsidRPr="004E70E0" w:rsidRDefault="00040D5B" w:rsidP="00B14FF0">
            <w:pPr>
              <w:rPr>
                <w:rFonts w:cs="Tahoma"/>
                <w:sz w:val="20"/>
              </w:rPr>
            </w:pPr>
            <w:r w:rsidRPr="004E70E0">
              <w:rPr>
                <w:rFonts w:cs="Tahoma"/>
                <w:sz w:val="20"/>
              </w:rPr>
              <w:t>Time horizon</w:t>
            </w:r>
          </w:p>
        </w:tc>
        <w:tc>
          <w:tcPr>
            <w:tcW w:w="3276" w:type="pct"/>
            <w:hideMark/>
          </w:tcPr>
          <w:p w14:paraId="5D72B0C6" w14:textId="77777777" w:rsidR="00040D5B" w:rsidRPr="004E70E0" w:rsidRDefault="00040D5B" w:rsidP="00B14FF0">
            <w:pPr>
              <w:rPr>
                <w:rFonts w:cs="Tahoma"/>
                <w:sz w:val="20"/>
              </w:rPr>
            </w:pPr>
            <w:r w:rsidRPr="004E70E0">
              <w:rPr>
                <w:rFonts w:cs="Tahoma"/>
                <w:sz w:val="20"/>
              </w:rPr>
              <w:t>10 years (base-case). 5 and 20 years were presented in sensitivity analyses</w:t>
            </w:r>
          </w:p>
        </w:tc>
      </w:tr>
      <w:tr w:rsidR="00040D5B" w:rsidRPr="004E70E0" w14:paraId="57063D3F" w14:textId="77777777" w:rsidTr="00C55A2D">
        <w:trPr>
          <w:trHeight w:val="20"/>
        </w:trPr>
        <w:tc>
          <w:tcPr>
            <w:tcW w:w="1724" w:type="pct"/>
            <w:hideMark/>
          </w:tcPr>
          <w:p w14:paraId="2702F976" w14:textId="77777777" w:rsidR="00040D5B" w:rsidRPr="004E70E0" w:rsidRDefault="00040D5B" w:rsidP="00B14FF0">
            <w:pPr>
              <w:rPr>
                <w:rFonts w:cs="Tahoma"/>
                <w:sz w:val="20"/>
              </w:rPr>
            </w:pPr>
            <w:r w:rsidRPr="004E70E0">
              <w:rPr>
                <w:rFonts w:cs="Tahoma"/>
                <w:sz w:val="20"/>
              </w:rPr>
              <w:t>Outcomes</w:t>
            </w:r>
          </w:p>
        </w:tc>
        <w:tc>
          <w:tcPr>
            <w:tcW w:w="3276" w:type="pct"/>
          </w:tcPr>
          <w:p w14:paraId="3828E787" w14:textId="77777777" w:rsidR="00040D5B" w:rsidRPr="004E70E0" w:rsidRDefault="00040D5B" w:rsidP="00B14FF0">
            <w:pPr>
              <w:numPr>
                <w:ilvl w:val="0"/>
                <w:numId w:val="33"/>
              </w:numPr>
              <w:spacing w:line="312" w:lineRule="auto"/>
              <w:ind w:left="357" w:hanging="357"/>
              <w:jc w:val="both"/>
              <w:rPr>
                <w:rFonts w:cs="Tahoma"/>
                <w:sz w:val="20"/>
              </w:rPr>
            </w:pPr>
            <w:r w:rsidRPr="004E70E0">
              <w:rPr>
                <w:rFonts w:cs="Tahoma"/>
                <w:sz w:val="20"/>
              </w:rPr>
              <w:t>Disabling stroke – non-fatal and fatal</w:t>
            </w:r>
          </w:p>
          <w:p w14:paraId="144700B6" w14:textId="77777777" w:rsidR="00040D5B" w:rsidRPr="004E70E0" w:rsidRDefault="00040D5B" w:rsidP="00B14FF0">
            <w:pPr>
              <w:numPr>
                <w:ilvl w:val="0"/>
                <w:numId w:val="33"/>
              </w:numPr>
              <w:spacing w:line="312" w:lineRule="auto"/>
              <w:ind w:left="357" w:hanging="357"/>
              <w:jc w:val="both"/>
              <w:rPr>
                <w:rFonts w:cs="Tahoma"/>
                <w:sz w:val="20"/>
              </w:rPr>
            </w:pPr>
            <w:r w:rsidRPr="004E70E0">
              <w:rPr>
                <w:rFonts w:cs="Tahoma"/>
                <w:sz w:val="20"/>
              </w:rPr>
              <w:t>Deaths from causes other than disabling stroke</w:t>
            </w:r>
          </w:p>
          <w:p w14:paraId="02F2F15B" w14:textId="77777777" w:rsidR="00040D5B" w:rsidRPr="004E70E0" w:rsidRDefault="00040D5B" w:rsidP="00B14FF0">
            <w:pPr>
              <w:numPr>
                <w:ilvl w:val="0"/>
                <w:numId w:val="33"/>
              </w:numPr>
              <w:spacing w:line="312" w:lineRule="auto"/>
              <w:ind w:left="357" w:hanging="357"/>
              <w:jc w:val="both"/>
              <w:rPr>
                <w:rFonts w:cs="Tahoma"/>
                <w:sz w:val="20"/>
              </w:rPr>
            </w:pPr>
            <w:r w:rsidRPr="004E70E0">
              <w:rPr>
                <w:rFonts w:cs="Tahoma"/>
                <w:sz w:val="20"/>
              </w:rPr>
              <w:t>Life years lived</w:t>
            </w:r>
          </w:p>
          <w:p w14:paraId="3D21DC1E" w14:textId="77777777" w:rsidR="00040D5B" w:rsidRPr="004E70E0" w:rsidRDefault="00040D5B" w:rsidP="00B14FF0">
            <w:pPr>
              <w:numPr>
                <w:ilvl w:val="0"/>
                <w:numId w:val="33"/>
              </w:numPr>
              <w:spacing w:line="312" w:lineRule="auto"/>
              <w:ind w:left="357" w:hanging="357"/>
              <w:jc w:val="both"/>
              <w:rPr>
                <w:rFonts w:cs="Tahoma"/>
                <w:sz w:val="20"/>
              </w:rPr>
            </w:pPr>
            <w:r w:rsidRPr="004E70E0">
              <w:rPr>
                <w:rFonts w:cs="Tahoma"/>
                <w:sz w:val="20"/>
              </w:rPr>
              <w:t>Quality-adjusted life-years lived</w:t>
            </w:r>
          </w:p>
        </w:tc>
      </w:tr>
      <w:tr w:rsidR="00040D5B" w:rsidRPr="004E70E0" w14:paraId="6768E372" w14:textId="77777777" w:rsidTr="00C55A2D">
        <w:trPr>
          <w:trHeight w:val="20"/>
        </w:trPr>
        <w:tc>
          <w:tcPr>
            <w:tcW w:w="1724" w:type="pct"/>
          </w:tcPr>
          <w:p w14:paraId="25687C45" w14:textId="77777777" w:rsidR="00040D5B" w:rsidRPr="004E70E0" w:rsidRDefault="00040D5B" w:rsidP="00B14FF0">
            <w:pPr>
              <w:rPr>
                <w:rFonts w:cs="Tahoma"/>
                <w:sz w:val="20"/>
              </w:rPr>
            </w:pPr>
            <w:r w:rsidRPr="004E70E0">
              <w:rPr>
                <w:rFonts w:cs="Tahoma"/>
                <w:sz w:val="20"/>
              </w:rPr>
              <w:t>Adverse events</w:t>
            </w:r>
          </w:p>
        </w:tc>
        <w:tc>
          <w:tcPr>
            <w:tcW w:w="3276" w:type="pct"/>
          </w:tcPr>
          <w:p w14:paraId="34742980" w14:textId="77777777" w:rsidR="00040D5B" w:rsidRPr="004E70E0" w:rsidRDefault="00040D5B" w:rsidP="00B14FF0">
            <w:pPr>
              <w:rPr>
                <w:rFonts w:cs="Tahoma"/>
                <w:sz w:val="20"/>
              </w:rPr>
            </w:pPr>
            <w:r w:rsidRPr="004E70E0">
              <w:rPr>
                <w:rFonts w:cs="Tahoma"/>
                <w:sz w:val="20"/>
              </w:rPr>
              <w:t>Life-threatening or disabling bleeding, major vascular complications, acute kidney injury, myocardial infarction, new atrial fibrillation, new permanent pacemaker, aortic valve re-intervention, paravalvular leak</w:t>
            </w:r>
          </w:p>
        </w:tc>
      </w:tr>
      <w:tr w:rsidR="00040D5B" w:rsidRPr="004E70E0" w14:paraId="3B3312E6" w14:textId="77777777" w:rsidTr="00C55A2D">
        <w:trPr>
          <w:trHeight w:val="20"/>
        </w:trPr>
        <w:tc>
          <w:tcPr>
            <w:tcW w:w="1724" w:type="pct"/>
            <w:hideMark/>
          </w:tcPr>
          <w:p w14:paraId="3DEA8559" w14:textId="77777777" w:rsidR="00040D5B" w:rsidRPr="004E70E0" w:rsidRDefault="00040D5B" w:rsidP="00B14FF0">
            <w:pPr>
              <w:rPr>
                <w:rFonts w:cs="Tahoma"/>
                <w:sz w:val="20"/>
              </w:rPr>
            </w:pPr>
            <w:r w:rsidRPr="004E70E0">
              <w:rPr>
                <w:rFonts w:cs="Tahoma"/>
                <w:sz w:val="20"/>
              </w:rPr>
              <w:t>Methods used to generate results</w:t>
            </w:r>
          </w:p>
        </w:tc>
        <w:tc>
          <w:tcPr>
            <w:tcW w:w="3276" w:type="pct"/>
          </w:tcPr>
          <w:p w14:paraId="690A879D" w14:textId="77777777" w:rsidR="00040D5B" w:rsidRPr="004E70E0" w:rsidRDefault="00040D5B" w:rsidP="00B14FF0">
            <w:pPr>
              <w:rPr>
                <w:rFonts w:cs="Tahoma"/>
                <w:sz w:val="20"/>
              </w:rPr>
            </w:pPr>
            <w:r w:rsidRPr="004E70E0">
              <w:rPr>
                <w:rFonts w:cs="Tahoma"/>
                <w:sz w:val="20"/>
              </w:rPr>
              <w:t>Decision analysis</w:t>
            </w:r>
          </w:p>
          <w:p w14:paraId="54017B89" w14:textId="77777777" w:rsidR="00040D5B" w:rsidRPr="004E70E0" w:rsidRDefault="00040D5B" w:rsidP="00B14FF0">
            <w:pPr>
              <w:rPr>
                <w:rFonts w:cs="Tahoma"/>
                <w:sz w:val="20"/>
              </w:rPr>
            </w:pPr>
            <w:r w:rsidRPr="004E70E0">
              <w:rPr>
                <w:rFonts w:cs="Tahoma"/>
                <w:sz w:val="20"/>
              </w:rPr>
              <w:t>Markov state-transition modelling</w:t>
            </w:r>
          </w:p>
          <w:p w14:paraId="57ED0704" w14:textId="77777777" w:rsidR="00040D5B" w:rsidRPr="004E70E0" w:rsidRDefault="00040D5B" w:rsidP="00B14FF0">
            <w:pPr>
              <w:rPr>
                <w:rFonts w:cs="Tahoma"/>
                <w:sz w:val="20"/>
              </w:rPr>
            </w:pPr>
            <w:r w:rsidRPr="004E70E0">
              <w:rPr>
                <w:rFonts w:cs="Tahoma"/>
                <w:sz w:val="20"/>
              </w:rPr>
              <w:t>Cohort expected value analysis</w:t>
            </w:r>
          </w:p>
        </w:tc>
      </w:tr>
      <w:tr w:rsidR="00040D5B" w:rsidRPr="004E70E0" w14:paraId="462453DC" w14:textId="77777777" w:rsidTr="00C55A2D">
        <w:trPr>
          <w:trHeight w:val="624"/>
        </w:trPr>
        <w:tc>
          <w:tcPr>
            <w:tcW w:w="1724" w:type="pct"/>
          </w:tcPr>
          <w:p w14:paraId="3168D15B" w14:textId="77777777" w:rsidR="00040D5B" w:rsidRPr="004E70E0" w:rsidRDefault="00040D5B" w:rsidP="00B14FF0">
            <w:pPr>
              <w:rPr>
                <w:rFonts w:cs="Tahoma"/>
                <w:sz w:val="20"/>
              </w:rPr>
            </w:pPr>
            <w:r w:rsidRPr="004E70E0">
              <w:rPr>
                <w:rFonts w:cs="Tahoma"/>
                <w:sz w:val="20"/>
              </w:rPr>
              <w:t>Health states</w:t>
            </w:r>
          </w:p>
        </w:tc>
        <w:tc>
          <w:tcPr>
            <w:tcW w:w="3276" w:type="pct"/>
          </w:tcPr>
          <w:p w14:paraId="1D3454B2" w14:textId="77777777" w:rsidR="00040D5B" w:rsidRDefault="00040D5B" w:rsidP="00B14FF0">
            <w:pPr>
              <w:pStyle w:val="Tabletextcentred"/>
              <w:numPr>
                <w:ilvl w:val="0"/>
                <w:numId w:val="34"/>
              </w:numPr>
              <w:spacing w:before="0" w:after="0" w:line="276" w:lineRule="auto"/>
              <w:jc w:val="left"/>
            </w:pPr>
            <w:r w:rsidRPr="004E70E0">
              <w:t xml:space="preserve">Alive, no disabling stroke </w:t>
            </w:r>
          </w:p>
          <w:p w14:paraId="7BA1F2D3" w14:textId="77777777" w:rsidR="00040D5B" w:rsidRDefault="00040D5B" w:rsidP="00B14FF0">
            <w:pPr>
              <w:pStyle w:val="Tabletextcentred"/>
              <w:numPr>
                <w:ilvl w:val="0"/>
                <w:numId w:val="34"/>
              </w:numPr>
              <w:spacing w:before="0" w:after="0" w:line="276" w:lineRule="auto"/>
              <w:jc w:val="left"/>
            </w:pPr>
            <w:r w:rsidRPr="004E70E0">
              <w:t xml:space="preserve">Alive with disabling stroke </w:t>
            </w:r>
          </w:p>
          <w:p w14:paraId="0EED7168" w14:textId="77777777" w:rsidR="00040D5B" w:rsidRPr="004E70E0" w:rsidRDefault="00040D5B" w:rsidP="00B14FF0">
            <w:pPr>
              <w:pStyle w:val="Tabletextcentred"/>
              <w:numPr>
                <w:ilvl w:val="0"/>
                <w:numId w:val="34"/>
              </w:numPr>
              <w:spacing w:before="0" w:after="0" w:line="276" w:lineRule="auto"/>
              <w:jc w:val="left"/>
            </w:pPr>
            <w:r w:rsidRPr="004E70E0">
              <w:t>Dead</w:t>
            </w:r>
            <w:r w:rsidRPr="00EE216E">
              <w:rPr>
                <w:b/>
                <w:bCs/>
              </w:rPr>
              <w:t xml:space="preserve"> </w:t>
            </w:r>
          </w:p>
        </w:tc>
      </w:tr>
      <w:tr w:rsidR="00040D5B" w:rsidRPr="004E70E0" w14:paraId="5F227479" w14:textId="77777777" w:rsidTr="00C55A2D">
        <w:trPr>
          <w:trHeight w:val="20"/>
        </w:trPr>
        <w:tc>
          <w:tcPr>
            <w:tcW w:w="1724" w:type="pct"/>
            <w:hideMark/>
          </w:tcPr>
          <w:p w14:paraId="7AB1F7C9" w14:textId="77777777" w:rsidR="00040D5B" w:rsidRPr="004E70E0" w:rsidRDefault="00040D5B" w:rsidP="00B14FF0">
            <w:pPr>
              <w:keepNext/>
              <w:keepLines/>
              <w:rPr>
                <w:rFonts w:cs="Tahoma"/>
                <w:sz w:val="20"/>
              </w:rPr>
            </w:pPr>
            <w:r w:rsidRPr="004E70E0">
              <w:rPr>
                <w:rFonts w:cs="Tahoma"/>
                <w:sz w:val="20"/>
              </w:rPr>
              <w:t>Cycle length</w:t>
            </w:r>
          </w:p>
        </w:tc>
        <w:tc>
          <w:tcPr>
            <w:tcW w:w="3276" w:type="pct"/>
          </w:tcPr>
          <w:p w14:paraId="187BC432" w14:textId="77777777" w:rsidR="00040D5B" w:rsidRPr="004E70E0" w:rsidRDefault="00040D5B" w:rsidP="00B14FF0">
            <w:pPr>
              <w:keepNext/>
              <w:keepLines/>
              <w:rPr>
                <w:rFonts w:cs="Tahoma"/>
                <w:sz w:val="20"/>
              </w:rPr>
            </w:pPr>
            <w:r w:rsidRPr="004E70E0">
              <w:rPr>
                <w:rFonts w:cs="Tahoma"/>
                <w:sz w:val="20"/>
              </w:rPr>
              <w:t>30-days</w:t>
            </w:r>
          </w:p>
        </w:tc>
      </w:tr>
      <w:tr w:rsidR="00040D5B" w:rsidRPr="004E70E0" w14:paraId="14735FF4" w14:textId="77777777" w:rsidTr="00C55A2D">
        <w:trPr>
          <w:trHeight w:val="20"/>
        </w:trPr>
        <w:tc>
          <w:tcPr>
            <w:tcW w:w="1724" w:type="pct"/>
            <w:hideMark/>
          </w:tcPr>
          <w:p w14:paraId="47DB3CA5" w14:textId="77777777" w:rsidR="00040D5B" w:rsidRPr="004E70E0" w:rsidRDefault="00040D5B" w:rsidP="00B14FF0">
            <w:pPr>
              <w:keepNext/>
              <w:keepLines/>
              <w:rPr>
                <w:rFonts w:cs="Tahoma"/>
                <w:sz w:val="20"/>
              </w:rPr>
            </w:pPr>
            <w:r w:rsidRPr="004E70E0">
              <w:rPr>
                <w:rFonts w:cs="Tahoma"/>
                <w:sz w:val="20"/>
              </w:rPr>
              <w:t>Discount rate</w:t>
            </w:r>
          </w:p>
        </w:tc>
        <w:tc>
          <w:tcPr>
            <w:tcW w:w="3276" w:type="pct"/>
          </w:tcPr>
          <w:p w14:paraId="40B254FE" w14:textId="77777777" w:rsidR="00040D5B" w:rsidRPr="004E70E0" w:rsidRDefault="00040D5B" w:rsidP="00B14FF0">
            <w:pPr>
              <w:keepNext/>
              <w:keepLines/>
              <w:rPr>
                <w:rFonts w:cs="Tahoma"/>
                <w:sz w:val="20"/>
              </w:rPr>
            </w:pPr>
            <w:r w:rsidRPr="004E70E0">
              <w:rPr>
                <w:rFonts w:cs="Tahoma"/>
                <w:sz w:val="20"/>
              </w:rPr>
              <w:t xml:space="preserve">5% </w:t>
            </w:r>
          </w:p>
        </w:tc>
      </w:tr>
      <w:tr w:rsidR="00040D5B" w:rsidRPr="004E70E0" w14:paraId="1904D3D9" w14:textId="77777777" w:rsidTr="00C55A2D">
        <w:trPr>
          <w:trHeight w:val="20"/>
        </w:trPr>
        <w:tc>
          <w:tcPr>
            <w:tcW w:w="1724" w:type="pct"/>
            <w:hideMark/>
          </w:tcPr>
          <w:p w14:paraId="2934D8A7" w14:textId="77777777" w:rsidR="00040D5B" w:rsidRPr="004E70E0" w:rsidRDefault="00040D5B" w:rsidP="00B14FF0">
            <w:pPr>
              <w:keepNext/>
              <w:keepLines/>
              <w:rPr>
                <w:rFonts w:cs="Tahoma"/>
                <w:sz w:val="20"/>
              </w:rPr>
            </w:pPr>
            <w:r w:rsidRPr="004E70E0">
              <w:rPr>
                <w:rFonts w:cs="Tahoma"/>
                <w:sz w:val="20"/>
              </w:rPr>
              <w:t>Software packages used</w:t>
            </w:r>
          </w:p>
        </w:tc>
        <w:tc>
          <w:tcPr>
            <w:tcW w:w="3276" w:type="pct"/>
          </w:tcPr>
          <w:p w14:paraId="6B683D4E" w14:textId="77777777" w:rsidR="00040D5B" w:rsidRPr="004E70E0" w:rsidRDefault="00040D5B" w:rsidP="00B14FF0">
            <w:pPr>
              <w:keepNext/>
              <w:keepLines/>
              <w:rPr>
                <w:rFonts w:cs="Tahoma"/>
                <w:sz w:val="20"/>
              </w:rPr>
            </w:pPr>
            <w:r w:rsidRPr="004E70E0">
              <w:rPr>
                <w:rFonts w:cs="Tahoma"/>
                <w:sz w:val="20"/>
              </w:rPr>
              <w:t xml:space="preserve">Microsoft Excel </w:t>
            </w:r>
          </w:p>
        </w:tc>
      </w:tr>
    </w:tbl>
    <w:p w14:paraId="693FDEB5" w14:textId="77777777" w:rsidR="00040D5B" w:rsidRPr="004E70E0" w:rsidRDefault="00040D5B" w:rsidP="00B14FF0">
      <w:pPr>
        <w:keepNext/>
        <w:keepLines/>
        <w:widowControl w:val="0"/>
        <w:snapToGrid w:val="0"/>
        <w:jc w:val="both"/>
        <w:rPr>
          <w:rFonts w:ascii="Arial Narrow" w:hAnsi="Arial Narrow" w:cs="Arial"/>
          <w:sz w:val="18"/>
          <w:szCs w:val="22"/>
          <w:lang w:eastAsia="en-US"/>
        </w:rPr>
      </w:pPr>
      <w:r w:rsidRPr="004E70E0">
        <w:rPr>
          <w:rFonts w:ascii="Arial Narrow" w:hAnsi="Arial Narrow" w:cs="Arial"/>
          <w:sz w:val="18"/>
          <w:szCs w:val="18"/>
          <w:lang w:eastAsia="en-US"/>
        </w:rPr>
        <w:t xml:space="preserve">Abbreviations: </w:t>
      </w:r>
      <w:r w:rsidRPr="004E70E0">
        <w:rPr>
          <w:rFonts w:ascii="Arial Narrow" w:hAnsi="Arial Narrow" w:cs="Arial"/>
          <w:i/>
          <w:iCs/>
          <w:sz w:val="18"/>
          <w:szCs w:val="18"/>
          <w:lang w:eastAsia="en-US"/>
        </w:rPr>
        <w:t xml:space="preserve">ABS = Australian Bureau of Statistics; AIHW = Australian Institute of Health and Welfare; SAVR = surgical aortic valve replacement; </w:t>
      </w:r>
      <w:r w:rsidRPr="004E70E0">
        <w:rPr>
          <w:rFonts w:ascii="Arial Narrow" w:hAnsi="Arial Narrow" w:cs="Arial"/>
          <w:sz w:val="18"/>
          <w:szCs w:val="18"/>
          <w:lang w:eastAsia="en-US"/>
        </w:rPr>
        <w:t>TAVI-SEV = transcatheter aortic valve implantation with self-expanding valve</w:t>
      </w:r>
    </w:p>
    <w:p w14:paraId="524FAC68" w14:textId="77777777" w:rsidR="00040D5B" w:rsidRDefault="00040D5B" w:rsidP="00B14FF0">
      <w:pPr>
        <w:keepNext/>
        <w:keepLines/>
        <w:jc w:val="both"/>
        <w:rPr>
          <w:rFonts w:ascii="Arial Narrow" w:hAnsi="Arial Narrow" w:cs="Arial"/>
          <w:sz w:val="18"/>
          <w:szCs w:val="18"/>
          <w:lang w:eastAsia="en-US"/>
        </w:rPr>
      </w:pPr>
      <w:r w:rsidRPr="004E70E0">
        <w:rPr>
          <w:rFonts w:ascii="Arial Narrow" w:hAnsi="Arial Narrow" w:cs="Arial"/>
          <w:sz w:val="18"/>
          <w:szCs w:val="18"/>
          <w:lang w:eastAsia="en-US"/>
        </w:rPr>
        <w:t xml:space="preserve">Source: Table D-2, p 101 of the </w:t>
      </w:r>
      <w:r>
        <w:rPr>
          <w:rFonts w:ascii="Arial Narrow" w:hAnsi="Arial Narrow" w:cs="Arial"/>
          <w:sz w:val="18"/>
          <w:szCs w:val="18"/>
          <w:lang w:eastAsia="en-US"/>
        </w:rPr>
        <w:t>ADAR</w:t>
      </w:r>
    </w:p>
    <w:p w14:paraId="729CCE85" w14:textId="6F966DC8" w:rsidR="00040D5B" w:rsidRPr="0060464A" w:rsidRDefault="00040D5B" w:rsidP="0060464A">
      <w:pPr>
        <w:keepNext/>
        <w:keepLines/>
        <w:jc w:val="both"/>
        <w:rPr>
          <w:rFonts w:ascii="Arial Narrow" w:hAnsi="Arial Narrow" w:cs="Arial"/>
          <w:sz w:val="18"/>
          <w:szCs w:val="18"/>
          <w:lang w:eastAsia="en-US"/>
        </w:rPr>
      </w:pPr>
      <w:r>
        <w:rPr>
          <w:rFonts w:ascii="Arial Narrow" w:hAnsi="Arial Narrow" w:cs="Arial"/>
          <w:sz w:val="18"/>
          <w:szCs w:val="18"/>
          <w:vertAlign w:val="superscript"/>
          <w:lang w:eastAsia="en-US"/>
        </w:rPr>
        <w:t xml:space="preserve">a </w:t>
      </w:r>
      <w:r>
        <w:rPr>
          <w:rFonts w:ascii="Arial Narrow" w:hAnsi="Arial Narrow" w:cs="Arial"/>
          <w:sz w:val="18"/>
          <w:szCs w:val="18"/>
          <w:lang w:eastAsia="en-US"/>
        </w:rPr>
        <w:t xml:space="preserve">The economic model comparing TAVI-BEV with TAVI-SEV was the same as the comparison with SAVR except for the cost of the index procedure and the </w:t>
      </w:r>
      <w:r w:rsidRPr="00800D59">
        <w:rPr>
          <w:rFonts w:ascii="Arial Narrow" w:hAnsi="Arial Narrow" w:cs="Arial"/>
          <w:sz w:val="18"/>
          <w:szCs w:val="18"/>
          <w:lang w:eastAsia="en-US"/>
        </w:rPr>
        <w:t>application of TAVI-BEV aortic valve re-intervention to both TAVI-BEV and TAVI-SEV arms</w:t>
      </w:r>
      <w:r>
        <w:rPr>
          <w:rFonts w:ascii="Arial Narrow" w:hAnsi="Arial Narrow" w:cs="Arial"/>
          <w:sz w:val="18"/>
          <w:szCs w:val="18"/>
          <w:lang w:eastAsia="en-US"/>
        </w:rPr>
        <w:t xml:space="preserve">. </w:t>
      </w:r>
      <w:r w:rsidRPr="00800D59">
        <w:rPr>
          <w:rFonts w:ascii="Arial Narrow" w:hAnsi="Arial Narrow" w:cs="Arial"/>
          <w:sz w:val="18"/>
          <w:szCs w:val="18"/>
          <w:lang w:eastAsia="en-US"/>
        </w:rPr>
        <w:t>Otherwise the transition probabilities were the same as the TAVI-BEV versus SAVR economic model</w:t>
      </w:r>
    </w:p>
    <w:p w14:paraId="04ABAC3F" w14:textId="311E9533" w:rsidR="00040D5B" w:rsidRDefault="00040D5B" w:rsidP="0060464A">
      <w:pPr>
        <w:spacing w:before="240"/>
      </w:pPr>
      <w:r>
        <w:t xml:space="preserve">The </w:t>
      </w:r>
      <w:r w:rsidR="00DD7827">
        <w:t>Commentary</w:t>
      </w:r>
      <w:r>
        <w:t xml:space="preserve"> noted key issues for the primary CUA comparing </w:t>
      </w:r>
      <w:r w:rsidR="00E40C30">
        <w:t>TAVI-BEV</w:t>
      </w:r>
      <w:r>
        <w:t xml:space="preserve"> with SAVR:</w:t>
      </w:r>
    </w:p>
    <w:p w14:paraId="48FB9DF7" w14:textId="25309467" w:rsidR="00040D5B" w:rsidRDefault="00040D5B" w:rsidP="00040D5B">
      <w:pPr>
        <w:pStyle w:val="ListParagraph"/>
        <w:numPr>
          <w:ilvl w:val="0"/>
          <w:numId w:val="35"/>
        </w:numPr>
      </w:pPr>
      <w:r>
        <w:t xml:space="preserve">There is uncertainty in the length of hospitalisation stay and therefore the hospitalisation cost of </w:t>
      </w:r>
      <w:r w:rsidR="00E40C30">
        <w:t>TAVI-BEV</w:t>
      </w:r>
    </w:p>
    <w:p w14:paraId="77E7E598" w14:textId="44C4E27D" w:rsidR="00040D5B" w:rsidRDefault="00040D5B" w:rsidP="00040D5B">
      <w:pPr>
        <w:pStyle w:val="ListParagraph"/>
        <w:numPr>
          <w:ilvl w:val="0"/>
          <w:numId w:val="35"/>
        </w:numPr>
      </w:pPr>
      <w:r>
        <w:t xml:space="preserve">The ADAR proposed a higher prosthesis benefit of </w:t>
      </w:r>
      <w:r w:rsidR="00EE57F4" w:rsidRPr="00EE57F4">
        <w:rPr>
          <w:b/>
        </w:rPr>
        <w:t>$</w:t>
      </w:r>
      <w:r w:rsidR="00EE57F4">
        <w:rPr>
          <w:b/>
        </w:rPr>
        <w:t>r</w:t>
      </w:r>
      <w:r w:rsidR="00EE57F4" w:rsidRPr="00EE57F4">
        <w:rPr>
          <w:b/>
        </w:rPr>
        <w:t>edacted</w:t>
      </w:r>
      <w:r w:rsidR="00EE57F4">
        <w:t xml:space="preserve"> </w:t>
      </w:r>
      <w:r>
        <w:t>for TAVI-BEV than the July 2020 Prosthes</w:t>
      </w:r>
      <w:r w:rsidR="00B14FF0">
        <w:t>e</w:t>
      </w:r>
      <w:r>
        <w:t>s List benefit of $22,932 for TAVI-BEV and TAVI-SEV devices</w:t>
      </w:r>
    </w:p>
    <w:p w14:paraId="165FE265" w14:textId="2DF1F4F2" w:rsidR="00040D5B" w:rsidRDefault="00040D5B" w:rsidP="00040D5B">
      <w:pPr>
        <w:pStyle w:val="ListParagraph"/>
        <w:numPr>
          <w:ilvl w:val="0"/>
          <w:numId w:val="35"/>
        </w:numPr>
      </w:pPr>
      <w:r>
        <w:t xml:space="preserve">The ADAR included MBS costs but did not include the cost of the prosthesis or the cost of hospital stay for private patients. The </w:t>
      </w:r>
      <w:r w:rsidR="00DD7827">
        <w:t>Commentary</w:t>
      </w:r>
      <w:r w:rsidRPr="006618B7">
        <w:rPr>
          <w:iCs/>
        </w:rPr>
        <w:t xml:space="preserve"> revised</w:t>
      </w:r>
      <w:r>
        <w:rPr>
          <w:iCs/>
        </w:rPr>
        <w:t xml:space="preserve"> the</w:t>
      </w:r>
      <w:r w:rsidRPr="006618B7">
        <w:rPr>
          <w:iCs/>
        </w:rPr>
        <w:t xml:space="preserve"> base case</w:t>
      </w:r>
      <w:r>
        <w:rPr>
          <w:iCs/>
        </w:rPr>
        <w:t xml:space="preserve"> addressing this issue by </w:t>
      </w:r>
      <w:r w:rsidRPr="00121BC1">
        <w:rPr>
          <w:iCs/>
        </w:rPr>
        <w:t>including hospital stay and prostheses costs for private patients</w:t>
      </w:r>
      <w:r>
        <w:rPr>
          <w:iCs/>
        </w:rPr>
        <w:t>, and also using the current benefit for</w:t>
      </w:r>
      <w:r w:rsidRPr="006618B7">
        <w:rPr>
          <w:iCs/>
        </w:rPr>
        <w:t xml:space="preserve"> TAVI-BEV prosthesis price of $22,932</w:t>
      </w:r>
      <w:r w:rsidR="00E40CBB">
        <w:rPr>
          <w:iCs/>
        </w:rPr>
        <w:t xml:space="preserve"> (see Table 10</w:t>
      </w:r>
      <w:r>
        <w:rPr>
          <w:iCs/>
        </w:rPr>
        <w:t>)</w:t>
      </w:r>
      <w:r w:rsidRPr="006618B7">
        <w:rPr>
          <w:iCs/>
        </w:rPr>
        <w:t xml:space="preserve"> </w:t>
      </w:r>
    </w:p>
    <w:p w14:paraId="777CFF00" w14:textId="77777777" w:rsidR="00040D5B" w:rsidRDefault="00040D5B" w:rsidP="00040D5B">
      <w:pPr>
        <w:pStyle w:val="ListParagraph"/>
        <w:numPr>
          <w:ilvl w:val="0"/>
          <w:numId w:val="35"/>
        </w:numPr>
      </w:pPr>
      <w:r>
        <w:t>The methods used to calculate the transition probabilities in the TAVI-BEV arm were overly complex and their derivation was not well described or justified by the ADAR. Further, the methods used to obtain the proportion of strokes that were fatal and non-fatal are inconsistent with the methods applied in the SAVR arm</w:t>
      </w:r>
    </w:p>
    <w:p w14:paraId="114F99B1" w14:textId="77777777" w:rsidR="00040D5B" w:rsidRDefault="00040D5B" w:rsidP="00040D5B">
      <w:pPr>
        <w:pStyle w:val="ListParagraph"/>
        <w:numPr>
          <w:ilvl w:val="0"/>
          <w:numId w:val="35"/>
        </w:numPr>
      </w:pPr>
      <w:r>
        <w:t xml:space="preserve">In all cycles the economic model assumed TAVI-BEV to be equivalent to SAVR in terms of all adverse events, except for aortic valve re-intervention. However, the ADAR's clinical evidence showed significant differences between TAVI-BEV and SAVR in terms of myocardial infarction, (higher in SAVR arm), atrial fibrillation (higher in SAVR arm), and new permanent pacemaker (higher in TAVI-BEV arm) </w:t>
      </w:r>
    </w:p>
    <w:p w14:paraId="35C7C3FD" w14:textId="51C59ADB" w:rsidR="00040D5B" w:rsidRDefault="00040D5B" w:rsidP="00040D5B">
      <w:pPr>
        <w:pStyle w:val="ListParagraph"/>
        <w:numPr>
          <w:ilvl w:val="0"/>
          <w:numId w:val="35"/>
        </w:numPr>
      </w:pPr>
      <w:r>
        <w:t>No disutilities were a</w:t>
      </w:r>
      <w:r w:rsidR="00ED374F">
        <w:t>pplied to adverse events.</w:t>
      </w:r>
    </w:p>
    <w:p w14:paraId="4BB68C96" w14:textId="77777777" w:rsidR="00040D5B" w:rsidRDefault="00040D5B" w:rsidP="00040D5B">
      <w:pPr>
        <w:pStyle w:val="Heading2"/>
      </w:pPr>
      <w:r w:rsidRPr="00EE216E">
        <w:t xml:space="preserve">TAVI-BEV </w:t>
      </w:r>
      <w:r w:rsidRPr="004822CA">
        <w:t>vs</w:t>
      </w:r>
      <w:r>
        <w:t>.</w:t>
      </w:r>
      <w:r w:rsidRPr="00EE216E">
        <w:t xml:space="preserve"> SAVR</w:t>
      </w:r>
    </w:p>
    <w:p w14:paraId="353C41DE" w14:textId="52F31172" w:rsidR="00040D5B" w:rsidRDefault="00DD7827" w:rsidP="00040D5B">
      <w:pPr>
        <w:pStyle w:val="Heading3"/>
      </w:pPr>
      <w:r>
        <w:t>Commentary</w:t>
      </w:r>
      <w:r w:rsidR="00040D5B">
        <w:t>’s revised economic evaluation</w:t>
      </w:r>
    </w:p>
    <w:p w14:paraId="168D0B08" w14:textId="126CFEB1" w:rsidR="00040D5B" w:rsidRDefault="00040D5B" w:rsidP="00040D5B">
      <w:r>
        <w:t>T</w:t>
      </w:r>
      <w:r w:rsidR="005D25EA">
        <w:t>able 10</w:t>
      </w:r>
      <w:r>
        <w:t xml:space="preserve"> presents the </w:t>
      </w:r>
      <w:r w:rsidR="00DD7827">
        <w:t>Commentary</w:t>
      </w:r>
      <w:r>
        <w:t xml:space="preserve">’s results of the economic evaluation comparing TAVI-BEV with SAVR using the current benefit for </w:t>
      </w:r>
      <w:r w:rsidR="00E40C30">
        <w:t>TAVI-BEV</w:t>
      </w:r>
      <w:r>
        <w:t xml:space="preserve"> of $22,932 (revised base case) and ADARs proposal for higher benefit of </w:t>
      </w:r>
      <w:r w:rsidR="00EE57F4" w:rsidRPr="00EE57F4">
        <w:rPr>
          <w:b/>
        </w:rPr>
        <w:t>$</w:t>
      </w:r>
      <w:r w:rsidR="00EE57F4">
        <w:rPr>
          <w:b/>
        </w:rPr>
        <w:t>r</w:t>
      </w:r>
      <w:r w:rsidR="00EE57F4" w:rsidRPr="00EE57F4">
        <w:rPr>
          <w:b/>
        </w:rPr>
        <w:t>edacted</w:t>
      </w:r>
      <w:r w:rsidR="00EE57F4">
        <w:t xml:space="preserve"> </w:t>
      </w:r>
      <w:r>
        <w:t>(scenario analysis 1).</w:t>
      </w:r>
    </w:p>
    <w:p w14:paraId="3BECE4B5" w14:textId="1189BD4B" w:rsidR="00040D5B" w:rsidRPr="00AC061E" w:rsidRDefault="005D25EA" w:rsidP="00AC061E">
      <w:pPr>
        <w:spacing w:before="240"/>
        <w:rPr>
          <w:rFonts w:ascii="Arial Narrow" w:hAnsi="Arial Narrow"/>
          <w:b/>
          <w:sz w:val="20"/>
        </w:rPr>
      </w:pPr>
      <w:r w:rsidRPr="00AC061E">
        <w:rPr>
          <w:rFonts w:ascii="Arial Narrow" w:hAnsi="Arial Narrow"/>
          <w:b/>
          <w:sz w:val="20"/>
        </w:rPr>
        <w:t>Table 10</w:t>
      </w:r>
      <w:r w:rsidR="00E40C30" w:rsidRPr="00AC061E">
        <w:rPr>
          <w:rFonts w:ascii="Arial Narrow" w:hAnsi="Arial Narrow"/>
          <w:b/>
          <w:sz w:val="20"/>
        </w:rPr>
        <w:tab/>
      </w:r>
      <w:r w:rsidR="00040D5B" w:rsidRPr="00AC061E">
        <w:rPr>
          <w:rFonts w:ascii="Arial Narrow" w:hAnsi="Arial Narrow"/>
          <w:b/>
          <w:sz w:val="20"/>
        </w:rPr>
        <w:t xml:space="preserve">Results of modelled economic evaluations comparing TAVI-BEV with SAVR, the revised base case with 5% discounting  </w:t>
      </w:r>
    </w:p>
    <w:tbl>
      <w:tblPr>
        <w:tblStyle w:val="TableGrid21"/>
        <w:tblW w:w="9185"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843"/>
        <w:gridCol w:w="1468"/>
        <w:gridCol w:w="1468"/>
        <w:gridCol w:w="1469"/>
        <w:gridCol w:w="1468"/>
        <w:gridCol w:w="1469"/>
      </w:tblGrid>
      <w:tr w:rsidR="00040D5B" w:rsidRPr="001B5BFD" w14:paraId="21E77858" w14:textId="77777777" w:rsidTr="00040D5B">
        <w:trPr>
          <w:cnfStyle w:val="100000000000" w:firstRow="1" w:lastRow="0" w:firstColumn="0" w:lastColumn="0" w:oddVBand="0" w:evenVBand="0" w:oddHBand="0" w:evenHBand="0" w:firstRowFirstColumn="0" w:firstRowLastColumn="0" w:lastRowFirstColumn="0" w:lastRowLastColumn="0"/>
          <w:tblHeader/>
        </w:trPr>
        <w:tc>
          <w:tcPr>
            <w:tcW w:w="1843" w:type="dxa"/>
            <w:tcBorders>
              <w:bottom w:val="single" w:sz="4" w:space="0" w:color="auto"/>
            </w:tcBorders>
          </w:tcPr>
          <w:p w14:paraId="0A0ED371" w14:textId="77777777" w:rsidR="00040D5B" w:rsidRPr="005D25EA" w:rsidRDefault="00040D5B" w:rsidP="00040D5B">
            <w:pPr>
              <w:keepNext/>
              <w:rPr>
                <w:rFonts w:cs="Tahoma"/>
                <w:b/>
                <w:sz w:val="20"/>
              </w:rPr>
            </w:pPr>
            <w:r w:rsidRPr="005D25EA">
              <w:rPr>
                <w:rFonts w:cs="Tahoma"/>
                <w:b/>
                <w:sz w:val="20"/>
              </w:rPr>
              <w:t xml:space="preserve">Cost-utility analysis </w:t>
            </w:r>
          </w:p>
        </w:tc>
        <w:tc>
          <w:tcPr>
            <w:tcW w:w="1468" w:type="dxa"/>
            <w:tcBorders>
              <w:bottom w:val="single" w:sz="4" w:space="0" w:color="auto"/>
            </w:tcBorders>
            <w:vAlign w:val="center"/>
          </w:tcPr>
          <w:p w14:paraId="75D247CD" w14:textId="77777777" w:rsidR="00040D5B" w:rsidRPr="005D25EA" w:rsidRDefault="00040D5B" w:rsidP="00040D5B">
            <w:pPr>
              <w:keepNext/>
              <w:jc w:val="center"/>
              <w:rPr>
                <w:rFonts w:cs="Tahoma"/>
                <w:b/>
                <w:sz w:val="20"/>
              </w:rPr>
            </w:pPr>
            <w:r w:rsidRPr="005D25EA">
              <w:rPr>
                <w:rFonts w:cs="Tahoma"/>
                <w:b/>
                <w:sz w:val="20"/>
              </w:rPr>
              <w:t xml:space="preserve">Cost </w:t>
            </w:r>
            <w:r w:rsidRPr="005D25EA">
              <w:rPr>
                <w:rFonts w:cs="Tahoma"/>
                <w:sz w:val="20"/>
                <w:vertAlign w:val="superscript"/>
              </w:rPr>
              <w:t>a b</w:t>
            </w:r>
          </w:p>
        </w:tc>
        <w:tc>
          <w:tcPr>
            <w:tcW w:w="1468" w:type="dxa"/>
            <w:tcBorders>
              <w:bottom w:val="single" w:sz="4" w:space="0" w:color="auto"/>
            </w:tcBorders>
            <w:vAlign w:val="center"/>
          </w:tcPr>
          <w:p w14:paraId="1F1974B1" w14:textId="77777777" w:rsidR="00040D5B" w:rsidRPr="005D25EA" w:rsidRDefault="00040D5B" w:rsidP="00040D5B">
            <w:pPr>
              <w:keepNext/>
              <w:jc w:val="center"/>
              <w:rPr>
                <w:rFonts w:cs="Tahoma"/>
                <w:b/>
                <w:sz w:val="20"/>
              </w:rPr>
            </w:pPr>
            <w:r w:rsidRPr="005D25EA">
              <w:rPr>
                <w:rFonts w:cs="Tahoma"/>
                <w:b/>
                <w:sz w:val="20"/>
              </w:rPr>
              <w:t>Incremental cost</w:t>
            </w:r>
          </w:p>
        </w:tc>
        <w:tc>
          <w:tcPr>
            <w:tcW w:w="1469" w:type="dxa"/>
            <w:tcBorders>
              <w:bottom w:val="single" w:sz="4" w:space="0" w:color="auto"/>
            </w:tcBorders>
            <w:vAlign w:val="center"/>
          </w:tcPr>
          <w:p w14:paraId="2E9E6F76" w14:textId="77777777" w:rsidR="00040D5B" w:rsidRPr="005D25EA" w:rsidRDefault="00040D5B" w:rsidP="00040D5B">
            <w:pPr>
              <w:keepNext/>
              <w:jc w:val="center"/>
              <w:rPr>
                <w:rFonts w:cs="Tahoma"/>
                <w:b/>
                <w:sz w:val="20"/>
              </w:rPr>
            </w:pPr>
            <w:r w:rsidRPr="005D25EA">
              <w:rPr>
                <w:rFonts w:cs="Tahoma"/>
                <w:b/>
                <w:sz w:val="20"/>
              </w:rPr>
              <w:t>Effectiveness (QALYs)</w:t>
            </w:r>
          </w:p>
        </w:tc>
        <w:tc>
          <w:tcPr>
            <w:tcW w:w="1468" w:type="dxa"/>
            <w:tcBorders>
              <w:bottom w:val="single" w:sz="4" w:space="0" w:color="auto"/>
            </w:tcBorders>
            <w:vAlign w:val="center"/>
          </w:tcPr>
          <w:p w14:paraId="0F26CE72" w14:textId="77777777" w:rsidR="00040D5B" w:rsidRPr="005D25EA" w:rsidRDefault="00040D5B" w:rsidP="00040D5B">
            <w:pPr>
              <w:keepNext/>
              <w:jc w:val="center"/>
              <w:rPr>
                <w:rFonts w:cs="Tahoma"/>
                <w:b/>
                <w:sz w:val="20"/>
              </w:rPr>
            </w:pPr>
            <w:r w:rsidRPr="005D25EA">
              <w:rPr>
                <w:rFonts w:cs="Tahoma"/>
                <w:b/>
                <w:sz w:val="20"/>
              </w:rPr>
              <w:t>Incremental effectiveness</w:t>
            </w:r>
          </w:p>
        </w:tc>
        <w:tc>
          <w:tcPr>
            <w:tcW w:w="1469" w:type="dxa"/>
            <w:tcBorders>
              <w:bottom w:val="single" w:sz="4" w:space="0" w:color="auto"/>
            </w:tcBorders>
            <w:vAlign w:val="center"/>
          </w:tcPr>
          <w:p w14:paraId="5ECAB751" w14:textId="77777777" w:rsidR="00040D5B" w:rsidRPr="005D25EA" w:rsidRDefault="00040D5B" w:rsidP="00040D5B">
            <w:pPr>
              <w:keepNext/>
              <w:jc w:val="center"/>
              <w:rPr>
                <w:rFonts w:cs="Tahoma"/>
                <w:b/>
                <w:sz w:val="20"/>
              </w:rPr>
            </w:pPr>
            <w:r w:rsidRPr="005D25EA">
              <w:rPr>
                <w:rFonts w:cs="Tahoma"/>
                <w:b/>
                <w:sz w:val="20"/>
              </w:rPr>
              <w:t>ICER</w:t>
            </w:r>
          </w:p>
        </w:tc>
      </w:tr>
      <w:tr w:rsidR="00040D5B" w:rsidRPr="001B5BFD" w14:paraId="555E9827" w14:textId="77777777" w:rsidTr="00040D5B">
        <w:trPr>
          <w:cnfStyle w:val="100000000000" w:firstRow="1" w:lastRow="0" w:firstColumn="0" w:lastColumn="0" w:oddVBand="0" w:evenVBand="0" w:oddHBand="0" w:evenHBand="0" w:firstRowFirstColumn="0" w:firstRowLastColumn="0" w:lastRowFirstColumn="0" w:lastRowLastColumn="0"/>
          <w:tblHeader/>
        </w:trPr>
        <w:tc>
          <w:tcPr>
            <w:tcW w:w="9185" w:type="dxa"/>
            <w:gridSpan w:val="6"/>
            <w:tcBorders>
              <w:bottom w:val="single" w:sz="4" w:space="0" w:color="auto"/>
            </w:tcBorders>
            <w:vAlign w:val="center"/>
          </w:tcPr>
          <w:p w14:paraId="48007A3F" w14:textId="77777777" w:rsidR="00040D5B" w:rsidRPr="005D25EA" w:rsidRDefault="00040D5B" w:rsidP="00040D5B">
            <w:pPr>
              <w:keepNext/>
              <w:rPr>
                <w:rFonts w:cs="Tahoma"/>
                <w:b/>
                <w:sz w:val="20"/>
              </w:rPr>
            </w:pPr>
            <w:r w:rsidRPr="005D25EA">
              <w:rPr>
                <w:rFonts w:cs="Tahoma"/>
                <w:b/>
                <w:bCs/>
                <w:sz w:val="20"/>
              </w:rPr>
              <w:t xml:space="preserve">Revised base case </w:t>
            </w:r>
            <w:r w:rsidRPr="005D25EA">
              <w:rPr>
                <w:rFonts w:cs="Tahoma"/>
                <w:b/>
                <w:bCs/>
                <w:sz w:val="20"/>
                <w:vertAlign w:val="superscript"/>
              </w:rPr>
              <w:t>c</w:t>
            </w:r>
            <w:r w:rsidRPr="005D25EA">
              <w:rPr>
                <w:rFonts w:cs="Tahoma"/>
                <w:b/>
                <w:bCs/>
                <w:sz w:val="20"/>
              </w:rPr>
              <w:t>: using the cost of TAVI-BEV from the July 2020 Prostheses List</w:t>
            </w:r>
          </w:p>
        </w:tc>
      </w:tr>
      <w:tr w:rsidR="00040D5B" w:rsidRPr="001B5BFD" w14:paraId="61902AEC" w14:textId="77777777" w:rsidTr="00040D5B">
        <w:tc>
          <w:tcPr>
            <w:tcW w:w="1843" w:type="dxa"/>
          </w:tcPr>
          <w:p w14:paraId="29000522" w14:textId="77777777" w:rsidR="00040D5B" w:rsidRPr="005D25EA" w:rsidRDefault="00040D5B" w:rsidP="00040D5B">
            <w:pPr>
              <w:keepNext/>
              <w:rPr>
                <w:rFonts w:cs="Tahoma"/>
                <w:sz w:val="20"/>
              </w:rPr>
            </w:pPr>
            <w:r w:rsidRPr="005D25EA">
              <w:rPr>
                <w:rFonts w:cs="Tahoma"/>
                <w:sz w:val="20"/>
              </w:rPr>
              <w:t>TAVI-BEV</w:t>
            </w:r>
          </w:p>
        </w:tc>
        <w:tc>
          <w:tcPr>
            <w:tcW w:w="1468" w:type="dxa"/>
          </w:tcPr>
          <w:p w14:paraId="00D1B196" w14:textId="72115548" w:rsidR="00040D5B" w:rsidRPr="00EE57F4" w:rsidRDefault="00EE57F4" w:rsidP="00040D5B">
            <w:pPr>
              <w:keepNext/>
              <w:jc w:val="center"/>
              <w:rPr>
                <w:rFonts w:cs="Tahoma"/>
                <w:i/>
                <w:iCs/>
                <w:sz w:val="20"/>
              </w:rPr>
            </w:pPr>
            <w:r w:rsidRPr="00EE57F4">
              <w:rPr>
                <w:b/>
                <w:sz w:val="20"/>
              </w:rPr>
              <w:t>$redacted</w:t>
            </w:r>
          </w:p>
        </w:tc>
        <w:tc>
          <w:tcPr>
            <w:tcW w:w="1468" w:type="dxa"/>
            <w:vMerge w:val="restart"/>
            <w:vAlign w:val="center"/>
          </w:tcPr>
          <w:p w14:paraId="07967EDE" w14:textId="29FFD21D" w:rsidR="00040D5B" w:rsidRPr="005D25EA" w:rsidRDefault="004D0016" w:rsidP="00040D5B">
            <w:pPr>
              <w:keepNext/>
              <w:jc w:val="center"/>
              <w:rPr>
                <w:rFonts w:cs="Tahoma"/>
                <w:i/>
                <w:iCs/>
                <w:sz w:val="20"/>
              </w:rPr>
            </w:pPr>
            <w:r w:rsidRPr="00EE57F4">
              <w:rPr>
                <w:b/>
                <w:sz w:val="20"/>
              </w:rPr>
              <w:t>$redacted</w:t>
            </w:r>
          </w:p>
        </w:tc>
        <w:tc>
          <w:tcPr>
            <w:tcW w:w="1469" w:type="dxa"/>
            <w:vAlign w:val="center"/>
          </w:tcPr>
          <w:p w14:paraId="338DC70B" w14:textId="61684211" w:rsidR="00040D5B" w:rsidRPr="005D25EA" w:rsidRDefault="004D0016" w:rsidP="00040D5B">
            <w:pPr>
              <w:keepNext/>
              <w:jc w:val="center"/>
              <w:rPr>
                <w:rFonts w:cs="Tahoma"/>
                <w:sz w:val="20"/>
              </w:rPr>
            </w:pPr>
            <w:r w:rsidRPr="00EE57F4">
              <w:rPr>
                <w:b/>
                <w:sz w:val="20"/>
              </w:rPr>
              <w:t>redacted</w:t>
            </w:r>
          </w:p>
        </w:tc>
        <w:tc>
          <w:tcPr>
            <w:tcW w:w="1468" w:type="dxa"/>
            <w:vMerge w:val="restart"/>
            <w:vAlign w:val="center"/>
          </w:tcPr>
          <w:p w14:paraId="6119BF68" w14:textId="02E061A1" w:rsidR="00040D5B" w:rsidRPr="005D25EA" w:rsidRDefault="004D0016" w:rsidP="00040D5B">
            <w:pPr>
              <w:keepNext/>
              <w:jc w:val="center"/>
              <w:rPr>
                <w:rFonts w:cs="Tahoma"/>
                <w:sz w:val="20"/>
              </w:rPr>
            </w:pPr>
            <w:r w:rsidRPr="00EE57F4">
              <w:rPr>
                <w:b/>
                <w:sz w:val="20"/>
              </w:rPr>
              <w:t>redacted</w:t>
            </w:r>
          </w:p>
        </w:tc>
        <w:tc>
          <w:tcPr>
            <w:tcW w:w="1469" w:type="dxa"/>
            <w:vMerge w:val="restart"/>
            <w:vAlign w:val="center"/>
          </w:tcPr>
          <w:p w14:paraId="33D0E923" w14:textId="77777777" w:rsidR="00040D5B" w:rsidRPr="005D25EA" w:rsidRDefault="00040D5B" w:rsidP="00040D5B">
            <w:pPr>
              <w:keepNext/>
              <w:jc w:val="center"/>
              <w:rPr>
                <w:rFonts w:cs="Tahoma"/>
                <w:i/>
                <w:iCs/>
                <w:sz w:val="20"/>
              </w:rPr>
            </w:pPr>
            <w:r w:rsidRPr="005D25EA">
              <w:rPr>
                <w:rFonts w:cs="Tahoma"/>
                <w:i/>
                <w:iCs/>
                <w:sz w:val="20"/>
              </w:rPr>
              <w:t>Dominant</w:t>
            </w:r>
          </w:p>
          <w:p w14:paraId="708CB888" w14:textId="085B4506" w:rsidR="00040D5B" w:rsidRPr="005D25EA" w:rsidRDefault="004D0016" w:rsidP="00040D5B">
            <w:pPr>
              <w:keepNext/>
              <w:jc w:val="center"/>
              <w:rPr>
                <w:rFonts w:cs="Tahoma"/>
                <w:i/>
                <w:iCs/>
                <w:sz w:val="20"/>
              </w:rPr>
            </w:pPr>
            <w:r w:rsidRPr="00EE57F4">
              <w:rPr>
                <w:b/>
                <w:sz w:val="20"/>
              </w:rPr>
              <w:t>$redacted</w:t>
            </w:r>
          </w:p>
        </w:tc>
      </w:tr>
      <w:tr w:rsidR="00040D5B" w:rsidRPr="001B5BFD" w14:paraId="36E2152B" w14:textId="77777777" w:rsidTr="00040D5B">
        <w:tc>
          <w:tcPr>
            <w:tcW w:w="1843" w:type="dxa"/>
          </w:tcPr>
          <w:p w14:paraId="72CB80C4" w14:textId="77777777" w:rsidR="00040D5B" w:rsidRPr="005D25EA" w:rsidRDefault="00040D5B" w:rsidP="00040D5B">
            <w:pPr>
              <w:keepNext/>
              <w:rPr>
                <w:rFonts w:cs="Tahoma"/>
                <w:sz w:val="20"/>
              </w:rPr>
            </w:pPr>
            <w:r w:rsidRPr="005D25EA">
              <w:rPr>
                <w:rFonts w:cs="Tahoma"/>
                <w:sz w:val="20"/>
              </w:rPr>
              <w:t>SAVR</w:t>
            </w:r>
          </w:p>
        </w:tc>
        <w:tc>
          <w:tcPr>
            <w:tcW w:w="1468" w:type="dxa"/>
          </w:tcPr>
          <w:p w14:paraId="0417C1AA" w14:textId="2125854D" w:rsidR="00040D5B" w:rsidRPr="005D25EA" w:rsidRDefault="00EE57F4" w:rsidP="00040D5B">
            <w:pPr>
              <w:keepNext/>
              <w:jc w:val="center"/>
              <w:rPr>
                <w:rFonts w:cs="Tahoma"/>
                <w:i/>
                <w:iCs/>
                <w:sz w:val="20"/>
              </w:rPr>
            </w:pPr>
            <w:r w:rsidRPr="00EE57F4">
              <w:rPr>
                <w:b/>
                <w:sz w:val="20"/>
              </w:rPr>
              <w:t>$redacted</w:t>
            </w:r>
          </w:p>
        </w:tc>
        <w:tc>
          <w:tcPr>
            <w:tcW w:w="1468" w:type="dxa"/>
            <w:vMerge/>
            <w:vAlign w:val="center"/>
          </w:tcPr>
          <w:p w14:paraId="1E6D3DF3" w14:textId="77777777" w:rsidR="00040D5B" w:rsidRPr="005D25EA" w:rsidRDefault="00040D5B" w:rsidP="00040D5B">
            <w:pPr>
              <w:keepNext/>
              <w:jc w:val="center"/>
              <w:rPr>
                <w:rFonts w:cs="Tahoma"/>
                <w:i/>
                <w:iCs/>
                <w:sz w:val="20"/>
              </w:rPr>
            </w:pPr>
          </w:p>
        </w:tc>
        <w:tc>
          <w:tcPr>
            <w:tcW w:w="1469" w:type="dxa"/>
            <w:vAlign w:val="center"/>
          </w:tcPr>
          <w:p w14:paraId="5FEE46AD" w14:textId="192CC668" w:rsidR="00040D5B" w:rsidRPr="005D25EA" w:rsidRDefault="004D0016" w:rsidP="00040D5B">
            <w:pPr>
              <w:keepNext/>
              <w:jc w:val="center"/>
              <w:rPr>
                <w:rFonts w:cs="Tahoma"/>
                <w:sz w:val="20"/>
              </w:rPr>
            </w:pPr>
            <w:r w:rsidRPr="00EE57F4">
              <w:rPr>
                <w:b/>
                <w:sz w:val="20"/>
              </w:rPr>
              <w:t>redacted</w:t>
            </w:r>
          </w:p>
        </w:tc>
        <w:tc>
          <w:tcPr>
            <w:tcW w:w="1468" w:type="dxa"/>
            <w:vMerge/>
            <w:vAlign w:val="center"/>
          </w:tcPr>
          <w:p w14:paraId="531A4BEA" w14:textId="77777777" w:rsidR="00040D5B" w:rsidRPr="005D25EA" w:rsidRDefault="00040D5B" w:rsidP="00040D5B">
            <w:pPr>
              <w:keepNext/>
              <w:jc w:val="center"/>
              <w:rPr>
                <w:rFonts w:cs="Tahoma"/>
                <w:sz w:val="20"/>
              </w:rPr>
            </w:pPr>
          </w:p>
        </w:tc>
        <w:tc>
          <w:tcPr>
            <w:tcW w:w="1469" w:type="dxa"/>
            <w:vMerge/>
            <w:vAlign w:val="center"/>
          </w:tcPr>
          <w:p w14:paraId="32DF2D85" w14:textId="77777777" w:rsidR="00040D5B" w:rsidRPr="005D25EA" w:rsidRDefault="00040D5B" w:rsidP="00040D5B">
            <w:pPr>
              <w:keepNext/>
              <w:jc w:val="center"/>
              <w:rPr>
                <w:rFonts w:cs="Tahoma"/>
                <w:sz w:val="20"/>
              </w:rPr>
            </w:pPr>
          </w:p>
        </w:tc>
      </w:tr>
      <w:tr w:rsidR="00040D5B" w:rsidRPr="001B5BFD" w14:paraId="78B0EEC5" w14:textId="77777777" w:rsidTr="00040D5B">
        <w:trPr>
          <w:tblHeader/>
        </w:trPr>
        <w:tc>
          <w:tcPr>
            <w:tcW w:w="9185" w:type="dxa"/>
            <w:gridSpan w:val="6"/>
            <w:tcBorders>
              <w:bottom w:val="single" w:sz="4" w:space="0" w:color="auto"/>
            </w:tcBorders>
            <w:vAlign w:val="center"/>
          </w:tcPr>
          <w:p w14:paraId="1A52E1E6" w14:textId="369A1F05" w:rsidR="00040D5B" w:rsidRPr="005D25EA" w:rsidRDefault="00040D5B" w:rsidP="00040D5B">
            <w:pPr>
              <w:keepNext/>
              <w:rPr>
                <w:rFonts w:cs="Tahoma"/>
                <w:b/>
                <w:sz w:val="20"/>
              </w:rPr>
            </w:pPr>
            <w:r w:rsidRPr="005D25EA">
              <w:rPr>
                <w:rFonts w:cs="Tahoma"/>
                <w:b/>
                <w:bCs/>
                <w:sz w:val="20"/>
              </w:rPr>
              <w:t>Scenario analysis 1</w:t>
            </w:r>
            <w:r w:rsidRPr="005D25EA">
              <w:rPr>
                <w:rFonts w:cs="Tahoma"/>
                <w:b/>
                <w:bCs/>
                <w:sz w:val="20"/>
                <w:vertAlign w:val="superscript"/>
              </w:rPr>
              <w:t>d</w:t>
            </w:r>
            <w:r w:rsidRPr="005D25EA">
              <w:rPr>
                <w:rFonts w:cs="Tahoma"/>
                <w:b/>
                <w:bCs/>
                <w:sz w:val="20"/>
              </w:rPr>
              <w:t xml:space="preserve">: using the ADAR’s proposed cost of </w:t>
            </w:r>
            <w:r w:rsidR="009D04D1" w:rsidRPr="00EE57F4">
              <w:rPr>
                <w:b/>
                <w:sz w:val="20"/>
              </w:rPr>
              <w:t>$redacted</w:t>
            </w:r>
            <w:r w:rsidR="009D04D1" w:rsidRPr="005D25EA">
              <w:rPr>
                <w:rFonts w:cs="Tahoma"/>
                <w:b/>
                <w:bCs/>
                <w:sz w:val="20"/>
              </w:rPr>
              <w:t xml:space="preserve"> </w:t>
            </w:r>
            <w:r w:rsidRPr="005D25EA">
              <w:rPr>
                <w:rFonts w:cs="Tahoma"/>
                <w:b/>
                <w:bCs/>
                <w:sz w:val="20"/>
              </w:rPr>
              <w:t>for TAVI-BEV</w:t>
            </w:r>
          </w:p>
        </w:tc>
      </w:tr>
      <w:tr w:rsidR="00040D5B" w:rsidRPr="001B5BFD" w14:paraId="4C843B42" w14:textId="77777777" w:rsidTr="00040D5B">
        <w:tc>
          <w:tcPr>
            <w:tcW w:w="1843" w:type="dxa"/>
          </w:tcPr>
          <w:p w14:paraId="36C500F1" w14:textId="77777777" w:rsidR="00040D5B" w:rsidRPr="005D25EA" w:rsidRDefault="00040D5B" w:rsidP="00040D5B">
            <w:pPr>
              <w:keepNext/>
              <w:rPr>
                <w:rFonts w:cs="Tahoma"/>
                <w:sz w:val="20"/>
              </w:rPr>
            </w:pPr>
            <w:r w:rsidRPr="005D25EA">
              <w:rPr>
                <w:rFonts w:cs="Tahoma"/>
                <w:sz w:val="20"/>
              </w:rPr>
              <w:t>TAVI-BEV</w:t>
            </w:r>
          </w:p>
        </w:tc>
        <w:tc>
          <w:tcPr>
            <w:tcW w:w="1468" w:type="dxa"/>
          </w:tcPr>
          <w:p w14:paraId="3EC1DD51" w14:textId="26D43E3C" w:rsidR="00040D5B" w:rsidRPr="00092AEE" w:rsidRDefault="004D0016" w:rsidP="00040D5B">
            <w:pPr>
              <w:keepNext/>
              <w:jc w:val="center"/>
              <w:rPr>
                <w:rFonts w:cs="Tahoma"/>
                <w:i/>
                <w:iCs/>
                <w:sz w:val="20"/>
                <w:highlight w:val="yellow"/>
              </w:rPr>
            </w:pPr>
            <w:r w:rsidRPr="00EE57F4">
              <w:rPr>
                <w:b/>
                <w:sz w:val="20"/>
              </w:rPr>
              <w:t>$redacted</w:t>
            </w:r>
          </w:p>
        </w:tc>
        <w:tc>
          <w:tcPr>
            <w:tcW w:w="1468" w:type="dxa"/>
            <w:vMerge w:val="restart"/>
            <w:vAlign w:val="center"/>
          </w:tcPr>
          <w:p w14:paraId="2E543602" w14:textId="034CDE06" w:rsidR="00040D5B" w:rsidRPr="005D25EA" w:rsidRDefault="004D0016" w:rsidP="00040D5B">
            <w:pPr>
              <w:keepNext/>
              <w:jc w:val="center"/>
              <w:rPr>
                <w:rFonts w:cs="Tahoma"/>
                <w:i/>
                <w:iCs/>
                <w:sz w:val="20"/>
              </w:rPr>
            </w:pPr>
            <w:r w:rsidRPr="00EE57F4">
              <w:rPr>
                <w:b/>
                <w:sz w:val="20"/>
              </w:rPr>
              <w:t>redacted</w:t>
            </w:r>
          </w:p>
        </w:tc>
        <w:tc>
          <w:tcPr>
            <w:tcW w:w="1469" w:type="dxa"/>
            <w:vAlign w:val="center"/>
          </w:tcPr>
          <w:p w14:paraId="6FA8AC70" w14:textId="319BA189" w:rsidR="00040D5B" w:rsidRPr="00092AEE" w:rsidRDefault="004D0016" w:rsidP="00040D5B">
            <w:pPr>
              <w:keepNext/>
              <w:jc w:val="center"/>
              <w:rPr>
                <w:rFonts w:cs="Tahoma"/>
                <w:sz w:val="20"/>
                <w:highlight w:val="yellow"/>
              </w:rPr>
            </w:pPr>
            <w:r w:rsidRPr="00EE57F4">
              <w:rPr>
                <w:b/>
                <w:sz w:val="20"/>
              </w:rPr>
              <w:t>redacted</w:t>
            </w:r>
          </w:p>
        </w:tc>
        <w:tc>
          <w:tcPr>
            <w:tcW w:w="1468" w:type="dxa"/>
            <w:vMerge w:val="restart"/>
            <w:vAlign w:val="center"/>
          </w:tcPr>
          <w:p w14:paraId="34EC29FE" w14:textId="7A2AFE7A" w:rsidR="00040D5B" w:rsidRPr="005D25EA" w:rsidRDefault="004D0016" w:rsidP="00040D5B">
            <w:pPr>
              <w:keepNext/>
              <w:jc w:val="center"/>
              <w:rPr>
                <w:rFonts w:cs="Tahoma"/>
                <w:sz w:val="20"/>
              </w:rPr>
            </w:pPr>
            <w:r w:rsidRPr="00EE57F4">
              <w:rPr>
                <w:b/>
                <w:sz w:val="20"/>
              </w:rPr>
              <w:t>redacted</w:t>
            </w:r>
          </w:p>
        </w:tc>
        <w:tc>
          <w:tcPr>
            <w:tcW w:w="1469" w:type="dxa"/>
            <w:vMerge w:val="restart"/>
            <w:vAlign w:val="center"/>
          </w:tcPr>
          <w:p w14:paraId="6313BEED" w14:textId="77777777" w:rsidR="00040D5B" w:rsidRPr="005D25EA" w:rsidRDefault="00040D5B" w:rsidP="00040D5B">
            <w:pPr>
              <w:keepNext/>
              <w:jc w:val="center"/>
              <w:rPr>
                <w:rFonts w:cs="Tahoma"/>
                <w:i/>
                <w:iCs/>
                <w:sz w:val="20"/>
              </w:rPr>
            </w:pPr>
            <w:r w:rsidRPr="005D25EA">
              <w:rPr>
                <w:rFonts w:cs="Tahoma"/>
                <w:i/>
                <w:iCs/>
                <w:sz w:val="20"/>
              </w:rPr>
              <w:t>Dominant</w:t>
            </w:r>
          </w:p>
          <w:p w14:paraId="07907925" w14:textId="36F827B2" w:rsidR="00040D5B" w:rsidRPr="005D25EA" w:rsidRDefault="004D0016" w:rsidP="00040D5B">
            <w:pPr>
              <w:keepNext/>
              <w:jc w:val="center"/>
              <w:rPr>
                <w:rFonts w:cs="Tahoma"/>
                <w:i/>
                <w:iCs/>
                <w:sz w:val="20"/>
              </w:rPr>
            </w:pPr>
            <w:r w:rsidRPr="00EE57F4">
              <w:rPr>
                <w:b/>
                <w:sz w:val="20"/>
              </w:rPr>
              <w:t>$redacted</w:t>
            </w:r>
          </w:p>
        </w:tc>
      </w:tr>
      <w:tr w:rsidR="00040D5B" w:rsidRPr="001B5BFD" w14:paraId="414E2739" w14:textId="77777777" w:rsidTr="00040D5B">
        <w:tc>
          <w:tcPr>
            <w:tcW w:w="1843" w:type="dxa"/>
          </w:tcPr>
          <w:p w14:paraId="07E2435F" w14:textId="77777777" w:rsidR="00040D5B" w:rsidRPr="001B5BFD" w:rsidRDefault="00040D5B" w:rsidP="00040D5B">
            <w:pPr>
              <w:keepNext/>
              <w:rPr>
                <w:rFonts w:cs="Tahoma"/>
              </w:rPr>
            </w:pPr>
            <w:r w:rsidRPr="00E40C30">
              <w:rPr>
                <w:rFonts w:cs="Tahoma"/>
                <w:sz w:val="20"/>
              </w:rPr>
              <w:t>SAVR</w:t>
            </w:r>
          </w:p>
        </w:tc>
        <w:tc>
          <w:tcPr>
            <w:tcW w:w="1468" w:type="dxa"/>
          </w:tcPr>
          <w:p w14:paraId="0E3F58AD" w14:textId="7ECA520A" w:rsidR="00040D5B" w:rsidRPr="00092AEE" w:rsidRDefault="004D0016" w:rsidP="00040D5B">
            <w:pPr>
              <w:keepNext/>
              <w:jc w:val="center"/>
              <w:rPr>
                <w:rFonts w:cs="Tahoma"/>
                <w:i/>
                <w:iCs/>
                <w:highlight w:val="yellow"/>
              </w:rPr>
            </w:pPr>
            <w:r w:rsidRPr="00EE57F4">
              <w:rPr>
                <w:b/>
                <w:sz w:val="20"/>
              </w:rPr>
              <w:t>$redacted</w:t>
            </w:r>
          </w:p>
        </w:tc>
        <w:tc>
          <w:tcPr>
            <w:tcW w:w="1468" w:type="dxa"/>
            <w:vMerge/>
            <w:vAlign w:val="center"/>
          </w:tcPr>
          <w:p w14:paraId="2F398B10" w14:textId="77777777" w:rsidR="00040D5B" w:rsidRPr="001B5BFD" w:rsidRDefault="00040D5B" w:rsidP="00040D5B">
            <w:pPr>
              <w:keepNext/>
              <w:jc w:val="center"/>
              <w:rPr>
                <w:rFonts w:cs="Tahoma"/>
                <w:i/>
                <w:iCs/>
              </w:rPr>
            </w:pPr>
          </w:p>
        </w:tc>
        <w:tc>
          <w:tcPr>
            <w:tcW w:w="1469" w:type="dxa"/>
            <w:vAlign w:val="center"/>
          </w:tcPr>
          <w:p w14:paraId="4D98B0B7" w14:textId="4972D867" w:rsidR="00040D5B" w:rsidRPr="00092AEE" w:rsidRDefault="004D0016" w:rsidP="00040D5B">
            <w:pPr>
              <w:keepNext/>
              <w:jc w:val="center"/>
              <w:rPr>
                <w:rFonts w:cs="Tahoma"/>
                <w:sz w:val="20"/>
                <w:highlight w:val="yellow"/>
              </w:rPr>
            </w:pPr>
            <w:r w:rsidRPr="00EE57F4">
              <w:rPr>
                <w:b/>
                <w:sz w:val="20"/>
              </w:rPr>
              <w:t>redacted</w:t>
            </w:r>
          </w:p>
        </w:tc>
        <w:tc>
          <w:tcPr>
            <w:tcW w:w="1468" w:type="dxa"/>
            <w:vMerge/>
            <w:vAlign w:val="center"/>
          </w:tcPr>
          <w:p w14:paraId="75C03664" w14:textId="77777777" w:rsidR="00040D5B" w:rsidRPr="001B5BFD" w:rsidRDefault="00040D5B" w:rsidP="00040D5B">
            <w:pPr>
              <w:keepNext/>
              <w:jc w:val="center"/>
              <w:rPr>
                <w:rFonts w:cs="Tahoma"/>
              </w:rPr>
            </w:pPr>
          </w:p>
        </w:tc>
        <w:tc>
          <w:tcPr>
            <w:tcW w:w="1469" w:type="dxa"/>
            <w:vMerge/>
            <w:vAlign w:val="center"/>
          </w:tcPr>
          <w:p w14:paraId="69F39954" w14:textId="77777777" w:rsidR="00040D5B" w:rsidRPr="001B5BFD" w:rsidRDefault="00040D5B" w:rsidP="00040D5B">
            <w:pPr>
              <w:keepNext/>
              <w:jc w:val="center"/>
              <w:rPr>
                <w:rFonts w:cs="Tahoma"/>
              </w:rPr>
            </w:pPr>
          </w:p>
        </w:tc>
      </w:tr>
    </w:tbl>
    <w:p w14:paraId="6E438B46" w14:textId="77777777" w:rsidR="00040D5B" w:rsidRPr="005D25EA" w:rsidRDefault="00040D5B" w:rsidP="00040D5B">
      <w:pPr>
        <w:keepNext/>
        <w:keepLines/>
        <w:jc w:val="both"/>
        <w:rPr>
          <w:rFonts w:ascii="Arial Narrow" w:hAnsi="Arial Narrow" w:cs="Arial"/>
          <w:sz w:val="18"/>
          <w:lang w:eastAsia="en-US"/>
        </w:rPr>
      </w:pPr>
      <w:r w:rsidRPr="005D25EA">
        <w:rPr>
          <w:rFonts w:ascii="Arial Narrow" w:hAnsi="Arial Narrow" w:cs="Arial"/>
          <w:sz w:val="18"/>
          <w:lang w:eastAsia="en-US"/>
        </w:rPr>
        <w:t>Abbreviations: ICER = incremental cost-effectiveness ratio; QALY = quality adjusted life year; SAVR = surgical aortic valve replacement; TAVI-BEV = transcatheter aortic valve</w:t>
      </w:r>
    </w:p>
    <w:p w14:paraId="3042E6E7" w14:textId="77777777" w:rsidR="00040D5B" w:rsidRPr="005D25EA" w:rsidRDefault="00040D5B" w:rsidP="00040D5B">
      <w:pPr>
        <w:keepNext/>
        <w:keepLines/>
        <w:jc w:val="both"/>
        <w:rPr>
          <w:rFonts w:ascii="Arial Narrow" w:hAnsi="Arial Narrow" w:cs="Arial"/>
          <w:sz w:val="18"/>
          <w:lang w:eastAsia="en-US"/>
        </w:rPr>
      </w:pPr>
      <w:r w:rsidRPr="005D25EA">
        <w:rPr>
          <w:rFonts w:ascii="Arial Narrow" w:hAnsi="Arial Narrow" w:cs="Arial"/>
          <w:sz w:val="18"/>
          <w:vertAlign w:val="superscript"/>
          <w:lang w:eastAsia="en-US"/>
        </w:rPr>
        <w:t xml:space="preserve">a  </w:t>
      </w:r>
      <w:r w:rsidRPr="005D25EA">
        <w:rPr>
          <w:rFonts w:ascii="Arial Narrow" w:hAnsi="Arial Narrow" w:cs="Arial"/>
          <w:sz w:val="18"/>
          <w:lang w:eastAsia="en-US"/>
        </w:rPr>
        <w:t>Hospital and prosthesis costs for private patients were included by the evaluation</w:t>
      </w:r>
    </w:p>
    <w:p w14:paraId="11A10A1B" w14:textId="76B3AC1A" w:rsidR="00040D5B" w:rsidRPr="005D25EA" w:rsidRDefault="00040D5B" w:rsidP="00040D5B">
      <w:pPr>
        <w:keepNext/>
        <w:keepLines/>
        <w:jc w:val="both"/>
        <w:rPr>
          <w:rFonts w:ascii="Arial Narrow" w:hAnsi="Arial Narrow" w:cs="Arial"/>
          <w:sz w:val="18"/>
          <w:lang w:eastAsia="en-US"/>
        </w:rPr>
      </w:pPr>
      <w:r w:rsidRPr="005D25EA">
        <w:rPr>
          <w:rFonts w:ascii="Arial Narrow" w:hAnsi="Arial Narrow" w:cs="Arial"/>
          <w:sz w:val="18"/>
          <w:vertAlign w:val="superscript"/>
          <w:lang w:eastAsia="en-US"/>
        </w:rPr>
        <w:t xml:space="preserve">b  </w:t>
      </w:r>
      <w:r w:rsidRPr="005D25EA">
        <w:rPr>
          <w:rFonts w:ascii="Arial Narrow" w:hAnsi="Arial Narrow" w:cs="Arial"/>
          <w:sz w:val="18"/>
          <w:lang w:eastAsia="en-US"/>
        </w:rPr>
        <w:t xml:space="preserve">Note: in cells </w:t>
      </w:r>
      <w:r w:rsidR="004D0016" w:rsidRPr="00EE57F4">
        <w:rPr>
          <w:b/>
          <w:sz w:val="20"/>
        </w:rPr>
        <w:t>redacted</w:t>
      </w:r>
      <w:r w:rsidRPr="005D25EA">
        <w:rPr>
          <w:rFonts w:ascii="Arial Narrow" w:hAnsi="Arial Narrow" w:cs="Arial"/>
          <w:sz w:val="18"/>
          <w:lang w:eastAsia="en-US"/>
        </w:rPr>
        <w:t xml:space="preserve"> the cost of </w:t>
      </w:r>
      <w:r w:rsidR="004D0016" w:rsidRPr="00EE57F4">
        <w:rPr>
          <w:b/>
          <w:sz w:val="20"/>
        </w:rPr>
        <w:t>$redacted</w:t>
      </w:r>
      <w:r w:rsidR="004D0016" w:rsidRPr="005D25EA">
        <w:rPr>
          <w:rFonts w:ascii="Arial Narrow" w:hAnsi="Arial Narrow" w:cs="Arial"/>
          <w:sz w:val="18"/>
          <w:lang w:eastAsia="en-US"/>
        </w:rPr>
        <w:t xml:space="preserve"> </w:t>
      </w:r>
      <w:r w:rsidRPr="005D25EA">
        <w:rPr>
          <w:rFonts w:ascii="Arial Narrow" w:hAnsi="Arial Narrow" w:cs="Arial"/>
          <w:sz w:val="18"/>
          <w:lang w:eastAsia="en-US"/>
        </w:rPr>
        <w:t xml:space="preserve">was applied to each cycle instead of </w:t>
      </w:r>
      <w:r w:rsidR="004D0016" w:rsidRPr="00EE57F4">
        <w:rPr>
          <w:b/>
          <w:sz w:val="20"/>
        </w:rPr>
        <w:t>$redacted</w:t>
      </w:r>
    </w:p>
    <w:p w14:paraId="6A0D6DA5" w14:textId="77777777" w:rsidR="00040D5B" w:rsidRPr="005D25EA" w:rsidRDefault="00040D5B" w:rsidP="00040D5B">
      <w:pPr>
        <w:keepNext/>
        <w:keepLines/>
        <w:jc w:val="both"/>
        <w:rPr>
          <w:rFonts w:ascii="Arial Narrow" w:hAnsi="Arial Narrow" w:cstheme="minorHAnsi"/>
          <w:i/>
          <w:iCs/>
          <w:sz w:val="18"/>
          <w:lang w:eastAsia="en-US"/>
        </w:rPr>
      </w:pPr>
      <w:r w:rsidRPr="005D25EA">
        <w:rPr>
          <w:rFonts w:ascii="Arial Narrow" w:hAnsi="Arial Narrow" w:cstheme="minorHAnsi"/>
          <w:i/>
          <w:iCs/>
          <w:sz w:val="18"/>
          <w:vertAlign w:val="superscript"/>
          <w:lang w:eastAsia="en-US"/>
        </w:rPr>
        <w:t>c</w:t>
      </w:r>
      <w:r w:rsidRPr="005D25EA">
        <w:rPr>
          <w:rFonts w:ascii="Arial Narrow" w:hAnsi="Arial Narrow" w:cstheme="minorHAnsi"/>
          <w:i/>
          <w:iCs/>
          <w:sz w:val="18"/>
          <w:lang w:eastAsia="en-US"/>
        </w:rPr>
        <w:t xml:space="preserve"> Revised base case assumptions include inclusion of prostheses costs and hospital stay costs for private patients, TAVI-BEV prosthesis cost of $22,932, as per the July 2020 Prostheses List</w:t>
      </w:r>
    </w:p>
    <w:p w14:paraId="203449DB" w14:textId="40054854" w:rsidR="00040D5B" w:rsidRPr="005D25EA" w:rsidRDefault="00040D5B" w:rsidP="00040D5B">
      <w:pPr>
        <w:keepNext/>
        <w:keepLines/>
        <w:jc w:val="both"/>
        <w:rPr>
          <w:rFonts w:ascii="Arial Narrow" w:hAnsi="Arial Narrow" w:cstheme="minorHAnsi"/>
          <w:i/>
          <w:iCs/>
          <w:sz w:val="18"/>
          <w:lang w:eastAsia="en-US"/>
        </w:rPr>
      </w:pPr>
      <w:r w:rsidRPr="005D25EA">
        <w:rPr>
          <w:rFonts w:ascii="Arial Narrow" w:hAnsi="Arial Narrow" w:cstheme="minorHAnsi"/>
          <w:i/>
          <w:iCs/>
          <w:sz w:val="18"/>
          <w:vertAlign w:val="superscript"/>
          <w:lang w:eastAsia="en-US"/>
        </w:rPr>
        <w:t>d</w:t>
      </w:r>
      <w:r w:rsidRPr="005D25EA">
        <w:rPr>
          <w:rFonts w:ascii="Arial Narrow" w:hAnsi="Arial Narrow" w:cstheme="minorHAnsi"/>
          <w:i/>
          <w:iCs/>
          <w:sz w:val="18"/>
          <w:lang w:eastAsia="en-US"/>
        </w:rPr>
        <w:t xml:space="preserve"> Scenario analysis 1 assumptions include: inclusion of prostheses costs and hospital stay costs for private patients, TAVI-BEV prosthesis cost of </w:t>
      </w:r>
      <w:r w:rsidR="004D0016" w:rsidRPr="00EE57F4">
        <w:rPr>
          <w:b/>
          <w:sz w:val="20"/>
        </w:rPr>
        <w:t>$redacted</w:t>
      </w:r>
      <w:r w:rsidRPr="005D25EA">
        <w:rPr>
          <w:rFonts w:ascii="Arial Narrow" w:hAnsi="Arial Narrow" w:cstheme="minorHAnsi"/>
          <w:i/>
          <w:iCs/>
          <w:sz w:val="18"/>
          <w:lang w:eastAsia="en-US"/>
        </w:rPr>
        <w:t>, as per the ADAR</w:t>
      </w:r>
    </w:p>
    <w:p w14:paraId="11021427" w14:textId="1B0EC82C" w:rsidR="00040D5B" w:rsidRPr="005D25EA" w:rsidRDefault="00040D5B" w:rsidP="005D25EA">
      <w:pPr>
        <w:keepNext/>
        <w:keepLines/>
        <w:spacing w:after="240"/>
        <w:jc w:val="both"/>
        <w:rPr>
          <w:rFonts w:ascii="Arial Narrow" w:hAnsi="Arial Narrow" w:cstheme="minorHAnsi"/>
          <w:i/>
          <w:iCs/>
          <w:sz w:val="18"/>
          <w:lang w:eastAsia="en-US"/>
        </w:rPr>
      </w:pPr>
      <w:r w:rsidRPr="005D25EA">
        <w:rPr>
          <w:rFonts w:ascii="Arial Narrow" w:hAnsi="Arial Narrow" w:cs="Arial"/>
          <w:sz w:val="18"/>
          <w:lang w:eastAsia="en-US"/>
        </w:rPr>
        <w:t xml:space="preserve">Source: Table 4, pxix of the </w:t>
      </w:r>
      <w:r w:rsidR="00DD7827">
        <w:rPr>
          <w:rFonts w:ascii="Arial Narrow" w:hAnsi="Arial Narrow" w:cs="Arial"/>
          <w:sz w:val="18"/>
          <w:lang w:eastAsia="en-US"/>
        </w:rPr>
        <w:t>Commentary</w:t>
      </w:r>
    </w:p>
    <w:p w14:paraId="5FE649C6" w14:textId="5A54C946" w:rsidR="000A1F98" w:rsidRPr="0060464A" w:rsidRDefault="00040D5B" w:rsidP="0060464A">
      <w:pPr>
        <w:spacing w:after="240"/>
        <w:rPr>
          <w:b/>
        </w:rPr>
      </w:pPr>
      <w:r>
        <w:t xml:space="preserve">The </w:t>
      </w:r>
      <w:r w:rsidR="00DD7827">
        <w:t>Commentary</w:t>
      </w:r>
      <w:r>
        <w:t xml:space="preserve"> </w:t>
      </w:r>
      <w:r w:rsidRPr="00F26AD4">
        <w:t>sensitivity analyses found that TAVI-BEV remained the dominant treatment option compared with SAVR</w:t>
      </w:r>
      <w:r>
        <w:t xml:space="preserve"> in most scenarios</w:t>
      </w:r>
      <w:r w:rsidRPr="00F26AD4">
        <w:t>, including changes in the assumption of efficacy between TAVI-BEV and SAVR, the inclusion of the ADAR’s proposed pros</w:t>
      </w:r>
      <w:r>
        <w:t xml:space="preserve">thesis cost </w:t>
      </w:r>
      <w:r w:rsidR="004D0016" w:rsidRPr="004D0016">
        <w:rPr>
          <w:b/>
        </w:rPr>
        <w:t>$redacted</w:t>
      </w:r>
      <w:r w:rsidR="004D0016" w:rsidRPr="004D0016">
        <w:t xml:space="preserve"> </w:t>
      </w:r>
      <w:r>
        <w:t>(scenario 1</w:t>
      </w:r>
      <w:r w:rsidRPr="00F26AD4">
        <w:t xml:space="preserve">), the application of treatment specific adverse event rates and changes in utility values. The exception was when the hospitalisation costs for treatment with TAVI-BEV were adjusted based on the length of </w:t>
      </w:r>
      <w:r>
        <w:t xml:space="preserve">hospital stay for TAVI-BEV </w:t>
      </w:r>
      <w:r w:rsidRPr="006618B7">
        <w:rPr>
          <w:i/>
        </w:rPr>
        <w:t>vs.</w:t>
      </w:r>
      <w:r w:rsidRPr="00F26AD4">
        <w:t xml:space="preserve"> SAVR patients</w:t>
      </w:r>
      <w:r>
        <w:t xml:space="preserve"> (Figure 3). The </w:t>
      </w:r>
      <w:r w:rsidR="00DD7827">
        <w:t>Commentary</w:t>
      </w:r>
      <w:r>
        <w:t xml:space="preserve">’s threshold analysis indicating that </w:t>
      </w:r>
      <w:r w:rsidRPr="00F26AD4">
        <w:t xml:space="preserve">TAVI-BEV stops being the dominant treatment option at ratios </w:t>
      </w:r>
      <w:r w:rsidR="004D0016" w:rsidRPr="004D0016">
        <w:rPr>
          <w:b/>
        </w:rPr>
        <w:t>redacted</w:t>
      </w:r>
      <w:r w:rsidR="004D0016">
        <w:rPr>
          <w:b/>
        </w:rPr>
        <w:t>.</w:t>
      </w:r>
    </w:p>
    <w:p w14:paraId="0D35C10C" w14:textId="77777777" w:rsidR="000A1F98" w:rsidRDefault="000A1F98" w:rsidP="00AC061E">
      <w:pPr>
        <w:keepNext/>
        <w:keepLines/>
      </w:pPr>
      <w:r>
        <w:rPr>
          <w:noProof/>
        </w:rPr>
        <w:drawing>
          <wp:inline distT="0" distB="0" distL="0" distR="0" wp14:anchorId="55F2779A" wp14:editId="13B4418C">
            <wp:extent cx="5731510" cy="2658745"/>
            <wp:effectExtent l="0" t="0" r="2540" b="8255"/>
            <wp:docPr id="11" name="Picture 11" descr="Tornado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E8F57D.tmp"/>
                    <pic:cNvPicPr/>
                  </pic:nvPicPr>
                  <pic:blipFill>
                    <a:blip r:embed="rId23">
                      <a:extLst>
                        <a:ext uri="{28A0092B-C50C-407E-A947-70E740481C1C}">
                          <a14:useLocalDpi xmlns:a14="http://schemas.microsoft.com/office/drawing/2010/main" val="0"/>
                        </a:ext>
                      </a:extLst>
                    </a:blip>
                    <a:stretch>
                      <a:fillRect/>
                    </a:stretch>
                  </pic:blipFill>
                  <pic:spPr>
                    <a:xfrm>
                      <a:off x="0" y="0"/>
                      <a:ext cx="5731510" cy="2658745"/>
                    </a:xfrm>
                    <a:prstGeom prst="rect">
                      <a:avLst/>
                    </a:prstGeom>
                  </pic:spPr>
                </pic:pic>
              </a:graphicData>
            </a:graphic>
          </wp:inline>
        </w:drawing>
      </w:r>
    </w:p>
    <w:p w14:paraId="599446BB" w14:textId="521D8AF1" w:rsidR="000A1F98" w:rsidRPr="00AC061E" w:rsidRDefault="000A1F98" w:rsidP="00AC061E">
      <w:pPr>
        <w:keepNext/>
        <w:keepLines/>
        <w:rPr>
          <w:rFonts w:ascii="Arial Narrow" w:hAnsi="Arial Narrow"/>
          <w:b/>
          <w:sz w:val="20"/>
        </w:rPr>
      </w:pPr>
      <w:r w:rsidRPr="00AC061E">
        <w:rPr>
          <w:rFonts w:ascii="Arial Narrow" w:hAnsi="Arial Narrow"/>
          <w:b/>
          <w:sz w:val="20"/>
        </w:rPr>
        <w:t xml:space="preserve">Figure </w:t>
      </w:r>
      <w:r w:rsidR="003C680B" w:rsidRPr="00AC061E">
        <w:rPr>
          <w:rFonts w:ascii="Arial Narrow" w:hAnsi="Arial Narrow"/>
          <w:b/>
          <w:sz w:val="20"/>
        </w:rPr>
        <w:fldChar w:fldCharType="begin"/>
      </w:r>
      <w:r w:rsidR="003C680B" w:rsidRPr="00AC061E">
        <w:rPr>
          <w:rFonts w:ascii="Arial Narrow" w:hAnsi="Arial Narrow"/>
          <w:b/>
          <w:sz w:val="20"/>
        </w:rPr>
        <w:instrText xml:space="preserve"> SEQ Figure \* ARABIC </w:instrText>
      </w:r>
      <w:r w:rsidR="003C680B" w:rsidRPr="00AC061E">
        <w:rPr>
          <w:rFonts w:ascii="Arial Narrow" w:hAnsi="Arial Narrow"/>
          <w:b/>
          <w:sz w:val="20"/>
        </w:rPr>
        <w:fldChar w:fldCharType="separate"/>
      </w:r>
      <w:r w:rsidR="007035C0" w:rsidRPr="00AC061E">
        <w:rPr>
          <w:rFonts w:ascii="Arial Narrow" w:hAnsi="Arial Narrow"/>
          <w:b/>
          <w:sz w:val="20"/>
        </w:rPr>
        <w:t>3</w:t>
      </w:r>
      <w:r w:rsidR="003C680B" w:rsidRPr="00AC061E">
        <w:rPr>
          <w:rFonts w:ascii="Arial Narrow" w:hAnsi="Arial Narrow"/>
          <w:b/>
          <w:sz w:val="20"/>
        </w:rPr>
        <w:fldChar w:fldCharType="end"/>
      </w:r>
      <w:r w:rsidRPr="00AC061E">
        <w:rPr>
          <w:rFonts w:ascii="Arial Narrow" w:hAnsi="Arial Narrow"/>
          <w:b/>
          <w:sz w:val="20"/>
        </w:rPr>
        <w:t xml:space="preserve"> Tornado Diagram </w:t>
      </w:r>
    </w:p>
    <w:p w14:paraId="286A5BF0" w14:textId="77777777" w:rsidR="000A1F98" w:rsidRDefault="000A1F98" w:rsidP="00AC061E">
      <w:pPr>
        <w:pStyle w:val="TableFooter"/>
        <w:keepNext/>
        <w:keepLines/>
        <w:rPr>
          <w:szCs w:val="18"/>
        </w:rPr>
      </w:pPr>
      <w:r w:rsidRPr="0089366F">
        <w:rPr>
          <w:szCs w:val="18"/>
        </w:rPr>
        <w:t xml:space="preserve">Abbreviations: </w:t>
      </w:r>
      <w:r>
        <w:rPr>
          <w:szCs w:val="18"/>
        </w:rPr>
        <w:t xml:space="preserve">ICER = incremental cost-effectiveness ratio; QALY = quality adjusted life year; </w:t>
      </w:r>
      <w:r w:rsidRPr="0089366F">
        <w:rPr>
          <w:szCs w:val="18"/>
        </w:rPr>
        <w:t xml:space="preserve">SAVR = surgical aortic valve replacement; </w:t>
      </w:r>
      <w:r>
        <w:rPr>
          <w:szCs w:val="18"/>
        </w:rPr>
        <w:t>SIR = standardised incidence ratio; standardised mortality ratio; TAVI-BEV = transcatheter aortic valve implantation - balloon-expandable valve</w:t>
      </w:r>
      <w:r w:rsidRPr="00EE7A3C">
        <w:rPr>
          <w:szCs w:val="18"/>
        </w:rPr>
        <w:t xml:space="preserve"> </w:t>
      </w:r>
    </w:p>
    <w:p w14:paraId="2968F433" w14:textId="7202A3BD" w:rsidR="00040D5B" w:rsidRDefault="000A1F98" w:rsidP="00AC061E">
      <w:pPr>
        <w:keepNext/>
        <w:keepLines/>
      </w:pPr>
      <w:r>
        <w:rPr>
          <w:rFonts w:ascii="Arial Narrow" w:hAnsi="Arial Narrow"/>
          <w:sz w:val="18"/>
          <w:szCs w:val="18"/>
        </w:rPr>
        <w:t>Source: constructed during evaluation (Figure 7, p99 of the Commentary)</w:t>
      </w:r>
    </w:p>
    <w:p w14:paraId="3A6D090B" w14:textId="77777777" w:rsidR="00040D5B" w:rsidRPr="00B14FF0" w:rsidRDefault="00040D5B" w:rsidP="0060464A">
      <w:pPr>
        <w:pStyle w:val="Heading4"/>
        <w:spacing w:before="240"/>
        <w:rPr>
          <w:color w:val="auto"/>
        </w:rPr>
      </w:pPr>
      <w:r w:rsidRPr="00B14FF0">
        <w:rPr>
          <w:color w:val="auto"/>
        </w:rPr>
        <w:t>Model validation</w:t>
      </w:r>
    </w:p>
    <w:p w14:paraId="0400AD89" w14:textId="42693946" w:rsidR="00040D5B" w:rsidRDefault="00040D5B" w:rsidP="0060464A">
      <w:pPr>
        <w:spacing w:after="240"/>
      </w:pPr>
      <w:r>
        <w:t xml:space="preserve">The </w:t>
      </w:r>
      <w:r w:rsidR="00DD7827">
        <w:t>Commentary</w:t>
      </w:r>
      <w:r>
        <w:t xml:space="preserve"> examined the external validity of the </w:t>
      </w:r>
      <w:r w:rsidRPr="00485398">
        <w:t xml:space="preserve">model </w:t>
      </w:r>
      <w:r>
        <w:t>by comparing the</w:t>
      </w:r>
      <w:r w:rsidRPr="00485398">
        <w:t xml:space="preserve"> Markov traces</w:t>
      </w:r>
      <w:r>
        <w:t xml:space="preserve"> for death or disabling stroke </w:t>
      </w:r>
      <w:r w:rsidRPr="00485398">
        <w:t>of TAVI and SAVR arms (aggregated for male and female proportions) with 5-years of follow-up data from the PARTNER 2A study. PARTNER 2A was</w:t>
      </w:r>
      <w:r>
        <w:t xml:space="preserve"> a</w:t>
      </w:r>
      <w:r w:rsidRPr="00485398">
        <w:t xml:space="preserve"> randomised trial, which compared an earlier generat</w:t>
      </w:r>
      <w:r>
        <w:t xml:space="preserve">ion TAVI-BEV device (SAPIEN XT) with SAVR. </w:t>
      </w:r>
      <w:r w:rsidRPr="00485398">
        <w:t xml:space="preserve">The SAVR patients in this study provided the SAVR arm of PARTNER S3i, which </w:t>
      </w:r>
      <w:r>
        <w:t xml:space="preserve">was the basis of the ADAR’s clinical evidence. The comparison found that </w:t>
      </w:r>
      <w:r w:rsidRPr="00F33FBB">
        <w:t>the modelled rates of death or disabling stroke at 5-years for SAVR patients were similar to the Kaplan-Meier estimates for SAVR patients in PARTNER 2A (42% versus 43%)</w:t>
      </w:r>
      <w:r>
        <w:t xml:space="preserve"> [</w:t>
      </w:r>
      <w:r w:rsidR="00F24BB1">
        <w:t>Figure</w:t>
      </w:r>
      <w:r w:rsidR="005D25EA">
        <w:t>4</w:t>
      </w:r>
      <w:r>
        <w:t xml:space="preserve">]. The </w:t>
      </w:r>
      <w:r w:rsidR="00DD7827">
        <w:t>Commentary</w:t>
      </w:r>
      <w:r>
        <w:t xml:space="preserve"> considered that </w:t>
      </w:r>
      <w:r w:rsidRPr="00F33FBB">
        <w:t>it was not possible to compare the modelled rates of death or disabling stroke for TAVI-BEV patients to the Kaplan-Meier estimates as PARTNER 2A used an earlier generation TAVI-BEV device.</w:t>
      </w:r>
    </w:p>
    <w:p w14:paraId="1DE072E7" w14:textId="67123DCB" w:rsidR="00040D5B" w:rsidRDefault="00040D5B" w:rsidP="00040D5B">
      <w:pPr>
        <w:keepNext/>
        <w:widowControl w:val="0"/>
        <w:snapToGrid w:val="0"/>
        <w:jc w:val="both"/>
      </w:pPr>
      <w:r w:rsidRPr="00DF2060">
        <w:rPr>
          <w:rFonts w:ascii="Arial Narrow" w:hAnsi="Arial Narrow" w:cs="Arial"/>
          <w:noProof/>
          <w:sz w:val="18"/>
          <w:szCs w:val="22"/>
        </w:rPr>
        <w:drawing>
          <wp:inline distT="0" distB="0" distL="0" distR="0" wp14:anchorId="10E07273" wp14:editId="6A6B9C6D">
            <wp:extent cx="5411972" cy="2211572"/>
            <wp:effectExtent l="0" t="0" r="17780" b="17780"/>
            <wp:docPr id="24" name="Chart 24" descr="Comparison of modelled death or disabling stroke vs. external data of intermediate risk cohort over 5 years">
              <a:extLst xmlns:a="http://schemas.openxmlformats.org/drawingml/2006/main">
                <a:ext uri="{FF2B5EF4-FFF2-40B4-BE49-F238E27FC236}">
                  <a16:creationId xmlns:a16="http://schemas.microsoft.com/office/drawing/2014/main" id="{02B7488A-B496-4C78-90A1-DF4B471A7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6A4D4B8" w14:textId="3D36A45B" w:rsidR="00040D5B" w:rsidRPr="00AC061E" w:rsidRDefault="00040D5B" w:rsidP="00AC061E">
      <w:pPr>
        <w:rPr>
          <w:rFonts w:ascii="Arial Narrow" w:hAnsi="Arial Narrow"/>
          <w:b/>
          <w:sz w:val="20"/>
        </w:rPr>
      </w:pPr>
      <w:bookmarkStart w:id="6" w:name="_Ref51575795"/>
      <w:r w:rsidRPr="00AC061E">
        <w:rPr>
          <w:rFonts w:ascii="Arial Narrow" w:hAnsi="Arial Narrow"/>
          <w:b/>
          <w:sz w:val="20"/>
        </w:rPr>
        <w:t xml:space="preserve">Figure </w:t>
      </w:r>
      <w:bookmarkEnd w:id="6"/>
      <w:r w:rsidR="005D25EA" w:rsidRPr="00AC061E">
        <w:rPr>
          <w:rFonts w:ascii="Arial Narrow" w:hAnsi="Arial Narrow"/>
          <w:b/>
          <w:sz w:val="20"/>
        </w:rPr>
        <w:t>4</w:t>
      </w:r>
      <w:r w:rsidR="00E40C30" w:rsidRPr="00AC061E">
        <w:rPr>
          <w:rFonts w:ascii="Arial Narrow" w:hAnsi="Arial Narrow"/>
          <w:b/>
          <w:sz w:val="20"/>
        </w:rPr>
        <w:tab/>
      </w:r>
      <w:r w:rsidRPr="00AC061E">
        <w:rPr>
          <w:rFonts w:ascii="Arial Narrow" w:hAnsi="Arial Narrow"/>
          <w:b/>
          <w:sz w:val="20"/>
        </w:rPr>
        <w:t>Comparison of modelled death or disabling stroke vs. external data of intermediate risk cohort over 5 years</w:t>
      </w:r>
    </w:p>
    <w:p w14:paraId="3C8177A7" w14:textId="77777777" w:rsidR="00040D5B" w:rsidRPr="00DF2060" w:rsidRDefault="00040D5B" w:rsidP="00040D5B">
      <w:pPr>
        <w:widowControl w:val="0"/>
        <w:snapToGrid w:val="0"/>
        <w:jc w:val="both"/>
        <w:rPr>
          <w:rFonts w:ascii="Arial Narrow" w:hAnsi="Arial Narrow" w:cs="Arial"/>
          <w:noProof/>
          <w:sz w:val="18"/>
          <w:szCs w:val="22"/>
          <w:lang w:eastAsia="en-US"/>
        </w:rPr>
      </w:pPr>
      <w:r w:rsidRPr="00DF2060">
        <w:rPr>
          <w:rFonts w:ascii="Arial Narrow" w:hAnsi="Arial Narrow" w:cs="Arial"/>
          <w:sz w:val="18"/>
          <w:szCs w:val="18"/>
          <w:lang w:eastAsia="en-US"/>
        </w:rPr>
        <w:t>Abbreviations: SAVR = surgical aortic valve replacement; TAVI-BEV = transcatheter aortic valve – balloon expandable valves</w:t>
      </w:r>
      <w:r w:rsidRPr="00DF2060">
        <w:rPr>
          <w:rFonts w:ascii="Arial Narrow" w:hAnsi="Arial Narrow" w:cs="Arial"/>
          <w:noProof/>
          <w:sz w:val="18"/>
          <w:szCs w:val="22"/>
          <w:lang w:eastAsia="en-US"/>
        </w:rPr>
        <w:t xml:space="preserve"> (SAPIEN 3); TAVI = </w:t>
      </w:r>
      <w:r w:rsidRPr="00DF2060">
        <w:rPr>
          <w:rFonts w:ascii="Arial Narrow" w:hAnsi="Arial Narrow" w:cs="Arial"/>
          <w:sz w:val="18"/>
          <w:szCs w:val="18"/>
          <w:lang w:eastAsia="en-US"/>
        </w:rPr>
        <w:t>transcatheter aortic valve – balloon expandable valves</w:t>
      </w:r>
      <w:r w:rsidRPr="00DF2060">
        <w:rPr>
          <w:rFonts w:ascii="Arial Narrow" w:hAnsi="Arial Narrow" w:cs="Arial"/>
          <w:noProof/>
          <w:sz w:val="18"/>
          <w:szCs w:val="22"/>
          <w:lang w:eastAsia="en-US"/>
        </w:rPr>
        <w:t xml:space="preserve"> (SAPIEN XT)</w:t>
      </w:r>
    </w:p>
    <w:p w14:paraId="74CCB11B" w14:textId="549DFD65" w:rsidR="00040D5B" w:rsidRPr="00DE0E87" w:rsidRDefault="00040D5B" w:rsidP="004F31A4">
      <w:pPr>
        <w:widowControl w:val="0"/>
        <w:snapToGrid w:val="0"/>
        <w:jc w:val="both"/>
        <w:rPr>
          <w:rFonts w:ascii="Arial Narrow" w:hAnsi="Arial Narrow" w:cs="Arial"/>
          <w:i/>
          <w:noProof/>
          <w:sz w:val="16"/>
          <w:szCs w:val="22"/>
          <w:lang w:eastAsia="en-US"/>
        </w:rPr>
      </w:pPr>
      <w:r w:rsidRPr="00DF2060">
        <w:rPr>
          <w:rFonts w:ascii="Arial Narrow" w:hAnsi="Arial Narrow" w:cs="Arial"/>
          <w:noProof/>
          <w:sz w:val="18"/>
          <w:szCs w:val="22"/>
          <w:lang w:eastAsia="en-US"/>
        </w:rPr>
        <w:t>Source</w:t>
      </w:r>
      <w:r w:rsidR="00CC6D87">
        <w:rPr>
          <w:rFonts w:ascii="Arial Narrow" w:hAnsi="Arial Narrow" w:cs="Arial"/>
          <w:noProof/>
          <w:sz w:val="18"/>
          <w:szCs w:val="22"/>
          <w:lang w:eastAsia="en-US"/>
        </w:rPr>
        <w:t>:</w:t>
      </w:r>
      <w:r w:rsidRPr="00DF2060">
        <w:rPr>
          <w:rFonts w:ascii="Arial Narrow" w:hAnsi="Arial Narrow" w:cs="Arial"/>
          <w:noProof/>
          <w:sz w:val="18"/>
          <w:szCs w:val="22"/>
          <w:lang w:eastAsia="en-US"/>
        </w:rPr>
        <w:t xml:space="preserve"> </w:t>
      </w:r>
      <w:r w:rsidRPr="00DF2060">
        <w:rPr>
          <w:rFonts w:ascii="Arial Narrow" w:hAnsi="Arial Narrow" w:cs="Arial"/>
          <w:i/>
          <w:noProof/>
          <w:sz w:val="18"/>
          <w:szCs w:val="22"/>
          <w:lang w:eastAsia="en-US"/>
        </w:rPr>
        <w:t xml:space="preserve">Compiled during evaluation from Model spreadsheet and Figure 1 of </w:t>
      </w:r>
      <w:r w:rsidRPr="00DF2060">
        <w:rPr>
          <w:rFonts w:ascii="Arial Narrow" w:hAnsi="Arial Narrow" w:cs="Arial"/>
          <w:i/>
          <w:noProof/>
          <w:sz w:val="18"/>
          <w:szCs w:val="22"/>
          <w:lang w:eastAsia="en-US"/>
        </w:rPr>
        <w:fldChar w:fldCharType="begin"/>
      </w:r>
      <w:r w:rsidRPr="00DF2060">
        <w:rPr>
          <w:rFonts w:ascii="Arial Narrow" w:hAnsi="Arial Narrow" w:cs="Arial"/>
          <w:i/>
          <w:noProof/>
          <w:sz w:val="18"/>
          <w:szCs w:val="22"/>
          <w:lang w:eastAsia="en-US"/>
        </w:rPr>
        <w:instrText xml:space="preserve"> ADDIN EN.CITE &lt;EndNote&gt;&lt;Cite&gt;&lt;Author&gt;Makkar&lt;/Author&gt;&lt;Year&gt;2020&lt;/Year&gt;&lt;RecNum&gt;51&lt;/RecNum&gt;&lt;DisplayText&gt;(Makkar&lt;style face="italic"&gt; et al.&lt;/style&gt;, 2020)&lt;/DisplayText&gt;&lt;record&gt;&lt;rec-number&gt;51&lt;/rec-number&gt;&lt;foreign-keys&gt;&lt;key app="EN" db-id="p2x2vx2p3zv0e1e5vt6vesa9vsxzvwe20xzw" timestamp="1599624498"&gt;51&lt;/key&gt;&lt;/foreign-keys&gt;&lt;ref-type name="Journal Article"&gt;17&lt;/ref-type&gt;&lt;contributors&gt;&lt;authors&gt;&lt;author&gt;Makkar, Raj R&lt;/author&gt;&lt;author&gt;Thourani, Vinod H&lt;/author&gt;&lt;author&gt;Mack, Michael J&lt;/author&gt;&lt;author&gt;Kodali, Susheel K&lt;/author&gt;&lt;author&gt;Kapadia, Samir&lt;/author&gt;&lt;author&gt;Webb, John G&lt;/author&gt;&lt;author&gt;Yoon, Sung-Han&lt;/author&gt;&lt;author&gt;Trento, Alfredo&lt;/author&gt;&lt;author&gt;Svensson, Lars G&lt;/author&gt;&lt;author&gt;Herrmann, Howard C&lt;/author&gt;&lt;/authors&gt;&lt;/contributors&gt;&lt;titles&gt;&lt;title&gt;Five-year outcomes of transcatheter or surgical aortic-valve replacement&lt;/title&gt;&lt;secondary-title&gt;New England Journal of Medicine&lt;/secondary-title&gt;&lt;/titles&gt;&lt;periodical&gt;&lt;full-title&gt;New England Journal of Medicine&lt;/full-title&gt;&lt;/periodical&gt;&lt;pages&gt;799-809&lt;/pages&gt;&lt;volume&gt;382&lt;/volume&gt;&lt;number&gt;9&lt;/number&gt;&lt;dates&gt;&lt;year&gt;2020&lt;/year&gt;&lt;/dates&gt;&lt;isbn&gt;0028-4793&lt;/isbn&gt;&lt;urls&gt;&lt;related-urls&gt;&lt;url&gt;https://www.nejm.org/doi/pdf/10.1056/NEJMoa1910555?articleTools=true&lt;/url&gt;&lt;/related-urls&gt;&lt;/urls&gt;&lt;/record&gt;&lt;/Cite&gt;&lt;/EndNote&gt;</w:instrText>
      </w:r>
      <w:r w:rsidRPr="00DF2060">
        <w:rPr>
          <w:rFonts w:ascii="Arial Narrow" w:hAnsi="Arial Narrow" w:cs="Arial"/>
          <w:i/>
          <w:noProof/>
          <w:sz w:val="18"/>
          <w:szCs w:val="22"/>
          <w:lang w:eastAsia="en-US"/>
        </w:rPr>
        <w:fldChar w:fldCharType="separate"/>
      </w:r>
      <w:r w:rsidRPr="00DF2060">
        <w:rPr>
          <w:rFonts w:ascii="Arial Narrow" w:hAnsi="Arial Narrow" w:cs="Arial"/>
          <w:i/>
          <w:noProof/>
          <w:sz w:val="18"/>
          <w:szCs w:val="22"/>
          <w:lang w:eastAsia="en-US"/>
        </w:rPr>
        <w:t>(</w:t>
      </w:r>
      <w:hyperlink r:id="rId25" w:tooltip="Makkar, 2020 #51" w:history="1">
        <w:r w:rsidRPr="00DF2060">
          <w:rPr>
            <w:rFonts w:ascii="Arial Narrow" w:hAnsi="Arial Narrow" w:cs="Arial"/>
            <w:i/>
            <w:noProof/>
            <w:sz w:val="18"/>
            <w:szCs w:val="22"/>
            <w:lang w:eastAsia="en-US"/>
          </w:rPr>
          <w:t>Makkar et al., 2020</w:t>
        </w:r>
      </w:hyperlink>
      <w:r w:rsidRPr="00DF2060">
        <w:rPr>
          <w:rFonts w:ascii="Arial Narrow" w:hAnsi="Arial Narrow" w:cs="Arial"/>
          <w:i/>
          <w:noProof/>
          <w:sz w:val="18"/>
          <w:szCs w:val="22"/>
          <w:lang w:eastAsia="en-US"/>
        </w:rPr>
        <w:t>)</w:t>
      </w:r>
      <w:r w:rsidRPr="00DF2060">
        <w:rPr>
          <w:rFonts w:ascii="Arial Narrow" w:hAnsi="Arial Narrow" w:cs="Arial"/>
          <w:i/>
          <w:noProof/>
          <w:sz w:val="18"/>
          <w:szCs w:val="22"/>
          <w:lang w:eastAsia="en-US"/>
        </w:rPr>
        <w:fldChar w:fldCharType="end"/>
      </w:r>
      <w:r w:rsidR="00DE0E87">
        <w:rPr>
          <w:rFonts w:ascii="Arial Narrow" w:hAnsi="Arial Narrow" w:cs="Arial"/>
          <w:i/>
          <w:noProof/>
          <w:sz w:val="18"/>
          <w:szCs w:val="22"/>
          <w:lang w:eastAsia="en-US"/>
        </w:rPr>
        <w:t xml:space="preserve"> </w:t>
      </w:r>
      <w:r w:rsidR="00DE0E87" w:rsidRPr="00DE0E87">
        <w:rPr>
          <w:rFonts w:ascii="Arial Narrow" w:hAnsi="Arial Narrow" w:cs="Arial"/>
          <w:b/>
          <w:noProof/>
          <w:sz w:val="16"/>
          <w:szCs w:val="22"/>
          <w:lang w:eastAsia="en-US"/>
        </w:rPr>
        <w:t>[Redacted]</w:t>
      </w:r>
    </w:p>
    <w:p w14:paraId="6BB349E0" w14:textId="77777777" w:rsidR="00040D5B" w:rsidRDefault="00040D5B" w:rsidP="00040D5B">
      <w:pPr>
        <w:pStyle w:val="Heading3"/>
      </w:pPr>
      <w:r>
        <w:t>Applicant’s revised economic evaluation</w:t>
      </w:r>
    </w:p>
    <w:p w14:paraId="430CF943" w14:textId="2296F6D8" w:rsidR="00040D5B" w:rsidRDefault="00040D5B" w:rsidP="00040D5B">
      <w:r>
        <w:t xml:space="preserve">In the pre-ESC response, the applicant revised the modelled evaluation (Table </w:t>
      </w:r>
      <w:r w:rsidR="005D25EA">
        <w:t>11</w:t>
      </w:r>
      <w:r>
        <w:t>) so as to increase the relative risk of mortality among TAVI-BEV patients by 20%, such that the overall survival curves</w:t>
      </w:r>
      <w:r w:rsidR="005D25EA">
        <w:t xml:space="preserve"> crossed at five years (Figure 5</w:t>
      </w:r>
      <w:r>
        <w:t>). This was in response to the five y</w:t>
      </w:r>
      <w:r w:rsidR="000E6900">
        <w:t xml:space="preserve">ear outcome data from PARTNER </w:t>
      </w:r>
      <w:r>
        <w:t xml:space="preserve">3Si presented at the </w:t>
      </w:r>
      <w:hyperlink r:id="rId26" w:history="1">
        <w:r w:rsidRPr="009915E5">
          <w:rPr>
            <w:rStyle w:val="Hyperlink"/>
          </w:rPr>
          <w:t>Transcatheter Valve Therapy (TVT) online scientific meeting</w:t>
        </w:r>
      </w:hyperlink>
      <w:r>
        <w:t>. The ADAR stated the TAVI-BEV remained dominant over SAVR.</w:t>
      </w:r>
    </w:p>
    <w:p w14:paraId="63C35176" w14:textId="1CC84408" w:rsidR="00040D5B" w:rsidRPr="00AC061E" w:rsidRDefault="005D25EA" w:rsidP="00AC061E">
      <w:pPr>
        <w:spacing w:before="240"/>
        <w:rPr>
          <w:rFonts w:ascii="Arial Narrow" w:hAnsi="Arial Narrow"/>
          <w:b/>
          <w:sz w:val="20"/>
        </w:rPr>
      </w:pPr>
      <w:r w:rsidRPr="00AC061E">
        <w:rPr>
          <w:rFonts w:ascii="Arial Narrow" w:hAnsi="Arial Narrow"/>
          <w:b/>
          <w:sz w:val="20"/>
        </w:rPr>
        <w:t>Table 11</w:t>
      </w:r>
      <w:r w:rsidR="00E40C30" w:rsidRPr="00AC061E">
        <w:rPr>
          <w:rFonts w:ascii="Arial Narrow" w:hAnsi="Arial Narrow"/>
          <w:b/>
          <w:sz w:val="20"/>
        </w:rPr>
        <w:tab/>
      </w:r>
      <w:r w:rsidR="00040D5B" w:rsidRPr="00AC061E">
        <w:rPr>
          <w:rFonts w:ascii="Arial Narrow" w:hAnsi="Arial Narrow"/>
          <w:b/>
          <w:sz w:val="20"/>
        </w:rPr>
        <w:t xml:space="preserve">Applicant’s revised </w:t>
      </w:r>
      <w:r w:rsidR="00F011D4" w:rsidRPr="00AC061E">
        <w:rPr>
          <w:rFonts w:ascii="Arial Narrow" w:hAnsi="Arial Narrow"/>
          <w:b/>
          <w:sz w:val="20"/>
        </w:rPr>
        <w:t xml:space="preserve">pre-ESC model: assumed </w:t>
      </w:r>
      <w:r w:rsidR="00040D5B" w:rsidRPr="00AC061E">
        <w:rPr>
          <w:rFonts w:ascii="Arial Narrow" w:hAnsi="Arial Narrow"/>
          <w:b/>
          <w:sz w:val="20"/>
        </w:rPr>
        <w:t>20% relative increase in mortality</w:t>
      </w:r>
    </w:p>
    <w:tbl>
      <w:tblPr>
        <w:tblStyle w:val="TableGrid2"/>
        <w:tblW w:w="5000" w:type="pct"/>
        <w:tblLook w:val="04A0" w:firstRow="1" w:lastRow="0" w:firstColumn="1" w:lastColumn="0" w:noHBand="0" w:noVBand="1"/>
        <w:tblDescription w:val="Applicant’s revised pre-ESC model: assumed 20% relative increase in mortality"/>
      </w:tblPr>
      <w:tblGrid>
        <w:gridCol w:w="1183"/>
        <w:gridCol w:w="1441"/>
        <w:gridCol w:w="1727"/>
        <w:gridCol w:w="1556"/>
        <w:gridCol w:w="1556"/>
        <w:gridCol w:w="1553"/>
      </w:tblGrid>
      <w:tr w:rsidR="00040D5B" w:rsidRPr="0059534C" w14:paraId="16796D4E" w14:textId="77777777" w:rsidTr="00040D5B">
        <w:trPr>
          <w:cnfStyle w:val="100000000000" w:firstRow="1" w:lastRow="0" w:firstColumn="0" w:lastColumn="0" w:oddVBand="0" w:evenVBand="0" w:oddHBand="0" w:evenHBand="0" w:firstRowFirstColumn="0" w:firstRowLastColumn="0" w:lastRowFirstColumn="0" w:lastRowLastColumn="0"/>
          <w:tblHeader/>
        </w:trPr>
        <w:tc>
          <w:tcPr>
            <w:tcW w:w="656" w:type="pct"/>
            <w:tcBorders>
              <w:bottom w:val="single" w:sz="4" w:space="0" w:color="auto"/>
            </w:tcBorders>
            <w:shd w:val="clear" w:color="auto" w:fill="auto"/>
          </w:tcPr>
          <w:p w14:paraId="5718F8B4" w14:textId="77777777" w:rsidR="00040D5B" w:rsidRPr="00040D5B" w:rsidRDefault="00040D5B" w:rsidP="00040D5B">
            <w:pPr>
              <w:keepNext/>
              <w:spacing w:before="0"/>
              <w:jc w:val="center"/>
              <w:rPr>
                <w:rFonts w:ascii="Arial Narrow" w:hAnsi="Arial Narrow" w:cstheme="minorHAnsi"/>
                <w:b/>
                <w:sz w:val="20"/>
              </w:rPr>
            </w:pPr>
          </w:p>
        </w:tc>
        <w:tc>
          <w:tcPr>
            <w:tcW w:w="799" w:type="pct"/>
            <w:tcBorders>
              <w:bottom w:val="single" w:sz="4" w:space="0" w:color="auto"/>
            </w:tcBorders>
            <w:shd w:val="clear" w:color="auto" w:fill="auto"/>
          </w:tcPr>
          <w:p w14:paraId="7409ED40" w14:textId="77777777" w:rsidR="00040D5B" w:rsidRPr="00040D5B" w:rsidRDefault="00040D5B" w:rsidP="00040D5B">
            <w:pPr>
              <w:keepNext/>
              <w:spacing w:before="0"/>
              <w:jc w:val="center"/>
              <w:rPr>
                <w:rFonts w:ascii="Arial Narrow" w:hAnsi="Arial Narrow" w:cstheme="minorHAnsi"/>
                <w:b/>
                <w:sz w:val="20"/>
              </w:rPr>
            </w:pPr>
            <w:r w:rsidRPr="00040D5B">
              <w:rPr>
                <w:rFonts w:ascii="Arial Narrow" w:hAnsi="Arial Narrow" w:cstheme="minorHAnsi"/>
                <w:b/>
                <w:sz w:val="20"/>
              </w:rPr>
              <w:t>Net costs*</w:t>
            </w:r>
          </w:p>
        </w:tc>
        <w:tc>
          <w:tcPr>
            <w:tcW w:w="958" w:type="pct"/>
            <w:tcBorders>
              <w:bottom w:val="single" w:sz="4" w:space="0" w:color="auto"/>
            </w:tcBorders>
            <w:shd w:val="clear" w:color="auto" w:fill="auto"/>
          </w:tcPr>
          <w:p w14:paraId="3BDFA49D" w14:textId="77777777" w:rsidR="00040D5B" w:rsidRPr="00040D5B" w:rsidRDefault="00040D5B" w:rsidP="00040D5B">
            <w:pPr>
              <w:keepNext/>
              <w:spacing w:before="0"/>
              <w:jc w:val="center"/>
              <w:rPr>
                <w:rFonts w:ascii="Arial Narrow" w:hAnsi="Arial Narrow" w:cstheme="minorHAnsi"/>
                <w:b/>
                <w:sz w:val="20"/>
              </w:rPr>
            </w:pPr>
            <w:r w:rsidRPr="00040D5B">
              <w:rPr>
                <w:rFonts w:ascii="Arial Narrow" w:hAnsi="Arial Narrow" w:cstheme="minorHAnsi"/>
                <w:b/>
                <w:sz w:val="20"/>
              </w:rPr>
              <w:t>Years of life lived</w:t>
            </w:r>
          </w:p>
        </w:tc>
        <w:tc>
          <w:tcPr>
            <w:tcW w:w="863" w:type="pct"/>
            <w:tcBorders>
              <w:bottom w:val="single" w:sz="4" w:space="0" w:color="auto"/>
            </w:tcBorders>
            <w:shd w:val="clear" w:color="auto" w:fill="auto"/>
          </w:tcPr>
          <w:p w14:paraId="0DBAF853" w14:textId="77777777" w:rsidR="00040D5B" w:rsidRPr="00040D5B" w:rsidRDefault="00040D5B" w:rsidP="00040D5B">
            <w:pPr>
              <w:keepNext/>
              <w:spacing w:before="0"/>
              <w:jc w:val="center"/>
              <w:rPr>
                <w:rFonts w:ascii="Arial Narrow" w:hAnsi="Arial Narrow" w:cstheme="minorHAnsi"/>
                <w:b/>
                <w:sz w:val="20"/>
              </w:rPr>
            </w:pPr>
            <w:r w:rsidRPr="00040D5B">
              <w:rPr>
                <w:rFonts w:ascii="Arial Narrow" w:hAnsi="Arial Narrow" w:cstheme="minorHAnsi"/>
                <w:b/>
                <w:sz w:val="20"/>
              </w:rPr>
              <w:t>QALYs lived</w:t>
            </w:r>
          </w:p>
        </w:tc>
        <w:tc>
          <w:tcPr>
            <w:tcW w:w="863" w:type="pct"/>
            <w:tcBorders>
              <w:bottom w:val="single" w:sz="4" w:space="0" w:color="auto"/>
            </w:tcBorders>
            <w:shd w:val="clear" w:color="auto" w:fill="auto"/>
          </w:tcPr>
          <w:p w14:paraId="58D54119" w14:textId="77777777" w:rsidR="00040D5B" w:rsidRPr="00040D5B" w:rsidRDefault="00040D5B" w:rsidP="00040D5B">
            <w:pPr>
              <w:keepNext/>
              <w:spacing w:before="0"/>
              <w:ind w:hanging="111"/>
              <w:jc w:val="center"/>
              <w:rPr>
                <w:rFonts w:ascii="Arial Narrow" w:hAnsi="Arial Narrow" w:cstheme="minorHAnsi"/>
                <w:b/>
                <w:sz w:val="20"/>
              </w:rPr>
            </w:pPr>
            <w:r w:rsidRPr="00040D5B">
              <w:rPr>
                <w:rFonts w:ascii="Arial Narrow" w:hAnsi="Arial Narrow" w:cstheme="minorHAnsi"/>
                <w:b/>
                <w:sz w:val="20"/>
              </w:rPr>
              <w:t>ICER: $/YoLS</w:t>
            </w:r>
          </w:p>
        </w:tc>
        <w:tc>
          <w:tcPr>
            <w:tcW w:w="862" w:type="pct"/>
            <w:tcBorders>
              <w:bottom w:val="single" w:sz="4" w:space="0" w:color="auto"/>
            </w:tcBorders>
            <w:shd w:val="clear" w:color="auto" w:fill="auto"/>
          </w:tcPr>
          <w:p w14:paraId="082F37B9" w14:textId="77777777" w:rsidR="00040D5B" w:rsidRPr="00040D5B" w:rsidRDefault="00040D5B" w:rsidP="00040D5B">
            <w:pPr>
              <w:keepNext/>
              <w:spacing w:before="0"/>
              <w:ind w:hanging="111"/>
              <w:jc w:val="center"/>
              <w:rPr>
                <w:rFonts w:ascii="Arial Narrow" w:hAnsi="Arial Narrow" w:cstheme="minorHAnsi"/>
                <w:b/>
                <w:sz w:val="20"/>
              </w:rPr>
            </w:pPr>
            <w:r w:rsidRPr="00040D5B">
              <w:rPr>
                <w:rFonts w:ascii="Arial Narrow" w:hAnsi="Arial Narrow" w:cstheme="minorHAnsi"/>
                <w:b/>
                <w:sz w:val="20"/>
              </w:rPr>
              <w:t>ICER: $/QALY</w:t>
            </w:r>
          </w:p>
        </w:tc>
      </w:tr>
      <w:tr w:rsidR="00040D5B" w:rsidRPr="0059534C" w14:paraId="04FF38F2" w14:textId="77777777" w:rsidTr="00040D5B">
        <w:tc>
          <w:tcPr>
            <w:tcW w:w="656" w:type="pct"/>
          </w:tcPr>
          <w:p w14:paraId="4B630C8C" w14:textId="77777777" w:rsidR="00040D5B" w:rsidRPr="00040D5B" w:rsidRDefault="00040D5B" w:rsidP="00040D5B">
            <w:pPr>
              <w:spacing w:before="0"/>
              <w:rPr>
                <w:rFonts w:cstheme="minorHAnsi"/>
                <w:sz w:val="20"/>
              </w:rPr>
            </w:pPr>
            <w:r w:rsidRPr="00040D5B">
              <w:rPr>
                <w:rFonts w:cstheme="minorHAnsi"/>
                <w:sz w:val="20"/>
              </w:rPr>
              <w:t>TAVI-BEV</w:t>
            </w:r>
          </w:p>
        </w:tc>
        <w:tc>
          <w:tcPr>
            <w:tcW w:w="799" w:type="pct"/>
          </w:tcPr>
          <w:p w14:paraId="31E52E14" w14:textId="2AE4931F" w:rsidR="00040D5B" w:rsidRPr="002C1EAC" w:rsidRDefault="009D04D1" w:rsidP="00040D5B">
            <w:pPr>
              <w:spacing w:before="0"/>
              <w:jc w:val="center"/>
              <w:rPr>
                <w:rFonts w:cstheme="minorHAnsi"/>
                <w:sz w:val="20"/>
                <w:highlight w:val="yellow"/>
              </w:rPr>
            </w:pPr>
            <w:r w:rsidRPr="00EE57F4">
              <w:rPr>
                <w:b/>
                <w:sz w:val="20"/>
              </w:rPr>
              <w:t>$redacted</w:t>
            </w:r>
          </w:p>
        </w:tc>
        <w:tc>
          <w:tcPr>
            <w:tcW w:w="958" w:type="pct"/>
          </w:tcPr>
          <w:p w14:paraId="4025793A" w14:textId="6ACC4A3B" w:rsidR="00040D5B" w:rsidRPr="002C1EAC" w:rsidRDefault="009D04D1" w:rsidP="00040D5B">
            <w:pPr>
              <w:spacing w:before="0"/>
              <w:jc w:val="center"/>
              <w:rPr>
                <w:rFonts w:cstheme="minorHAnsi"/>
                <w:sz w:val="20"/>
                <w:highlight w:val="yellow"/>
              </w:rPr>
            </w:pPr>
            <w:r w:rsidRPr="00EE57F4">
              <w:rPr>
                <w:b/>
                <w:sz w:val="20"/>
              </w:rPr>
              <w:t>redacted</w:t>
            </w:r>
          </w:p>
        </w:tc>
        <w:tc>
          <w:tcPr>
            <w:tcW w:w="863" w:type="pct"/>
          </w:tcPr>
          <w:p w14:paraId="78A8763E" w14:textId="31751301" w:rsidR="00040D5B" w:rsidRPr="002C1EAC" w:rsidRDefault="009D04D1" w:rsidP="00040D5B">
            <w:pPr>
              <w:spacing w:before="0"/>
              <w:jc w:val="center"/>
              <w:rPr>
                <w:rFonts w:cstheme="minorHAnsi"/>
                <w:sz w:val="20"/>
                <w:highlight w:val="yellow"/>
              </w:rPr>
            </w:pPr>
            <w:r w:rsidRPr="00EE57F4">
              <w:rPr>
                <w:b/>
                <w:sz w:val="20"/>
              </w:rPr>
              <w:t>redacted</w:t>
            </w:r>
          </w:p>
        </w:tc>
        <w:tc>
          <w:tcPr>
            <w:tcW w:w="863" w:type="pct"/>
          </w:tcPr>
          <w:p w14:paraId="71CD0FFF" w14:textId="77777777" w:rsidR="00040D5B" w:rsidRPr="00040D5B" w:rsidRDefault="00040D5B" w:rsidP="00040D5B">
            <w:pPr>
              <w:spacing w:before="0"/>
              <w:jc w:val="center"/>
              <w:rPr>
                <w:rFonts w:cstheme="minorHAnsi"/>
                <w:sz w:val="20"/>
              </w:rPr>
            </w:pPr>
          </w:p>
        </w:tc>
        <w:tc>
          <w:tcPr>
            <w:tcW w:w="862" w:type="pct"/>
          </w:tcPr>
          <w:p w14:paraId="62EBA3FE" w14:textId="77777777" w:rsidR="00040D5B" w:rsidRPr="00040D5B" w:rsidRDefault="00040D5B" w:rsidP="00040D5B">
            <w:pPr>
              <w:spacing w:before="0"/>
              <w:jc w:val="center"/>
              <w:rPr>
                <w:rFonts w:cstheme="minorHAnsi"/>
                <w:sz w:val="20"/>
              </w:rPr>
            </w:pPr>
          </w:p>
        </w:tc>
      </w:tr>
      <w:tr w:rsidR="00040D5B" w:rsidRPr="0059534C" w14:paraId="70C7CA79" w14:textId="77777777" w:rsidTr="00040D5B">
        <w:tc>
          <w:tcPr>
            <w:tcW w:w="656" w:type="pct"/>
          </w:tcPr>
          <w:p w14:paraId="4E383E15" w14:textId="77777777" w:rsidR="00040D5B" w:rsidRPr="00040D5B" w:rsidRDefault="00040D5B" w:rsidP="00040D5B">
            <w:pPr>
              <w:spacing w:before="0"/>
              <w:rPr>
                <w:rFonts w:cstheme="minorHAnsi"/>
                <w:sz w:val="20"/>
              </w:rPr>
            </w:pPr>
            <w:r w:rsidRPr="00040D5B">
              <w:rPr>
                <w:rFonts w:cstheme="minorHAnsi"/>
                <w:sz w:val="20"/>
              </w:rPr>
              <w:t>SAVR</w:t>
            </w:r>
          </w:p>
        </w:tc>
        <w:tc>
          <w:tcPr>
            <w:tcW w:w="799" w:type="pct"/>
          </w:tcPr>
          <w:p w14:paraId="5EB27EDF" w14:textId="779E2512" w:rsidR="00040D5B" w:rsidRPr="002C1EAC" w:rsidRDefault="009D04D1" w:rsidP="00040D5B">
            <w:pPr>
              <w:spacing w:before="0"/>
              <w:jc w:val="center"/>
              <w:rPr>
                <w:rFonts w:cstheme="minorHAnsi"/>
                <w:sz w:val="20"/>
                <w:highlight w:val="yellow"/>
              </w:rPr>
            </w:pPr>
            <w:r w:rsidRPr="00EE57F4">
              <w:rPr>
                <w:b/>
                <w:sz w:val="20"/>
              </w:rPr>
              <w:t>$redacted</w:t>
            </w:r>
          </w:p>
        </w:tc>
        <w:tc>
          <w:tcPr>
            <w:tcW w:w="958" w:type="pct"/>
          </w:tcPr>
          <w:p w14:paraId="00BA29A7" w14:textId="0D947B70" w:rsidR="00040D5B" w:rsidRPr="002C1EAC" w:rsidRDefault="009D04D1" w:rsidP="00040D5B">
            <w:pPr>
              <w:spacing w:before="0"/>
              <w:jc w:val="center"/>
              <w:rPr>
                <w:rFonts w:cstheme="minorHAnsi"/>
                <w:sz w:val="20"/>
                <w:highlight w:val="yellow"/>
              </w:rPr>
            </w:pPr>
            <w:r w:rsidRPr="00EE57F4">
              <w:rPr>
                <w:b/>
                <w:sz w:val="20"/>
              </w:rPr>
              <w:t>redacted</w:t>
            </w:r>
          </w:p>
        </w:tc>
        <w:tc>
          <w:tcPr>
            <w:tcW w:w="863" w:type="pct"/>
          </w:tcPr>
          <w:p w14:paraId="00DC89B8" w14:textId="034E120E" w:rsidR="00040D5B" w:rsidRPr="002C1EAC" w:rsidRDefault="009D04D1" w:rsidP="00040D5B">
            <w:pPr>
              <w:spacing w:before="0"/>
              <w:jc w:val="center"/>
              <w:rPr>
                <w:rFonts w:cstheme="minorHAnsi"/>
                <w:sz w:val="20"/>
                <w:highlight w:val="yellow"/>
              </w:rPr>
            </w:pPr>
            <w:r w:rsidRPr="00EE57F4">
              <w:rPr>
                <w:b/>
                <w:sz w:val="20"/>
              </w:rPr>
              <w:t>redacted</w:t>
            </w:r>
          </w:p>
        </w:tc>
        <w:tc>
          <w:tcPr>
            <w:tcW w:w="863" w:type="pct"/>
          </w:tcPr>
          <w:p w14:paraId="279C051A" w14:textId="77777777" w:rsidR="00040D5B" w:rsidRPr="00040D5B" w:rsidRDefault="00040D5B" w:rsidP="00040D5B">
            <w:pPr>
              <w:spacing w:before="0"/>
              <w:jc w:val="center"/>
              <w:rPr>
                <w:rFonts w:cstheme="minorHAnsi"/>
                <w:sz w:val="20"/>
              </w:rPr>
            </w:pPr>
          </w:p>
        </w:tc>
        <w:tc>
          <w:tcPr>
            <w:tcW w:w="862" w:type="pct"/>
          </w:tcPr>
          <w:p w14:paraId="277C90B2" w14:textId="77777777" w:rsidR="00040D5B" w:rsidRPr="00040D5B" w:rsidRDefault="00040D5B" w:rsidP="00040D5B">
            <w:pPr>
              <w:spacing w:before="0"/>
              <w:jc w:val="center"/>
              <w:rPr>
                <w:rFonts w:cstheme="minorHAnsi"/>
                <w:sz w:val="20"/>
              </w:rPr>
            </w:pPr>
          </w:p>
        </w:tc>
      </w:tr>
      <w:tr w:rsidR="00040D5B" w:rsidRPr="0059534C" w14:paraId="03E5CC5D" w14:textId="77777777" w:rsidTr="00040D5B">
        <w:tc>
          <w:tcPr>
            <w:tcW w:w="656" w:type="pct"/>
          </w:tcPr>
          <w:p w14:paraId="3BAF894B" w14:textId="77777777" w:rsidR="00040D5B" w:rsidRPr="00040D5B" w:rsidRDefault="00040D5B" w:rsidP="00040D5B">
            <w:pPr>
              <w:spacing w:before="0"/>
              <w:rPr>
                <w:rFonts w:cstheme="minorHAnsi"/>
                <w:sz w:val="20"/>
              </w:rPr>
            </w:pPr>
            <w:r w:rsidRPr="00040D5B">
              <w:rPr>
                <w:rFonts w:cstheme="minorHAnsi"/>
                <w:sz w:val="20"/>
              </w:rPr>
              <w:t>Difference</w:t>
            </w:r>
          </w:p>
        </w:tc>
        <w:tc>
          <w:tcPr>
            <w:tcW w:w="799" w:type="pct"/>
          </w:tcPr>
          <w:p w14:paraId="5832D1BE" w14:textId="60356970" w:rsidR="00040D5B" w:rsidRPr="002C1EAC" w:rsidRDefault="009D04D1" w:rsidP="00040D5B">
            <w:pPr>
              <w:spacing w:before="0"/>
              <w:jc w:val="center"/>
              <w:rPr>
                <w:rFonts w:cstheme="minorHAnsi"/>
                <w:sz w:val="20"/>
                <w:highlight w:val="yellow"/>
              </w:rPr>
            </w:pPr>
            <w:r w:rsidRPr="00EE57F4">
              <w:rPr>
                <w:b/>
                <w:sz w:val="20"/>
              </w:rPr>
              <w:t>$redacted</w:t>
            </w:r>
          </w:p>
        </w:tc>
        <w:tc>
          <w:tcPr>
            <w:tcW w:w="958" w:type="pct"/>
          </w:tcPr>
          <w:p w14:paraId="30A55B83" w14:textId="07CA4A9C" w:rsidR="00040D5B" w:rsidRPr="002C1EAC" w:rsidRDefault="009D04D1" w:rsidP="00040D5B">
            <w:pPr>
              <w:spacing w:before="0"/>
              <w:jc w:val="center"/>
              <w:rPr>
                <w:rFonts w:cstheme="minorHAnsi"/>
                <w:sz w:val="20"/>
                <w:highlight w:val="yellow"/>
              </w:rPr>
            </w:pPr>
            <w:r w:rsidRPr="00EE57F4">
              <w:rPr>
                <w:b/>
                <w:sz w:val="20"/>
              </w:rPr>
              <w:t>redacted</w:t>
            </w:r>
          </w:p>
        </w:tc>
        <w:tc>
          <w:tcPr>
            <w:tcW w:w="863" w:type="pct"/>
          </w:tcPr>
          <w:p w14:paraId="52B4833C" w14:textId="7E50E07F" w:rsidR="00040D5B" w:rsidRPr="002C1EAC" w:rsidRDefault="009D04D1" w:rsidP="00040D5B">
            <w:pPr>
              <w:spacing w:before="0"/>
              <w:jc w:val="center"/>
              <w:rPr>
                <w:rFonts w:cstheme="minorHAnsi"/>
                <w:sz w:val="20"/>
                <w:highlight w:val="yellow"/>
              </w:rPr>
            </w:pPr>
            <w:r w:rsidRPr="00EE57F4">
              <w:rPr>
                <w:b/>
                <w:sz w:val="20"/>
              </w:rPr>
              <w:t>redacted</w:t>
            </w:r>
          </w:p>
        </w:tc>
        <w:tc>
          <w:tcPr>
            <w:tcW w:w="863" w:type="pct"/>
          </w:tcPr>
          <w:p w14:paraId="721B7C0C" w14:textId="77777777" w:rsidR="00040D5B" w:rsidRPr="00040D5B" w:rsidRDefault="00040D5B" w:rsidP="00040D5B">
            <w:pPr>
              <w:spacing w:before="0"/>
              <w:jc w:val="center"/>
              <w:rPr>
                <w:rFonts w:cstheme="minorHAnsi"/>
                <w:bCs/>
                <w:sz w:val="20"/>
              </w:rPr>
            </w:pPr>
            <w:r w:rsidRPr="00040D5B">
              <w:rPr>
                <w:rFonts w:cstheme="minorHAnsi"/>
                <w:bCs/>
                <w:sz w:val="20"/>
              </w:rPr>
              <w:t>Dominant</w:t>
            </w:r>
          </w:p>
        </w:tc>
        <w:tc>
          <w:tcPr>
            <w:tcW w:w="862" w:type="pct"/>
          </w:tcPr>
          <w:p w14:paraId="2372BDBD" w14:textId="77777777" w:rsidR="00040D5B" w:rsidRPr="00040D5B" w:rsidRDefault="00040D5B" w:rsidP="00040D5B">
            <w:pPr>
              <w:spacing w:before="0"/>
              <w:jc w:val="center"/>
              <w:rPr>
                <w:rFonts w:cstheme="minorHAnsi"/>
                <w:bCs/>
                <w:sz w:val="20"/>
              </w:rPr>
            </w:pPr>
            <w:r w:rsidRPr="00040D5B">
              <w:rPr>
                <w:rFonts w:cstheme="minorHAnsi"/>
                <w:bCs/>
                <w:sz w:val="20"/>
              </w:rPr>
              <w:t>Dominant</w:t>
            </w:r>
          </w:p>
        </w:tc>
      </w:tr>
    </w:tbl>
    <w:p w14:paraId="21DDB0F4" w14:textId="77777777" w:rsidR="00040D5B" w:rsidRPr="009B7636" w:rsidRDefault="00040D5B" w:rsidP="0060464A">
      <w:pPr>
        <w:spacing w:after="240"/>
        <w:rPr>
          <w:rFonts w:ascii="Arial Narrow" w:hAnsi="Arial Narrow"/>
          <w:sz w:val="18"/>
        </w:rPr>
      </w:pPr>
      <w:r>
        <w:rPr>
          <w:rFonts w:ascii="Arial Narrow" w:hAnsi="Arial Narrow"/>
          <w:sz w:val="18"/>
        </w:rPr>
        <w:t>Source: Table 2, pp6 of pre-ESC response</w:t>
      </w:r>
    </w:p>
    <w:p w14:paraId="5E982E5C" w14:textId="77777777" w:rsidR="00040D5B" w:rsidRDefault="00040D5B" w:rsidP="00040D5B">
      <w:r>
        <w:rPr>
          <w:noProof/>
        </w:rPr>
        <w:drawing>
          <wp:inline distT="0" distB="0" distL="0" distR="0" wp14:anchorId="577CD968" wp14:editId="0DCEF6EF">
            <wp:extent cx="2800350" cy="1619250"/>
            <wp:effectExtent l="0" t="0" r="0" b="0"/>
            <wp:docPr id="4" name="Chart 4" descr="Comparison of ADAR base case model vs. Pre-ESC response model">
              <a:extLst xmlns:a="http://schemas.openxmlformats.org/drawingml/2006/main">
                <a:ext uri="{FF2B5EF4-FFF2-40B4-BE49-F238E27FC236}">
                  <a16:creationId xmlns:a16="http://schemas.microsoft.com/office/drawing/2014/main" id="{B1C5721C-64FF-4B6D-BBA0-FFB673D9D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756448EF" wp14:editId="4FE867F4">
            <wp:extent cx="2867025" cy="1638300"/>
            <wp:effectExtent l="0" t="0" r="9525" b="0"/>
            <wp:docPr id="6" name="Chart 6" descr="Comparison of ADAR base case model vs. Pre-ESC response model">
              <a:extLst xmlns:a="http://schemas.openxmlformats.org/drawingml/2006/main">
                <a:ext uri="{FF2B5EF4-FFF2-40B4-BE49-F238E27FC236}">
                  <a16:creationId xmlns:a16="http://schemas.microsoft.com/office/drawing/2014/main" id="{B1C5721C-64FF-4B6D-BBA0-FFB673D9D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37792F" w14:textId="183FDF59" w:rsidR="00040D5B" w:rsidRPr="00AC061E" w:rsidRDefault="005D25EA" w:rsidP="00AC061E">
      <w:pPr>
        <w:rPr>
          <w:rFonts w:ascii="Arial Narrow" w:hAnsi="Arial Narrow"/>
          <w:b/>
          <w:sz w:val="20"/>
        </w:rPr>
      </w:pPr>
      <w:r w:rsidRPr="00AC061E">
        <w:rPr>
          <w:rFonts w:ascii="Arial Narrow" w:hAnsi="Arial Narrow"/>
          <w:b/>
          <w:sz w:val="20"/>
        </w:rPr>
        <w:t>Figure 5</w:t>
      </w:r>
      <w:r w:rsidR="00E40C30" w:rsidRPr="00AC061E">
        <w:rPr>
          <w:rFonts w:ascii="Arial Narrow" w:hAnsi="Arial Narrow"/>
          <w:b/>
          <w:sz w:val="20"/>
        </w:rPr>
        <w:tab/>
      </w:r>
      <w:r w:rsidR="00040D5B" w:rsidRPr="00AC061E">
        <w:rPr>
          <w:rFonts w:ascii="Arial Narrow" w:hAnsi="Arial Narrow"/>
          <w:b/>
          <w:sz w:val="20"/>
        </w:rPr>
        <w:t>Comparison of ADAR base case model vs. Pre-ESC response model</w:t>
      </w:r>
    </w:p>
    <w:p w14:paraId="5E30B9EB" w14:textId="113DF234" w:rsidR="00040D5B" w:rsidRDefault="00040D5B" w:rsidP="00040D5B">
      <w:pPr>
        <w:pStyle w:val="TableCentre"/>
        <w:spacing w:after="240"/>
        <w:jc w:val="left"/>
        <w:rPr>
          <w:rFonts w:ascii="Arial Narrow" w:hAnsi="Arial Narrow"/>
          <w:sz w:val="18"/>
          <w:szCs w:val="18"/>
        </w:rPr>
      </w:pPr>
      <w:r>
        <w:rPr>
          <w:rFonts w:ascii="Arial Narrow" w:hAnsi="Arial Narrow"/>
          <w:sz w:val="18"/>
          <w:szCs w:val="18"/>
        </w:rPr>
        <w:t xml:space="preserve">Source: </w:t>
      </w:r>
      <w:r w:rsidRPr="00CC6D87">
        <w:rPr>
          <w:rFonts w:ascii="Arial Narrow" w:hAnsi="Arial Narrow"/>
          <w:i/>
          <w:sz w:val="18"/>
          <w:szCs w:val="18"/>
        </w:rPr>
        <w:t>Extracted from ADAR model (Appendix A-Model Selection D)</w:t>
      </w:r>
    </w:p>
    <w:p w14:paraId="65D4285B" w14:textId="045282F4" w:rsidR="00FE1F19" w:rsidRDefault="000E6900">
      <w:r>
        <w:t xml:space="preserve">In the pre-MSAC response, the applicant again revised the modelled evaluation to align the outputs from 5-year follow up from PARTNER S3i. The applicant noted the base case model </w:t>
      </w:r>
      <w:r w:rsidRPr="000E6900">
        <w:t xml:space="preserve">underestimated overall mortality (31.4% TAVI-BEV and 35.1% SAVR predicted by model </w:t>
      </w:r>
      <w:r w:rsidRPr="000E6900">
        <w:rPr>
          <w:i/>
        </w:rPr>
        <w:t>vs.</w:t>
      </w:r>
      <w:r w:rsidRPr="000E6900">
        <w:t xml:space="preserve"> 39.1% TAVI-BEV and 41.3% SAVR observed in </w:t>
      </w:r>
      <w:r>
        <w:t>PARTNER 3Si</w:t>
      </w:r>
      <w:r w:rsidRPr="000E6900">
        <w:t xml:space="preserve">), and over-estimated disabling stroke (10.2% TAVI-BEV and 12.4% SAVR predicted by model </w:t>
      </w:r>
      <w:r w:rsidRPr="000E6900">
        <w:rPr>
          <w:i/>
        </w:rPr>
        <w:t>vs</w:t>
      </w:r>
      <w:r>
        <w:t xml:space="preserve">. </w:t>
      </w:r>
      <w:r w:rsidRPr="000E6900">
        <w:t xml:space="preserve">5.8% TAVI-BEV and 7.9% SAVR observed in </w:t>
      </w:r>
      <w:r>
        <w:t>PARTNER 3Si</w:t>
      </w:r>
      <w:r w:rsidRPr="000E6900">
        <w:t>). In the TAVI-BEV Group, the risk of fatal stroke was reduced by 73% (relative risk [RR] 0.27), the risk of non-fatal disabling stroke was reduced by 75%, and the risk of death from other causes was increased by 62%. In the SAVR Group, the risks of fatal and non-fatal disabling stroke were reduced by 75% each, and the risk of death from other causes was increased by 50%. These changes led to predicted proportions of deaths and disabling strokes in both the TAVI-BEV and SAVR groups at 5 years matching those observed in the 5-year follow-up study</w:t>
      </w:r>
      <w:r w:rsidR="00CC6D87">
        <w:t xml:space="preserve"> (Figure 6)</w:t>
      </w:r>
      <w:r w:rsidRPr="000E6900">
        <w:t>.</w:t>
      </w:r>
      <w:r>
        <w:t xml:space="preserve"> TAVI-BEV remained dominant in the revised model (Table 12).</w:t>
      </w:r>
      <w:r w:rsidR="00FE1F19">
        <w:br w:type="page"/>
      </w:r>
    </w:p>
    <w:p w14:paraId="138F663E" w14:textId="27DF9F22" w:rsidR="00CC6D87" w:rsidRDefault="00CC6D87" w:rsidP="000E6900">
      <w:pPr>
        <w:rPr>
          <w:noProof/>
        </w:rPr>
      </w:pPr>
      <w:r w:rsidRPr="00CC6D87">
        <w:rPr>
          <w:noProof/>
        </w:rPr>
        <w:t xml:space="preserve"> </w:t>
      </w:r>
      <w:r>
        <w:rPr>
          <w:noProof/>
        </w:rPr>
        <w:drawing>
          <wp:inline distT="0" distB="0" distL="0" distR="0" wp14:anchorId="5FA8DCDD" wp14:editId="3E4469DB">
            <wp:extent cx="5326912" cy="2169041"/>
            <wp:effectExtent l="0" t="0" r="7620" b="3175"/>
            <wp:docPr id="5" name="Chart 5" descr="Comparison of applicant’s revised pre-MSAC model vs. 5 year follow up from PARTNER 3Si [redacted] ">
              <a:extLst xmlns:a="http://schemas.openxmlformats.org/drawingml/2006/main">
                <a:ext uri="{FF2B5EF4-FFF2-40B4-BE49-F238E27FC236}">
                  <a16:creationId xmlns:a16="http://schemas.microsoft.com/office/drawing/2014/main" id="{B1C5721C-64FF-4B6D-BBA0-FFB673D9D9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CC6D87">
        <w:rPr>
          <w:noProof/>
        </w:rPr>
        <w:t xml:space="preserve"> </w:t>
      </w:r>
    </w:p>
    <w:p w14:paraId="0279CB23" w14:textId="638DD520" w:rsidR="00CC6D87" w:rsidRPr="00AC061E" w:rsidRDefault="00CC6D87" w:rsidP="00AC061E">
      <w:pPr>
        <w:rPr>
          <w:rFonts w:ascii="Arial Narrow" w:hAnsi="Arial Narrow"/>
          <w:b/>
          <w:sz w:val="20"/>
        </w:rPr>
      </w:pPr>
      <w:r w:rsidRPr="00AC061E">
        <w:rPr>
          <w:rFonts w:ascii="Arial Narrow" w:hAnsi="Arial Narrow"/>
          <w:b/>
          <w:sz w:val="20"/>
        </w:rPr>
        <w:t>Figure 6</w:t>
      </w:r>
      <w:r w:rsidRPr="00AC061E">
        <w:rPr>
          <w:rFonts w:ascii="Arial Narrow" w:hAnsi="Arial Narrow"/>
          <w:b/>
          <w:sz w:val="20"/>
        </w:rPr>
        <w:tab/>
        <w:t>Comparison of applicant’s revised pre-MSAC model vs. 5 year follow up from PARTNER 3Si</w:t>
      </w:r>
      <w:r w:rsidR="001A2443" w:rsidRPr="00AC061E">
        <w:rPr>
          <w:rFonts w:ascii="Arial Narrow" w:hAnsi="Arial Narrow"/>
          <w:b/>
          <w:sz w:val="20"/>
        </w:rPr>
        <w:t xml:space="preserve"> [redacted]</w:t>
      </w:r>
      <w:r w:rsidR="00FE1F19" w:rsidRPr="00AC061E">
        <w:rPr>
          <w:rFonts w:ascii="Arial Narrow" w:hAnsi="Arial Narrow"/>
          <w:b/>
          <w:sz w:val="20"/>
        </w:rPr>
        <w:t xml:space="preserve"> </w:t>
      </w:r>
    </w:p>
    <w:p w14:paraId="21379C9F" w14:textId="7CB5E50C" w:rsidR="00E40CBB" w:rsidRPr="00E40CBB" w:rsidRDefault="00CC6D87" w:rsidP="00E40CBB">
      <w:pPr>
        <w:pStyle w:val="TableCentre"/>
        <w:spacing w:after="240"/>
        <w:jc w:val="left"/>
        <w:rPr>
          <w:rFonts w:ascii="Arial Narrow" w:hAnsi="Arial Narrow"/>
          <w:sz w:val="18"/>
          <w:szCs w:val="18"/>
        </w:rPr>
      </w:pPr>
      <w:r>
        <w:rPr>
          <w:rFonts w:ascii="Arial Narrow" w:hAnsi="Arial Narrow"/>
          <w:sz w:val="18"/>
          <w:szCs w:val="18"/>
        </w:rPr>
        <w:t xml:space="preserve">Source: </w:t>
      </w:r>
      <w:r w:rsidRPr="00CC6D87">
        <w:rPr>
          <w:rFonts w:ascii="Arial Narrow" w:hAnsi="Arial Narrow"/>
          <w:i/>
          <w:sz w:val="18"/>
          <w:szCs w:val="18"/>
        </w:rPr>
        <w:t>Extracted from applicant’s pre-MSAC model (Appendix A-Model Selection D- 5yr horizon)</w:t>
      </w:r>
      <w:r w:rsidR="00FE1F19">
        <w:rPr>
          <w:rFonts w:ascii="Arial Narrow" w:hAnsi="Arial Narrow"/>
          <w:i/>
          <w:sz w:val="18"/>
          <w:szCs w:val="18"/>
        </w:rPr>
        <w:br/>
      </w:r>
      <w:r w:rsidR="00FE1F19" w:rsidRPr="00FE1F19">
        <w:rPr>
          <w:rFonts w:ascii="Arial Narrow" w:hAnsi="Arial Narrow"/>
          <w:sz w:val="18"/>
          <w:szCs w:val="18"/>
        </w:rPr>
        <w:t>Note:</w:t>
      </w:r>
      <w:r w:rsidR="00FE1F19">
        <w:rPr>
          <w:rFonts w:ascii="Arial Narrow" w:hAnsi="Arial Narrow"/>
          <w:i/>
          <w:sz w:val="18"/>
          <w:szCs w:val="18"/>
        </w:rPr>
        <w:t xml:space="preserve"> </w:t>
      </w:r>
      <w:r w:rsidR="00FE1F19" w:rsidRPr="00FE1F19">
        <w:rPr>
          <w:rFonts w:ascii="Arial Narrow" w:hAnsi="Arial Narrow"/>
          <w:sz w:val="18"/>
          <w:szCs w:val="18"/>
        </w:rPr>
        <w:t>Redacted</w:t>
      </w:r>
      <w:r w:rsidR="00FE1F19">
        <w:rPr>
          <w:rFonts w:ascii="Arial Narrow" w:hAnsi="Arial Narrow"/>
          <w:i/>
          <w:sz w:val="18"/>
          <w:szCs w:val="18"/>
        </w:rPr>
        <w:t xml:space="preserve"> </w:t>
      </w:r>
      <w:r w:rsidR="00FE1F19" w:rsidRPr="00FE1F19">
        <w:rPr>
          <w:rFonts w:ascii="Arial Narrow" w:hAnsi="Arial Narrow"/>
          <w:sz w:val="18"/>
          <w:szCs w:val="18"/>
        </w:rPr>
        <w:t xml:space="preserve">figure from PARTNER 3Si available from </w:t>
      </w:r>
      <w:hyperlink r:id="rId30" w:history="1">
        <w:r w:rsidR="00FE1F19" w:rsidRPr="00FE1F19">
          <w:rPr>
            <w:rStyle w:val="Hyperlink"/>
            <w:rFonts w:ascii="Arial Narrow" w:hAnsi="Arial Narrow" w:cstheme="majorBidi"/>
            <w:sz w:val="18"/>
            <w:szCs w:val="18"/>
          </w:rPr>
          <w:t>TCTMD</w:t>
        </w:r>
      </w:hyperlink>
      <w:r w:rsidR="00FE1F19">
        <w:rPr>
          <w:rFonts w:ascii="Arial Narrow" w:hAnsi="Arial Narrow"/>
          <w:sz w:val="18"/>
          <w:szCs w:val="18"/>
        </w:rPr>
        <w:t xml:space="preserve"> </w:t>
      </w:r>
    </w:p>
    <w:p w14:paraId="6BF9FF7C" w14:textId="3F0440D2" w:rsidR="00CC6D87" w:rsidRPr="00AC061E" w:rsidRDefault="00F011D4" w:rsidP="00AC061E">
      <w:pPr>
        <w:rPr>
          <w:rFonts w:ascii="Arial Narrow" w:hAnsi="Arial Narrow"/>
          <w:b/>
          <w:sz w:val="20"/>
        </w:rPr>
      </w:pPr>
      <w:r w:rsidRPr="00AC061E">
        <w:rPr>
          <w:rFonts w:ascii="Arial Narrow" w:hAnsi="Arial Narrow"/>
          <w:b/>
          <w:sz w:val="20"/>
        </w:rPr>
        <w:t>Table 12</w:t>
      </w:r>
      <w:r w:rsidR="00CC6D87" w:rsidRPr="00AC061E">
        <w:rPr>
          <w:rFonts w:ascii="Arial Narrow" w:hAnsi="Arial Narrow"/>
          <w:b/>
          <w:sz w:val="20"/>
        </w:rPr>
        <w:tab/>
        <w:t xml:space="preserve">Applicant’s revised </w:t>
      </w:r>
      <w:r w:rsidRPr="00AC061E">
        <w:rPr>
          <w:rFonts w:ascii="Arial Narrow" w:hAnsi="Arial Narrow"/>
          <w:b/>
          <w:sz w:val="20"/>
        </w:rPr>
        <w:t>pre-MSAC model: based on aligning with 5-year follow up from PARTNER 3Si</w:t>
      </w:r>
    </w:p>
    <w:tbl>
      <w:tblPr>
        <w:tblStyle w:val="TableGrid2"/>
        <w:tblW w:w="5000" w:type="pct"/>
        <w:tblLook w:val="04A0" w:firstRow="1" w:lastRow="0" w:firstColumn="1" w:lastColumn="0" w:noHBand="0" w:noVBand="1"/>
        <w:tblDescription w:val="Applicant’s revised pre-MSAC model: based on aligning with 5-year follow up from PARTNER 3Si"/>
      </w:tblPr>
      <w:tblGrid>
        <w:gridCol w:w="1183"/>
        <w:gridCol w:w="1441"/>
        <w:gridCol w:w="1727"/>
        <w:gridCol w:w="1556"/>
        <w:gridCol w:w="1556"/>
        <w:gridCol w:w="1553"/>
      </w:tblGrid>
      <w:tr w:rsidR="00CC6D87" w:rsidRPr="0059534C" w14:paraId="2FAF1CC9" w14:textId="77777777" w:rsidTr="00106329">
        <w:trPr>
          <w:cnfStyle w:val="100000000000" w:firstRow="1" w:lastRow="0" w:firstColumn="0" w:lastColumn="0" w:oddVBand="0" w:evenVBand="0" w:oddHBand="0" w:evenHBand="0" w:firstRowFirstColumn="0" w:firstRowLastColumn="0" w:lastRowFirstColumn="0" w:lastRowLastColumn="0"/>
          <w:tblHeader/>
        </w:trPr>
        <w:tc>
          <w:tcPr>
            <w:tcW w:w="656" w:type="pct"/>
            <w:tcBorders>
              <w:bottom w:val="single" w:sz="4" w:space="0" w:color="auto"/>
            </w:tcBorders>
            <w:shd w:val="clear" w:color="auto" w:fill="auto"/>
          </w:tcPr>
          <w:p w14:paraId="70CB37B9" w14:textId="77777777" w:rsidR="00CC6D87" w:rsidRPr="00040D5B" w:rsidRDefault="00CC6D87" w:rsidP="00106329">
            <w:pPr>
              <w:keepNext/>
              <w:spacing w:before="0"/>
              <w:jc w:val="center"/>
              <w:rPr>
                <w:rFonts w:ascii="Arial Narrow" w:hAnsi="Arial Narrow" w:cstheme="minorHAnsi"/>
                <w:b/>
                <w:sz w:val="20"/>
              </w:rPr>
            </w:pPr>
          </w:p>
        </w:tc>
        <w:tc>
          <w:tcPr>
            <w:tcW w:w="799" w:type="pct"/>
            <w:tcBorders>
              <w:bottom w:val="single" w:sz="4" w:space="0" w:color="auto"/>
            </w:tcBorders>
            <w:shd w:val="clear" w:color="auto" w:fill="auto"/>
          </w:tcPr>
          <w:p w14:paraId="3F25A1D4" w14:textId="77777777" w:rsidR="00CC6D87" w:rsidRPr="00040D5B" w:rsidRDefault="00CC6D87" w:rsidP="00106329">
            <w:pPr>
              <w:keepNext/>
              <w:spacing w:before="0"/>
              <w:jc w:val="center"/>
              <w:rPr>
                <w:rFonts w:ascii="Arial Narrow" w:hAnsi="Arial Narrow" w:cstheme="minorHAnsi"/>
                <w:b/>
                <w:sz w:val="20"/>
              </w:rPr>
            </w:pPr>
            <w:r w:rsidRPr="00040D5B">
              <w:rPr>
                <w:rFonts w:ascii="Arial Narrow" w:hAnsi="Arial Narrow" w:cstheme="minorHAnsi"/>
                <w:b/>
                <w:sz w:val="20"/>
              </w:rPr>
              <w:t>Net costs*</w:t>
            </w:r>
          </w:p>
        </w:tc>
        <w:tc>
          <w:tcPr>
            <w:tcW w:w="958" w:type="pct"/>
            <w:tcBorders>
              <w:bottom w:val="single" w:sz="4" w:space="0" w:color="auto"/>
            </w:tcBorders>
            <w:shd w:val="clear" w:color="auto" w:fill="auto"/>
          </w:tcPr>
          <w:p w14:paraId="21BE11F7" w14:textId="77777777" w:rsidR="00CC6D87" w:rsidRPr="00040D5B" w:rsidRDefault="00CC6D87" w:rsidP="00106329">
            <w:pPr>
              <w:keepNext/>
              <w:spacing w:before="0"/>
              <w:jc w:val="center"/>
              <w:rPr>
                <w:rFonts w:ascii="Arial Narrow" w:hAnsi="Arial Narrow" w:cstheme="minorHAnsi"/>
                <w:b/>
                <w:sz w:val="20"/>
              </w:rPr>
            </w:pPr>
            <w:r w:rsidRPr="00040D5B">
              <w:rPr>
                <w:rFonts w:ascii="Arial Narrow" w:hAnsi="Arial Narrow" w:cstheme="minorHAnsi"/>
                <w:b/>
                <w:sz w:val="20"/>
              </w:rPr>
              <w:t>Years of life lived</w:t>
            </w:r>
          </w:p>
        </w:tc>
        <w:tc>
          <w:tcPr>
            <w:tcW w:w="863" w:type="pct"/>
            <w:tcBorders>
              <w:bottom w:val="single" w:sz="4" w:space="0" w:color="auto"/>
            </w:tcBorders>
            <w:shd w:val="clear" w:color="auto" w:fill="auto"/>
          </w:tcPr>
          <w:p w14:paraId="13C4034E" w14:textId="77777777" w:rsidR="00CC6D87" w:rsidRPr="00040D5B" w:rsidRDefault="00CC6D87" w:rsidP="00106329">
            <w:pPr>
              <w:keepNext/>
              <w:spacing w:before="0"/>
              <w:jc w:val="center"/>
              <w:rPr>
                <w:rFonts w:ascii="Arial Narrow" w:hAnsi="Arial Narrow" w:cstheme="minorHAnsi"/>
                <w:b/>
                <w:sz w:val="20"/>
              </w:rPr>
            </w:pPr>
            <w:r w:rsidRPr="00040D5B">
              <w:rPr>
                <w:rFonts w:ascii="Arial Narrow" w:hAnsi="Arial Narrow" w:cstheme="minorHAnsi"/>
                <w:b/>
                <w:sz w:val="20"/>
              </w:rPr>
              <w:t>QALYs lived</w:t>
            </w:r>
          </w:p>
        </w:tc>
        <w:tc>
          <w:tcPr>
            <w:tcW w:w="863" w:type="pct"/>
            <w:tcBorders>
              <w:bottom w:val="single" w:sz="4" w:space="0" w:color="auto"/>
            </w:tcBorders>
            <w:shd w:val="clear" w:color="auto" w:fill="auto"/>
          </w:tcPr>
          <w:p w14:paraId="61BF8141" w14:textId="77777777" w:rsidR="00CC6D87" w:rsidRPr="00040D5B" w:rsidRDefault="00CC6D87" w:rsidP="00106329">
            <w:pPr>
              <w:keepNext/>
              <w:spacing w:before="0"/>
              <w:ind w:hanging="111"/>
              <w:jc w:val="center"/>
              <w:rPr>
                <w:rFonts w:ascii="Arial Narrow" w:hAnsi="Arial Narrow" w:cstheme="minorHAnsi"/>
                <w:b/>
                <w:sz w:val="20"/>
              </w:rPr>
            </w:pPr>
            <w:r w:rsidRPr="00040D5B">
              <w:rPr>
                <w:rFonts w:ascii="Arial Narrow" w:hAnsi="Arial Narrow" w:cstheme="minorHAnsi"/>
                <w:b/>
                <w:sz w:val="20"/>
              </w:rPr>
              <w:t>ICER: $/YoLS</w:t>
            </w:r>
          </w:p>
        </w:tc>
        <w:tc>
          <w:tcPr>
            <w:tcW w:w="862" w:type="pct"/>
            <w:tcBorders>
              <w:bottom w:val="single" w:sz="4" w:space="0" w:color="auto"/>
            </w:tcBorders>
            <w:shd w:val="clear" w:color="auto" w:fill="auto"/>
          </w:tcPr>
          <w:p w14:paraId="0ACE841E" w14:textId="77777777" w:rsidR="00CC6D87" w:rsidRPr="00040D5B" w:rsidRDefault="00CC6D87" w:rsidP="00106329">
            <w:pPr>
              <w:keepNext/>
              <w:spacing w:before="0"/>
              <w:ind w:hanging="111"/>
              <w:jc w:val="center"/>
              <w:rPr>
                <w:rFonts w:ascii="Arial Narrow" w:hAnsi="Arial Narrow" w:cstheme="minorHAnsi"/>
                <w:b/>
                <w:sz w:val="20"/>
              </w:rPr>
            </w:pPr>
            <w:r w:rsidRPr="00040D5B">
              <w:rPr>
                <w:rFonts w:ascii="Arial Narrow" w:hAnsi="Arial Narrow" w:cstheme="minorHAnsi"/>
                <w:b/>
                <w:sz w:val="20"/>
              </w:rPr>
              <w:t>ICER: $/QALY</w:t>
            </w:r>
          </w:p>
        </w:tc>
      </w:tr>
      <w:tr w:rsidR="00CC6D87" w:rsidRPr="0059534C" w14:paraId="623CA4B2" w14:textId="77777777" w:rsidTr="00106329">
        <w:tc>
          <w:tcPr>
            <w:tcW w:w="656" w:type="pct"/>
          </w:tcPr>
          <w:p w14:paraId="6BF01319" w14:textId="77777777" w:rsidR="00CC6D87" w:rsidRPr="00040D5B" w:rsidRDefault="00CC6D87" w:rsidP="00106329">
            <w:pPr>
              <w:spacing w:before="0"/>
              <w:rPr>
                <w:rFonts w:cstheme="minorHAnsi"/>
                <w:sz w:val="20"/>
              </w:rPr>
            </w:pPr>
            <w:r w:rsidRPr="00040D5B">
              <w:rPr>
                <w:rFonts w:cstheme="minorHAnsi"/>
                <w:sz w:val="20"/>
              </w:rPr>
              <w:t>TAVI-BEV</w:t>
            </w:r>
          </w:p>
        </w:tc>
        <w:tc>
          <w:tcPr>
            <w:tcW w:w="799" w:type="pct"/>
          </w:tcPr>
          <w:p w14:paraId="74199C3E" w14:textId="56ABE228" w:rsidR="00CC6D87" w:rsidRPr="002C1EAC" w:rsidRDefault="009D04D1" w:rsidP="00106329">
            <w:pPr>
              <w:spacing w:before="0"/>
              <w:jc w:val="center"/>
              <w:rPr>
                <w:rFonts w:cstheme="minorHAnsi"/>
                <w:sz w:val="20"/>
                <w:highlight w:val="yellow"/>
              </w:rPr>
            </w:pPr>
            <w:r>
              <w:rPr>
                <w:b/>
                <w:sz w:val="20"/>
              </w:rPr>
              <w:t>$</w:t>
            </w:r>
            <w:r w:rsidRPr="00EE57F4">
              <w:rPr>
                <w:b/>
                <w:sz w:val="20"/>
              </w:rPr>
              <w:t>redacted</w:t>
            </w:r>
          </w:p>
        </w:tc>
        <w:tc>
          <w:tcPr>
            <w:tcW w:w="958" w:type="pct"/>
          </w:tcPr>
          <w:p w14:paraId="158BE199" w14:textId="1F1DB98D" w:rsidR="00CC6D87" w:rsidRPr="002C1EAC" w:rsidRDefault="009D04D1" w:rsidP="00106329">
            <w:pPr>
              <w:spacing w:before="0"/>
              <w:jc w:val="center"/>
              <w:rPr>
                <w:rFonts w:cstheme="minorHAnsi"/>
                <w:sz w:val="20"/>
                <w:highlight w:val="yellow"/>
              </w:rPr>
            </w:pPr>
            <w:r w:rsidRPr="00EE57F4">
              <w:rPr>
                <w:b/>
                <w:sz w:val="20"/>
              </w:rPr>
              <w:t>redacted</w:t>
            </w:r>
          </w:p>
        </w:tc>
        <w:tc>
          <w:tcPr>
            <w:tcW w:w="863" w:type="pct"/>
          </w:tcPr>
          <w:p w14:paraId="325A73CA" w14:textId="0A39BB29" w:rsidR="00CC6D87" w:rsidRPr="002C1EAC" w:rsidRDefault="009D04D1" w:rsidP="00106329">
            <w:pPr>
              <w:spacing w:before="0"/>
              <w:jc w:val="center"/>
              <w:rPr>
                <w:rFonts w:cstheme="minorHAnsi"/>
                <w:sz w:val="20"/>
                <w:highlight w:val="yellow"/>
              </w:rPr>
            </w:pPr>
            <w:r w:rsidRPr="00EE57F4">
              <w:rPr>
                <w:b/>
                <w:sz w:val="20"/>
              </w:rPr>
              <w:t>redacted</w:t>
            </w:r>
          </w:p>
        </w:tc>
        <w:tc>
          <w:tcPr>
            <w:tcW w:w="863" w:type="pct"/>
          </w:tcPr>
          <w:p w14:paraId="5318D19E" w14:textId="77777777" w:rsidR="00CC6D87" w:rsidRPr="00040D5B" w:rsidRDefault="00CC6D87" w:rsidP="00106329">
            <w:pPr>
              <w:spacing w:before="0"/>
              <w:jc w:val="center"/>
              <w:rPr>
                <w:rFonts w:cstheme="minorHAnsi"/>
                <w:sz w:val="20"/>
              </w:rPr>
            </w:pPr>
          </w:p>
        </w:tc>
        <w:tc>
          <w:tcPr>
            <w:tcW w:w="862" w:type="pct"/>
          </w:tcPr>
          <w:p w14:paraId="7A2E6DF1" w14:textId="77777777" w:rsidR="00CC6D87" w:rsidRPr="00040D5B" w:rsidRDefault="00CC6D87" w:rsidP="00106329">
            <w:pPr>
              <w:spacing w:before="0"/>
              <w:jc w:val="center"/>
              <w:rPr>
                <w:rFonts w:cstheme="minorHAnsi"/>
                <w:sz w:val="20"/>
              </w:rPr>
            </w:pPr>
          </w:p>
        </w:tc>
      </w:tr>
      <w:tr w:rsidR="00CC6D87" w:rsidRPr="0059534C" w14:paraId="3B387015" w14:textId="77777777" w:rsidTr="00106329">
        <w:tc>
          <w:tcPr>
            <w:tcW w:w="656" w:type="pct"/>
          </w:tcPr>
          <w:p w14:paraId="4B871B1A" w14:textId="77777777" w:rsidR="00CC6D87" w:rsidRPr="00040D5B" w:rsidRDefault="00CC6D87" w:rsidP="00106329">
            <w:pPr>
              <w:spacing w:before="0"/>
              <w:rPr>
                <w:rFonts w:cstheme="minorHAnsi"/>
                <w:sz w:val="20"/>
              </w:rPr>
            </w:pPr>
            <w:r w:rsidRPr="00040D5B">
              <w:rPr>
                <w:rFonts w:cstheme="minorHAnsi"/>
                <w:sz w:val="20"/>
              </w:rPr>
              <w:t>SAVR</w:t>
            </w:r>
          </w:p>
        </w:tc>
        <w:tc>
          <w:tcPr>
            <w:tcW w:w="799" w:type="pct"/>
          </w:tcPr>
          <w:p w14:paraId="19279781" w14:textId="2F4C7614" w:rsidR="00CC6D87" w:rsidRPr="002C1EAC" w:rsidRDefault="009D04D1" w:rsidP="00106329">
            <w:pPr>
              <w:spacing w:before="0"/>
              <w:jc w:val="center"/>
              <w:rPr>
                <w:rFonts w:cstheme="minorHAnsi"/>
                <w:sz w:val="20"/>
                <w:highlight w:val="yellow"/>
              </w:rPr>
            </w:pPr>
            <w:r>
              <w:rPr>
                <w:b/>
                <w:sz w:val="20"/>
              </w:rPr>
              <w:t>$</w:t>
            </w:r>
            <w:r w:rsidRPr="00EE57F4">
              <w:rPr>
                <w:b/>
                <w:sz w:val="20"/>
              </w:rPr>
              <w:t>redacted</w:t>
            </w:r>
          </w:p>
        </w:tc>
        <w:tc>
          <w:tcPr>
            <w:tcW w:w="958" w:type="pct"/>
          </w:tcPr>
          <w:p w14:paraId="1EEBE849" w14:textId="60DC9C0D" w:rsidR="00CC6D87" w:rsidRPr="002C1EAC" w:rsidRDefault="009D04D1" w:rsidP="00106329">
            <w:pPr>
              <w:spacing w:before="0"/>
              <w:jc w:val="center"/>
              <w:rPr>
                <w:rFonts w:cstheme="minorHAnsi"/>
                <w:sz w:val="20"/>
                <w:highlight w:val="yellow"/>
              </w:rPr>
            </w:pPr>
            <w:r w:rsidRPr="00EE57F4">
              <w:rPr>
                <w:b/>
                <w:sz w:val="20"/>
              </w:rPr>
              <w:t>redacted</w:t>
            </w:r>
          </w:p>
        </w:tc>
        <w:tc>
          <w:tcPr>
            <w:tcW w:w="863" w:type="pct"/>
          </w:tcPr>
          <w:p w14:paraId="5B3B09BE" w14:textId="36D0C3C9" w:rsidR="00CC6D87" w:rsidRPr="002C1EAC" w:rsidRDefault="009D04D1" w:rsidP="00106329">
            <w:pPr>
              <w:spacing w:before="0"/>
              <w:jc w:val="center"/>
              <w:rPr>
                <w:rFonts w:cstheme="minorHAnsi"/>
                <w:sz w:val="20"/>
                <w:highlight w:val="yellow"/>
              </w:rPr>
            </w:pPr>
            <w:r w:rsidRPr="00EE57F4">
              <w:rPr>
                <w:b/>
                <w:sz w:val="20"/>
              </w:rPr>
              <w:t>redacted</w:t>
            </w:r>
          </w:p>
        </w:tc>
        <w:tc>
          <w:tcPr>
            <w:tcW w:w="863" w:type="pct"/>
          </w:tcPr>
          <w:p w14:paraId="02F193F8" w14:textId="77777777" w:rsidR="00CC6D87" w:rsidRPr="00040D5B" w:rsidRDefault="00CC6D87" w:rsidP="00106329">
            <w:pPr>
              <w:spacing w:before="0"/>
              <w:jc w:val="center"/>
              <w:rPr>
                <w:rFonts w:cstheme="minorHAnsi"/>
                <w:sz w:val="20"/>
              </w:rPr>
            </w:pPr>
          </w:p>
        </w:tc>
        <w:tc>
          <w:tcPr>
            <w:tcW w:w="862" w:type="pct"/>
          </w:tcPr>
          <w:p w14:paraId="08C651B0" w14:textId="77777777" w:rsidR="00CC6D87" w:rsidRPr="00040D5B" w:rsidRDefault="00CC6D87" w:rsidP="00106329">
            <w:pPr>
              <w:spacing w:before="0"/>
              <w:jc w:val="center"/>
              <w:rPr>
                <w:rFonts w:cstheme="minorHAnsi"/>
                <w:sz w:val="20"/>
              </w:rPr>
            </w:pPr>
          </w:p>
        </w:tc>
      </w:tr>
      <w:tr w:rsidR="00CC6D87" w:rsidRPr="0059534C" w14:paraId="457557E9" w14:textId="77777777" w:rsidTr="00106329">
        <w:tc>
          <w:tcPr>
            <w:tcW w:w="656" w:type="pct"/>
          </w:tcPr>
          <w:p w14:paraId="7F30A75D" w14:textId="77777777" w:rsidR="00CC6D87" w:rsidRPr="00040D5B" w:rsidRDefault="00CC6D87" w:rsidP="00106329">
            <w:pPr>
              <w:spacing w:before="0"/>
              <w:rPr>
                <w:rFonts w:cstheme="minorHAnsi"/>
                <w:sz w:val="20"/>
              </w:rPr>
            </w:pPr>
            <w:r w:rsidRPr="00040D5B">
              <w:rPr>
                <w:rFonts w:cstheme="minorHAnsi"/>
                <w:sz w:val="20"/>
              </w:rPr>
              <w:t>Difference</w:t>
            </w:r>
          </w:p>
        </w:tc>
        <w:tc>
          <w:tcPr>
            <w:tcW w:w="799" w:type="pct"/>
          </w:tcPr>
          <w:p w14:paraId="08919239" w14:textId="5E7B82E7" w:rsidR="00CC6D87" w:rsidRPr="002C1EAC" w:rsidRDefault="009D04D1" w:rsidP="00106329">
            <w:pPr>
              <w:spacing w:before="0"/>
              <w:jc w:val="center"/>
              <w:rPr>
                <w:rFonts w:cstheme="minorHAnsi"/>
                <w:sz w:val="20"/>
                <w:highlight w:val="yellow"/>
              </w:rPr>
            </w:pPr>
            <w:r>
              <w:rPr>
                <w:b/>
                <w:sz w:val="20"/>
              </w:rPr>
              <w:t>$</w:t>
            </w:r>
            <w:r w:rsidRPr="00EE57F4">
              <w:rPr>
                <w:b/>
                <w:sz w:val="20"/>
              </w:rPr>
              <w:t>redacted</w:t>
            </w:r>
          </w:p>
        </w:tc>
        <w:tc>
          <w:tcPr>
            <w:tcW w:w="958" w:type="pct"/>
          </w:tcPr>
          <w:p w14:paraId="53A35CDD" w14:textId="3929FB34" w:rsidR="00CC6D87" w:rsidRPr="002C1EAC" w:rsidRDefault="009D04D1" w:rsidP="00106329">
            <w:pPr>
              <w:spacing w:before="0"/>
              <w:jc w:val="center"/>
              <w:rPr>
                <w:rFonts w:cstheme="minorHAnsi"/>
                <w:sz w:val="20"/>
                <w:highlight w:val="yellow"/>
              </w:rPr>
            </w:pPr>
            <w:r w:rsidRPr="00EE57F4">
              <w:rPr>
                <w:b/>
                <w:sz w:val="20"/>
              </w:rPr>
              <w:t>redacted</w:t>
            </w:r>
          </w:p>
        </w:tc>
        <w:tc>
          <w:tcPr>
            <w:tcW w:w="863" w:type="pct"/>
          </w:tcPr>
          <w:p w14:paraId="3D2E610D" w14:textId="729DD267" w:rsidR="00CC6D87" w:rsidRPr="002C1EAC" w:rsidRDefault="009D04D1" w:rsidP="00106329">
            <w:pPr>
              <w:spacing w:before="0"/>
              <w:jc w:val="center"/>
              <w:rPr>
                <w:rFonts w:cstheme="minorHAnsi"/>
                <w:sz w:val="20"/>
                <w:highlight w:val="yellow"/>
              </w:rPr>
            </w:pPr>
            <w:r w:rsidRPr="00EE57F4">
              <w:rPr>
                <w:b/>
                <w:sz w:val="20"/>
              </w:rPr>
              <w:t>redacted</w:t>
            </w:r>
          </w:p>
        </w:tc>
        <w:tc>
          <w:tcPr>
            <w:tcW w:w="863" w:type="pct"/>
          </w:tcPr>
          <w:p w14:paraId="374E169A" w14:textId="77777777" w:rsidR="00CC6D87" w:rsidRPr="00040D5B" w:rsidRDefault="00CC6D87" w:rsidP="00106329">
            <w:pPr>
              <w:spacing w:before="0"/>
              <w:jc w:val="center"/>
              <w:rPr>
                <w:rFonts w:cstheme="minorHAnsi"/>
                <w:bCs/>
                <w:sz w:val="20"/>
              </w:rPr>
            </w:pPr>
            <w:r w:rsidRPr="00040D5B">
              <w:rPr>
                <w:rFonts w:cstheme="minorHAnsi"/>
                <w:bCs/>
                <w:sz w:val="20"/>
              </w:rPr>
              <w:t>Dominant</w:t>
            </w:r>
          </w:p>
        </w:tc>
        <w:tc>
          <w:tcPr>
            <w:tcW w:w="862" w:type="pct"/>
          </w:tcPr>
          <w:p w14:paraId="49C5D47B" w14:textId="77777777" w:rsidR="00CC6D87" w:rsidRPr="00040D5B" w:rsidRDefault="00CC6D87" w:rsidP="00106329">
            <w:pPr>
              <w:spacing w:before="0"/>
              <w:jc w:val="center"/>
              <w:rPr>
                <w:rFonts w:cstheme="minorHAnsi"/>
                <w:bCs/>
                <w:sz w:val="20"/>
              </w:rPr>
            </w:pPr>
            <w:r w:rsidRPr="00040D5B">
              <w:rPr>
                <w:rFonts w:cstheme="minorHAnsi"/>
                <w:bCs/>
                <w:sz w:val="20"/>
              </w:rPr>
              <w:t>Dominant</w:t>
            </w:r>
          </w:p>
        </w:tc>
      </w:tr>
    </w:tbl>
    <w:p w14:paraId="4336DD41" w14:textId="027ECF90" w:rsidR="00CC6D87" w:rsidRPr="00CC6D87" w:rsidRDefault="00CC6D87" w:rsidP="000E6900">
      <w:pPr>
        <w:rPr>
          <w:rFonts w:ascii="Arial Narrow" w:hAnsi="Arial Narrow"/>
          <w:sz w:val="18"/>
        </w:rPr>
      </w:pPr>
      <w:r>
        <w:rPr>
          <w:rFonts w:ascii="Arial Narrow" w:hAnsi="Arial Narrow"/>
          <w:sz w:val="18"/>
        </w:rPr>
        <w:t xml:space="preserve">Source: </w:t>
      </w:r>
      <w:r w:rsidRPr="00CC6D87">
        <w:rPr>
          <w:rFonts w:ascii="Arial Narrow" w:hAnsi="Arial Narrow"/>
          <w:i/>
          <w:sz w:val="18"/>
        </w:rPr>
        <w:t xml:space="preserve">Extracted </w:t>
      </w:r>
      <w:r w:rsidRPr="00CC6D87">
        <w:rPr>
          <w:rFonts w:ascii="Arial Narrow" w:hAnsi="Arial Narrow"/>
          <w:i/>
          <w:sz w:val="18"/>
          <w:szCs w:val="18"/>
        </w:rPr>
        <w:t>from applicant’s pre-MSAC model (Appendix A-Model Selection D- 5yr horizon)</w:t>
      </w:r>
    </w:p>
    <w:p w14:paraId="0E594EE8" w14:textId="77777777" w:rsidR="00040D5B" w:rsidRDefault="00040D5B" w:rsidP="00040D5B">
      <w:pPr>
        <w:pStyle w:val="Heading2"/>
      </w:pPr>
      <w:r w:rsidRPr="00EE216E">
        <w:t xml:space="preserve">TAVI-BEV </w:t>
      </w:r>
      <w:r w:rsidRPr="00EF4810">
        <w:t>vs.</w:t>
      </w:r>
      <w:r w:rsidRPr="00EE216E">
        <w:t xml:space="preserve"> TAVI-SEV</w:t>
      </w:r>
    </w:p>
    <w:p w14:paraId="6AF48696" w14:textId="26B77192" w:rsidR="00040D5B" w:rsidRDefault="00F011D4" w:rsidP="00040D5B">
      <w:r>
        <w:t>T</w:t>
      </w:r>
      <w:r w:rsidR="00040D5B">
        <w:t>he results of the secondary economic evaluation comparing TAVI-BEV with TAVI-SEV</w:t>
      </w:r>
      <w:r>
        <w:t xml:space="preserve"> are summarised in Table 13</w:t>
      </w:r>
      <w:r w:rsidR="00ED374F">
        <w:t>.</w:t>
      </w:r>
    </w:p>
    <w:p w14:paraId="41DC222D" w14:textId="07D719BF" w:rsidR="00040D5B" w:rsidRPr="00AC061E" w:rsidRDefault="00040D5B" w:rsidP="00AC061E">
      <w:pPr>
        <w:spacing w:before="240"/>
        <w:rPr>
          <w:rFonts w:ascii="Arial Narrow" w:hAnsi="Arial Narrow"/>
          <w:b/>
          <w:sz w:val="20"/>
        </w:rPr>
      </w:pPr>
      <w:bookmarkStart w:id="7" w:name="_Ref51338848"/>
      <w:r w:rsidRPr="00AC061E">
        <w:rPr>
          <w:rFonts w:ascii="Arial Narrow" w:hAnsi="Arial Narrow"/>
          <w:b/>
          <w:sz w:val="20"/>
        </w:rPr>
        <w:t xml:space="preserve">Table </w:t>
      </w:r>
      <w:bookmarkEnd w:id="7"/>
      <w:r w:rsidR="00F011D4" w:rsidRPr="00AC061E">
        <w:rPr>
          <w:rFonts w:ascii="Arial Narrow" w:hAnsi="Arial Narrow"/>
          <w:b/>
          <w:sz w:val="20"/>
        </w:rPr>
        <w:t>13</w:t>
      </w:r>
      <w:r w:rsidR="00E40C30" w:rsidRPr="00AC061E">
        <w:rPr>
          <w:rFonts w:ascii="Arial Narrow" w:hAnsi="Arial Narrow"/>
          <w:b/>
          <w:sz w:val="20"/>
        </w:rPr>
        <w:tab/>
      </w:r>
      <w:r w:rsidRPr="00AC061E">
        <w:rPr>
          <w:rFonts w:ascii="Arial Narrow" w:hAnsi="Arial Narrow"/>
          <w:b/>
          <w:sz w:val="20"/>
        </w:rPr>
        <w:t>Results of modelled economic evaluation comparing TAVI-BEV with TAVI-SEV, revised base case and scenario analysis 1 with 5% discounting</w:t>
      </w:r>
    </w:p>
    <w:tbl>
      <w:tblPr>
        <w:tblStyle w:val="TableGrid22"/>
        <w:tblW w:w="9021" w:type="dxa"/>
        <w:tblInd w:w="-5" w:type="dxa"/>
        <w:tblLayout w:type="fixed"/>
        <w:tblCellMar>
          <w:left w:w="28" w:type="dxa"/>
          <w:right w:w="28" w:type="dxa"/>
        </w:tblCellMar>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226"/>
        <w:gridCol w:w="1042"/>
        <w:gridCol w:w="1276"/>
        <w:gridCol w:w="992"/>
        <w:gridCol w:w="1144"/>
        <w:gridCol w:w="1114"/>
        <w:gridCol w:w="1286"/>
        <w:gridCol w:w="941"/>
      </w:tblGrid>
      <w:tr w:rsidR="00040D5B" w:rsidRPr="00040D5B" w14:paraId="0EA1A924" w14:textId="77777777" w:rsidTr="005D25EA">
        <w:trPr>
          <w:cnfStyle w:val="100000000000" w:firstRow="1" w:lastRow="0" w:firstColumn="0" w:lastColumn="0" w:oddVBand="0" w:evenVBand="0" w:oddHBand="0" w:evenHBand="0" w:firstRowFirstColumn="0" w:firstRowLastColumn="0" w:lastRowFirstColumn="0" w:lastRowLastColumn="0"/>
          <w:trHeight w:val="20"/>
          <w:tblHeader/>
        </w:trPr>
        <w:tc>
          <w:tcPr>
            <w:tcW w:w="1226" w:type="dxa"/>
            <w:tcBorders>
              <w:bottom w:val="single" w:sz="4" w:space="0" w:color="auto"/>
            </w:tcBorders>
          </w:tcPr>
          <w:p w14:paraId="3517F197" w14:textId="77777777" w:rsidR="00040D5B" w:rsidRPr="00040D5B" w:rsidRDefault="00040D5B" w:rsidP="00B14FF0">
            <w:pPr>
              <w:keepNext/>
              <w:keepLines/>
              <w:spacing w:before="0" w:after="0"/>
              <w:rPr>
                <w:rFonts w:cs="Tahoma"/>
                <w:b/>
                <w:sz w:val="20"/>
              </w:rPr>
            </w:pPr>
            <w:r w:rsidRPr="00040D5B">
              <w:rPr>
                <w:rFonts w:cs="Tahoma"/>
                <w:b/>
                <w:sz w:val="20"/>
              </w:rPr>
              <w:t xml:space="preserve">Cost-utility analysis </w:t>
            </w:r>
          </w:p>
        </w:tc>
        <w:tc>
          <w:tcPr>
            <w:tcW w:w="1042" w:type="dxa"/>
            <w:tcBorders>
              <w:bottom w:val="single" w:sz="4" w:space="0" w:color="auto"/>
            </w:tcBorders>
          </w:tcPr>
          <w:p w14:paraId="729BEE24" w14:textId="77777777" w:rsidR="00040D5B" w:rsidRPr="00040D5B" w:rsidRDefault="00040D5B" w:rsidP="00B14FF0">
            <w:pPr>
              <w:keepNext/>
              <w:keepLines/>
              <w:spacing w:before="0" w:after="0"/>
              <w:jc w:val="both"/>
              <w:rPr>
                <w:rFonts w:cs="Tahoma"/>
                <w:b/>
                <w:sz w:val="20"/>
              </w:rPr>
            </w:pPr>
            <w:r w:rsidRPr="00040D5B">
              <w:rPr>
                <w:rFonts w:cs="Tahoma"/>
                <w:b/>
                <w:sz w:val="20"/>
              </w:rPr>
              <w:t xml:space="preserve">Cost </w:t>
            </w:r>
            <w:r w:rsidRPr="00040D5B">
              <w:rPr>
                <w:rFonts w:cs="Tahoma"/>
                <w:sz w:val="20"/>
                <w:vertAlign w:val="superscript"/>
              </w:rPr>
              <w:t>a b</w:t>
            </w:r>
          </w:p>
        </w:tc>
        <w:tc>
          <w:tcPr>
            <w:tcW w:w="1276" w:type="dxa"/>
            <w:tcBorders>
              <w:bottom w:val="single" w:sz="4" w:space="0" w:color="auto"/>
            </w:tcBorders>
          </w:tcPr>
          <w:p w14:paraId="630BD56F" w14:textId="77777777" w:rsidR="00040D5B" w:rsidRPr="00040D5B" w:rsidRDefault="00040D5B" w:rsidP="00B14FF0">
            <w:pPr>
              <w:keepNext/>
              <w:keepLines/>
              <w:spacing w:before="0" w:after="0"/>
              <w:jc w:val="both"/>
              <w:rPr>
                <w:rFonts w:cs="Tahoma"/>
                <w:b/>
                <w:sz w:val="20"/>
              </w:rPr>
            </w:pPr>
            <w:r w:rsidRPr="00040D5B">
              <w:rPr>
                <w:rFonts w:cs="Tahoma"/>
                <w:b/>
                <w:sz w:val="20"/>
              </w:rPr>
              <w:t>Incremental cost</w:t>
            </w:r>
          </w:p>
        </w:tc>
        <w:tc>
          <w:tcPr>
            <w:tcW w:w="992" w:type="dxa"/>
            <w:tcBorders>
              <w:bottom w:val="single" w:sz="4" w:space="0" w:color="auto"/>
            </w:tcBorders>
          </w:tcPr>
          <w:p w14:paraId="5807F4FD" w14:textId="77777777" w:rsidR="00040D5B" w:rsidRPr="00040D5B" w:rsidRDefault="00040D5B" w:rsidP="00B14FF0">
            <w:pPr>
              <w:keepNext/>
              <w:keepLines/>
              <w:spacing w:before="0" w:after="0"/>
              <w:jc w:val="both"/>
              <w:rPr>
                <w:rFonts w:cs="Tahoma"/>
                <w:b/>
                <w:sz w:val="20"/>
              </w:rPr>
            </w:pPr>
            <w:r w:rsidRPr="00040D5B">
              <w:rPr>
                <w:rFonts w:cs="Tahoma"/>
                <w:b/>
                <w:sz w:val="20"/>
              </w:rPr>
              <w:t>Life years</w:t>
            </w:r>
          </w:p>
        </w:tc>
        <w:tc>
          <w:tcPr>
            <w:tcW w:w="1144" w:type="dxa"/>
            <w:tcBorders>
              <w:bottom w:val="single" w:sz="4" w:space="0" w:color="auto"/>
            </w:tcBorders>
          </w:tcPr>
          <w:p w14:paraId="444E7CCE" w14:textId="77777777" w:rsidR="00040D5B" w:rsidRPr="00040D5B" w:rsidRDefault="00040D5B" w:rsidP="00B14FF0">
            <w:pPr>
              <w:keepNext/>
              <w:keepLines/>
              <w:spacing w:before="0" w:after="0"/>
              <w:jc w:val="both"/>
              <w:rPr>
                <w:rFonts w:cs="Tahoma"/>
                <w:b/>
                <w:sz w:val="20"/>
              </w:rPr>
            </w:pPr>
            <w:r w:rsidRPr="00040D5B">
              <w:rPr>
                <w:rFonts w:cs="Tahoma"/>
                <w:b/>
                <w:sz w:val="20"/>
              </w:rPr>
              <w:t xml:space="preserve">Incremental life years </w:t>
            </w:r>
          </w:p>
        </w:tc>
        <w:tc>
          <w:tcPr>
            <w:tcW w:w="1114" w:type="dxa"/>
            <w:tcBorders>
              <w:bottom w:val="single" w:sz="4" w:space="0" w:color="auto"/>
            </w:tcBorders>
          </w:tcPr>
          <w:p w14:paraId="1216BE16" w14:textId="77777777" w:rsidR="00040D5B" w:rsidRPr="00040D5B" w:rsidRDefault="00040D5B" w:rsidP="00B14FF0">
            <w:pPr>
              <w:keepNext/>
              <w:keepLines/>
              <w:spacing w:before="0" w:after="0"/>
              <w:jc w:val="both"/>
              <w:rPr>
                <w:rFonts w:cs="Tahoma"/>
                <w:b/>
                <w:sz w:val="20"/>
              </w:rPr>
            </w:pPr>
            <w:r w:rsidRPr="00040D5B">
              <w:rPr>
                <w:rFonts w:cs="Tahoma"/>
                <w:b/>
                <w:sz w:val="20"/>
              </w:rPr>
              <w:t>Effectiveness (QALYs)</w:t>
            </w:r>
          </w:p>
        </w:tc>
        <w:tc>
          <w:tcPr>
            <w:tcW w:w="1286" w:type="dxa"/>
            <w:tcBorders>
              <w:bottom w:val="single" w:sz="4" w:space="0" w:color="auto"/>
            </w:tcBorders>
          </w:tcPr>
          <w:p w14:paraId="0D86FDE7" w14:textId="77777777" w:rsidR="00040D5B" w:rsidRPr="00040D5B" w:rsidRDefault="00040D5B" w:rsidP="00B14FF0">
            <w:pPr>
              <w:keepNext/>
              <w:keepLines/>
              <w:spacing w:before="0" w:after="0"/>
              <w:jc w:val="both"/>
              <w:rPr>
                <w:rFonts w:cs="Tahoma"/>
                <w:b/>
                <w:sz w:val="20"/>
              </w:rPr>
            </w:pPr>
            <w:r w:rsidRPr="00040D5B">
              <w:rPr>
                <w:rFonts w:cs="Tahoma"/>
                <w:b/>
                <w:sz w:val="20"/>
              </w:rPr>
              <w:t>Incremental effectiveness</w:t>
            </w:r>
          </w:p>
        </w:tc>
        <w:tc>
          <w:tcPr>
            <w:tcW w:w="941" w:type="dxa"/>
            <w:tcBorders>
              <w:bottom w:val="single" w:sz="4" w:space="0" w:color="auto"/>
            </w:tcBorders>
          </w:tcPr>
          <w:p w14:paraId="0EC74B55" w14:textId="77777777" w:rsidR="00040D5B" w:rsidRPr="00040D5B" w:rsidRDefault="00040D5B" w:rsidP="00B14FF0">
            <w:pPr>
              <w:keepNext/>
              <w:keepLines/>
              <w:spacing w:before="0" w:after="0"/>
              <w:jc w:val="both"/>
              <w:rPr>
                <w:rFonts w:cs="Tahoma"/>
                <w:b/>
                <w:sz w:val="20"/>
              </w:rPr>
            </w:pPr>
            <w:r w:rsidRPr="00040D5B">
              <w:rPr>
                <w:rFonts w:cs="Tahoma"/>
                <w:b/>
                <w:sz w:val="20"/>
              </w:rPr>
              <w:t>ICER</w:t>
            </w:r>
          </w:p>
        </w:tc>
      </w:tr>
      <w:tr w:rsidR="00040D5B" w:rsidRPr="00040D5B" w14:paraId="0C4E1567" w14:textId="77777777" w:rsidTr="005D25EA">
        <w:trPr>
          <w:cnfStyle w:val="100000000000" w:firstRow="1" w:lastRow="0" w:firstColumn="0" w:lastColumn="0" w:oddVBand="0" w:evenVBand="0" w:oddHBand="0" w:evenHBand="0" w:firstRowFirstColumn="0" w:firstRowLastColumn="0" w:lastRowFirstColumn="0" w:lastRowLastColumn="0"/>
          <w:trHeight w:val="20"/>
          <w:tblHeader/>
        </w:trPr>
        <w:tc>
          <w:tcPr>
            <w:tcW w:w="9021" w:type="dxa"/>
            <w:gridSpan w:val="8"/>
            <w:tcBorders>
              <w:bottom w:val="single" w:sz="4" w:space="0" w:color="auto"/>
            </w:tcBorders>
            <w:vAlign w:val="center"/>
          </w:tcPr>
          <w:p w14:paraId="6AE27276" w14:textId="77777777" w:rsidR="00040D5B" w:rsidRPr="00040D5B" w:rsidRDefault="00040D5B" w:rsidP="00B14FF0">
            <w:pPr>
              <w:keepNext/>
              <w:keepLines/>
              <w:spacing w:before="0" w:after="0"/>
              <w:jc w:val="both"/>
              <w:rPr>
                <w:rFonts w:cs="Tahoma"/>
                <w:b/>
                <w:sz w:val="20"/>
              </w:rPr>
            </w:pPr>
            <w:r w:rsidRPr="00040D5B">
              <w:rPr>
                <w:rFonts w:cs="Tahoma"/>
                <w:b/>
                <w:bCs/>
                <w:sz w:val="20"/>
              </w:rPr>
              <w:t>Revised base case: using the cost of TAVI-BEV from the July 2020 Prostheses List</w:t>
            </w:r>
          </w:p>
        </w:tc>
      </w:tr>
      <w:tr w:rsidR="00040D5B" w:rsidRPr="00040D5B" w14:paraId="120B38DF" w14:textId="77777777" w:rsidTr="005D25EA">
        <w:trPr>
          <w:trHeight w:val="20"/>
        </w:trPr>
        <w:tc>
          <w:tcPr>
            <w:tcW w:w="1226" w:type="dxa"/>
            <w:vAlign w:val="center"/>
          </w:tcPr>
          <w:p w14:paraId="2A97BFB3" w14:textId="77777777" w:rsidR="00040D5B" w:rsidRPr="00040D5B" w:rsidRDefault="00040D5B" w:rsidP="00B14FF0">
            <w:pPr>
              <w:keepNext/>
              <w:keepLines/>
              <w:spacing w:before="0" w:after="0"/>
              <w:jc w:val="center"/>
              <w:rPr>
                <w:rFonts w:cs="Tahoma"/>
                <w:sz w:val="20"/>
              </w:rPr>
            </w:pPr>
            <w:r w:rsidRPr="00040D5B">
              <w:rPr>
                <w:rFonts w:cs="Tahoma"/>
                <w:sz w:val="20"/>
              </w:rPr>
              <w:t>TAVI-BEV</w:t>
            </w:r>
          </w:p>
        </w:tc>
        <w:tc>
          <w:tcPr>
            <w:tcW w:w="1042" w:type="dxa"/>
          </w:tcPr>
          <w:p w14:paraId="1AA2011C" w14:textId="18795EA9" w:rsidR="00040D5B" w:rsidRPr="002C1EAC" w:rsidRDefault="009D04D1" w:rsidP="00B14FF0">
            <w:pPr>
              <w:keepNext/>
              <w:keepLines/>
              <w:spacing w:before="0" w:after="0"/>
              <w:jc w:val="center"/>
              <w:rPr>
                <w:rFonts w:cs="Tahoma"/>
                <w:i/>
                <w:iCs/>
                <w:sz w:val="20"/>
                <w:highlight w:val="yellow"/>
              </w:rPr>
            </w:pPr>
            <w:r>
              <w:rPr>
                <w:b/>
                <w:sz w:val="20"/>
              </w:rPr>
              <w:t>$</w:t>
            </w:r>
            <w:r w:rsidRPr="00EE57F4">
              <w:rPr>
                <w:b/>
                <w:sz w:val="20"/>
              </w:rPr>
              <w:t>redacted</w:t>
            </w:r>
          </w:p>
        </w:tc>
        <w:tc>
          <w:tcPr>
            <w:tcW w:w="1276" w:type="dxa"/>
            <w:vMerge w:val="restart"/>
            <w:vAlign w:val="center"/>
          </w:tcPr>
          <w:p w14:paraId="541142CC" w14:textId="089FC96F" w:rsidR="00040D5B" w:rsidRPr="002C1EAC" w:rsidRDefault="009D04D1" w:rsidP="00B14FF0">
            <w:pPr>
              <w:keepNext/>
              <w:keepLines/>
              <w:spacing w:before="0" w:after="0"/>
              <w:jc w:val="center"/>
              <w:rPr>
                <w:rFonts w:cs="Tahoma"/>
                <w:i/>
                <w:iCs/>
                <w:sz w:val="20"/>
                <w:highlight w:val="yellow"/>
              </w:rPr>
            </w:pPr>
            <w:r>
              <w:rPr>
                <w:b/>
                <w:sz w:val="20"/>
              </w:rPr>
              <w:t>$</w:t>
            </w:r>
            <w:r w:rsidRPr="00EE57F4">
              <w:rPr>
                <w:b/>
                <w:sz w:val="20"/>
              </w:rPr>
              <w:t>redacted</w:t>
            </w:r>
          </w:p>
        </w:tc>
        <w:tc>
          <w:tcPr>
            <w:tcW w:w="992" w:type="dxa"/>
            <w:vAlign w:val="center"/>
          </w:tcPr>
          <w:p w14:paraId="353C6BB8" w14:textId="722823A6"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144" w:type="dxa"/>
            <w:vMerge w:val="restart"/>
            <w:vAlign w:val="center"/>
          </w:tcPr>
          <w:p w14:paraId="69FD42FD" w14:textId="103BB5BB"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114" w:type="dxa"/>
            <w:vAlign w:val="center"/>
          </w:tcPr>
          <w:p w14:paraId="33FFD940" w14:textId="1AE82319"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286" w:type="dxa"/>
            <w:vMerge w:val="restart"/>
            <w:vAlign w:val="center"/>
          </w:tcPr>
          <w:p w14:paraId="793E30F5" w14:textId="6EBD787B" w:rsidR="00040D5B" w:rsidRPr="00040D5B" w:rsidRDefault="009D04D1" w:rsidP="00B14FF0">
            <w:pPr>
              <w:keepNext/>
              <w:keepLines/>
              <w:spacing w:before="0" w:after="0"/>
              <w:jc w:val="center"/>
              <w:rPr>
                <w:rFonts w:cs="Tahoma"/>
                <w:sz w:val="20"/>
              </w:rPr>
            </w:pPr>
            <w:r w:rsidRPr="00EE57F4">
              <w:rPr>
                <w:b/>
                <w:sz w:val="20"/>
              </w:rPr>
              <w:t>redacted</w:t>
            </w:r>
          </w:p>
        </w:tc>
        <w:tc>
          <w:tcPr>
            <w:tcW w:w="941" w:type="dxa"/>
            <w:vMerge w:val="restart"/>
            <w:vAlign w:val="center"/>
          </w:tcPr>
          <w:p w14:paraId="61E9167F" w14:textId="77777777" w:rsidR="00040D5B" w:rsidRPr="00040D5B" w:rsidRDefault="00040D5B" w:rsidP="00B14FF0">
            <w:pPr>
              <w:keepNext/>
              <w:keepLines/>
              <w:spacing w:before="0" w:after="0"/>
              <w:jc w:val="center"/>
              <w:rPr>
                <w:rFonts w:cs="Tahoma"/>
                <w:i/>
                <w:iCs/>
                <w:sz w:val="20"/>
              </w:rPr>
            </w:pPr>
            <w:r w:rsidRPr="00040D5B">
              <w:rPr>
                <w:rFonts w:cs="Tahoma"/>
                <w:i/>
                <w:iCs/>
                <w:sz w:val="20"/>
              </w:rPr>
              <w:t>Dominant</w:t>
            </w:r>
          </w:p>
          <w:p w14:paraId="4610EAC4" w14:textId="4D990FB7" w:rsidR="00040D5B" w:rsidRPr="00040D5B" w:rsidRDefault="009D04D1" w:rsidP="00B14FF0">
            <w:pPr>
              <w:keepNext/>
              <w:keepLines/>
              <w:spacing w:before="0" w:after="0"/>
              <w:jc w:val="center"/>
              <w:rPr>
                <w:rFonts w:cs="Tahoma"/>
                <w:i/>
                <w:iCs/>
                <w:sz w:val="20"/>
              </w:rPr>
            </w:pPr>
            <w:r>
              <w:rPr>
                <w:b/>
                <w:sz w:val="20"/>
              </w:rPr>
              <w:t>$</w:t>
            </w:r>
            <w:r w:rsidRPr="00EE57F4">
              <w:rPr>
                <w:b/>
                <w:sz w:val="20"/>
              </w:rPr>
              <w:t>redacted</w:t>
            </w:r>
          </w:p>
        </w:tc>
      </w:tr>
      <w:tr w:rsidR="00040D5B" w:rsidRPr="00040D5B" w14:paraId="5D7B8742" w14:textId="77777777" w:rsidTr="005D25EA">
        <w:trPr>
          <w:trHeight w:val="20"/>
        </w:trPr>
        <w:tc>
          <w:tcPr>
            <w:tcW w:w="1226" w:type="dxa"/>
            <w:vAlign w:val="center"/>
          </w:tcPr>
          <w:p w14:paraId="53918A6B" w14:textId="77777777" w:rsidR="00040D5B" w:rsidRPr="00040D5B" w:rsidRDefault="00040D5B" w:rsidP="00B14FF0">
            <w:pPr>
              <w:keepNext/>
              <w:keepLines/>
              <w:spacing w:before="0" w:after="0"/>
              <w:jc w:val="center"/>
              <w:rPr>
                <w:rFonts w:cs="Tahoma"/>
                <w:sz w:val="20"/>
              </w:rPr>
            </w:pPr>
            <w:r w:rsidRPr="00040D5B">
              <w:rPr>
                <w:rFonts w:cs="Tahoma"/>
                <w:sz w:val="20"/>
              </w:rPr>
              <w:t>TAVI-SEV</w:t>
            </w:r>
          </w:p>
        </w:tc>
        <w:tc>
          <w:tcPr>
            <w:tcW w:w="1042" w:type="dxa"/>
          </w:tcPr>
          <w:p w14:paraId="117808AF" w14:textId="09C60BB4" w:rsidR="00040D5B" w:rsidRPr="002C1EAC" w:rsidRDefault="009D04D1" w:rsidP="00B14FF0">
            <w:pPr>
              <w:keepNext/>
              <w:keepLines/>
              <w:spacing w:before="0" w:after="0"/>
              <w:jc w:val="center"/>
              <w:rPr>
                <w:rFonts w:cs="Tahoma"/>
                <w:i/>
                <w:iCs/>
                <w:sz w:val="20"/>
                <w:highlight w:val="yellow"/>
              </w:rPr>
            </w:pPr>
            <w:r>
              <w:rPr>
                <w:b/>
                <w:sz w:val="20"/>
              </w:rPr>
              <w:t>$</w:t>
            </w:r>
            <w:r w:rsidRPr="00EE57F4">
              <w:rPr>
                <w:b/>
                <w:sz w:val="20"/>
              </w:rPr>
              <w:t>redacted</w:t>
            </w:r>
          </w:p>
        </w:tc>
        <w:tc>
          <w:tcPr>
            <w:tcW w:w="1276" w:type="dxa"/>
            <w:vMerge/>
            <w:vAlign w:val="center"/>
          </w:tcPr>
          <w:p w14:paraId="44F1E4EF" w14:textId="77777777" w:rsidR="00040D5B" w:rsidRPr="002C1EAC" w:rsidRDefault="00040D5B" w:rsidP="00B14FF0">
            <w:pPr>
              <w:keepNext/>
              <w:keepLines/>
              <w:spacing w:before="0" w:after="0"/>
              <w:jc w:val="center"/>
              <w:rPr>
                <w:rFonts w:cs="Tahoma"/>
                <w:i/>
                <w:iCs/>
                <w:sz w:val="20"/>
                <w:highlight w:val="yellow"/>
              </w:rPr>
            </w:pPr>
          </w:p>
        </w:tc>
        <w:tc>
          <w:tcPr>
            <w:tcW w:w="992" w:type="dxa"/>
            <w:vAlign w:val="center"/>
          </w:tcPr>
          <w:p w14:paraId="0EE889FB" w14:textId="17E65FDC"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144" w:type="dxa"/>
            <w:vMerge/>
            <w:vAlign w:val="center"/>
          </w:tcPr>
          <w:p w14:paraId="0A021DE8" w14:textId="77777777" w:rsidR="00040D5B" w:rsidRPr="002C1EAC" w:rsidRDefault="00040D5B" w:rsidP="00B14FF0">
            <w:pPr>
              <w:keepNext/>
              <w:keepLines/>
              <w:spacing w:before="0" w:after="0"/>
              <w:jc w:val="center"/>
              <w:rPr>
                <w:rFonts w:cs="Tahoma"/>
                <w:sz w:val="20"/>
                <w:highlight w:val="yellow"/>
              </w:rPr>
            </w:pPr>
          </w:p>
        </w:tc>
        <w:tc>
          <w:tcPr>
            <w:tcW w:w="1114" w:type="dxa"/>
            <w:vAlign w:val="center"/>
          </w:tcPr>
          <w:p w14:paraId="0E41F7D8" w14:textId="47A986F9"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286" w:type="dxa"/>
            <w:vMerge/>
            <w:vAlign w:val="center"/>
          </w:tcPr>
          <w:p w14:paraId="13CDD38B" w14:textId="77777777" w:rsidR="00040D5B" w:rsidRPr="00040D5B" w:rsidRDefault="00040D5B" w:rsidP="00B14FF0">
            <w:pPr>
              <w:keepNext/>
              <w:keepLines/>
              <w:spacing w:before="0" w:after="0"/>
              <w:jc w:val="center"/>
              <w:rPr>
                <w:rFonts w:cs="Tahoma"/>
                <w:sz w:val="20"/>
              </w:rPr>
            </w:pPr>
          </w:p>
        </w:tc>
        <w:tc>
          <w:tcPr>
            <w:tcW w:w="941" w:type="dxa"/>
            <w:vMerge/>
            <w:vAlign w:val="center"/>
          </w:tcPr>
          <w:p w14:paraId="5A392634" w14:textId="77777777" w:rsidR="00040D5B" w:rsidRPr="00040D5B" w:rsidRDefault="00040D5B" w:rsidP="00B14FF0">
            <w:pPr>
              <w:keepNext/>
              <w:keepLines/>
              <w:spacing w:before="0" w:after="0"/>
              <w:jc w:val="center"/>
              <w:rPr>
                <w:rFonts w:cs="Tahoma"/>
                <w:sz w:val="20"/>
              </w:rPr>
            </w:pPr>
          </w:p>
        </w:tc>
      </w:tr>
      <w:tr w:rsidR="00040D5B" w:rsidRPr="00040D5B" w14:paraId="275806BE" w14:textId="77777777" w:rsidTr="005D25EA">
        <w:trPr>
          <w:trHeight w:val="20"/>
        </w:trPr>
        <w:tc>
          <w:tcPr>
            <w:tcW w:w="9021" w:type="dxa"/>
            <w:gridSpan w:val="8"/>
            <w:vAlign w:val="center"/>
          </w:tcPr>
          <w:p w14:paraId="6700DE2B" w14:textId="72F106F4" w:rsidR="00040D5B" w:rsidRPr="00040D5B" w:rsidRDefault="00040D5B" w:rsidP="00B14FF0">
            <w:pPr>
              <w:keepNext/>
              <w:keepLines/>
              <w:spacing w:before="0" w:after="0"/>
              <w:rPr>
                <w:rFonts w:cs="Tahoma"/>
                <w:sz w:val="20"/>
              </w:rPr>
            </w:pPr>
            <w:r w:rsidRPr="00040D5B">
              <w:rPr>
                <w:rFonts w:cs="Tahoma"/>
                <w:b/>
                <w:bCs/>
                <w:sz w:val="20"/>
              </w:rPr>
              <w:t xml:space="preserve">Scenario analysis 1: using the ADAR’s proposed cost of </w:t>
            </w:r>
            <w:r w:rsidR="009D04D1">
              <w:rPr>
                <w:rFonts w:cs="Tahoma"/>
                <w:b/>
                <w:bCs/>
                <w:sz w:val="20"/>
              </w:rPr>
              <w:t>$</w:t>
            </w:r>
            <w:r w:rsidR="009D04D1" w:rsidRPr="00EE57F4">
              <w:rPr>
                <w:b/>
                <w:sz w:val="20"/>
              </w:rPr>
              <w:t>redacted</w:t>
            </w:r>
            <w:r w:rsidR="009D04D1" w:rsidRPr="00040D5B">
              <w:rPr>
                <w:rFonts w:cs="Tahoma"/>
                <w:b/>
                <w:bCs/>
                <w:sz w:val="20"/>
              </w:rPr>
              <w:t xml:space="preserve"> </w:t>
            </w:r>
            <w:r w:rsidRPr="00040D5B">
              <w:rPr>
                <w:rFonts w:cs="Tahoma"/>
                <w:b/>
                <w:bCs/>
                <w:sz w:val="20"/>
              </w:rPr>
              <w:t>for TAVI-BEV</w:t>
            </w:r>
          </w:p>
        </w:tc>
      </w:tr>
      <w:tr w:rsidR="00040D5B" w:rsidRPr="00040D5B" w14:paraId="6556E51C" w14:textId="77777777" w:rsidTr="005D25EA">
        <w:trPr>
          <w:trHeight w:val="20"/>
        </w:trPr>
        <w:tc>
          <w:tcPr>
            <w:tcW w:w="1226" w:type="dxa"/>
            <w:vAlign w:val="center"/>
          </w:tcPr>
          <w:p w14:paraId="770768CF" w14:textId="77777777" w:rsidR="00040D5B" w:rsidRPr="00040D5B" w:rsidRDefault="00040D5B" w:rsidP="00B14FF0">
            <w:pPr>
              <w:keepNext/>
              <w:keepLines/>
              <w:spacing w:before="0" w:after="0"/>
              <w:jc w:val="center"/>
              <w:rPr>
                <w:rFonts w:cs="Tahoma"/>
                <w:sz w:val="20"/>
              </w:rPr>
            </w:pPr>
            <w:r w:rsidRPr="00040D5B">
              <w:rPr>
                <w:rFonts w:cs="Tahoma"/>
                <w:sz w:val="20"/>
              </w:rPr>
              <w:t>TAVI-BEV</w:t>
            </w:r>
          </w:p>
        </w:tc>
        <w:tc>
          <w:tcPr>
            <w:tcW w:w="1042" w:type="dxa"/>
          </w:tcPr>
          <w:p w14:paraId="724CB978" w14:textId="45E26FAA" w:rsidR="00040D5B" w:rsidRPr="002C1EAC" w:rsidRDefault="009D04D1" w:rsidP="00B14FF0">
            <w:pPr>
              <w:keepNext/>
              <w:keepLines/>
              <w:spacing w:before="0" w:after="0"/>
              <w:jc w:val="center"/>
              <w:rPr>
                <w:rFonts w:cs="Tahoma"/>
                <w:i/>
                <w:iCs/>
                <w:sz w:val="20"/>
                <w:highlight w:val="yellow"/>
              </w:rPr>
            </w:pPr>
            <w:r>
              <w:rPr>
                <w:b/>
                <w:sz w:val="20"/>
              </w:rPr>
              <w:t>$</w:t>
            </w:r>
            <w:r w:rsidRPr="00EE57F4">
              <w:rPr>
                <w:b/>
                <w:sz w:val="20"/>
              </w:rPr>
              <w:t>redacted</w:t>
            </w:r>
          </w:p>
        </w:tc>
        <w:tc>
          <w:tcPr>
            <w:tcW w:w="1276" w:type="dxa"/>
            <w:vMerge w:val="restart"/>
            <w:vAlign w:val="center"/>
          </w:tcPr>
          <w:p w14:paraId="04741C92" w14:textId="1C106BD1" w:rsidR="00040D5B" w:rsidRPr="002C1EAC" w:rsidRDefault="009D04D1" w:rsidP="00B14FF0">
            <w:pPr>
              <w:keepNext/>
              <w:keepLines/>
              <w:spacing w:before="0" w:after="0"/>
              <w:jc w:val="center"/>
              <w:rPr>
                <w:rFonts w:cs="Tahoma"/>
                <w:i/>
                <w:iCs/>
                <w:sz w:val="20"/>
                <w:highlight w:val="yellow"/>
              </w:rPr>
            </w:pPr>
            <w:r>
              <w:rPr>
                <w:b/>
                <w:sz w:val="20"/>
              </w:rPr>
              <w:t>$</w:t>
            </w:r>
            <w:r w:rsidRPr="00EE57F4">
              <w:rPr>
                <w:b/>
                <w:sz w:val="20"/>
              </w:rPr>
              <w:t>redacted</w:t>
            </w:r>
          </w:p>
        </w:tc>
        <w:tc>
          <w:tcPr>
            <w:tcW w:w="992" w:type="dxa"/>
            <w:vAlign w:val="center"/>
          </w:tcPr>
          <w:p w14:paraId="7578B6C5" w14:textId="5867B755"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144" w:type="dxa"/>
            <w:vMerge w:val="restart"/>
            <w:vAlign w:val="center"/>
          </w:tcPr>
          <w:p w14:paraId="3308AA70" w14:textId="7F143A58"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114" w:type="dxa"/>
            <w:vAlign w:val="center"/>
          </w:tcPr>
          <w:p w14:paraId="6E7F62BA" w14:textId="11BE223D"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286" w:type="dxa"/>
            <w:vMerge w:val="restart"/>
            <w:vAlign w:val="center"/>
          </w:tcPr>
          <w:p w14:paraId="27FB63D2" w14:textId="74871B13"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941" w:type="dxa"/>
            <w:vMerge w:val="restart"/>
            <w:vAlign w:val="center"/>
          </w:tcPr>
          <w:p w14:paraId="723138A4" w14:textId="13F57A55" w:rsidR="00040D5B" w:rsidRPr="002C1EAC" w:rsidRDefault="009D04D1" w:rsidP="00B14FF0">
            <w:pPr>
              <w:keepNext/>
              <w:keepLines/>
              <w:spacing w:before="0" w:after="0"/>
              <w:jc w:val="center"/>
              <w:rPr>
                <w:rFonts w:cs="Tahoma"/>
                <w:sz w:val="20"/>
                <w:highlight w:val="yellow"/>
              </w:rPr>
            </w:pPr>
            <w:r>
              <w:rPr>
                <w:b/>
                <w:sz w:val="20"/>
              </w:rPr>
              <w:t>$</w:t>
            </w:r>
            <w:r w:rsidRPr="00EE57F4">
              <w:rPr>
                <w:b/>
                <w:sz w:val="20"/>
              </w:rPr>
              <w:t>redacted</w:t>
            </w:r>
          </w:p>
        </w:tc>
      </w:tr>
      <w:tr w:rsidR="00040D5B" w:rsidRPr="00040D5B" w14:paraId="5B02BE65" w14:textId="77777777" w:rsidTr="005D25EA">
        <w:trPr>
          <w:trHeight w:val="20"/>
        </w:trPr>
        <w:tc>
          <w:tcPr>
            <w:tcW w:w="1226" w:type="dxa"/>
            <w:vAlign w:val="center"/>
          </w:tcPr>
          <w:p w14:paraId="51A054FD" w14:textId="77777777" w:rsidR="00040D5B" w:rsidRPr="00040D5B" w:rsidRDefault="00040D5B" w:rsidP="00B14FF0">
            <w:pPr>
              <w:keepNext/>
              <w:keepLines/>
              <w:spacing w:before="0" w:after="0"/>
              <w:jc w:val="center"/>
              <w:rPr>
                <w:rFonts w:cs="Tahoma"/>
                <w:sz w:val="20"/>
              </w:rPr>
            </w:pPr>
            <w:r w:rsidRPr="00040D5B">
              <w:rPr>
                <w:rFonts w:cs="Tahoma"/>
                <w:sz w:val="20"/>
              </w:rPr>
              <w:t>TAVI-SEV</w:t>
            </w:r>
          </w:p>
        </w:tc>
        <w:tc>
          <w:tcPr>
            <w:tcW w:w="1042" w:type="dxa"/>
          </w:tcPr>
          <w:p w14:paraId="0EE94461" w14:textId="1C8BFAF1" w:rsidR="00040D5B" w:rsidRPr="009D04D1" w:rsidRDefault="009D04D1" w:rsidP="00B14FF0">
            <w:pPr>
              <w:keepNext/>
              <w:keepLines/>
              <w:spacing w:before="0" w:after="0"/>
              <w:jc w:val="center"/>
              <w:rPr>
                <w:rFonts w:cs="Tahoma"/>
                <w:i/>
                <w:iCs/>
                <w:sz w:val="20"/>
                <w:highlight w:val="yellow"/>
              </w:rPr>
            </w:pPr>
            <w:r>
              <w:rPr>
                <w:b/>
                <w:sz w:val="20"/>
              </w:rPr>
              <w:t>$</w:t>
            </w:r>
            <w:r w:rsidRPr="00EE57F4">
              <w:rPr>
                <w:b/>
                <w:sz w:val="20"/>
              </w:rPr>
              <w:t>redacted</w:t>
            </w:r>
          </w:p>
        </w:tc>
        <w:tc>
          <w:tcPr>
            <w:tcW w:w="1276" w:type="dxa"/>
            <w:vMerge/>
            <w:vAlign w:val="center"/>
          </w:tcPr>
          <w:p w14:paraId="25F1083E" w14:textId="77777777" w:rsidR="00040D5B" w:rsidRPr="002C1EAC" w:rsidRDefault="00040D5B" w:rsidP="00B14FF0">
            <w:pPr>
              <w:keepNext/>
              <w:keepLines/>
              <w:spacing w:before="0" w:after="0"/>
              <w:jc w:val="center"/>
              <w:rPr>
                <w:rFonts w:cs="Tahoma"/>
                <w:i/>
                <w:iCs/>
                <w:sz w:val="20"/>
                <w:highlight w:val="yellow"/>
              </w:rPr>
            </w:pPr>
          </w:p>
        </w:tc>
        <w:tc>
          <w:tcPr>
            <w:tcW w:w="992" w:type="dxa"/>
            <w:vAlign w:val="center"/>
          </w:tcPr>
          <w:p w14:paraId="2AD6058C" w14:textId="0F34EFE4"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144" w:type="dxa"/>
            <w:vMerge/>
            <w:vAlign w:val="center"/>
          </w:tcPr>
          <w:p w14:paraId="6F9F8939" w14:textId="77777777" w:rsidR="00040D5B" w:rsidRPr="002C1EAC" w:rsidRDefault="00040D5B" w:rsidP="00B14FF0">
            <w:pPr>
              <w:keepNext/>
              <w:keepLines/>
              <w:spacing w:before="0" w:after="0"/>
              <w:jc w:val="center"/>
              <w:rPr>
                <w:rFonts w:cs="Tahoma"/>
                <w:sz w:val="20"/>
                <w:highlight w:val="yellow"/>
              </w:rPr>
            </w:pPr>
          </w:p>
        </w:tc>
        <w:tc>
          <w:tcPr>
            <w:tcW w:w="1114" w:type="dxa"/>
            <w:vAlign w:val="center"/>
          </w:tcPr>
          <w:p w14:paraId="566046D8" w14:textId="70D6998A" w:rsidR="00040D5B" w:rsidRPr="002C1EAC" w:rsidRDefault="009D04D1" w:rsidP="00B14FF0">
            <w:pPr>
              <w:keepNext/>
              <w:keepLines/>
              <w:spacing w:before="0" w:after="0"/>
              <w:jc w:val="center"/>
              <w:rPr>
                <w:rFonts w:cs="Tahoma"/>
                <w:sz w:val="20"/>
                <w:highlight w:val="yellow"/>
              </w:rPr>
            </w:pPr>
            <w:r w:rsidRPr="00EE57F4">
              <w:rPr>
                <w:b/>
                <w:sz w:val="20"/>
              </w:rPr>
              <w:t>redacted</w:t>
            </w:r>
          </w:p>
        </w:tc>
        <w:tc>
          <w:tcPr>
            <w:tcW w:w="1286" w:type="dxa"/>
            <w:vMerge/>
            <w:vAlign w:val="center"/>
          </w:tcPr>
          <w:p w14:paraId="468A9F1D" w14:textId="77777777" w:rsidR="00040D5B" w:rsidRPr="00040D5B" w:rsidRDefault="00040D5B" w:rsidP="00B14FF0">
            <w:pPr>
              <w:keepNext/>
              <w:keepLines/>
              <w:spacing w:before="0" w:after="0"/>
              <w:jc w:val="center"/>
              <w:rPr>
                <w:rFonts w:cs="Tahoma"/>
                <w:sz w:val="20"/>
              </w:rPr>
            </w:pPr>
          </w:p>
        </w:tc>
        <w:tc>
          <w:tcPr>
            <w:tcW w:w="941" w:type="dxa"/>
            <w:vMerge/>
            <w:vAlign w:val="center"/>
          </w:tcPr>
          <w:p w14:paraId="4F0702C9" w14:textId="77777777" w:rsidR="00040D5B" w:rsidRPr="00040D5B" w:rsidRDefault="00040D5B" w:rsidP="00B14FF0">
            <w:pPr>
              <w:keepNext/>
              <w:keepLines/>
              <w:spacing w:before="0" w:after="0"/>
              <w:jc w:val="center"/>
              <w:rPr>
                <w:rFonts w:cs="Tahoma"/>
                <w:sz w:val="20"/>
              </w:rPr>
            </w:pPr>
          </w:p>
        </w:tc>
      </w:tr>
    </w:tbl>
    <w:p w14:paraId="134F1FAE" w14:textId="77777777" w:rsidR="00040D5B" w:rsidRPr="00F57AD5" w:rsidRDefault="00040D5B" w:rsidP="00040D5B">
      <w:pPr>
        <w:keepNext/>
        <w:keepLines/>
        <w:widowControl w:val="0"/>
        <w:snapToGrid w:val="0"/>
        <w:jc w:val="both"/>
        <w:rPr>
          <w:rFonts w:ascii="Arial Narrow" w:hAnsi="Arial Narrow" w:cs="Arial"/>
          <w:sz w:val="18"/>
          <w:szCs w:val="22"/>
          <w:lang w:eastAsia="en-US"/>
        </w:rPr>
      </w:pPr>
      <w:r w:rsidRPr="00F57AD5">
        <w:rPr>
          <w:rFonts w:ascii="Arial Narrow" w:hAnsi="Arial Narrow" w:cs="Arial"/>
          <w:sz w:val="18"/>
          <w:szCs w:val="22"/>
          <w:lang w:eastAsia="en-US"/>
        </w:rPr>
        <w:t xml:space="preserve">Abbreviations: ICER = incremental cost-effectiveness ratio; QALY = quality adjusted life year; </w:t>
      </w:r>
      <w:r w:rsidRPr="00F57AD5">
        <w:rPr>
          <w:rFonts w:ascii="Arial Narrow" w:hAnsi="Arial Narrow" w:cs="Arial"/>
          <w:sz w:val="18"/>
          <w:szCs w:val="18"/>
          <w:lang w:eastAsia="en-US"/>
        </w:rPr>
        <w:t>TAVI-BEV = transcatheter aortic valve implantation - balloon-expandable valve; TAVI-SEV = transcatheter aortic valve implantation - self-expanding valve</w:t>
      </w:r>
    </w:p>
    <w:p w14:paraId="5D7F1AC5" w14:textId="77777777" w:rsidR="00040D5B" w:rsidRPr="00F57AD5" w:rsidRDefault="00040D5B" w:rsidP="00040D5B">
      <w:pPr>
        <w:widowControl w:val="0"/>
        <w:snapToGrid w:val="0"/>
        <w:jc w:val="both"/>
        <w:rPr>
          <w:rFonts w:ascii="Arial Narrow" w:hAnsi="Arial Narrow" w:cs="Arial"/>
          <w:sz w:val="18"/>
          <w:szCs w:val="22"/>
          <w:lang w:eastAsia="en-US"/>
        </w:rPr>
      </w:pPr>
      <w:r w:rsidRPr="00F57AD5">
        <w:rPr>
          <w:rFonts w:ascii="Arial Narrow" w:hAnsi="Arial Narrow" w:cs="Arial"/>
          <w:sz w:val="18"/>
          <w:szCs w:val="22"/>
          <w:vertAlign w:val="superscript"/>
          <w:lang w:eastAsia="en-US"/>
        </w:rPr>
        <w:t xml:space="preserve">a  </w:t>
      </w:r>
      <w:r w:rsidRPr="00F57AD5">
        <w:rPr>
          <w:rFonts w:ascii="Arial Narrow" w:hAnsi="Arial Narrow" w:cs="Arial"/>
          <w:sz w:val="18"/>
          <w:szCs w:val="22"/>
          <w:lang w:eastAsia="en-US"/>
        </w:rPr>
        <w:t>Hospital and prosthesis costs for private patients were included by the evaluation</w:t>
      </w:r>
    </w:p>
    <w:p w14:paraId="7032D91F" w14:textId="4C6778FC" w:rsidR="00040D5B" w:rsidRPr="00F57AD5" w:rsidRDefault="00040D5B" w:rsidP="00040D5B">
      <w:pPr>
        <w:widowControl w:val="0"/>
        <w:snapToGrid w:val="0"/>
        <w:jc w:val="both"/>
        <w:rPr>
          <w:rFonts w:ascii="Arial Narrow" w:hAnsi="Arial Narrow" w:cs="Arial"/>
          <w:sz w:val="18"/>
          <w:szCs w:val="22"/>
          <w:lang w:eastAsia="en-US"/>
        </w:rPr>
      </w:pPr>
      <w:r w:rsidRPr="00F57AD5">
        <w:rPr>
          <w:rFonts w:ascii="Arial Narrow" w:hAnsi="Arial Narrow" w:cs="Arial"/>
          <w:sz w:val="18"/>
          <w:szCs w:val="22"/>
          <w:vertAlign w:val="superscript"/>
          <w:lang w:eastAsia="en-US"/>
        </w:rPr>
        <w:t xml:space="preserve">b  </w:t>
      </w:r>
      <w:r w:rsidRPr="00F57AD5">
        <w:rPr>
          <w:rFonts w:ascii="Arial Narrow" w:hAnsi="Arial Narrow" w:cs="Arial"/>
          <w:sz w:val="18"/>
          <w:szCs w:val="22"/>
          <w:lang w:eastAsia="en-US"/>
        </w:rPr>
        <w:t xml:space="preserve"> Note: in cells </w:t>
      </w:r>
      <w:r w:rsidR="009D04D1">
        <w:rPr>
          <w:b/>
          <w:sz w:val="20"/>
        </w:rPr>
        <w:t>$</w:t>
      </w:r>
      <w:r w:rsidR="009D04D1" w:rsidRPr="00EE57F4">
        <w:rPr>
          <w:b/>
          <w:sz w:val="20"/>
        </w:rPr>
        <w:t>redacted</w:t>
      </w:r>
      <w:r w:rsidR="009D04D1" w:rsidRPr="00F57AD5">
        <w:rPr>
          <w:rFonts w:ascii="Arial Narrow" w:hAnsi="Arial Narrow" w:cs="Arial"/>
          <w:sz w:val="18"/>
          <w:szCs w:val="22"/>
          <w:lang w:eastAsia="en-US"/>
        </w:rPr>
        <w:t xml:space="preserve"> </w:t>
      </w:r>
      <w:r w:rsidRPr="00F57AD5">
        <w:rPr>
          <w:rFonts w:ascii="Arial Narrow" w:hAnsi="Arial Narrow" w:cs="Arial"/>
          <w:sz w:val="18"/>
          <w:szCs w:val="22"/>
          <w:lang w:eastAsia="en-US"/>
        </w:rPr>
        <w:t xml:space="preserve">the cost of </w:t>
      </w:r>
      <w:r w:rsidR="009D04D1">
        <w:rPr>
          <w:b/>
          <w:sz w:val="20"/>
        </w:rPr>
        <w:t>$</w:t>
      </w:r>
      <w:r w:rsidR="009D04D1" w:rsidRPr="00EE57F4">
        <w:rPr>
          <w:b/>
          <w:sz w:val="20"/>
        </w:rPr>
        <w:t>redacted</w:t>
      </w:r>
      <w:r w:rsidR="009D04D1" w:rsidRPr="00F57AD5">
        <w:rPr>
          <w:rFonts w:ascii="Arial Narrow" w:hAnsi="Arial Narrow" w:cs="Arial"/>
          <w:sz w:val="18"/>
          <w:szCs w:val="22"/>
          <w:lang w:eastAsia="en-US"/>
        </w:rPr>
        <w:t xml:space="preserve"> </w:t>
      </w:r>
      <w:r w:rsidRPr="00F57AD5">
        <w:rPr>
          <w:rFonts w:ascii="Arial Narrow" w:hAnsi="Arial Narrow" w:cs="Arial"/>
          <w:sz w:val="18"/>
          <w:szCs w:val="22"/>
          <w:lang w:eastAsia="en-US"/>
        </w:rPr>
        <w:t xml:space="preserve">was applied to each cycle instead of </w:t>
      </w:r>
      <w:r w:rsidR="009D04D1">
        <w:rPr>
          <w:b/>
          <w:sz w:val="20"/>
        </w:rPr>
        <w:t>$</w:t>
      </w:r>
      <w:r w:rsidR="009D04D1" w:rsidRPr="00EE57F4">
        <w:rPr>
          <w:b/>
          <w:sz w:val="20"/>
        </w:rPr>
        <w:t>redacted</w:t>
      </w:r>
    </w:p>
    <w:p w14:paraId="69C06721" w14:textId="77777777" w:rsidR="00040D5B" w:rsidRPr="00F57AD5" w:rsidRDefault="00040D5B" w:rsidP="005D25EA">
      <w:pPr>
        <w:keepNext/>
        <w:keepLines/>
        <w:widowControl w:val="0"/>
        <w:snapToGrid w:val="0"/>
        <w:spacing w:after="240"/>
        <w:jc w:val="both"/>
        <w:rPr>
          <w:rFonts w:ascii="Arial Narrow" w:hAnsi="Arial Narrow" w:cs="Arial"/>
          <w:sz w:val="18"/>
          <w:szCs w:val="22"/>
          <w:lang w:eastAsia="en-US"/>
        </w:rPr>
      </w:pPr>
      <w:r w:rsidRPr="00F57AD5">
        <w:rPr>
          <w:rFonts w:ascii="Arial Narrow" w:hAnsi="Arial Narrow" w:cs="Arial"/>
          <w:sz w:val="18"/>
          <w:szCs w:val="22"/>
          <w:lang w:eastAsia="en-US"/>
        </w:rPr>
        <w:t>Source: Table D 22, p 144 of the ADAR</w:t>
      </w:r>
    </w:p>
    <w:p w14:paraId="15415A59" w14:textId="1D2235E7" w:rsidR="00040D5B" w:rsidRPr="00B02E35" w:rsidRDefault="00040D5B" w:rsidP="00040D5B">
      <w:pPr>
        <w:tabs>
          <w:tab w:val="left" w:pos="720"/>
          <w:tab w:val="left" w:pos="1140"/>
        </w:tabs>
        <w:rPr>
          <w:color w:val="0066FF"/>
          <w:szCs w:val="24"/>
        </w:rPr>
      </w:pPr>
      <w:r>
        <w:t xml:space="preserve">The </w:t>
      </w:r>
      <w:r w:rsidR="00DD7827">
        <w:t>Commentary</w:t>
      </w:r>
      <w:r>
        <w:t xml:space="preserve"> highlighted that t</w:t>
      </w:r>
      <w:r w:rsidRPr="005E537E">
        <w:t xml:space="preserve">he comparison of TAVI-BEV with TAVI-SEV assumed TAVI-SEV has the same efficacy and safety risks as SAVR but had the same index hospitalisation cost as TAVI-BEV. The </w:t>
      </w:r>
      <w:r w:rsidR="00DD7827">
        <w:t>Commentary</w:t>
      </w:r>
      <w:r w:rsidRPr="005E537E">
        <w:t xml:space="preserve"> considered that this assumption was not justified by the clinical evidence or appropriate.</w:t>
      </w:r>
    </w:p>
    <w:p w14:paraId="0733B764" w14:textId="77777777" w:rsidR="00BC1364" w:rsidRPr="00F715D1" w:rsidRDefault="00BC1364" w:rsidP="00F715D1">
      <w:pPr>
        <w:pStyle w:val="Heading1"/>
      </w:pPr>
      <w:r w:rsidRPr="00F715D1">
        <w:t>Financial/budgetary impacts</w:t>
      </w:r>
    </w:p>
    <w:p w14:paraId="12013A57" w14:textId="79F3D982" w:rsidR="00E40CBB" w:rsidRPr="0060464A" w:rsidRDefault="005D25EA">
      <w:r w:rsidRPr="003E1152">
        <w:t xml:space="preserve">The </w:t>
      </w:r>
      <w:r>
        <w:t>ADAR</w:t>
      </w:r>
      <w:r w:rsidRPr="003E1152">
        <w:t xml:space="preserve"> estimate</w:t>
      </w:r>
      <w:r>
        <w:t>d</w:t>
      </w:r>
      <w:r w:rsidRPr="003E1152">
        <w:t xml:space="preserve"> the financial implication</w:t>
      </w:r>
      <w:r>
        <w:t>s (Table 11)</w:t>
      </w:r>
      <w:r w:rsidRPr="003E1152">
        <w:t xml:space="preserve"> of the listing </w:t>
      </w:r>
      <w:r>
        <w:t>for TAVI-BEV</w:t>
      </w:r>
      <w:r w:rsidRPr="003E1152">
        <w:t xml:space="preserve"> in patients with symptomatic severe AS and at intermediate surgical risk</w:t>
      </w:r>
      <w:r>
        <w:t xml:space="preserve"> by estimating the number of SAVR procedures and the proportion of these that would be for the </w:t>
      </w:r>
      <w:r w:rsidRPr="003E1152">
        <w:t>intermediate surgical risk</w:t>
      </w:r>
      <w:r>
        <w:t xml:space="preserve"> population. </w:t>
      </w:r>
      <w:r w:rsidRPr="00701F7F">
        <w:t>The ADAR did not consider the financial implications associated with hospitalisation and prostheses costs for private patients.</w:t>
      </w:r>
      <w:r w:rsidRPr="001037D6">
        <w:t xml:space="preserve"> </w:t>
      </w:r>
      <w:r>
        <w:t>Consistent with the economic model</w:t>
      </w:r>
      <w:r w:rsidRPr="006618B7">
        <w:rPr>
          <w:iCs/>
        </w:rPr>
        <w:t>,</w:t>
      </w:r>
      <w:r>
        <w:rPr>
          <w:iCs/>
        </w:rPr>
        <w:t xml:space="preserve"> the </w:t>
      </w:r>
      <w:r w:rsidR="00DD7827">
        <w:rPr>
          <w:iCs/>
        </w:rPr>
        <w:t>Commentary</w:t>
      </w:r>
      <w:r>
        <w:rPr>
          <w:iCs/>
        </w:rPr>
        <w:t xml:space="preserve"> presented a </w:t>
      </w:r>
      <w:r w:rsidRPr="006618B7">
        <w:rPr>
          <w:iCs/>
        </w:rPr>
        <w:t xml:space="preserve">revised base case </w:t>
      </w:r>
      <w:r>
        <w:rPr>
          <w:iCs/>
        </w:rPr>
        <w:t>including these costs and the using the current benefit for</w:t>
      </w:r>
      <w:r w:rsidRPr="006618B7">
        <w:rPr>
          <w:iCs/>
        </w:rPr>
        <w:t xml:space="preserve"> TAVI-BEV prosthesis of $22,932 as per the July 2020 Prostheses list. A scenario analysis using the ADAR proposed price of </w:t>
      </w:r>
      <w:r w:rsidR="009D04D1" w:rsidRPr="009D04D1">
        <w:rPr>
          <w:b/>
          <w:iCs/>
        </w:rPr>
        <w:t>$redacted</w:t>
      </w:r>
      <w:r w:rsidR="009D04D1" w:rsidRPr="009D04D1">
        <w:rPr>
          <w:iCs/>
        </w:rPr>
        <w:t xml:space="preserve"> </w:t>
      </w:r>
      <w:r w:rsidRPr="006618B7">
        <w:rPr>
          <w:iCs/>
        </w:rPr>
        <w:t>is also presented</w:t>
      </w:r>
      <w:r>
        <w:rPr>
          <w:iCs/>
        </w:rPr>
        <w:t xml:space="preserve"> (see Table 13).</w:t>
      </w:r>
      <w:bookmarkStart w:id="8" w:name="_Ref51340158"/>
    </w:p>
    <w:p w14:paraId="21F022AF" w14:textId="3C94A313" w:rsidR="005D25EA" w:rsidRPr="00AC061E" w:rsidRDefault="005D25EA" w:rsidP="00AC061E">
      <w:pPr>
        <w:rPr>
          <w:rFonts w:ascii="Arial Narrow" w:hAnsi="Arial Narrow"/>
          <w:b/>
          <w:sz w:val="20"/>
        </w:rPr>
      </w:pPr>
      <w:r w:rsidRPr="00AC061E">
        <w:rPr>
          <w:rFonts w:ascii="Arial Narrow" w:hAnsi="Arial Narrow"/>
          <w:b/>
          <w:sz w:val="20"/>
        </w:rPr>
        <w:t xml:space="preserve">Table </w:t>
      </w:r>
      <w:bookmarkEnd w:id="8"/>
      <w:r w:rsidRPr="00AC061E">
        <w:rPr>
          <w:rFonts w:ascii="Arial Narrow" w:hAnsi="Arial Narrow"/>
          <w:b/>
          <w:sz w:val="20"/>
        </w:rPr>
        <w:t>13</w:t>
      </w:r>
      <w:r w:rsidR="00E40C30" w:rsidRPr="00AC061E">
        <w:rPr>
          <w:rFonts w:ascii="Arial Narrow" w:hAnsi="Arial Narrow"/>
          <w:b/>
          <w:sz w:val="20"/>
        </w:rPr>
        <w:tab/>
      </w:r>
      <w:r w:rsidR="00DD7827" w:rsidRPr="00AC061E">
        <w:rPr>
          <w:rFonts w:ascii="Arial Narrow" w:hAnsi="Arial Narrow"/>
          <w:b/>
          <w:sz w:val="20"/>
        </w:rPr>
        <w:t>Commentary</w:t>
      </w:r>
      <w:r w:rsidRPr="00AC061E">
        <w:rPr>
          <w:rFonts w:ascii="Arial Narrow" w:hAnsi="Arial Narrow"/>
          <w:b/>
          <w:sz w:val="20"/>
        </w:rPr>
        <w:t xml:space="preserve"> revised base case (inclusion of private hospital and prostheses cost ($22,932) on the PHI for private patients and scenario analysis with prosthesis costed at ADARs proposal (</w:t>
      </w:r>
      <w:r w:rsidR="00274B4B" w:rsidRPr="00AC061E">
        <w:rPr>
          <w:rFonts w:ascii="Arial Narrow" w:hAnsi="Arial Narrow"/>
          <w:b/>
          <w:sz w:val="20"/>
        </w:rPr>
        <w:t>$redacted</w:t>
      </w:r>
      <w:r w:rsidRPr="00AC061E">
        <w:rPr>
          <w:rFonts w:ascii="Arial Narrow" w:hAnsi="Arial Narrow"/>
          <w:b/>
          <w:sz w:val="20"/>
        </w:rPr>
        <w:t>)</w:t>
      </w:r>
    </w:p>
    <w:tbl>
      <w:tblPr>
        <w:tblW w:w="53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278"/>
        <w:gridCol w:w="1228"/>
        <w:gridCol w:w="1227"/>
        <w:gridCol w:w="1227"/>
        <w:gridCol w:w="1227"/>
        <w:gridCol w:w="1227"/>
        <w:gridCol w:w="1220"/>
      </w:tblGrid>
      <w:tr w:rsidR="005D25EA" w:rsidRPr="00FB1B5C" w14:paraId="1FAE34F5" w14:textId="77777777" w:rsidTr="00274B4B">
        <w:trPr>
          <w:trHeight w:val="12"/>
          <w:tblHeader/>
        </w:trPr>
        <w:tc>
          <w:tcPr>
            <w:tcW w:w="1182" w:type="pct"/>
            <w:tcBorders>
              <w:bottom w:val="single" w:sz="4" w:space="0" w:color="auto"/>
            </w:tcBorders>
            <w:shd w:val="clear" w:color="auto" w:fill="auto"/>
            <w:vAlign w:val="center"/>
          </w:tcPr>
          <w:p w14:paraId="146F4900" w14:textId="77777777" w:rsidR="005D25EA" w:rsidRPr="00FB1B5C" w:rsidRDefault="005D25EA" w:rsidP="004F31A4">
            <w:pPr>
              <w:rPr>
                <w:rFonts w:ascii="Arial Narrow" w:hAnsi="Arial Narrow" w:cs="Tahoma"/>
                <w:b/>
                <w:sz w:val="20"/>
              </w:rPr>
            </w:pPr>
            <w:bookmarkStart w:id="9" w:name="_GoBack" w:colFirst="0" w:colLast="7"/>
            <w:r w:rsidRPr="00FB1B5C">
              <w:rPr>
                <w:rFonts w:ascii="Arial Narrow" w:hAnsi="Arial Narrow" w:cs="Tahoma"/>
                <w:b/>
                <w:sz w:val="20"/>
              </w:rPr>
              <w:t>Parameter</w:t>
            </w:r>
          </w:p>
        </w:tc>
        <w:tc>
          <w:tcPr>
            <w:tcW w:w="637" w:type="pct"/>
            <w:tcBorders>
              <w:bottom w:val="single" w:sz="4" w:space="0" w:color="auto"/>
            </w:tcBorders>
            <w:shd w:val="clear" w:color="auto" w:fill="auto"/>
            <w:vAlign w:val="center"/>
          </w:tcPr>
          <w:p w14:paraId="0C504C09" w14:textId="77777777" w:rsidR="005D25EA" w:rsidRPr="00FB1B5C" w:rsidRDefault="005D25EA" w:rsidP="004F31A4">
            <w:pPr>
              <w:jc w:val="center"/>
              <w:rPr>
                <w:rFonts w:ascii="Arial Narrow" w:hAnsi="Arial Narrow" w:cs="Tahoma"/>
                <w:b/>
                <w:sz w:val="20"/>
              </w:rPr>
            </w:pPr>
            <w:r w:rsidRPr="00FB1B5C">
              <w:rPr>
                <w:rFonts w:ascii="Arial Narrow" w:hAnsi="Arial Narrow" w:cs="Tahoma"/>
                <w:b/>
                <w:bCs/>
                <w:color w:val="000000"/>
                <w:sz w:val="20"/>
              </w:rPr>
              <w:t>2021</w:t>
            </w:r>
          </w:p>
        </w:tc>
        <w:tc>
          <w:tcPr>
            <w:tcW w:w="637" w:type="pct"/>
            <w:tcBorders>
              <w:bottom w:val="single" w:sz="4" w:space="0" w:color="auto"/>
            </w:tcBorders>
            <w:shd w:val="clear" w:color="auto" w:fill="auto"/>
            <w:vAlign w:val="center"/>
          </w:tcPr>
          <w:p w14:paraId="7F81B03C" w14:textId="77777777" w:rsidR="005D25EA" w:rsidRPr="00FB1B5C" w:rsidRDefault="005D25EA" w:rsidP="004F31A4">
            <w:pPr>
              <w:jc w:val="center"/>
              <w:rPr>
                <w:rFonts w:ascii="Arial Narrow" w:hAnsi="Arial Narrow" w:cs="Tahoma"/>
                <w:b/>
                <w:sz w:val="20"/>
              </w:rPr>
            </w:pPr>
            <w:r w:rsidRPr="00FB1B5C">
              <w:rPr>
                <w:rFonts w:ascii="Arial Narrow" w:hAnsi="Arial Narrow" w:cs="Tahoma"/>
                <w:b/>
                <w:bCs/>
                <w:color w:val="000000"/>
                <w:sz w:val="20"/>
              </w:rPr>
              <w:t>2022</w:t>
            </w:r>
          </w:p>
        </w:tc>
        <w:tc>
          <w:tcPr>
            <w:tcW w:w="637" w:type="pct"/>
            <w:tcBorders>
              <w:bottom w:val="single" w:sz="4" w:space="0" w:color="auto"/>
            </w:tcBorders>
            <w:shd w:val="clear" w:color="auto" w:fill="auto"/>
            <w:vAlign w:val="center"/>
          </w:tcPr>
          <w:p w14:paraId="2D52EC21" w14:textId="77777777" w:rsidR="005D25EA" w:rsidRPr="00FB1B5C" w:rsidRDefault="005D25EA" w:rsidP="004F31A4">
            <w:pPr>
              <w:jc w:val="center"/>
              <w:rPr>
                <w:rFonts w:ascii="Arial Narrow" w:hAnsi="Arial Narrow" w:cs="Tahoma"/>
                <w:b/>
                <w:sz w:val="20"/>
              </w:rPr>
            </w:pPr>
            <w:r w:rsidRPr="00FB1B5C">
              <w:rPr>
                <w:rFonts w:ascii="Arial Narrow" w:hAnsi="Arial Narrow" w:cs="Tahoma"/>
                <w:b/>
                <w:bCs/>
                <w:color w:val="000000"/>
                <w:sz w:val="20"/>
              </w:rPr>
              <w:t>2023</w:t>
            </w:r>
          </w:p>
        </w:tc>
        <w:tc>
          <w:tcPr>
            <w:tcW w:w="637" w:type="pct"/>
            <w:tcBorders>
              <w:bottom w:val="single" w:sz="4" w:space="0" w:color="auto"/>
            </w:tcBorders>
            <w:shd w:val="clear" w:color="auto" w:fill="auto"/>
            <w:vAlign w:val="center"/>
          </w:tcPr>
          <w:p w14:paraId="61396B0E" w14:textId="77777777" w:rsidR="005D25EA" w:rsidRPr="00FB1B5C" w:rsidRDefault="005D25EA" w:rsidP="004F31A4">
            <w:pPr>
              <w:jc w:val="center"/>
              <w:rPr>
                <w:rFonts w:ascii="Arial Narrow" w:hAnsi="Arial Narrow" w:cs="Tahoma"/>
                <w:b/>
                <w:sz w:val="20"/>
              </w:rPr>
            </w:pPr>
            <w:r w:rsidRPr="00FB1B5C">
              <w:rPr>
                <w:rFonts w:ascii="Arial Narrow" w:hAnsi="Arial Narrow" w:cs="Tahoma"/>
                <w:b/>
                <w:bCs/>
                <w:sz w:val="20"/>
              </w:rPr>
              <w:t>2024</w:t>
            </w:r>
          </w:p>
        </w:tc>
        <w:tc>
          <w:tcPr>
            <w:tcW w:w="637" w:type="pct"/>
            <w:tcBorders>
              <w:bottom w:val="single" w:sz="4" w:space="0" w:color="auto"/>
            </w:tcBorders>
            <w:shd w:val="clear" w:color="auto" w:fill="auto"/>
            <w:vAlign w:val="center"/>
          </w:tcPr>
          <w:p w14:paraId="72CCD359" w14:textId="77777777" w:rsidR="005D25EA" w:rsidRPr="00FB1B5C" w:rsidRDefault="005D25EA" w:rsidP="004F31A4">
            <w:pPr>
              <w:jc w:val="center"/>
              <w:rPr>
                <w:rFonts w:ascii="Arial Narrow" w:hAnsi="Arial Narrow" w:cs="Tahoma"/>
                <w:b/>
                <w:sz w:val="20"/>
              </w:rPr>
            </w:pPr>
            <w:r w:rsidRPr="00FB1B5C">
              <w:rPr>
                <w:rFonts w:ascii="Arial Narrow" w:hAnsi="Arial Narrow" w:cs="Tahoma"/>
                <w:b/>
                <w:bCs/>
                <w:sz w:val="20"/>
              </w:rPr>
              <w:t>2025</w:t>
            </w:r>
          </w:p>
        </w:tc>
        <w:tc>
          <w:tcPr>
            <w:tcW w:w="633" w:type="pct"/>
            <w:tcBorders>
              <w:bottom w:val="single" w:sz="4" w:space="0" w:color="auto"/>
            </w:tcBorders>
            <w:vAlign w:val="center"/>
          </w:tcPr>
          <w:p w14:paraId="36D4E050" w14:textId="77777777" w:rsidR="005D25EA" w:rsidRPr="00FB1B5C" w:rsidRDefault="005D25EA" w:rsidP="004F31A4">
            <w:pPr>
              <w:jc w:val="center"/>
              <w:rPr>
                <w:rFonts w:ascii="Arial Narrow" w:hAnsi="Arial Narrow" w:cs="Tahoma"/>
                <w:b/>
                <w:bCs/>
                <w:sz w:val="20"/>
              </w:rPr>
            </w:pPr>
            <w:r w:rsidRPr="00FB1B5C">
              <w:rPr>
                <w:rFonts w:ascii="Arial Narrow" w:hAnsi="Arial Narrow" w:cs="Tahoma"/>
                <w:b/>
                <w:bCs/>
                <w:sz w:val="20"/>
              </w:rPr>
              <w:t>Total</w:t>
            </w:r>
          </w:p>
        </w:tc>
      </w:tr>
      <w:tr w:rsidR="005D25EA" w:rsidRPr="00FB1B5C" w14:paraId="1A587217" w14:textId="77777777" w:rsidTr="00106329">
        <w:trPr>
          <w:trHeight w:val="12"/>
        </w:trPr>
        <w:tc>
          <w:tcPr>
            <w:tcW w:w="5000" w:type="pct"/>
            <w:gridSpan w:val="7"/>
            <w:shd w:val="clear" w:color="auto" w:fill="auto"/>
            <w:vAlign w:val="center"/>
          </w:tcPr>
          <w:p w14:paraId="793250F3" w14:textId="77777777" w:rsidR="005D25EA" w:rsidRPr="00FB1B5C" w:rsidRDefault="005D25EA" w:rsidP="004F31A4">
            <w:pPr>
              <w:rPr>
                <w:rFonts w:ascii="Arial Narrow" w:hAnsi="Arial Narrow" w:cs="Tahoma"/>
                <w:sz w:val="20"/>
              </w:rPr>
            </w:pPr>
            <w:r w:rsidRPr="00FB1B5C">
              <w:rPr>
                <w:rFonts w:ascii="Arial Narrow" w:hAnsi="Arial Narrow" w:cs="Tahoma"/>
                <w:b/>
                <w:bCs/>
                <w:sz w:val="20"/>
              </w:rPr>
              <w:t>MBS</w:t>
            </w:r>
          </w:p>
        </w:tc>
      </w:tr>
      <w:tr w:rsidR="005D25EA" w:rsidRPr="00FB1B5C" w14:paraId="317C213D" w14:textId="77777777" w:rsidTr="00274B4B">
        <w:trPr>
          <w:trHeight w:val="12"/>
        </w:trPr>
        <w:tc>
          <w:tcPr>
            <w:tcW w:w="1182" w:type="pct"/>
            <w:shd w:val="clear" w:color="auto" w:fill="auto"/>
            <w:vAlign w:val="center"/>
          </w:tcPr>
          <w:p w14:paraId="4E1DA0EA" w14:textId="77777777" w:rsidR="005D25EA" w:rsidRPr="00FB1B5C" w:rsidRDefault="005D25EA" w:rsidP="004F31A4">
            <w:pPr>
              <w:rPr>
                <w:rFonts w:ascii="Arial Narrow" w:hAnsi="Arial Narrow" w:cs="Tahoma"/>
                <w:sz w:val="20"/>
              </w:rPr>
            </w:pPr>
            <w:r w:rsidRPr="00FB1B5C">
              <w:rPr>
                <w:rFonts w:ascii="Arial Narrow" w:hAnsi="Arial Narrow" w:cs="Tahoma"/>
                <w:sz w:val="20"/>
              </w:rPr>
              <w:t>Private patients (60.9%)</w:t>
            </w:r>
          </w:p>
        </w:tc>
        <w:tc>
          <w:tcPr>
            <w:tcW w:w="637" w:type="pct"/>
            <w:shd w:val="clear" w:color="auto" w:fill="auto"/>
            <w:vAlign w:val="center"/>
          </w:tcPr>
          <w:p w14:paraId="61B31290"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483</w:t>
            </w:r>
          </w:p>
        </w:tc>
        <w:tc>
          <w:tcPr>
            <w:tcW w:w="637" w:type="pct"/>
            <w:shd w:val="clear" w:color="auto" w:fill="auto"/>
            <w:vAlign w:val="center"/>
          </w:tcPr>
          <w:p w14:paraId="2DDC0B2F"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495</w:t>
            </w:r>
          </w:p>
        </w:tc>
        <w:tc>
          <w:tcPr>
            <w:tcW w:w="637" w:type="pct"/>
            <w:shd w:val="clear" w:color="auto" w:fill="auto"/>
            <w:vAlign w:val="center"/>
          </w:tcPr>
          <w:p w14:paraId="6DA5E0FD"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507</w:t>
            </w:r>
          </w:p>
        </w:tc>
        <w:tc>
          <w:tcPr>
            <w:tcW w:w="637" w:type="pct"/>
            <w:shd w:val="clear" w:color="auto" w:fill="auto"/>
            <w:vAlign w:val="center"/>
          </w:tcPr>
          <w:p w14:paraId="0FB53EBA"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519</w:t>
            </w:r>
          </w:p>
        </w:tc>
        <w:tc>
          <w:tcPr>
            <w:tcW w:w="637" w:type="pct"/>
            <w:shd w:val="clear" w:color="auto" w:fill="auto"/>
            <w:vAlign w:val="center"/>
          </w:tcPr>
          <w:p w14:paraId="37341FF1"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531</w:t>
            </w:r>
          </w:p>
        </w:tc>
        <w:tc>
          <w:tcPr>
            <w:tcW w:w="633" w:type="pct"/>
            <w:vAlign w:val="center"/>
          </w:tcPr>
          <w:p w14:paraId="65BA2722"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2,536</w:t>
            </w:r>
          </w:p>
        </w:tc>
      </w:tr>
      <w:tr w:rsidR="005D25EA" w:rsidRPr="00FB1B5C" w14:paraId="713E379A" w14:textId="77777777" w:rsidTr="00274B4B">
        <w:trPr>
          <w:trHeight w:val="12"/>
        </w:trPr>
        <w:tc>
          <w:tcPr>
            <w:tcW w:w="1182" w:type="pct"/>
            <w:shd w:val="clear" w:color="auto" w:fill="auto"/>
            <w:vAlign w:val="center"/>
          </w:tcPr>
          <w:p w14:paraId="0213EB7E" w14:textId="77777777" w:rsidR="005D25EA" w:rsidRPr="00FB1B5C" w:rsidRDefault="005D25EA" w:rsidP="004F31A4">
            <w:pPr>
              <w:rPr>
                <w:rFonts w:ascii="Arial Narrow" w:hAnsi="Arial Narrow" w:cs="Tahoma"/>
                <w:sz w:val="20"/>
              </w:rPr>
            </w:pPr>
            <w:r w:rsidRPr="00FB1B5C">
              <w:rPr>
                <w:rFonts w:ascii="Arial Narrow" w:hAnsi="Arial Narrow" w:cs="Tahoma"/>
                <w:sz w:val="20"/>
              </w:rPr>
              <w:t>Cost to the MBS due to listing TAVI-BEV (75% fee)</w:t>
            </w:r>
            <w:r w:rsidRPr="00FB1B5C">
              <w:rPr>
                <w:rFonts w:ascii="Arial Narrow" w:hAnsi="Arial Narrow" w:cs="Tahoma"/>
                <w:sz w:val="20"/>
                <w:vertAlign w:val="superscript"/>
              </w:rPr>
              <w:t xml:space="preserve"> a</w:t>
            </w:r>
          </w:p>
        </w:tc>
        <w:tc>
          <w:tcPr>
            <w:tcW w:w="637" w:type="pct"/>
            <w:shd w:val="clear" w:color="auto" w:fill="auto"/>
            <w:vAlign w:val="center"/>
          </w:tcPr>
          <w:p w14:paraId="513DFB71" w14:textId="5681B832" w:rsidR="005D25EA" w:rsidRPr="00274B4B" w:rsidRDefault="00274B4B" w:rsidP="004F31A4">
            <w:pPr>
              <w:jc w:val="center"/>
              <w:rPr>
                <w:rFonts w:ascii="Arial Narrow" w:hAnsi="Arial Narrow" w:cs="Tahoma"/>
                <w:b/>
                <w:sz w:val="20"/>
                <w:highlight w:val="yellow"/>
              </w:rPr>
            </w:pPr>
            <w:r w:rsidRPr="00274B4B">
              <w:rPr>
                <w:rFonts w:ascii="Arial Narrow" w:hAnsi="Arial Narrow" w:cs="Tahoma"/>
                <w:b/>
                <w:sz w:val="20"/>
              </w:rPr>
              <w:t>$redacted</w:t>
            </w:r>
          </w:p>
        </w:tc>
        <w:tc>
          <w:tcPr>
            <w:tcW w:w="637" w:type="pct"/>
            <w:shd w:val="clear" w:color="auto" w:fill="auto"/>
            <w:vAlign w:val="center"/>
          </w:tcPr>
          <w:p w14:paraId="51E40082" w14:textId="3EC7862C"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32F45FA2" w14:textId="0F05D3A4"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64058C9C" w14:textId="348C3A53"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43F036CE" w14:textId="21EAB29C"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3" w:type="pct"/>
            <w:vAlign w:val="center"/>
          </w:tcPr>
          <w:p w14:paraId="71735985" w14:textId="5C32550A"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r>
      <w:tr w:rsidR="005D25EA" w:rsidRPr="00FB1B5C" w14:paraId="6530BC59" w14:textId="77777777" w:rsidTr="00274B4B">
        <w:trPr>
          <w:trHeight w:val="12"/>
        </w:trPr>
        <w:tc>
          <w:tcPr>
            <w:tcW w:w="1182" w:type="pct"/>
            <w:shd w:val="clear" w:color="auto" w:fill="auto"/>
            <w:vAlign w:val="center"/>
          </w:tcPr>
          <w:p w14:paraId="7AE80B8C" w14:textId="77777777" w:rsidR="005D25EA" w:rsidRPr="00FB1B5C" w:rsidRDefault="005D25EA" w:rsidP="004F31A4">
            <w:pPr>
              <w:rPr>
                <w:rFonts w:ascii="Arial Narrow" w:hAnsi="Arial Narrow"/>
                <w:color w:val="000000"/>
                <w:sz w:val="20"/>
              </w:rPr>
            </w:pPr>
            <w:r w:rsidRPr="00FB1B5C">
              <w:rPr>
                <w:rFonts w:ascii="Arial Narrow" w:hAnsi="Arial Narrow" w:cs="Tahoma"/>
                <w:sz w:val="20"/>
              </w:rPr>
              <w:t xml:space="preserve">Cost-savings to the MBS due to listing TAVI- BEV (75% fee) </w:t>
            </w:r>
            <w:r w:rsidRPr="00FB1B5C">
              <w:rPr>
                <w:rFonts w:ascii="Arial Narrow" w:hAnsi="Arial Narrow" w:cs="Tahoma"/>
                <w:sz w:val="20"/>
                <w:vertAlign w:val="superscript"/>
              </w:rPr>
              <w:t>a</w:t>
            </w:r>
          </w:p>
        </w:tc>
        <w:tc>
          <w:tcPr>
            <w:tcW w:w="637" w:type="pct"/>
            <w:shd w:val="clear" w:color="auto" w:fill="auto"/>
            <w:vAlign w:val="center"/>
          </w:tcPr>
          <w:p w14:paraId="330FFCC3" w14:textId="7D4FD9A3"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076084E8" w14:textId="00D6667C"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1CD77760" w14:textId="462C85AF"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110B4F1B" w14:textId="59AC9BF4"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7" w:type="pct"/>
            <w:shd w:val="clear" w:color="auto" w:fill="auto"/>
            <w:vAlign w:val="center"/>
          </w:tcPr>
          <w:p w14:paraId="79E67F3E" w14:textId="201D5138"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c>
          <w:tcPr>
            <w:tcW w:w="633" w:type="pct"/>
            <w:vAlign w:val="center"/>
          </w:tcPr>
          <w:p w14:paraId="1AAC75D2" w14:textId="5D72BDD4" w:rsidR="005D25EA" w:rsidRPr="002C1EAC" w:rsidRDefault="00274B4B" w:rsidP="004F31A4">
            <w:pPr>
              <w:jc w:val="center"/>
              <w:rPr>
                <w:rFonts w:ascii="Arial Narrow" w:hAnsi="Arial Narrow" w:cs="Tahoma"/>
                <w:sz w:val="20"/>
                <w:highlight w:val="yellow"/>
              </w:rPr>
            </w:pPr>
            <w:r w:rsidRPr="00274B4B">
              <w:rPr>
                <w:rFonts w:ascii="Arial Narrow" w:hAnsi="Arial Narrow" w:cs="Tahoma"/>
                <w:b/>
                <w:sz w:val="20"/>
              </w:rPr>
              <w:t>$redacted</w:t>
            </w:r>
          </w:p>
        </w:tc>
      </w:tr>
      <w:tr w:rsidR="007A08D3" w:rsidRPr="00FB1B5C" w14:paraId="3B0B81A4" w14:textId="77777777" w:rsidTr="00DE0E87">
        <w:trPr>
          <w:trHeight w:val="285"/>
        </w:trPr>
        <w:tc>
          <w:tcPr>
            <w:tcW w:w="1182" w:type="pct"/>
            <w:shd w:val="clear" w:color="auto" w:fill="auto"/>
            <w:vAlign w:val="center"/>
          </w:tcPr>
          <w:p w14:paraId="19B691FA" w14:textId="77777777" w:rsidR="007A08D3" w:rsidRPr="00FB1B5C" w:rsidRDefault="007A08D3" w:rsidP="007A08D3">
            <w:pPr>
              <w:rPr>
                <w:rFonts w:ascii="Arial Narrow" w:hAnsi="Arial Narrow" w:cs="Tahoma"/>
                <w:b/>
                <w:bCs/>
                <w:sz w:val="20"/>
              </w:rPr>
            </w:pPr>
            <w:r w:rsidRPr="00FB1B5C">
              <w:rPr>
                <w:rFonts w:ascii="Arial Narrow" w:hAnsi="Arial Narrow" w:cs="Tahoma"/>
                <w:sz w:val="20"/>
              </w:rPr>
              <w:t>Net-cost to the MBS</w:t>
            </w:r>
          </w:p>
        </w:tc>
        <w:tc>
          <w:tcPr>
            <w:tcW w:w="637" w:type="pct"/>
            <w:shd w:val="clear" w:color="auto" w:fill="auto"/>
          </w:tcPr>
          <w:p w14:paraId="0C0AF007" w14:textId="3BB8FE58" w:rsidR="007A08D3" w:rsidRPr="002C1EAC" w:rsidRDefault="007A08D3" w:rsidP="007A08D3">
            <w:pPr>
              <w:jc w:val="center"/>
              <w:rPr>
                <w:rFonts w:ascii="Arial Narrow" w:hAnsi="Arial Narrow" w:cs="Tahoma"/>
                <w:sz w:val="20"/>
                <w:highlight w:val="yellow"/>
              </w:rPr>
            </w:pPr>
            <w:r w:rsidRPr="00984BEE">
              <w:rPr>
                <w:rFonts w:ascii="Arial Narrow" w:hAnsi="Arial Narrow" w:cs="Tahoma"/>
                <w:b/>
                <w:sz w:val="20"/>
              </w:rPr>
              <w:t>$redacted</w:t>
            </w:r>
          </w:p>
        </w:tc>
        <w:tc>
          <w:tcPr>
            <w:tcW w:w="637" w:type="pct"/>
            <w:shd w:val="clear" w:color="auto" w:fill="auto"/>
          </w:tcPr>
          <w:p w14:paraId="1AA6E59B" w14:textId="4BC7DDD8" w:rsidR="007A08D3" w:rsidRPr="002C1EAC" w:rsidRDefault="007A08D3" w:rsidP="007A08D3">
            <w:pPr>
              <w:jc w:val="center"/>
              <w:rPr>
                <w:rFonts w:ascii="Arial Narrow" w:hAnsi="Arial Narrow" w:cs="Tahoma"/>
                <w:sz w:val="20"/>
                <w:highlight w:val="yellow"/>
              </w:rPr>
            </w:pPr>
            <w:r w:rsidRPr="00984BEE">
              <w:rPr>
                <w:rFonts w:ascii="Arial Narrow" w:hAnsi="Arial Narrow" w:cs="Tahoma"/>
                <w:b/>
                <w:sz w:val="20"/>
              </w:rPr>
              <w:t>$redacted</w:t>
            </w:r>
          </w:p>
        </w:tc>
        <w:tc>
          <w:tcPr>
            <w:tcW w:w="637" w:type="pct"/>
            <w:shd w:val="clear" w:color="auto" w:fill="auto"/>
          </w:tcPr>
          <w:p w14:paraId="0FC33378" w14:textId="21E8A581" w:rsidR="007A08D3" w:rsidRPr="002C1EAC" w:rsidRDefault="007A08D3" w:rsidP="007A08D3">
            <w:pPr>
              <w:jc w:val="center"/>
              <w:rPr>
                <w:rFonts w:ascii="Arial Narrow" w:hAnsi="Arial Narrow" w:cs="Tahoma"/>
                <w:sz w:val="20"/>
                <w:highlight w:val="yellow"/>
              </w:rPr>
            </w:pPr>
            <w:r w:rsidRPr="00984BEE">
              <w:rPr>
                <w:rFonts w:ascii="Arial Narrow" w:hAnsi="Arial Narrow" w:cs="Tahoma"/>
                <w:b/>
                <w:sz w:val="20"/>
              </w:rPr>
              <w:t>$redacted</w:t>
            </w:r>
          </w:p>
        </w:tc>
        <w:tc>
          <w:tcPr>
            <w:tcW w:w="637" w:type="pct"/>
            <w:shd w:val="clear" w:color="auto" w:fill="auto"/>
          </w:tcPr>
          <w:p w14:paraId="4E9A32FF" w14:textId="33F429F1" w:rsidR="007A08D3" w:rsidRPr="002C1EAC" w:rsidRDefault="007A08D3" w:rsidP="007A08D3">
            <w:pPr>
              <w:jc w:val="center"/>
              <w:rPr>
                <w:rFonts w:ascii="Arial Narrow" w:hAnsi="Arial Narrow" w:cs="Tahoma"/>
                <w:sz w:val="20"/>
                <w:highlight w:val="yellow"/>
              </w:rPr>
            </w:pPr>
            <w:r w:rsidRPr="00984BEE">
              <w:rPr>
                <w:rFonts w:ascii="Arial Narrow" w:hAnsi="Arial Narrow" w:cs="Tahoma"/>
                <w:b/>
                <w:sz w:val="20"/>
              </w:rPr>
              <w:t>$redacted</w:t>
            </w:r>
          </w:p>
        </w:tc>
        <w:tc>
          <w:tcPr>
            <w:tcW w:w="637" w:type="pct"/>
            <w:shd w:val="clear" w:color="auto" w:fill="auto"/>
          </w:tcPr>
          <w:p w14:paraId="0CA34784" w14:textId="62F64C1B" w:rsidR="007A08D3" w:rsidRPr="002C1EAC" w:rsidRDefault="007A08D3" w:rsidP="007A08D3">
            <w:pPr>
              <w:jc w:val="center"/>
              <w:rPr>
                <w:rFonts w:ascii="Arial Narrow" w:hAnsi="Arial Narrow" w:cs="Tahoma"/>
                <w:sz w:val="20"/>
                <w:highlight w:val="yellow"/>
              </w:rPr>
            </w:pPr>
            <w:r w:rsidRPr="00984BEE">
              <w:rPr>
                <w:rFonts w:ascii="Arial Narrow" w:hAnsi="Arial Narrow" w:cs="Tahoma"/>
                <w:b/>
                <w:sz w:val="20"/>
              </w:rPr>
              <w:t>$redacted</w:t>
            </w:r>
          </w:p>
        </w:tc>
        <w:tc>
          <w:tcPr>
            <w:tcW w:w="633" w:type="pct"/>
          </w:tcPr>
          <w:p w14:paraId="6EFB557D" w14:textId="2FECCD2B" w:rsidR="007A08D3" w:rsidRPr="002C1EAC" w:rsidRDefault="007A08D3" w:rsidP="007A08D3">
            <w:pPr>
              <w:jc w:val="center"/>
              <w:rPr>
                <w:rFonts w:ascii="Arial Narrow" w:hAnsi="Arial Narrow" w:cs="Tahoma"/>
                <w:sz w:val="20"/>
                <w:highlight w:val="yellow"/>
              </w:rPr>
            </w:pPr>
            <w:r w:rsidRPr="00984BEE">
              <w:rPr>
                <w:rFonts w:ascii="Arial Narrow" w:hAnsi="Arial Narrow" w:cs="Tahoma"/>
                <w:b/>
                <w:sz w:val="20"/>
              </w:rPr>
              <w:t>$redacted</w:t>
            </w:r>
          </w:p>
        </w:tc>
      </w:tr>
      <w:tr w:rsidR="005D25EA" w:rsidRPr="00FB1B5C" w14:paraId="1BB36461" w14:textId="77777777" w:rsidTr="00106329">
        <w:trPr>
          <w:trHeight w:val="285"/>
        </w:trPr>
        <w:tc>
          <w:tcPr>
            <w:tcW w:w="5000" w:type="pct"/>
            <w:gridSpan w:val="7"/>
            <w:shd w:val="clear" w:color="auto" w:fill="auto"/>
            <w:vAlign w:val="center"/>
          </w:tcPr>
          <w:p w14:paraId="43793357" w14:textId="77777777" w:rsidR="005D25EA" w:rsidRPr="00FB1B5C" w:rsidRDefault="005D25EA" w:rsidP="004F31A4">
            <w:pPr>
              <w:rPr>
                <w:rFonts w:ascii="Arial Narrow" w:hAnsi="Arial Narrow" w:cs="Tahoma"/>
                <w:sz w:val="20"/>
              </w:rPr>
            </w:pPr>
            <w:r w:rsidRPr="00FB1B5C">
              <w:rPr>
                <w:rFonts w:ascii="Arial Narrow" w:hAnsi="Arial Narrow" w:cs="Tahoma"/>
                <w:b/>
                <w:bCs/>
                <w:sz w:val="20"/>
              </w:rPr>
              <w:t>State and territory government health budgets</w:t>
            </w:r>
          </w:p>
        </w:tc>
      </w:tr>
      <w:tr w:rsidR="005D25EA" w:rsidRPr="00FB1B5C" w14:paraId="55EE307F" w14:textId="77777777" w:rsidTr="00274B4B">
        <w:trPr>
          <w:trHeight w:val="12"/>
        </w:trPr>
        <w:tc>
          <w:tcPr>
            <w:tcW w:w="1182" w:type="pct"/>
            <w:shd w:val="clear" w:color="auto" w:fill="auto"/>
            <w:vAlign w:val="center"/>
          </w:tcPr>
          <w:p w14:paraId="4C1E9390" w14:textId="77777777" w:rsidR="005D25EA" w:rsidRPr="00FB1B5C" w:rsidRDefault="005D25EA" w:rsidP="004F31A4">
            <w:pPr>
              <w:rPr>
                <w:rFonts w:ascii="Arial Narrow" w:hAnsi="Arial Narrow" w:cs="Tahoma"/>
                <w:sz w:val="20"/>
              </w:rPr>
            </w:pPr>
            <w:r w:rsidRPr="00FB1B5C">
              <w:rPr>
                <w:rFonts w:ascii="Arial Narrow" w:hAnsi="Arial Narrow" w:cs="Tahoma"/>
                <w:sz w:val="20"/>
              </w:rPr>
              <w:t>Public patients (39.4%)</w:t>
            </w:r>
          </w:p>
        </w:tc>
        <w:tc>
          <w:tcPr>
            <w:tcW w:w="637" w:type="pct"/>
            <w:shd w:val="clear" w:color="auto" w:fill="auto"/>
            <w:vAlign w:val="center"/>
          </w:tcPr>
          <w:p w14:paraId="4C0FC93D"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310</w:t>
            </w:r>
          </w:p>
        </w:tc>
        <w:tc>
          <w:tcPr>
            <w:tcW w:w="637" w:type="pct"/>
            <w:shd w:val="clear" w:color="auto" w:fill="auto"/>
            <w:vAlign w:val="center"/>
          </w:tcPr>
          <w:p w14:paraId="14A7FF68"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318</w:t>
            </w:r>
          </w:p>
        </w:tc>
        <w:tc>
          <w:tcPr>
            <w:tcW w:w="637" w:type="pct"/>
            <w:shd w:val="clear" w:color="auto" w:fill="auto"/>
            <w:vAlign w:val="center"/>
          </w:tcPr>
          <w:p w14:paraId="0BFDEEE2"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326</w:t>
            </w:r>
          </w:p>
        </w:tc>
        <w:tc>
          <w:tcPr>
            <w:tcW w:w="637" w:type="pct"/>
            <w:shd w:val="clear" w:color="auto" w:fill="auto"/>
            <w:vAlign w:val="center"/>
          </w:tcPr>
          <w:p w14:paraId="27C20D20"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334</w:t>
            </w:r>
          </w:p>
        </w:tc>
        <w:tc>
          <w:tcPr>
            <w:tcW w:w="637" w:type="pct"/>
            <w:shd w:val="clear" w:color="auto" w:fill="auto"/>
            <w:vAlign w:val="center"/>
          </w:tcPr>
          <w:p w14:paraId="5A7E40DE"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342</w:t>
            </w:r>
          </w:p>
        </w:tc>
        <w:tc>
          <w:tcPr>
            <w:tcW w:w="633" w:type="pct"/>
            <w:vAlign w:val="center"/>
          </w:tcPr>
          <w:p w14:paraId="388B5FFD" w14:textId="77777777" w:rsidR="005D25EA" w:rsidRPr="00FB1B5C" w:rsidRDefault="005D25EA" w:rsidP="004F31A4">
            <w:pPr>
              <w:jc w:val="center"/>
              <w:rPr>
                <w:rFonts w:ascii="Arial Narrow" w:hAnsi="Arial Narrow" w:cs="Tahoma"/>
                <w:sz w:val="20"/>
              </w:rPr>
            </w:pPr>
            <w:r w:rsidRPr="00FB1B5C">
              <w:rPr>
                <w:rFonts w:ascii="Arial Narrow" w:hAnsi="Arial Narrow" w:cs="Tahoma"/>
                <w:sz w:val="20"/>
              </w:rPr>
              <w:t>1,630</w:t>
            </w:r>
          </w:p>
        </w:tc>
      </w:tr>
      <w:tr w:rsidR="00274B4B" w:rsidRPr="00FB1B5C" w14:paraId="1990A939" w14:textId="77777777" w:rsidTr="00274B4B">
        <w:trPr>
          <w:trHeight w:val="12"/>
        </w:trPr>
        <w:tc>
          <w:tcPr>
            <w:tcW w:w="1182" w:type="pct"/>
            <w:shd w:val="clear" w:color="auto" w:fill="auto"/>
            <w:vAlign w:val="center"/>
          </w:tcPr>
          <w:p w14:paraId="2DC74BD5" w14:textId="77777777" w:rsidR="00274B4B" w:rsidRPr="00FB1B5C" w:rsidRDefault="00274B4B" w:rsidP="00274B4B">
            <w:pPr>
              <w:rPr>
                <w:rFonts w:ascii="Arial Narrow" w:hAnsi="Arial Narrow" w:cs="Tahoma"/>
                <w:sz w:val="20"/>
              </w:rPr>
            </w:pPr>
            <w:r w:rsidRPr="00FB1B5C">
              <w:rPr>
                <w:rFonts w:ascii="Arial Narrow" w:hAnsi="Arial Narrow" w:cs="Tahoma"/>
                <w:sz w:val="20"/>
              </w:rPr>
              <w:t xml:space="preserve">Cost of treatment with TAVI-BEV </w:t>
            </w:r>
            <w:r w:rsidRPr="00FB1B5C">
              <w:rPr>
                <w:rFonts w:ascii="Arial Narrow" w:hAnsi="Arial Narrow" w:cs="Tahoma"/>
                <w:sz w:val="20"/>
                <w:vertAlign w:val="superscript"/>
              </w:rPr>
              <w:t>b</w:t>
            </w:r>
          </w:p>
        </w:tc>
        <w:tc>
          <w:tcPr>
            <w:tcW w:w="637" w:type="pct"/>
            <w:shd w:val="clear" w:color="auto" w:fill="auto"/>
            <w:vAlign w:val="center"/>
          </w:tcPr>
          <w:p w14:paraId="51B50019" w14:textId="313DD237" w:rsidR="00274B4B" w:rsidRPr="002C1EAC" w:rsidRDefault="00274B4B" w:rsidP="00274B4B">
            <w:pPr>
              <w:jc w:val="center"/>
              <w:rPr>
                <w:rFonts w:ascii="Arial Narrow" w:hAnsi="Arial Narrow" w:cs="Tahoma"/>
                <w:sz w:val="20"/>
                <w:highlight w:val="yellow"/>
              </w:rPr>
            </w:pPr>
            <w:r w:rsidRPr="00CE09F1">
              <w:rPr>
                <w:rFonts w:ascii="Arial Narrow" w:hAnsi="Arial Narrow" w:cs="Tahoma"/>
                <w:b/>
                <w:sz w:val="20"/>
              </w:rPr>
              <w:t>$redacted</w:t>
            </w:r>
          </w:p>
        </w:tc>
        <w:tc>
          <w:tcPr>
            <w:tcW w:w="637" w:type="pct"/>
            <w:shd w:val="clear" w:color="auto" w:fill="auto"/>
            <w:vAlign w:val="center"/>
          </w:tcPr>
          <w:p w14:paraId="27D19121" w14:textId="0BA32BB1" w:rsidR="00274B4B" w:rsidRPr="002C1EAC" w:rsidRDefault="00274B4B" w:rsidP="00274B4B">
            <w:pPr>
              <w:jc w:val="center"/>
              <w:rPr>
                <w:rFonts w:ascii="Arial Narrow" w:hAnsi="Arial Narrow" w:cs="Tahoma"/>
                <w:sz w:val="20"/>
                <w:highlight w:val="yellow"/>
              </w:rPr>
            </w:pPr>
            <w:r w:rsidRPr="00CE09F1">
              <w:rPr>
                <w:rFonts w:ascii="Arial Narrow" w:hAnsi="Arial Narrow" w:cs="Tahoma"/>
                <w:b/>
                <w:sz w:val="20"/>
              </w:rPr>
              <w:t>$redacted</w:t>
            </w:r>
          </w:p>
        </w:tc>
        <w:tc>
          <w:tcPr>
            <w:tcW w:w="637" w:type="pct"/>
            <w:shd w:val="clear" w:color="auto" w:fill="auto"/>
            <w:vAlign w:val="center"/>
          </w:tcPr>
          <w:p w14:paraId="2DB974DC" w14:textId="7C963B1D" w:rsidR="00274B4B" w:rsidRPr="002C1EAC" w:rsidRDefault="00274B4B" w:rsidP="00274B4B">
            <w:pPr>
              <w:jc w:val="center"/>
              <w:rPr>
                <w:rFonts w:ascii="Arial Narrow" w:hAnsi="Arial Narrow" w:cs="Tahoma"/>
                <w:sz w:val="20"/>
                <w:highlight w:val="yellow"/>
              </w:rPr>
            </w:pPr>
            <w:r w:rsidRPr="00CE09F1">
              <w:rPr>
                <w:rFonts w:ascii="Arial Narrow" w:hAnsi="Arial Narrow" w:cs="Tahoma"/>
                <w:b/>
                <w:sz w:val="20"/>
              </w:rPr>
              <w:t>$redacted</w:t>
            </w:r>
          </w:p>
        </w:tc>
        <w:tc>
          <w:tcPr>
            <w:tcW w:w="637" w:type="pct"/>
            <w:shd w:val="clear" w:color="auto" w:fill="auto"/>
            <w:vAlign w:val="center"/>
          </w:tcPr>
          <w:p w14:paraId="3EC4D58B" w14:textId="42548311" w:rsidR="00274B4B" w:rsidRPr="002C1EAC" w:rsidRDefault="00274B4B" w:rsidP="00274B4B">
            <w:pPr>
              <w:jc w:val="center"/>
              <w:rPr>
                <w:rFonts w:ascii="Arial Narrow" w:hAnsi="Arial Narrow" w:cs="Tahoma"/>
                <w:sz w:val="20"/>
                <w:highlight w:val="yellow"/>
              </w:rPr>
            </w:pPr>
            <w:r w:rsidRPr="00CE09F1">
              <w:rPr>
                <w:rFonts w:ascii="Arial Narrow" w:hAnsi="Arial Narrow" w:cs="Tahoma"/>
                <w:b/>
                <w:sz w:val="20"/>
              </w:rPr>
              <w:t>$redacted</w:t>
            </w:r>
          </w:p>
        </w:tc>
        <w:tc>
          <w:tcPr>
            <w:tcW w:w="637" w:type="pct"/>
            <w:shd w:val="clear" w:color="auto" w:fill="auto"/>
            <w:vAlign w:val="center"/>
          </w:tcPr>
          <w:p w14:paraId="20410320" w14:textId="6BF8955C" w:rsidR="00274B4B" w:rsidRPr="002C1EAC" w:rsidRDefault="00274B4B" w:rsidP="00274B4B">
            <w:pPr>
              <w:jc w:val="center"/>
              <w:rPr>
                <w:rFonts w:ascii="Arial Narrow" w:hAnsi="Arial Narrow" w:cs="Tahoma"/>
                <w:sz w:val="20"/>
                <w:highlight w:val="yellow"/>
              </w:rPr>
            </w:pPr>
            <w:r w:rsidRPr="00CE09F1">
              <w:rPr>
                <w:rFonts w:ascii="Arial Narrow" w:hAnsi="Arial Narrow" w:cs="Tahoma"/>
                <w:b/>
                <w:sz w:val="20"/>
              </w:rPr>
              <w:t>$redacted</w:t>
            </w:r>
          </w:p>
        </w:tc>
        <w:tc>
          <w:tcPr>
            <w:tcW w:w="633" w:type="pct"/>
            <w:vAlign w:val="center"/>
          </w:tcPr>
          <w:p w14:paraId="79219CFE" w14:textId="6290C891" w:rsidR="00274B4B" w:rsidRPr="002C1EAC" w:rsidRDefault="00274B4B" w:rsidP="00274B4B">
            <w:pPr>
              <w:jc w:val="center"/>
              <w:rPr>
                <w:rFonts w:ascii="Arial Narrow" w:hAnsi="Arial Narrow" w:cs="Tahoma"/>
                <w:sz w:val="20"/>
                <w:highlight w:val="yellow"/>
              </w:rPr>
            </w:pPr>
            <w:r w:rsidRPr="00CE09F1">
              <w:rPr>
                <w:rFonts w:ascii="Arial Narrow" w:hAnsi="Arial Narrow" w:cs="Tahoma"/>
                <w:b/>
                <w:sz w:val="20"/>
              </w:rPr>
              <w:t>$redacted</w:t>
            </w:r>
          </w:p>
        </w:tc>
      </w:tr>
      <w:tr w:rsidR="007A08D3" w:rsidRPr="00FB1B5C" w14:paraId="0E5EE4F5" w14:textId="77777777" w:rsidTr="007A08D3">
        <w:trPr>
          <w:trHeight w:val="12"/>
        </w:trPr>
        <w:tc>
          <w:tcPr>
            <w:tcW w:w="1182" w:type="pct"/>
            <w:shd w:val="clear" w:color="auto" w:fill="auto"/>
            <w:vAlign w:val="center"/>
          </w:tcPr>
          <w:p w14:paraId="5DB8A761" w14:textId="77777777" w:rsidR="007A08D3" w:rsidRPr="00FB1B5C" w:rsidRDefault="007A08D3" w:rsidP="007A08D3">
            <w:pPr>
              <w:rPr>
                <w:rFonts w:ascii="Arial Narrow" w:hAnsi="Arial Narrow"/>
                <w:color w:val="000000"/>
                <w:sz w:val="20"/>
              </w:rPr>
            </w:pPr>
            <w:r w:rsidRPr="00FB1B5C">
              <w:rPr>
                <w:rFonts w:ascii="Arial Narrow" w:hAnsi="Arial Narrow" w:cs="Tahoma"/>
                <w:sz w:val="20"/>
              </w:rPr>
              <w:t>Cost-savings due to TAVI-BEV (reduction in SAVR)</w:t>
            </w:r>
          </w:p>
        </w:tc>
        <w:tc>
          <w:tcPr>
            <w:tcW w:w="637" w:type="pct"/>
            <w:shd w:val="clear" w:color="auto" w:fill="auto"/>
            <w:vAlign w:val="center"/>
          </w:tcPr>
          <w:p w14:paraId="0FFA0C82" w14:textId="468EC269" w:rsidR="007A08D3" w:rsidRPr="002C1EAC" w:rsidRDefault="007A08D3" w:rsidP="007A08D3">
            <w:pPr>
              <w:jc w:val="center"/>
              <w:rPr>
                <w:rFonts w:ascii="Arial Narrow" w:hAnsi="Arial Narrow" w:cs="Tahoma"/>
                <w:sz w:val="20"/>
                <w:highlight w:val="yellow"/>
              </w:rPr>
            </w:pPr>
            <w:r w:rsidRPr="007861AD">
              <w:rPr>
                <w:rFonts w:ascii="Arial Narrow" w:hAnsi="Arial Narrow" w:cs="Tahoma"/>
                <w:b/>
                <w:sz w:val="20"/>
              </w:rPr>
              <w:t>$redacted</w:t>
            </w:r>
          </w:p>
        </w:tc>
        <w:tc>
          <w:tcPr>
            <w:tcW w:w="637" w:type="pct"/>
            <w:shd w:val="clear" w:color="auto" w:fill="auto"/>
            <w:vAlign w:val="center"/>
          </w:tcPr>
          <w:p w14:paraId="06BE89A8" w14:textId="3CFA3D19" w:rsidR="007A08D3" w:rsidRPr="002C1EAC" w:rsidRDefault="007A08D3" w:rsidP="007A08D3">
            <w:pPr>
              <w:jc w:val="center"/>
              <w:rPr>
                <w:rFonts w:ascii="Arial Narrow" w:hAnsi="Arial Narrow" w:cs="Tahoma"/>
                <w:sz w:val="20"/>
                <w:highlight w:val="yellow"/>
              </w:rPr>
            </w:pPr>
            <w:r w:rsidRPr="007861AD">
              <w:rPr>
                <w:rFonts w:ascii="Arial Narrow" w:hAnsi="Arial Narrow" w:cs="Tahoma"/>
                <w:b/>
                <w:sz w:val="20"/>
              </w:rPr>
              <w:t>$redacted</w:t>
            </w:r>
          </w:p>
        </w:tc>
        <w:tc>
          <w:tcPr>
            <w:tcW w:w="637" w:type="pct"/>
            <w:shd w:val="clear" w:color="auto" w:fill="auto"/>
            <w:vAlign w:val="center"/>
          </w:tcPr>
          <w:p w14:paraId="56B3AEDF" w14:textId="07DA5CF7" w:rsidR="007A08D3" w:rsidRPr="002C1EAC" w:rsidRDefault="007A08D3" w:rsidP="007A08D3">
            <w:pPr>
              <w:jc w:val="center"/>
              <w:rPr>
                <w:rFonts w:ascii="Arial Narrow" w:hAnsi="Arial Narrow" w:cs="Tahoma"/>
                <w:sz w:val="20"/>
                <w:highlight w:val="yellow"/>
              </w:rPr>
            </w:pPr>
            <w:r w:rsidRPr="007861AD">
              <w:rPr>
                <w:rFonts w:ascii="Arial Narrow" w:hAnsi="Arial Narrow" w:cs="Tahoma"/>
                <w:b/>
                <w:sz w:val="20"/>
              </w:rPr>
              <w:t>$redacted</w:t>
            </w:r>
          </w:p>
        </w:tc>
        <w:tc>
          <w:tcPr>
            <w:tcW w:w="637" w:type="pct"/>
            <w:shd w:val="clear" w:color="auto" w:fill="auto"/>
            <w:vAlign w:val="center"/>
          </w:tcPr>
          <w:p w14:paraId="46488DBC" w14:textId="602B4B41" w:rsidR="007A08D3" w:rsidRPr="002C1EAC" w:rsidRDefault="007A08D3" w:rsidP="007A08D3">
            <w:pPr>
              <w:jc w:val="center"/>
              <w:rPr>
                <w:rFonts w:ascii="Arial Narrow" w:hAnsi="Arial Narrow" w:cs="Tahoma"/>
                <w:sz w:val="20"/>
                <w:highlight w:val="yellow"/>
              </w:rPr>
            </w:pPr>
            <w:r w:rsidRPr="007861AD">
              <w:rPr>
                <w:rFonts w:ascii="Arial Narrow" w:hAnsi="Arial Narrow" w:cs="Tahoma"/>
                <w:b/>
                <w:sz w:val="20"/>
              </w:rPr>
              <w:t>$redacted</w:t>
            </w:r>
          </w:p>
        </w:tc>
        <w:tc>
          <w:tcPr>
            <w:tcW w:w="637" w:type="pct"/>
            <w:shd w:val="clear" w:color="auto" w:fill="auto"/>
            <w:vAlign w:val="center"/>
          </w:tcPr>
          <w:p w14:paraId="68722E46" w14:textId="3C4D5877" w:rsidR="007A08D3" w:rsidRPr="002C1EAC" w:rsidRDefault="007A08D3" w:rsidP="007A08D3">
            <w:pPr>
              <w:jc w:val="center"/>
              <w:rPr>
                <w:rFonts w:ascii="Arial Narrow" w:hAnsi="Arial Narrow" w:cs="Tahoma"/>
                <w:sz w:val="20"/>
                <w:highlight w:val="yellow"/>
              </w:rPr>
            </w:pPr>
            <w:r w:rsidRPr="007861AD">
              <w:rPr>
                <w:rFonts w:ascii="Arial Narrow" w:hAnsi="Arial Narrow" w:cs="Tahoma"/>
                <w:b/>
                <w:sz w:val="20"/>
              </w:rPr>
              <w:t>$redacted</w:t>
            </w:r>
          </w:p>
        </w:tc>
        <w:tc>
          <w:tcPr>
            <w:tcW w:w="633" w:type="pct"/>
            <w:vAlign w:val="center"/>
          </w:tcPr>
          <w:p w14:paraId="7F66307B" w14:textId="1D85335A" w:rsidR="007A08D3" w:rsidRPr="002C1EAC" w:rsidRDefault="007A08D3" w:rsidP="007A08D3">
            <w:pPr>
              <w:jc w:val="center"/>
              <w:rPr>
                <w:rFonts w:ascii="Arial Narrow" w:hAnsi="Arial Narrow" w:cs="Tahoma"/>
                <w:sz w:val="20"/>
                <w:highlight w:val="yellow"/>
              </w:rPr>
            </w:pPr>
            <w:r w:rsidRPr="007861AD">
              <w:rPr>
                <w:rFonts w:ascii="Arial Narrow" w:hAnsi="Arial Narrow" w:cs="Tahoma"/>
                <w:b/>
                <w:sz w:val="20"/>
              </w:rPr>
              <w:t>$redacted</w:t>
            </w:r>
          </w:p>
        </w:tc>
      </w:tr>
      <w:tr w:rsidR="007A08D3" w:rsidRPr="00FB1B5C" w14:paraId="33142ED0" w14:textId="77777777" w:rsidTr="007A08D3">
        <w:trPr>
          <w:trHeight w:val="59"/>
        </w:trPr>
        <w:tc>
          <w:tcPr>
            <w:tcW w:w="1182" w:type="pct"/>
            <w:shd w:val="clear" w:color="auto" w:fill="auto"/>
            <w:vAlign w:val="center"/>
          </w:tcPr>
          <w:p w14:paraId="698251A9" w14:textId="77777777" w:rsidR="007A08D3" w:rsidRPr="00FB1B5C" w:rsidRDefault="007A08D3" w:rsidP="007A08D3">
            <w:pPr>
              <w:rPr>
                <w:rFonts w:ascii="Arial Narrow" w:hAnsi="Arial Narrow" w:cs="Tahoma"/>
                <w:sz w:val="20"/>
              </w:rPr>
            </w:pPr>
            <w:r w:rsidRPr="00FB1B5C">
              <w:rPr>
                <w:rFonts w:ascii="Arial Narrow" w:hAnsi="Arial Narrow" w:cs="Tahoma"/>
                <w:sz w:val="20"/>
              </w:rPr>
              <w:t xml:space="preserve">Net cost to state and territory governments </w:t>
            </w:r>
          </w:p>
        </w:tc>
        <w:tc>
          <w:tcPr>
            <w:tcW w:w="637" w:type="pct"/>
            <w:shd w:val="clear" w:color="auto" w:fill="auto"/>
            <w:vAlign w:val="center"/>
          </w:tcPr>
          <w:p w14:paraId="4783A53F" w14:textId="51EF4CE3" w:rsidR="007A08D3" w:rsidRPr="002C1EAC" w:rsidRDefault="007A08D3" w:rsidP="007A08D3">
            <w:pPr>
              <w:jc w:val="center"/>
              <w:rPr>
                <w:rFonts w:ascii="Arial Narrow" w:hAnsi="Arial Narrow" w:cs="Tahoma"/>
                <w:sz w:val="20"/>
                <w:highlight w:val="yellow"/>
              </w:rPr>
            </w:pPr>
            <w:r w:rsidRPr="00DB7BE6">
              <w:rPr>
                <w:rFonts w:ascii="Arial Narrow" w:hAnsi="Arial Narrow" w:cs="Tahoma"/>
                <w:b/>
                <w:sz w:val="20"/>
              </w:rPr>
              <w:t>$redacted</w:t>
            </w:r>
          </w:p>
        </w:tc>
        <w:tc>
          <w:tcPr>
            <w:tcW w:w="637" w:type="pct"/>
            <w:shd w:val="clear" w:color="auto" w:fill="auto"/>
            <w:vAlign w:val="center"/>
          </w:tcPr>
          <w:p w14:paraId="20674E76" w14:textId="23821A7A" w:rsidR="007A08D3" w:rsidRPr="002C1EAC" w:rsidRDefault="007A08D3" w:rsidP="007A08D3">
            <w:pPr>
              <w:jc w:val="center"/>
              <w:rPr>
                <w:rFonts w:ascii="Arial Narrow" w:hAnsi="Arial Narrow" w:cs="Tahoma"/>
                <w:sz w:val="20"/>
                <w:highlight w:val="yellow"/>
              </w:rPr>
            </w:pPr>
            <w:r w:rsidRPr="00DB7BE6">
              <w:rPr>
                <w:rFonts w:ascii="Arial Narrow" w:hAnsi="Arial Narrow" w:cs="Tahoma"/>
                <w:b/>
                <w:sz w:val="20"/>
              </w:rPr>
              <w:t>$redacted</w:t>
            </w:r>
          </w:p>
        </w:tc>
        <w:tc>
          <w:tcPr>
            <w:tcW w:w="637" w:type="pct"/>
            <w:shd w:val="clear" w:color="auto" w:fill="auto"/>
            <w:vAlign w:val="center"/>
          </w:tcPr>
          <w:p w14:paraId="3639BFE9" w14:textId="6517E4FC" w:rsidR="007A08D3" w:rsidRPr="002C1EAC" w:rsidRDefault="007A08D3" w:rsidP="007A08D3">
            <w:pPr>
              <w:jc w:val="center"/>
              <w:rPr>
                <w:rFonts w:ascii="Arial Narrow" w:hAnsi="Arial Narrow" w:cs="Tahoma"/>
                <w:sz w:val="20"/>
                <w:highlight w:val="yellow"/>
              </w:rPr>
            </w:pPr>
            <w:r w:rsidRPr="00DB7BE6">
              <w:rPr>
                <w:rFonts w:ascii="Arial Narrow" w:hAnsi="Arial Narrow" w:cs="Tahoma"/>
                <w:b/>
                <w:sz w:val="20"/>
              </w:rPr>
              <w:t>$redacted</w:t>
            </w:r>
          </w:p>
        </w:tc>
        <w:tc>
          <w:tcPr>
            <w:tcW w:w="637" w:type="pct"/>
            <w:shd w:val="clear" w:color="auto" w:fill="auto"/>
            <w:vAlign w:val="center"/>
          </w:tcPr>
          <w:p w14:paraId="60842C94" w14:textId="202A65E5" w:rsidR="007A08D3" w:rsidRPr="002C1EAC" w:rsidRDefault="007A08D3" w:rsidP="007A08D3">
            <w:pPr>
              <w:jc w:val="center"/>
              <w:rPr>
                <w:rFonts w:ascii="Arial Narrow" w:hAnsi="Arial Narrow" w:cs="Tahoma"/>
                <w:sz w:val="20"/>
                <w:highlight w:val="yellow"/>
              </w:rPr>
            </w:pPr>
            <w:r w:rsidRPr="00DB7BE6">
              <w:rPr>
                <w:rFonts w:ascii="Arial Narrow" w:hAnsi="Arial Narrow" w:cs="Tahoma"/>
                <w:b/>
                <w:sz w:val="20"/>
              </w:rPr>
              <w:t>$redacted</w:t>
            </w:r>
          </w:p>
        </w:tc>
        <w:tc>
          <w:tcPr>
            <w:tcW w:w="637" w:type="pct"/>
            <w:shd w:val="clear" w:color="auto" w:fill="auto"/>
            <w:vAlign w:val="center"/>
          </w:tcPr>
          <w:p w14:paraId="49AF08ED" w14:textId="62F181A6" w:rsidR="007A08D3" w:rsidRPr="002C1EAC" w:rsidRDefault="007A08D3" w:rsidP="007A08D3">
            <w:pPr>
              <w:jc w:val="center"/>
              <w:rPr>
                <w:rFonts w:ascii="Arial Narrow" w:hAnsi="Arial Narrow" w:cs="Tahoma"/>
                <w:sz w:val="20"/>
                <w:highlight w:val="yellow"/>
              </w:rPr>
            </w:pPr>
            <w:r w:rsidRPr="00DB7BE6">
              <w:rPr>
                <w:rFonts w:ascii="Arial Narrow" w:hAnsi="Arial Narrow" w:cs="Tahoma"/>
                <w:b/>
                <w:sz w:val="20"/>
              </w:rPr>
              <w:t>$redacted</w:t>
            </w:r>
          </w:p>
        </w:tc>
        <w:tc>
          <w:tcPr>
            <w:tcW w:w="633" w:type="pct"/>
            <w:vAlign w:val="center"/>
          </w:tcPr>
          <w:p w14:paraId="5AF639CC" w14:textId="4D356CFE" w:rsidR="007A08D3" w:rsidRPr="002C1EAC" w:rsidRDefault="007A08D3" w:rsidP="007A08D3">
            <w:pPr>
              <w:jc w:val="center"/>
              <w:rPr>
                <w:rFonts w:ascii="Arial Narrow" w:hAnsi="Arial Narrow" w:cs="Tahoma"/>
                <w:sz w:val="20"/>
                <w:highlight w:val="yellow"/>
              </w:rPr>
            </w:pPr>
            <w:r w:rsidRPr="00DB7BE6">
              <w:rPr>
                <w:rFonts w:ascii="Arial Narrow" w:hAnsi="Arial Narrow" w:cs="Tahoma"/>
                <w:b/>
                <w:sz w:val="20"/>
              </w:rPr>
              <w:t>$redacted</w:t>
            </w:r>
          </w:p>
        </w:tc>
      </w:tr>
      <w:tr w:rsidR="005D25EA" w:rsidRPr="00FB1B5C" w14:paraId="52255870" w14:textId="77777777" w:rsidTr="00106329">
        <w:trPr>
          <w:trHeight w:val="59"/>
        </w:trPr>
        <w:tc>
          <w:tcPr>
            <w:tcW w:w="5000" w:type="pct"/>
            <w:gridSpan w:val="7"/>
            <w:shd w:val="clear" w:color="auto" w:fill="auto"/>
            <w:vAlign w:val="center"/>
          </w:tcPr>
          <w:p w14:paraId="2854A407" w14:textId="77777777" w:rsidR="005D25EA" w:rsidRPr="00FB1B5C" w:rsidRDefault="005D25EA" w:rsidP="004F31A4">
            <w:pPr>
              <w:rPr>
                <w:rFonts w:ascii="Arial Narrow" w:hAnsi="Arial Narrow" w:cs="Tahoma"/>
                <w:b/>
                <w:bCs/>
                <w:sz w:val="20"/>
              </w:rPr>
            </w:pPr>
            <w:r w:rsidRPr="00FB1B5C">
              <w:rPr>
                <w:rFonts w:ascii="Arial Narrow" w:hAnsi="Arial Narrow" w:cs="Tahoma"/>
                <w:b/>
                <w:bCs/>
                <w:sz w:val="20"/>
              </w:rPr>
              <w:t>Australian government</w:t>
            </w:r>
          </w:p>
        </w:tc>
      </w:tr>
      <w:tr w:rsidR="007A08D3" w:rsidRPr="00FB1B5C" w14:paraId="048EC9A5" w14:textId="77777777" w:rsidTr="007A08D3">
        <w:trPr>
          <w:trHeight w:val="12"/>
        </w:trPr>
        <w:tc>
          <w:tcPr>
            <w:tcW w:w="1182" w:type="pct"/>
            <w:shd w:val="clear" w:color="auto" w:fill="auto"/>
            <w:vAlign w:val="center"/>
          </w:tcPr>
          <w:p w14:paraId="7DBEADDB" w14:textId="77777777" w:rsidR="007A08D3" w:rsidRPr="00FB1B5C" w:rsidRDefault="007A08D3" w:rsidP="007A08D3">
            <w:pPr>
              <w:rPr>
                <w:rFonts w:ascii="Arial Narrow" w:hAnsi="Arial Narrow" w:cs="Tahoma"/>
                <w:sz w:val="20"/>
              </w:rPr>
            </w:pPr>
            <w:r w:rsidRPr="00FB1B5C">
              <w:rPr>
                <w:rFonts w:ascii="Arial Narrow" w:hAnsi="Arial Narrow" w:cs="Tahoma"/>
                <w:sz w:val="20"/>
              </w:rPr>
              <w:t>Net-cost to the Australian government</w:t>
            </w:r>
          </w:p>
        </w:tc>
        <w:tc>
          <w:tcPr>
            <w:tcW w:w="637" w:type="pct"/>
            <w:shd w:val="clear" w:color="auto" w:fill="auto"/>
            <w:vAlign w:val="center"/>
          </w:tcPr>
          <w:p w14:paraId="17209D5A" w14:textId="64C51723" w:rsidR="007A08D3" w:rsidRPr="002C1EAC" w:rsidRDefault="007A08D3" w:rsidP="007A08D3">
            <w:pPr>
              <w:jc w:val="center"/>
              <w:rPr>
                <w:rFonts w:ascii="Arial Narrow" w:hAnsi="Arial Narrow" w:cs="Tahoma"/>
                <w:sz w:val="20"/>
                <w:highlight w:val="yellow"/>
              </w:rPr>
            </w:pPr>
            <w:r w:rsidRPr="005254FB">
              <w:rPr>
                <w:rFonts w:ascii="Arial Narrow" w:hAnsi="Arial Narrow" w:cs="Tahoma"/>
                <w:b/>
                <w:sz w:val="20"/>
              </w:rPr>
              <w:t>$redacted</w:t>
            </w:r>
          </w:p>
        </w:tc>
        <w:tc>
          <w:tcPr>
            <w:tcW w:w="637" w:type="pct"/>
            <w:shd w:val="clear" w:color="auto" w:fill="auto"/>
            <w:vAlign w:val="center"/>
          </w:tcPr>
          <w:p w14:paraId="594143A9" w14:textId="6CEFFE5F" w:rsidR="007A08D3" w:rsidRPr="002C1EAC" w:rsidRDefault="007A08D3" w:rsidP="007A08D3">
            <w:pPr>
              <w:jc w:val="center"/>
              <w:rPr>
                <w:rFonts w:ascii="Arial Narrow" w:hAnsi="Arial Narrow" w:cs="Tahoma"/>
                <w:sz w:val="20"/>
                <w:highlight w:val="yellow"/>
              </w:rPr>
            </w:pPr>
            <w:r w:rsidRPr="005254FB">
              <w:rPr>
                <w:rFonts w:ascii="Arial Narrow" w:hAnsi="Arial Narrow" w:cs="Tahoma"/>
                <w:b/>
                <w:sz w:val="20"/>
              </w:rPr>
              <w:t>$redacted</w:t>
            </w:r>
          </w:p>
        </w:tc>
        <w:tc>
          <w:tcPr>
            <w:tcW w:w="637" w:type="pct"/>
            <w:shd w:val="clear" w:color="auto" w:fill="auto"/>
            <w:vAlign w:val="center"/>
          </w:tcPr>
          <w:p w14:paraId="37CD8C8D" w14:textId="37038293" w:rsidR="007A08D3" w:rsidRPr="002C1EAC" w:rsidRDefault="007A08D3" w:rsidP="007A08D3">
            <w:pPr>
              <w:jc w:val="center"/>
              <w:rPr>
                <w:rFonts w:ascii="Arial Narrow" w:hAnsi="Arial Narrow" w:cs="Tahoma"/>
                <w:sz w:val="20"/>
                <w:highlight w:val="yellow"/>
              </w:rPr>
            </w:pPr>
            <w:r w:rsidRPr="005254FB">
              <w:rPr>
                <w:rFonts w:ascii="Arial Narrow" w:hAnsi="Arial Narrow" w:cs="Tahoma"/>
                <w:b/>
                <w:sz w:val="20"/>
              </w:rPr>
              <w:t>$redacted</w:t>
            </w:r>
          </w:p>
        </w:tc>
        <w:tc>
          <w:tcPr>
            <w:tcW w:w="637" w:type="pct"/>
            <w:shd w:val="clear" w:color="auto" w:fill="auto"/>
            <w:vAlign w:val="center"/>
          </w:tcPr>
          <w:p w14:paraId="6395D51D" w14:textId="69871AD7" w:rsidR="007A08D3" w:rsidRPr="002C1EAC" w:rsidRDefault="007A08D3" w:rsidP="007A08D3">
            <w:pPr>
              <w:jc w:val="center"/>
              <w:rPr>
                <w:rFonts w:ascii="Arial Narrow" w:hAnsi="Arial Narrow" w:cs="Tahoma"/>
                <w:sz w:val="20"/>
                <w:highlight w:val="yellow"/>
              </w:rPr>
            </w:pPr>
            <w:r w:rsidRPr="005254FB">
              <w:rPr>
                <w:rFonts w:ascii="Arial Narrow" w:hAnsi="Arial Narrow" w:cs="Tahoma"/>
                <w:b/>
                <w:sz w:val="20"/>
              </w:rPr>
              <w:t>$redacted</w:t>
            </w:r>
          </w:p>
        </w:tc>
        <w:tc>
          <w:tcPr>
            <w:tcW w:w="637" w:type="pct"/>
            <w:shd w:val="clear" w:color="auto" w:fill="auto"/>
            <w:vAlign w:val="center"/>
          </w:tcPr>
          <w:p w14:paraId="061D95DA" w14:textId="30074B47" w:rsidR="007A08D3" w:rsidRPr="002C1EAC" w:rsidRDefault="007A08D3" w:rsidP="007A08D3">
            <w:pPr>
              <w:jc w:val="center"/>
              <w:rPr>
                <w:rFonts w:ascii="Arial Narrow" w:hAnsi="Arial Narrow" w:cs="Tahoma"/>
                <w:sz w:val="20"/>
                <w:highlight w:val="yellow"/>
              </w:rPr>
            </w:pPr>
            <w:r w:rsidRPr="005254FB">
              <w:rPr>
                <w:rFonts w:ascii="Arial Narrow" w:hAnsi="Arial Narrow" w:cs="Tahoma"/>
                <w:b/>
                <w:sz w:val="20"/>
              </w:rPr>
              <w:t>$redacted</w:t>
            </w:r>
          </w:p>
        </w:tc>
        <w:tc>
          <w:tcPr>
            <w:tcW w:w="633" w:type="pct"/>
            <w:vAlign w:val="center"/>
          </w:tcPr>
          <w:p w14:paraId="380A7748" w14:textId="7AD8F597" w:rsidR="007A08D3" w:rsidRPr="002C1EAC" w:rsidRDefault="007A08D3" w:rsidP="007A08D3">
            <w:pPr>
              <w:jc w:val="center"/>
              <w:rPr>
                <w:rFonts w:ascii="Arial Narrow" w:hAnsi="Arial Narrow" w:cs="Tahoma"/>
                <w:sz w:val="20"/>
                <w:highlight w:val="yellow"/>
              </w:rPr>
            </w:pPr>
            <w:r w:rsidRPr="005254FB">
              <w:rPr>
                <w:rFonts w:ascii="Arial Narrow" w:hAnsi="Arial Narrow" w:cs="Tahoma"/>
                <w:b/>
                <w:sz w:val="20"/>
              </w:rPr>
              <w:t>$redacted</w:t>
            </w:r>
          </w:p>
        </w:tc>
      </w:tr>
      <w:tr w:rsidR="007A08D3" w:rsidRPr="00FB1B5C" w14:paraId="26E82DC9" w14:textId="77777777" w:rsidTr="007A08D3">
        <w:trPr>
          <w:trHeight w:val="12"/>
        </w:trPr>
        <w:tc>
          <w:tcPr>
            <w:tcW w:w="1182" w:type="pct"/>
            <w:shd w:val="clear" w:color="auto" w:fill="auto"/>
            <w:vAlign w:val="center"/>
          </w:tcPr>
          <w:p w14:paraId="74DA732A" w14:textId="01C52DF8" w:rsidR="007A08D3" w:rsidRPr="00FB1B5C" w:rsidRDefault="007A08D3" w:rsidP="007A08D3">
            <w:pPr>
              <w:rPr>
                <w:rFonts w:ascii="Arial Narrow" w:hAnsi="Arial Narrow" w:cs="Tahoma"/>
                <w:sz w:val="20"/>
              </w:rPr>
            </w:pPr>
            <w:r w:rsidRPr="00FB1B5C">
              <w:rPr>
                <w:rFonts w:ascii="Arial Narrow" w:hAnsi="Arial Narrow" w:cs="Tahoma"/>
                <w:sz w:val="20"/>
              </w:rPr>
              <w:t xml:space="preserve">Net cost using the ADAR’s proposed prosthesis cost of </w:t>
            </w:r>
            <w:r w:rsidRPr="00C13828">
              <w:rPr>
                <w:rFonts w:ascii="Arial Narrow" w:hAnsi="Arial Narrow" w:cs="Tahoma"/>
                <w:b/>
                <w:sz w:val="20"/>
              </w:rPr>
              <w:t>$redacted</w:t>
            </w:r>
            <w:r w:rsidRPr="00FB1B5C">
              <w:rPr>
                <w:rFonts w:ascii="Arial Narrow" w:hAnsi="Arial Narrow" w:cs="Tahoma"/>
                <w:sz w:val="20"/>
              </w:rPr>
              <w:t xml:space="preserve"> (scenario 1)</w:t>
            </w:r>
          </w:p>
        </w:tc>
        <w:tc>
          <w:tcPr>
            <w:tcW w:w="637" w:type="pct"/>
            <w:shd w:val="clear" w:color="auto" w:fill="auto"/>
            <w:vAlign w:val="center"/>
          </w:tcPr>
          <w:p w14:paraId="7B81033F" w14:textId="193E568C" w:rsidR="007A08D3" w:rsidRPr="002C1EAC" w:rsidRDefault="007A08D3" w:rsidP="007A08D3">
            <w:pPr>
              <w:jc w:val="center"/>
              <w:rPr>
                <w:rFonts w:ascii="Arial Narrow" w:hAnsi="Arial Narrow" w:cs="Tahoma"/>
                <w:sz w:val="20"/>
                <w:highlight w:val="yellow"/>
              </w:rPr>
            </w:pPr>
            <w:r w:rsidRPr="005613A6">
              <w:rPr>
                <w:rFonts w:ascii="Arial Narrow" w:hAnsi="Arial Narrow" w:cs="Tahoma"/>
                <w:b/>
                <w:sz w:val="20"/>
              </w:rPr>
              <w:t>$redacted</w:t>
            </w:r>
          </w:p>
        </w:tc>
        <w:tc>
          <w:tcPr>
            <w:tcW w:w="637" w:type="pct"/>
            <w:shd w:val="clear" w:color="auto" w:fill="auto"/>
            <w:vAlign w:val="center"/>
          </w:tcPr>
          <w:p w14:paraId="1F6684CB" w14:textId="7A932EA4" w:rsidR="007A08D3" w:rsidRPr="002C1EAC" w:rsidRDefault="007A08D3" w:rsidP="007A08D3">
            <w:pPr>
              <w:jc w:val="center"/>
              <w:rPr>
                <w:rFonts w:ascii="Arial Narrow" w:hAnsi="Arial Narrow" w:cs="Tahoma"/>
                <w:sz w:val="20"/>
                <w:highlight w:val="yellow"/>
              </w:rPr>
            </w:pPr>
            <w:r w:rsidRPr="005613A6">
              <w:rPr>
                <w:rFonts w:ascii="Arial Narrow" w:hAnsi="Arial Narrow" w:cs="Tahoma"/>
                <w:b/>
                <w:sz w:val="20"/>
              </w:rPr>
              <w:t>$redacted</w:t>
            </w:r>
          </w:p>
        </w:tc>
        <w:tc>
          <w:tcPr>
            <w:tcW w:w="637" w:type="pct"/>
            <w:shd w:val="clear" w:color="auto" w:fill="auto"/>
            <w:vAlign w:val="center"/>
          </w:tcPr>
          <w:p w14:paraId="3B0131CB" w14:textId="41680F2A" w:rsidR="007A08D3" w:rsidRPr="002C1EAC" w:rsidRDefault="007A08D3" w:rsidP="007A08D3">
            <w:pPr>
              <w:jc w:val="center"/>
              <w:rPr>
                <w:rFonts w:ascii="Arial Narrow" w:hAnsi="Arial Narrow" w:cs="Tahoma"/>
                <w:sz w:val="20"/>
                <w:highlight w:val="yellow"/>
              </w:rPr>
            </w:pPr>
            <w:r w:rsidRPr="005613A6">
              <w:rPr>
                <w:rFonts w:ascii="Arial Narrow" w:hAnsi="Arial Narrow" w:cs="Tahoma"/>
                <w:b/>
                <w:sz w:val="20"/>
              </w:rPr>
              <w:t>$redacted</w:t>
            </w:r>
          </w:p>
        </w:tc>
        <w:tc>
          <w:tcPr>
            <w:tcW w:w="637" w:type="pct"/>
            <w:shd w:val="clear" w:color="auto" w:fill="auto"/>
            <w:vAlign w:val="center"/>
          </w:tcPr>
          <w:p w14:paraId="37E00E9D" w14:textId="2566DE7C" w:rsidR="007A08D3" w:rsidRPr="002C1EAC" w:rsidRDefault="007A08D3" w:rsidP="007A08D3">
            <w:pPr>
              <w:jc w:val="center"/>
              <w:rPr>
                <w:rFonts w:ascii="Arial Narrow" w:hAnsi="Arial Narrow" w:cs="Tahoma"/>
                <w:sz w:val="20"/>
                <w:highlight w:val="yellow"/>
              </w:rPr>
            </w:pPr>
            <w:r w:rsidRPr="005613A6">
              <w:rPr>
                <w:rFonts w:ascii="Arial Narrow" w:hAnsi="Arial Narrow" w:cs="Tahoma"/>
                <w:b/>
                <w:sz w:val="20"/>
              </w:rPr>
              <w:t>$redacted</w:t>
            </w:r>
          </w:p>
        </w:tc>
        <w:tc>
          <w:tcPr>
            <w:tcW w:w="637" w:type="pct"/>
            <w:shd w:val="clear" w:color="auto" w:fill="auto"/>
            <w:vAlign w:val="center"/>
          </w:tcPr>
          <w:p w14:paraId="299D7D05" w14:textId="0C0C1A07" w:rsidR="007A08D3" w:rsidRPr="002C1EAC" w:rsidRDefault="007A08D3" w:rsidP="007A08D3">
            <w:pPr>
              <w:jc w:val="center"/>
              <w:rPr>
                <w:rFonts w:ascii="Arial Narrow" w:hAnsi="Arial Narrow" w:cs="Tahoma"/>
                <w:sz w:val="20"/>
                <w:highlight w:val="yellow"/>
              </w:rPr>
            </w:pPr>
            <w:r w:rsidRPr="005613A6">
              <w:rPr>
                <w:rFonts w:ascii="Arial Narrow" w:hAnsi="Arial Narrow" w:cs="Tahoma"/>
                <w:b/>
                <w:sz w:val="20"/>
              </w:rPr>
              <w:t>$redacted</w:t>
            </w:r>
          </w:p>
        </w:tc>
        <w:tc>
          <w:tcPr>
            <w:tcW w:w="633" w:type="pct"/>
            <w:vAlign w:val="center"/>
          </w:tcPr>
          <w:p w14:paraId="19D1F672" w14:textId="448F37DE" w:rsidR="007A08D3" w:rsidRPr="002C1EAC" w:rsidRDefault="007A08D3" w:rsidP="007A08D3">
            <w:pPr>
              <w:jc w:val="center"/>
              <w:rPr>
                <w:rFonts w:ascii="Arial Narrow" w:hAnsi="Arial Narrow" w:cs="Tahoma"/>
                <w:sz w:val="20"/>
                <w:highlight w:val="yellow"/>
              </w:rPr>
            </w:pPr>
            <w:r w:rsidRPr="005613A6">
              <w:rPr>
                <w:rFonts w:ascii="Arial Narrow" w:hAnsi="Arial Narrow" w:cs="Tahoma"/>
                <w:b/>
                <w:sz w:val="20"/>
              </w:rPr>
              <w:t>$redacted</w:t>
            </w:r>
          </w:p>
        </w:tc>
      </w:tr>
      <w:tr w:rsidR="005D25EA" w:rsidRPr="00FB1B5C" w14:paraId="603B77D4" w14:textId="77777777" w:rsidTr="00106329">
        <w:trPr>
          <w:trHeight w:val="12"/>
        </w:trPr>
        <w:tc>
          <w:tcPr>
            <w:tcW w:w="5000" w:type="pct"/>
            <w:gridSpan w:val="7"/>
            <w:shd w:val="clear" w:color="auto" w:fill="auto"/>
            <w:vAlign w:val="center"/>
          </w:tcPr>
          <w:p w14:paraId="34313E9A" w14:textId="77777777" w:rsidR="005D25EA" w:rsidRPr="00EE216E" w:rsidRDefault="005D25EA" w:rsidP="004F31A4">
            <w:pPr>
              <w:rPr>
                <w:rFonts w:ascii="Arial Narrow" w:hAnsi="Arial Narrow" w:cs="Tahoma"/>
                <w:b/>
                <w:iCs/>
                <w:sz w:val="20"/>
                <w:vertAlign w:val="superscript"/>
              </w:rPr>
            </w:pPr>
            <w:r w:rsidRPr="00EE216E">
              <w:rPr>
                <w:rFonts w:ascii="Arial Narrow" w:hAnsi="Arial Narrow" w:cs="Tahoma"/>
                <w:b/>
                <w:iCs/>
                <w:sz w:val="20"/>
              </w:rPr>
              <w:t xml:space="preserve">Private health insurance </w:t>
            </w:r>
            <w:r w:rsidRPr="00EE216E">
              <w:rPr>
                <w:rFonts w:ascii="Arial Narrow" w:hAnsi="Arial Narrow" w:cs="Tahoma"/>
                <w:b/>
                <w:iCs/>
                <w:sz w:val="20"/>
                <w:vertAlign w:val="superscript"/>
              </w:rPr>
              <w:t>c</w:t>
            </w:r>
          </w:p>
        </w:tc>
      </w:tr>
      <w:tr w:rsidR="00274B4B" w:rsidRPr="00FB1B5C" w14:paraId="5899A6EB" w14:textId="77777777" w:rsidTr="00274B4B">
        <w:trPr>
          <w:trHeight w:val="12"/>
        </w:trPr>
        <w:tc>
          <w:tcPr>
            <w:tcW w:w="1182" w:type="pct"/>
            <w:shd w:val="clear" w:color="auto" w:fill="auto"/>
          </w:tcPr>
          <w:p w14:paraId="6470F0B5" w14:textId="77777777" w:rsidR="00274B4B" w:rsidRPr="006618B7" w:rsidRDefault="00274B4B" w:rsidP="00274B4B">
            <w:pPr>
              <w:rPr>
                <w:rFonts w:ascii="Arial Narrow" w:hAnsi="Arial Narrow" w:cs="Tahoma"/>
                <w:i/>
                <w:iCs/>
                <w:sz w:val="20"/>
                <w:highlight w:val="yellow"/>
                <w:vertAlign w:val="superscript"/>
              </w:rPr>
            </w:pPr>
            <w:r w:rsidRPr="006618B7">
              <w:rPr>
                <w:rFonts w:ascii="Arial Narrow" w:hAnsi="Arial Narrow" w:cs="Tahoma"/>
                <w:i/>
                <w:iCs/>
                <w:sz w:val="20"/>
              </w:rPr>
              <w:t>Net prosthesis costs due to listing TAVI-BEV</w:t>
            </w:r>
            <w:r>
              <w:rPr>
                <w:rFonts w:ascii="Arial Narrow" w:hAnsi="Arial Narrow" w:cs="Tahoma"/>
                <w:i/>
                <w:iCs/>
                <w:sz w:val="20"/>
              </w:rPr>
              <w:t xml:space="preserve"> (Prosthesis List price)</w:t>
            </w:r>
            <w:r w:rsidRPr="006618B7">
              <w:rPr>
                <w:rFonts w:ascii="Arial Narrow" w:hAnsi="Arial Narrow" w:cs="Tahoma"/>
                <w:i/>
                <w:iCs/>
                <w:sz w:val="20"/>
              </w:rPr>
              <w:t xml:space="preserve"> </w:t>
            </w:r>
            <w:r w:rsidRPr="006618B7">
              <w:rPr>
                <w:rFonts w:ascii="Arial Narrow" w:hAnsi="Arial Narrow" w:cs="Tahoma"/>
                <w:i/>
                <w:iCs/>
                <w:sz w:val="20"/>
                <w:vertAlign w:val="superscript"/>
              </w:rPr>
              <w:t>b</w:t>
            </w:r>
          </w:p>
        </w:tc>
        <w:tc>
          <w:tcPr>
            <w:tcW w:w="637" w:type="pct"/>
            <w:shd w:val="clear" w:color="auto" w:fill="auto"/>
            <w:vAlign w:val="center"/>
          </w:tcPr>
          <w:p w14:paraId="5BCF30C9" w14:textId="05077728" w:rsidR="00274B4B" w:rsidRPr="002C1EAC" w:rsidRDefault="00274B4B" w:rsidP="00274B4B">
            <w:pPr>
              <w:jc w:val="center"/>
              <w:rPr>
                <w:rFonts w:ascii="Arial Narrow" w:hAnsi="Arial Narrow" w:cs="Tahoma"/>
                <w:i/>
                <w:iCs/>
                <w:sz w:val="20"/>
                <w:highlight w:val="yellow"/>
              </w:rPr>
            </w:pPr>
            <w:r w:rsidRPr="00CE09F1">
              <w:rPr>
                <w:rFonts w:ascii="Arial Narrow" w:hAnsi="Arial Narrow" w:cs="Tahoma"/>
                <w:b/>
                <w:sz w:val="20"/>
              </w:rPr>
              <w:t>$redacted</w:t>
            </w:r>
          </w:p>
        </w:tc>
        <w:tc>
          <w:tcPr>
            <w:tcW w:w="637" w:type="pct"/>
            <w:shd w:val="clear" w:color="auto" w:fill="auto"/>
            <w:vAlign w:val="center"/>
          </w:tcPr>
          <w:p w14:paraId="368F717A" w14:textId="0E7EA371" w:rsidR="00274B4B" w:rsidRPr="002C1EAC" w:rsidRDefault="00274B4B" w:rsidP="00274B4B">
            <w:pPr>
              <w:jc w:val="center"/>
              <w:rPr>
                <w:rFonts w:ascii="Arial Narrow" w:hAnsi="Arial Narrow" w:cs="Tahoma"/>
                <w:i/>
                <w:iCs/>
                <w:sz w:val="20"/>
                <w:highlight w:val="yellow"/>
              </w:rPr>
            </w:pPr>
            <w:r w:rsidRPr="00852AE3">
              <w:rPr>
                <w:rFonts w:ascii="Arial Narrow" w:hAnsi="Arial Narrow" w:cs="Tahoma"/>
                <w:b/>
                <w:sz w:val="20"/>
              </w:rPr>
              <w:t>$redacted</w:t>
            </w:r>
          </w:p>
        </w:tc>
        <w:tc>
          <w:tcPr>
            <w:tcW w:w="637" w:type="pct"/>
            <w:shd w:val="clear" w:color="auto" w:fill="auto"/>
            <w:vAlign w:val="center"/>
          </w:tcPr>
          <w:p w14:paraId="380122B9" w14:textId="588A9825" w:rsidR="00274B4B" w:rsidRPr="002C1EAC" w:rsidRDefault="00274B4B" w:rsidP="00274B4B">
            <w:pPr>
              <w:jc w:val="center"/>
              <w:rPr>
                <w:rFonts w:ascii="Arial Narrow" w:hAnsi="Arial Narrow" w:cs="Tahoma"/>
                <w:i/>
                <w:iCs/>
                <w:sz w:val="20"/>
                <w:highlight w:val="yellow"/>
              </w:rPr>
            </w:pPr>
            <w:r w:rsidRPr="00852AE3">
              <w:rPr>
                <w:rFonts w:ascii="Arial Narrow" w:hAnsi="Arial Narrow" w:cs="Tahoma"/>
                <w:b/>
                <w:sz w:val="20"/>
              </w:rPr>
              <w:t>$redacted</w:t>
            </w:r>
          </w:p>
        </w:tc>
        <w:tc>
          <w:tcPr>
            <w:tcW w:w="637" w:type="pct"/>
            <w:shd w:val="clear" w:color="auto" w:fill="auto"/>
            <w:vAlign w:val="center"/>
          </w:tcPr>
          <w:p w14:paraId="1E9DDF09" w14:textId="6B07223D" w:rsidR="00274B4B" w:rsidRPr="002C1EAC" w:rsidRDefault="00274B4B" w:rsidP="00274B4B">
            <w:pPr>
              <w:jc w:val="center"/>
              <w:rPr>
                <w:rFonts w:ascii="Arial Narrow" w:hAnsi="Arial Narrow" w:cs="Tahoma"/>
                <w:i/>
                <w:iCs/>
                <w:sz w:val="20"/>
                <w:highlight w:val="yellow"/>
              </w:rPr>
            </w:pPr>
            <w:r w:rsidRPr="00852AE3">
              <w:rPr>
                <w:rFonts w:ascii="Arial Narrow" w:hAnsi="Arial Narrow" w:cs="Tahoma"/>
                <w:b/>
                <w:sz w:val="20"/>
              </w:rPr>
              <w:t>$redacted</w:t>
            </w:r>
          </w:p>
        </w:tc>
        <w:tc>
          <w:tcPr>
            <w:tcW w:w="637" w:type="pct"/>
            <w:shd w:val="clear" w:color="auto" w:fill="auto"/>
            <w:vAlign w:val="center"/>
          </w:tcPr>
          <w:p w14:paraId="29822F38" w14:textId="6545D222" w:rsidR="00274B4B" w:rsidRPr="002C1EAC" w:rsidRDefault="00274B4B" w:rsidP="00274B4B">
            <w:pPr>
              <w:jc w:val="center"/>
              <w:rPr>
                <w:rFonts w:ascii="Arial Narrow" w:hAnsi="Arial Narrow" w:cs="Tahoma"/>
                <w:i/>
                <w:iCs/>
                <w:sz w:val="20"/>
                <w:highlight w:val="yellow"/>
              </w:rPr>
            </w:pPr>
            <w:r w:rsidRPr="00852AE3">
              <w:rPr>
                <w:rFonts w:ascii="Arial Narrow" w:hAnsi="Arial Narrow" w:cs="Tahoma"/>
                <w:b/>
                <w:sz w:val="20"/>
              </w:rPr>
              <w:t>$redacted</w:t>
            </w:r>
          </w:p>
        </w:tc>
        <w:tc>
          <w:tcPr>
            <w:tcW w:w="633" w:type="pct"/>
            <w:vAlign w:val="center"/>
          </w:tcPr>
          <w:p w14:paraId="025A2DBF" w14:textId="5E0114AE" w:rsidR="00274B4B" w:rsidRPr="002C1EAC" w:rsidRDefault="00274B4B" w:rsidP="00274B4B">
            <w:pPr>
              <w:jc w:val="center"/>
              <w:rPr>
                <w:rFonts w:ascii="Arial Narrow" w:hAnsi="Arial Narrow" w:cs="Tahoma"/>
                <w:i/>
                <w:iCs/>
                <w:sz w:val="20"/>
                <w:highlight w:val="yellow"/>
              </w:rPr>
            </w:pPr>
            <w:r w:rsidRPr="00852AE3">
              <w:rPr>
                <w:rFonts w:ascii="Arial Narrow" w:hAnsi="Arial Narrow" w:cs="Tahoma"/>
                <w:b/>
                <w:sz w:val="20"/>
              </w:rPr>
              <w:t>$redacted</w:t>
            </w:r>
          </w:p>
        </w:tc>
      </w:tr>
      <w:tr w:rsidR="00274B4B" w:rsidRPr="00FB1B5C" w14:paraId="283FCC67" w14:textId="77777777" w:rsidTr="00274B4B">
        <w:trPr>
          <w:trHeight w:val="12"/>
        </w:trPr>
        <w:tc>
          <w:tcPr>
            <w:tcW w:w="1182" w:type="pct"/>
            <w:tcBorders>
              <w:bottom w:val="single" w:sz="4" w:space="0" w:color="auto"/>
            </w:tcBorders>
            <w:shd w:val="clear" w:color="auto" w:fill="auto"/>
          </w:tcPr>
          <w:p w14:paraId="19A5577F" w14:textId="77777777" w:rsidR="00274B4B" w:rsidRDefault="00274B4B" w:rsidP="00274B4B">
            <w:pPr>
              <w:rPr>
                <w:rFonts w:ascii="Arial Narrow" w:hAnsi="Arial Narrow" w:cs="Tahoma"/>
                <w:i/>
                <w:iCs/>
                <w:sz w:val="20"/>
              </w:rPr>
            </w:pPr>
            <w:r w:rsidRPr="006618B7">
              <w:rPr>
                <w:rFonts w:ascii="Arial Narrow" w:hAnsi="Arial Narrow" w:cs="Tahoma"/>
                <w:i/>
                <w:iCs/>
                <w:sz w:val="20"/>
              </w:rPr>
              <w:t>Net prosthesis costs due to listing TAVI-BEV</w:t>
            </w:r>
            <w:r>
              <w:rPr>
                <w:rFonts w:ascii="Arial Narrow" w:hAnsi="Arial Narrow" w:cs="Tahoma"/>
                <w:i/>
                <w:iCs/>
                <w:sz w:val="20"/>
              </w:rPr>
              <w:t xml:space="preserve"> </w:t>
            </w:r>
          </w:p>
          <w:p w14:paraId="771A709C" w14:textId="77777777" w:rsidR="00274B4B" w:rsidRPr="006618B7" w:rsidRDefault="00274B4B" w:rsidP="00274B4B">
            <w:pPr>
              <w:rPr>
                <w:rFonts w:ascii="Arial Narrow" w:hAnsi="Arial Narrow" w:cs="Tahoma"/>
                <w:i/>
                <w:iCs/>
                <w:sz w:val="20"/>
              </w:rPr>
            </w:pPr>
            <w:r>
              <w:rPr>
                <w:rFonts w:ascii="Arial Narrow" w:hAnsi="Arial Narrow" w:cs="Tahoma"/>
                <w:i/>
                <w:iCs/>
                <w:sz w:val="20"/>
              </w:rPr>
              <w:t>(ADAR proposed price)</w:t>
            </w:r>
            <w:r w:rsidRPr="006618B7">
              <w:rPr>
                <w:rFonts w:ascii="Arial Narrow" w:hAnsi="Arial Narrow" w:cs="Tahoma"/>
                <w:i/>
                <w:iCs/>
                <w:sz w:val="20"/>
              </w:rPr>
              <w:t xml:space="preserve"> </w:t>
            </w:r>
            <w:r w:rsidRPr="006618B7">
              <w:rPr>
                <w:rFonts w:ascii="Arial Narrow" w:hAnsi="Arial Narrow" w:cs="Tahoma"/>
                <w:i/>
                <w:iCs/>
                <w:sz w:val="20"/>
                <w:vertAlign w:val="superscript"/>
              </w:rPr>
              <w:t>b</w:t>
            </w:r>
            <w:r>
              <w:rPr>
                <w:rFonts w:ascii="Arial Narrow" w:hAnsi="Arial Narrow" w:cs="Tahoma"/>
                <w:i/>
                <w:iCs/>
                <w:sz w:val="20"/>
                <w:vertAlign w:val="superscript"/>
              </w:rPr>
              <w:t xml:space="preserve"> </w:t>
            </w:r>
          </w:p>
        </w:tc>
        <w:tc>
          <w:tcPr>
            <w:tcW w:w="637" w:type="pct"/>
            <w:tcBorders>
              <w:bottom w:val="single" w:sz="4" w:space="0" w:color="auto"/>
            </w:tcBorders>
            <w:shd w:val="clear" w:color="auto" w:fill="auto"/>
            <w:vAlign w:val="center"/>
          </w:tcPr>
          <w:p w14:paraId="4C5F09D5" w14:textId="53C53924" w:rsidR="00274B4B" w:rsidRPr="002C1EAC" w:rsidRDefault="00274B4B" w:rsidP="00274B4B">
            <w:pPr>
              <w:jc w:val="center"/>
              <w:rPr>
                <w:rFonts w:ascii="Arial Narrow" w:hAnsi="Arial Narrow" w:cs="Tahoma"/>
                <w:i/>
                <w:iCs/>
                <w:sz w:val="20"/>
                <w:szCs w:val="22"/>
                <w:highlight w:val="yellow"/>
              </w:rPr>
            </w:pPr>
            <w:r w:rsidRPr="00135BF6">
              <w:rPr>
                <w:rFonts w:ascii="Arial Narrow" w:hAnsi="Arial Narrow" w:cs="Tahoma"/>
                <w:b/>
                <w:sz w:val="20"/>
              </w:rPr>
              <w:t>$redacted</w:t>
            </w:r>
          </w:p>
        </w:tc>
        <w:tc>
          <w:tcPr>
            <w:tcW w:w="637" w:type="pct"/>
            <w:tcBorders>
              <w:bottom w:val="single" w:sz="4" w:space="0" w:color="auto"/>
            </w:tcBorders>
            <w:shd w:val="clear" w:color="auto" w:fill="auto"/>
            <w:vAlign w:val="center"/>
          </w:tcPr>
          <w:p w14:paraId="7508FF47" w14:textId="0D411811" w:rsidR="00274B4B" w:rsidRPr="002C1EAC" w:rsidRDefault="00274B4B" w:rsidP="00274B4B">
            <w:pPr>
              <w:jc w:val="center"/>
              <w:rPr>
                <w:rFonts w:ascii="Arial Narrow" w:hAnsi="Arial Narrow" w:cs="Tahoma"/>
                <w:i/>
                <w:iCs/>
                <w:sz w:val="20"/>
                <w:szCs w:val="22"/>
                <w:highlight w:val="yellow"/>
              </w:rPr>
            </w:pPr>
            <w:r w:rsidRPr="00135BF6">
              <w:rPr>
                <w:rFonts w:ascii="Arial Narrow" w:hAnsi="Arial Narrow" w:cs="Tahoma"/>
                <w:b/>
                <w:sz w:val="20"/>
              </w:rPr>
              <w:t>$redacted</w:t>
            </w:r>
          </w:p>
        </w:tc>
        <w:tc>
          <w:tcPr>
            <w:tcW w:w="637" w:type="pct"/>
            <w:tcBorders>
              <w:bottom w:val="single" w:sz="4" w:space="0" w:color="auto"/>
            </w:tcBorders>
            <w:shd w:val="clear" w:color="auto" w:fill="auto"/>
            <w:vAlign w:val="center"/>
          </w:tcPr>
          <w:p w14:paraId="75362AE5" w14:textId="0FD82A9F" w:rsidR="00274B4B" w:rsidRPr="002C1EAC" w:rsidRDefault="00274B4B" w:rsidP="00274B4B">
            <w:pPr>
              <w:jc w:val="center"/>
              <w:rPr>
                <w:rFonts w:ascii="Arial Narrow" w:hAnsi="Arial Narrow" w:cs="Tahoma"/>
                <w:i/>
                <w:iCs/>
                <w:sz w:val="20"/>
                <w:szCs w:val="22"/>
                <w:highlight w:val="yellow"/>
              </w:rPr>
            </w:pPr>
            <w:r w:rsidRPr="00135BF6">
              <w:rPr>
                <w:rFonts w:ascii="Arial Narrow" w:hAnsi="Arial Narrow" w:cs="Tahoma"/>
                <w:b/>
                <w:sz w:val="20"/>
              </w:rPr>
              <w:t>$redacted</w:t>
            </w:r>
          </w:p>
        </w:tc>
        <w:tc>
          <w:tcPr>
            <w:tcW w:w="637" w:type="pct"/>
            <w:tcBorders>
              <w:bottom w:val="single" w:sz="4" w:space="0" w:color="auto"/>
            </w:tcBorders>
            <w:shd w:val="clear" w:color="auto" w:fill="auto"/>
            <w:vAlign w:val="center"/>
          </w:tcPr>
          <w:p w14:paraId="3A1886CE" w14:textId="42FD255D" w:rsidR="00274B4B" w:rsidRPr="002C1EAC" w:rsidRDefault="00274B4B" w:rsidP="00274B4B">
            <w:pPr>
              <w:jc w:val="center"/>
              <w:rPr>
                <w:rFonts w:ascii="Arial Narrow" w:hAnsi="Arial Narrow" w:cs="Tahoma"/>
                <w:i/>
                <w:iCs/>
                <w:sz w:val="20"/>
                <w:szCs w:val="22"/>
                <w:highlight w:val="yellow"/>
              </w:rPr>
            </w:pPr>
            <w:r w:rsidRPr="00135BF6">
              <w:rPr>
                <w:rFonts w:ascii="Arial Narrow" w:hAnsi="Arial Narrow" w:cs="Tahoma"/>
                <w:b/>
                <w:sz w:val="20"/>
              </w:rPr>
              <w:t>$redacted</w:t>
            </w:r>
          </w:p>
        </w:tc>
        <w:tc>
          <w:tcPr>
            <w:tcW w:w="637" w:type="pct"/>
            <w:tcBorders>
              <w:bottom w:val="single" w:sz="4" w:space="0" w:color="auto"/>
            </w:tcBorders>
            <w:shd w:val="clear" w:color="auto" w:fill="auto"/>
            <w:vAlign w:val="center"/>
          </w:tcPr>
          <w:p w14:paraId="59F8712A" w14:textId="06AED374" w:rsidR="00274B4B" w:rsidRPr="002C1EAC" w:rsidRDefault="00274B4B" w:rsidP="00274B4B">
            <w:pPr>
              <w:jc w:val="center"/>
              <w:rPr>
                <w:rFonts w:ascii="Arial Narrow" w:hAnsi="Arial Narrow" w:cs="Tahoma"/>
                <w:i/>
                <w:iCs/>
                <w:sz w:val="20"/>
                <w:szCs w:val="22"/>
                <w:highlight w:val="yellow"/>
              </w:rPr>
            </w:pPr>
            <w:r w:rsidRPr="00135BF6">
              <w:rPr>
                <w:rFonts w:ascii="Arial Narrow" w:hAnsi="Arial Narrow" w:cs="Tahoma"/>
                <w:b/>
                <w:sz w:val="20"/>
              </w:rPr>
              <w:t>$redacted</w:t>
            </w:r>
          </w:p>
        </w:tc>
        <w:tc>
          <w:tcPr>
            <w:tcW w:w="633" w:type="pct"/>
            <w:tcBorders>
              <w:bottom w:val="single" w:sz="4" w:space="0" w:color="auto"/>
            </w:tcBorders>
            <w:vAlign w:val="center"/>
          </w:tcPr>
          <w:p w14:paraId="2B1A3A6A" w14:textId="2C7F70F3" w:rsidR="00274B4B" w:rsidRPr="002C1EAC" w:rsidRDefault="00274B4B" w:rsidP="00274B4B">
            <w:pPr>
              <w:jc w:val="center"/>
              <w:rPr>
                <w:rFonts w:ascii="Arial Narrow" w:hAnsi="Arial Narrow" w:cs="Tahoma"/>
                <w:i/>
                <w:iCs/>
                <w:sz w:val="20"/>
                <w:szCs w:val="22"/>
                <w:highlight w:val="yellow"/>
              </w:rPr>
            </w:pPr>
            <w:r w:rsidRPr="00135BF6">
              <w:rPr>
                <w:rFonts w:ascii="Arial Narrow" w:hAnsi="Arial Narrow" w:cs="Tahoma"/>
                <w:b/>
                <w:sz w:val="20"/>
              </w:rPr>
              <w:t>$redacted</w:t>
            </w:r>
          </w:p>
        </w:tc>
      </w:tr>
      <w:tr w:rsidR="005D25EA" w:rsidRPr="00FB1B5C" w14:paraId="1ECB2B87" w14:textId="77777777" w:rsidTr="00274B4B">
        <w:trPr>
          <w:trHeight w:val="12"/>
        </w:trPr>
        <w:tc>
          <w:tcPr>
            <w:tcW w:w="1182" w:type="pct"/>
            <w:tcBorders>
              <w:right w:val="nil"/>
            </w:tcBorders>
            <w:shd w:val="clear" w:color="auto" w:fill="auto"/>
          </w:tcPr>
          <w:p w14:paraId="3291415E" w14:textId="77777777" w:rsidR="005D25EA" w:rsidRPr="00BC7E9B" w:rsidRDefault="005D25EA" w:rsidP="004F31A4">
            <w:pPr>
              <w:rPr>
                <w:rFonts w:ascii="Arial Narrow" w:hAnsi="Arial Narrow" w:cs="Tahoma"/>
                <w:b/>
                <w:i/>
                <w:iCs/>
                <w:sz w:val="20"/>
              </w:rPr>
            </w:pPr>
            <w:r>
              <w:rPr>
                <w:rFonts w:ascii="Arial Narrow" w:hAnsi="Arial Narrow" w:cs="Tahoma"/>
                <w:b/>
                <w:i/>
                <w:iCs/>
                <w:sz w:val="20"/>
              </w:rPr>
              <w:t>Private hospital costs- revised Post ESC</w:t>
            </w:r>
          </w:p>
        </w:tc>
        <w:tc>
          <w:tcPr>
            <w:tcW w:w="637" w:type="pct"/>
            <w:tcBorders>
              <w:left w:val="nil"/>
              <w:right w:val="nil"/>
            </w:tcBorders>
            <w:shd w:val="clear" w:color="auto" w:fill="auto"/>
            <w:vAlign w:val="center"/>
          </w:tcPr>
          <w:p w14:paraId="09858499" w14:textId="77777777" w:rsidR="005D25EA" w:rsidRPr="006618B7" w:rsidRDefault="005D25EA" w:rsidP="004F31A4">
            <w:pPr>
              <w:jc w:val="center"/>
              <w:rPr>
                <w:rFonts w:ascii="Arial Narrow" w:hAnsi="Arial Narrow" w:cs="Tahoma"/>
                <w:i/>
                <w:iCs/>
                <w:sz w:val="20"/>
              </w:rPr>
            </w:pPr>
          </w:p>
        </w:tc>
        <w:tc>
          <w:tcPr>
            <w:tcW w:w="637" w:type="pct"/>
            <w:tcBorders>
              <w:left w:val="nil"/>
              <w:right w:val="nil"/>
            </w:tcBorders>
            <w:shd w:val="clear" w:color="auto" w:fill="auto"/>
            <w:vAlign w:val="center"/>
          </w:tcPr>
          <w:p w14:paraId="623CA611" w14:textId="77777777" w:rsidR="005D25EA" w:rsidRPr="006618B7" w:rsidRDefault="005D25EA" w:rsidP="004F31A4">
            <w:pPr>
              <w:jc w:val="center"/>
              <w:rPr>
                <w:rFonts w:ascii="Arial Narrow" w:hAnsi="Arial Narrow" w:cs="Tahoma"/>
                <w:i/>
                <w:iCs/>
                <w:sz w:val="20"/>
              </w:rPr>
            </w:pPr>
          </w:p>
        </w:tc>
        <w:tc>
          <w:tcPr>
            <w:tcW w:w="637" w:type="pct"/>
            <w:tcBorders>
              <w:left w:val="nil"/>
              <w:right w:val="nil"/>
            </w:tcBorders>
            <w:shd w:val="clear" w:color="auto" w:fill="auto"/>
            <w:vAlign w:val="center"/>
          </w:tcPr>
          <w:p w14:paraId="4BBBB4C4" w14:textId="77777777" w:rsidR="005D25EA" w:rsidRPr="006618B7" w:rsidRDefault="005D25EA" w:rsidP="004F31A4">
            <w:pPr>
              <w:jc w:val="center"/>
              <w:rPr>
                <w:rFonts w:ascii="Arial Narrow" w:hAnsi="Arial Narrow" w:cs="Tahoma"/>
                <w:i/>
                <w:iCs/>
                <w:sz w:val="20"/>
              </w:rPr>
            </w:pPr>
          </w:p>
        </w:tc>
        <w:tc>
          <w:tcPr>
            <w:tcW w:w="637" w:type="pct"/>
            <w:tcBorders>
              <w:left w:val="nil"/>
              <w:right w:val="nil"/>
            </w:tcBorders>
            <w:shd w:val="clear" w:color="auto" w:fill="auto"/>
            <w:vAlign w:val="center"/>
          </w:tcPr>
          <w:p w14:paraId="7B128DD4" w14:textId="77777777" w:rsidR="005D25EA" w:rsidRPr="006618B7" w:rsidRDefault="005D25EA" w:rsidP="004F31A4">
            <w:pPr>
              <w:jc w:val="center"/>
              <w:rPr>
                <w:rFonts w:ascii="Arial Narrow" w:hAnsi="Arial Narrow" w:cs="Tahoma"/>
                <w:i/>
                <w:iCs/>
                <w:sz w:val="20"/>
              </w:rPr>
            </w:pPr>
          </w:p>
        </w:tc>
        <w:tc>
          <w:tcPr>
            <w:tcW w:w="637" w:type="pct"/>
            <w:tcBorders>
              <w:left w:val="nil"/>
              <w:right w:val="nil"/>
            </w:tcBorders>
            <w:shd w:val="clear" w:color="auto" w:fill="auto"/>
            <w:vAlign w:val="center"/>
          </w:tcPr>
          <w:p w14:paraId="11D7FAED" w14:textId="77777777" w:rsidR="005D25EA" w:rsidRPr="006618B7" w:rsidRDefault="005D25EA" w:rsidP="004F31A4">
            <w:pPr>
              <w:jc w:val="center"/>
              <w:rPr>
                <w:rFonts w:ascii="Arial Narrow" w:hAnsi="Arial Narrow" w:cs="Tahoma"/>
                <w:i/>
                <w:iCs/>
                <w:sz w:val="20"/>
              </w:rPr>
            </w:pPr>
          </w:p>
        </w:tc>
        <w:tc>
          <w:tcPr>
            <w:tcW w:w="633" w:type="pct"/>
            <w:tcBorders>
              <w:left w:val="nil"/>
            </w:tcBorders>
            <w:vAlign w:val="center"/>
          </w:tcPr>
          <w:p w14:paraId="25C201C8" w14:textId="77777777" w:rsidR="005D25EA" w:rsidRPr="006618B7" w:rsidRDefault="005D25EA" w:rsidP="004F31A4">
            <w:pPr>
              <w:jc w:val="center"/>
              <w:rPr>
                <w:rFonts w:ascii="Arial Narrow" w:hAnsi="Arial Narrow" w:cs="Tahoma"/>
                <w:i/>
                <w:iCs/>
                <w:sz w:val="20"/>
              </w:rPr>
            </w:pPr>
          </w:p>
        </w:tc>
      </w:tr>
      <w:tr w:rsidR="007A08D3" w:rsidRPr="00FB1B5C" w14:paraId="14D23803" w14:textId="77777777" w:rsidTr="007A08D3">
        <w:trPr>
          <w:trHeight w:val="12"/>
        </w:trPr>
        <w:tc>
          <w:tcPr>
            <w:tcW w:w="1182" w:type="pct"/>
            <w:shd w:val="clear" w:color="auto" w:fill="auto"/>
          </w:tcPr>
          <w:p w14:paraId="735193A9" w14:textId="77777777" w:rsidR="007A08D3" w:rsidRPr="006618B7" w:rsidRDefault="007A08D3" w:rsidP="007A08D3">
            <w:pPr>
              <w:rPr>
                <w:rFonts w:ascii="Arial Narrow" w:hAnsi="Arial Narrow" w:cs="Tahoma"/>
                <w:i/>
                <w:iCs/>
                <w:sz w:val="20"/>
                <w:highlight w:val="yellow"/>
              </w:rPr>
            </w:pPr>
            <w:r w:rsidRPr="006618B7">
              <w:rPr>
                <w:rFonts w:ascii="Arial Narrow" w:hAnsi="Arial Narrow" w:cs="Tahoma"/>
                <w:i/>
                <w:iCs/>
                <w:sz w:val="20"/>
              </w:rPr>
              <w:t>Net private hospital cost</w:t>
            </w:r>
            <w:r>
              <w:rPr>
                <w:rFonts w:ascii="Arial Narrow" w:hAnsi="Arial Narrow" w:cs="Tahoma"/>
                <w:i/>
                <w:iCs/>
                <w:sz w:val="20"/>
              </w:rPr>
              <w:t xml:space="preserve"> </w:t>
            </w:r>
            <w:r w:rsidRPr="006618B7">
              <w:rPr>
                <w:rFonts w:ascii="Arial Narrow" w:hAnsi="Arial Narrow" w:cs="Tahoma"/>
                <w:i/>
                <w:iCs/>
                <w:sz w:val="20"/>
              </w:rPr>
              <w:t xml:space="preserve">savings due to listing </w:t>
            </w:r>
            <w:r>
              <w:rPr>
                <w:rFonts w:ascii="Arial Narrow" w:hAnsi="Arial Narrow" w:cs="Tahoma"/>
                <w:i/>
                <w:iCs/>
                <w:sz w:val="20"/>
              </w:rPr>
              <w:t>TAVI</w:t>
            </w:r>
            <w:r>
              <w:rPr>
                <w:rFonts w:ascii="Arial Narrow" w:hAnsi="Arial Narrow" w:cs="Tahoma"/>
                <w:i/>
                <w:iCs/>
                <w:sz w:val="20"/>
              </w:rPr>
              <w:noBreakHyphen/>
            </w:r>
            <w:r w:rsidRPr="006618B7">
              <w:rPr>
                <w:rFonts w:ascii="Arial Narrow" w:hAnsi="Arial Narrow" w:cs="Tahoma"/>
                <w:i/>
                <w:iCs/>
                <w:sz w:val="20"/>
              </w:rPr>
              <w:t xml:space="preserve">BEV </w:t>
            </w:r>
          </w:p>
        </w:tc>
        <w:tc>
          <w:tcPr>
            <w:tcW w:w="637" w:type="pct"/>
            <w:shd w:val="clear" w:color="auto" w:fill="auto"/>
            <w:vAlign w:val="center"/>
          </w:tcPr>
          <w:p w14:paraId="1B9AAE63" w14:textId="2037F4AF" w:rsidR="007A08D3" w:rsidRPr="002C1EAC" w:rsidRDefault="007A08D3" w:rsidP="007A08D3">
            <w:pPr>
              <w:jc w:val="center"/>
              <w:rPr>
                <w:rFonts w:ascii="Arial Narrow" w:hAnsi="Arial Narrow" w:cs="Tahoma"/>
                <w:i/>
                <w:iCs/>
                <w:sz w:val="20"/>
                <w:highlight w:val="yellow"/>
              </w:rPr>
            </w:pPr>
            <w:r w:rsidRPr="0010466F">
              <w:rPr>
                <w:rFonts w:ascii="Arial Narrow" w:hAnsi="Arial Narrow" w:cs="Tahoma"/>
                <w:b/>
                <w:sz w:val="20"/>
              </w:rPr>
              <w:t>$redacted</w:t>
            </w:r>
          </w:p>
        </w:tc>
        <w:tc>
          <w:tcPr>
            <w:tcW w:w="637" w:type="pct"/>
            <w:shd w:val="clear" w:color="auto" w:fill="auto"/>
            <w:vAlign w:val="center"/>
          </w:tcPr>
          <w:p w14:paraId="1820C656" w14:textId="69FCE8A8" w:rsidR="007A08D3" w:rsidRPr="002C1EAC" w:rsidRDefault="007A08D3" w:rsidP="007A08D3">
            <w:pPr>
              <w:jc w:val="center"/>
              <w:rPr>
                <w:rFonts w:ascii="Arial Narrow" w:hAnsi="Arial Narrow" w:cs="Tahoma"/>
                <w:i/>
                <w:iCs/>
                <w:sz w:val="20"/>
                <w:highlight w:val="yellow"/>
              </w:rPr>
            </w:pPr>
            <w:r w:rsidRPr="0010466F">
              <w:rPr>
                <w:rFonts w:ascii="Arial Narrow" w:hAnsi="Arial Narrow" w:cs="Tahoma"/>
                <w:b/>
                <w:sz w:val="20"/>
              </w:rPr>
              <w:t>$redacted</w:t>
            </w:r>
          </w:p>
        </w:tc>
        <w:tc>
          <w:tcPr>
            <w:tcW w:w="637" w:type="pct"/>
            <w:shd w:val="clear" w:color="auto" w:fill="auto"/>
            <w:vAlign w:val="center"/>
          </w:tcPr>
          <w:p w14:paraId="3C6597D3" w14:textId="2499E8BA" w:rsidR="007A08D3" w:rsidRPr="002C1EAC" w:rsidRDefault="007A08D3" w:rsidP="007A08D3">
            <w:pPr>
              <w:jc w:val="center"/>
              <w:rPr>
                <w:rFonts w:ascii="Arial Narrow" w:hAnsi="Arial Narrow" w:cs="Tahoma"/>
                <w:i/>
                <w:iCs/>
                <w:sz w:val="20"/>
                <w:highlight w:val="yellow"/>
              </w:rPr>
            </w:pPr>
            <w:r w:rsidRPr="0010466F">
              <w:rPr>
                <w:rFonts w:ascii="Arial Narrow" w:hAnsi="Arial Narrow" w:cs="Tahoma"/>
                <w:b/>
                <w:sz w:val="20"/>
              </w:rPr>
              <w:t>$redacted</w:t>
            </w:r>
          </w:p>
        </w:tc>
        <w:tc>
          <w:tcPr>
            <w:tcW w:w="637" w:type="pct"/>
            <w:shd w:val="clear" w:color="auto" w:fill="auto"/>
            <w:vAlign w:val="center"/>
          </w:tcPr>
          <w:p w14:paraId="207E578A" w14:textId="77DC1D91" w:rsidR="007A08D3" w:rsidRPr="002C1EAC" w:rsidRDefault="007A08D3" w:rsidP="007A08D3">
            <w:pPr>
              <w:jc w:val="center"/>
              <w:rPr>
                <w:rFonts w:ascii="Arial Narrow" w:hAnsi="Arial Narrow" w:cs="Tahoma"/>
                <w:i/>
                <w:iCs/>
                <w:sz w:val="20"/>
                <w:highlight w:val="yellow"/>
              </w:rPr>
            </w:pPr>
            <w:r w:rsidRPr="0010466F">
              <w:rPr>
                <w:rFonts w:ascii="Arial Narrow" w:hAnsi="Arial Narrow" w:cs="Tahoma"/>
                <w:b/>
                <w:sz w:val="20"/>
              </w:rPr>
              <w:t>$redacted</w:t>
            </w:r>
          </w:p>
        </w:tc>
        <w:tc>
          <w:tcPr>
            <w:tcW w:w="637" w:type="pct"/>
            <w:shd w:val="clear" w:color="auto" w:fill="auto"/>
            <w:vAlign w:val="center"/>
          </w:tcPr>
          <w:p w14:paraId="29F11377" w14:textId="5C22DD40" w:rsidR="007A08D3" w:rsidRPr="002C1EAC" w:rsidRDefault="007A08D3" w:rsidP="007A08D3">
            <w:pPr>
              <w:jc w:val="center"/>
              <w:rPr>
                <w:rFonts w:ascii="Arial Narrow" w:hAnsi="Arial Narrow" w:cs="Tahoma"/>
                <w:i/>
                <w:iCs/>
                <w:sz w:val="20"/>
                <w:highlight w:val="yellow"/>
              </w:rPr>
            </w:pPr>
            <w:r w:rsidRPr="0010466F">
              <w:rPr>
                <w:rFonts w:ascii="Arial Narrow" w:hAnsi="Arial Narrow" w:cs="Tahoma"/>
                <w:b/>
                <w:sz w:val="20"/>
              </w:rPr>
              <w:t>$redacted</w:t>
            </w:r>
          </w:p>
        </w:tc>
        <w:tc>
          <w:tcPr>
            <w:tcW w:w="633" w:type="pct"/>
            <w:vAlign w:val="center"/>
          </w:tcPr>
          <w:p w14:paraId="208476E7" w14:textId="3E3279C7" w:rsidR="007A08D3" w:rsidRPr="002C1EAC" w:rsidRDefault="007A08D3" w:rsidP="007A08D3">
            <w:pPr>
              <w:jc w:val="center"/>
              <w:rPr>
                <w:rFonts w:ascii="Arial Narrow" w:hAnsi="Arial Narrow" w:cs="Tahoma"/>
                <w:i/>
                <w:iCs/>
                <w:sz w:val="20"/>
                <w:highlight w:val="yellow"/>
              </w:rPr>
            </w:pPr>
            <w:r w:rsidRPr="0010466F">
              <w:rPr>
                <w:rFonts w:ascii="Arial Narrow" w:hAnsi="Arial Narrow" w:cs="Tahoma"/>
                <w:b/>
                <w:sz w:val="20"/>
              </w:rPr>
              <w:t>$redacted</w:t>
            </w:r>
          </w:p>
        </w:tc>
      </w:tr>
    </w:tbl>
    <w:bookmarkEnd w:id="9"/>
    <w:p w14:paraId="5FBB987D" w14:textId="77777777" w:rsidR="005D25EA" w:rsidRPr="004F31A4" w:rsidRDefault="005D25EA" w:rsidP="005D25EA">
      <w:pPr>
        <w:widowControl w:val="0"/>
        <w:snapToGrid w:val="0"/>
        <w:jc w:val="both"/>
        <w:rPr>
          <w:rFonts w:ascii="Arial Narrow" w:hAnsi="Arial Narrow" w:cs="Arial"/>
          <w:sz w:val="16"/>
          <w:szCs w:val="16"/>
          <w:lang w:eastAsia="en-US"/>
        </w:rPr>
      </w:pPr>
      <w:r w:rsidRPr="004F31A4">
        <w:rPr>
          <w:rFonts w:ascii="Arial Narrow" w:hAnsi="Arial Narrow" w:cs="Arial"/>
          <w:sz w:val="16"/>
          <w:szCs w:val="16"/>
          <w:lang w:eastAsia="en-US"/>
        </w:rPr>
        <w:t>Abbreviations: MBS = Medical Benefits Scheme; PHI = private health insurance; TAVI-BEV = transcatheter aortic valve implantation - balloon-expandable valves</w:t>
      </w:r>
    </w:p>
    <w:p w14:paraId="3AD5E59A" w14:textId="77777777" w:rsidR="005D25EA" w:rsidRPr="004F31A4" w:rsidRDefault="005D25EA" w:rsidP="005D25EA">
      <w:pPr>
        <w:widowControl w:val="0"/>
        <w:snapToGrid w:val="0"/>
        <w:jc w:val="both"/>
        <w:rPr>
          <w:rFonts w:ascii="Arial Narrow" w:hAnsi="Arial Narrow" w:cs="Arial"/>
          <w:sz w:val="16"/>
          <w:szCs w:val="16"/>
          <w:lang w:eastAsia="en-US"/>
        </w:rPr>
      </w:pPr>
      <w:r w:rsidRPr="004F31A4">
        <w:rPr>
          <w:rFonts w:ascii="Arial Narrow" w:hAnsi="Arial Narrow" w:cs="Arial"/>
          <w:sz w:val="16"/>
          <w:szCs w:val="16"/>
          <w:vertAlign w:val="superscript"/>
          <w:lang w:eastAsia="en-US"/>
        </w:rPr>
        <w:t>a</w:t>
      </w:r>
      <w:r w:rsidRPr="004F31A4">
        <w:rPr>
          <w:rFonts w:ascii="Arial Narrow" w:hAnsi="Arial Narrow" w:cs="Arial"/>
          <w:sz w:val="16"/>
          <w:szCs w:val="16"/>
          <w:lang w:eastAsia="en-US"/>
        </w:rPr>
        <w:t xml:space="preserve"> MBS costs were updated during the evaluation. Refer to Section D.4</w:t>
      </w:r>
    </w:p>
    <w:p w14:paraId="3AD617E4" w14:textId="6F007ED4" w:rsidR="005D25EA" w:rsidRPr="004F31A4" w:rsidRDefault="005D25EA" w:rsidP="005D25EA">
      <w:pPr>
        <w:widowControl w:val="0"/>
        <w:snapToGrid w:val="0"/>
        <w:jc w:val="both"/>
        <w:rPr>
          <w:rFonts w:ascii="Arial Narrow" w:hAnsi="Arial Narrow" w:cs="Arial"/>
          <w:sz w:val="16"/>
          <w:szCs w:val="16"/>
          <w:lang w:eastAsia="en-US"/>
        </w:rPr>
      </w:pPr>
      <w:r w:rsidRPr="004F31A4">
        <w:rPr>
          <w:rFonts w:ascii="Arial Narrow" w:hAnsi="Arial Narrow" w:cs="Arial"/>
          <w:sz w:val="16"/>
          <w:szCs w:val="16"/>
          <w:vertAlign w:val="superscript"/>
          <w:lang w:eastAsia="en-US"/>
        </w:rPr>
        <w:t>b</w:t>
      </w:r>
      <w:r w:rsidRPr="004F31A4">
        <w:rPr>
          <w:rFonts w:ascii="Arial Narrow" w:hAnsi="Arial Narrow" w:cs="Arial"/>
          <w:sz w:val="16"/>
          <w:szCs w:val="16"/>
          <w:lang w:eastAsia="en-US"/>
        </w:rPr>
        <w:t xml:space="preserve"> The ADAR proposed that the cost of the TAVI-BEV prosthesis was </w:t>
      </w:r>
      <w:r w:rsidR="00274B4B" w:rsidRPr="00274B4B">
        <w:rPr>
          <w:rFonts w:ascii="Arial Narrow" w:hAnsi="Arial Narrow" w:cs="Tahoma"/>
          <w:b/>
          <w:sz w:val="16"/>
          <w:szCs w:val="18"/>
        </w:rPr>
        <w:t>$redacted</w:t>
      </w:r>
      <w:r w:rsidRPr="00274B4B">
        <w:rPr>
          <w:rFonts w:ascii="Arial Narrow" w:hAnsi="Arial Narrow" w:cs="Arial"/>
          <w:sz w:val="16"/>
          <w:szCs w:val="18"/>
          <w:lang w:eastAsia="en-US"/>
        </w:rPr>
        <w:t>.</w:t>
      </w:r>
      <w:r w:rsidRPr="00274B4B">
        <w:rPr>
          <w:rFonts w:ascii="Arial Narrow" w:hAnsi="Arial Narrow" w:cs="Arial"/>
          <w:sz w:val="14"/>
          <w:szCs w:val="16"/>
          <w:lang w:eastAsia="en-US"/>
        </w:rPr>
        <w:t xml:space="preserve"> </w:t>
      </w:r>
      <w:r w:rsidRPr="004F31A4">
        <w:rPr>
          <w:rFonts w:ascii="Arial Narrow" w:hAnsi="Arial Narrow" w:cs="Arial"/>
          <w:sz w:val="16"/>
          <w:szCs w:val="16"/>
          <w:lang w:eastAsia="en-US"/>
        </w:rPr>
        <w:t xml:space="preserve">However, the listed price of the Edwards SAPIEN 3 (i.e. TAVI-BEV) on the July 2020 Prostheses List is $22,932 </w:t>
      </w:r>
      <w:r w:rsidRPr="004F31A4">
        <w:rPr>
          <w:rFonts w:ascii="Arial Narrow" w:hAnsi="Arial Narrow" w:cs="Arial"/>
          <w:sz w:val="16"/>
          <w:szCs w:val="16"/>
          <w:lang w:eastAsia="en-US"/>
        </w:rPr>
        <w:fldChar w:fldCharType="begin"/>
      </w:r>
      <w:r w:rsidRPr="004F31A4">
        <w:rPr>
          <w:rFonts w:ascii="Arial Narrow" w:hAnsi="Arial Narrow" w:cs="Arial"/>
          <w:sz w:val="16"/>
          <w:szCs w:val="16"/>
          <w:lang w:eastAsia="en-US"/>
        </w:rPr>
        <w:instrText xml:space="preserve"> ADDIN EN.CITE &lt;EndNote&gt;&lt;Cite&gt;&lt;Author&gt;DoH&lt;/Author&gt;&lt;Year&gt;2020&lt;/Year&gt;&lt;RecNum&gt;8&lt;/RecNum&gt;&lt;DisplayText&gt;(DoH, 2020)&lt;/DisplayText&gt;&lt;record&gt;&lt;rec-number&gt;8&lt;/rec-number&gt;&lt;foreign-keys&gt;&lt;key app="EN" db-id="p2x2vx2p3zv0e1e5vt6vesa9vsxzvwe20xzw" timestamp="1599624490"&gt;8&lt;/key&gt;&lt;/foreign-keys&gt;&lt;ref-type name="Journal Article"&gt;17&lt;/ref-type&gt;&lt;contributors&gt;&lt;authors&gt;&lt;author&gt;DoH&lt;/author&gt;&lt;/authors&gt;&lt;/contributors&gt;&lt;titles&gt;&lt;title&gt;July 2020 Prostheses List - Part A.pdf&lt;/title&gt;&lt;/titles&gt;&lt;dates&gt;&lt;year&gt;2020&lt;/year&gt;&lt;/dates&gt;&lt;urls&gt;&lt;related-urls&gt;&lt;url&gt;https://www1.health.gov.au/internet/main/publishing.nsf/Content/69F6A026037D6093CA257BF0001B5EDA/$File/July%202020%20Prostheses%20List%20-%20Part%20A.pdf&lt;/url&gt;&lt;/related-urls&gt;&lt;/urls&gt;&lt;/record&gt;&lt;/Cite&gt;&lt;/EndNote&gt;</w:instrText>
      </w:r>
      <w:r w:rsidRPr="004F31A4">
        <w:rPr>
          <w:rFonts w:ascii="Arial Narrow" w:hAnsi="Arial Narrow" w:cs="Arial"/>
          <w:sz w:val="16"/>
          <w:szCs w:val="16"/>
          <w:lang w:eastAsia="en-US"/>
        </w:rPr>
        <w:fldChar w:fldCharType="separate"/>
      </w:r>
      <w:r w:rsidRPr="004F31A4">
        <w:rPr>
          <w:rFonts w:ascii="Arial Narrow" w:hAnsi="Arial Narrow" w:cs="Arial"/>
          <w:noProof/>
          <w:sz w:val="16"/>
          <w:szCs w:val="16"/>
          <w:lang w:eastAsia="en-US"/>
        </w:rPr>
        <w:t>(</w:t>
      </w:r>
      <w:hyperlink w:anchor="_ENREF_15" w:tooltip="DoH, 2020 #8" w:history="1">
        <w:r w:rsidRPr="004F31A4">
          <w:rPr>
            <w:rFonts w:ascii="Arial Narrow" w:hAnsi="Arial Narrow" w:cs="Arial"/>
            <w:noProof/>
            <w:sz w:val="16"/>
            <w:szCs w:val="16"/>
            <w:lang w:eastAsia="en-US"/>
          </w:rPr>
          <w:t>DoH, 2020</w:t>
        </w:r>
      </w:hyperlink>
      <w:r w:rsidRPr="004F31A4">
        <w:rPr>
          <w:rFonts w:ascii="Arial Narrow" w:hAnsi="Arial Narrow" w:cs="Arial"/>
          <w:noProof/>
          <w:sz w:val="16"/>
          <w:szCs w:val="16"/>
          <w:lang w:eastAsia="en-US"/>
        </w:rPr>
        <w:t>)</w:t>
      </w:r>
      <w:r w:rsidRPr="004F31A4">
        <w:rPr>
          <w:rFonts w:ascii="Arial Narrow" w:hAnsi="Arial Narrow" w:cs="Arial"/>
          <w:sz w:val="16"/>
          <w:szCs w:val="16"/>
          <w:lang w:eastAsia="en-US"/>
        </w:rPr>
        <w:fldChar w:fldCharType="end"/>
      </w:r>
      <w:r w:rsidRPr="004F31A4">
        <w:rPr>
          <w:rFonts w:ascii="Arial Narrow" w:hAnsi="Arial Narrow" w:cs="Arial"/>
          <w:sz w:val="16"/>
          <w:szCs w:val="16"/>
          <w:lang w:eastAsia="en-US"/>
        </w:rPr>
        <w:t xml:space="preserve">. This was revised during the evaluation. Net cost of SAVR prosthesis estimated as </w:t>
      </w:r>
      <w:r w:rsidR="00274B4B" w:rsidRPr="00274B4B">
        <w:rPr>
          <w:rFonts w:ascii="Arial Narrow" w:hAnsi="Arial Narrow" w:cs="Tahoma"/>
          <w:b/>
          <w:sz w:val="16"/>
        </w:rPr>
        <w:t>$redacted</w:t>
      </w:r>
      <w:r w:rsidR="00274B4B" w:rsidRPr="00274B4B">
        <w:rPr>
          <w:rFonts w:ascii="Arial Narrow" w:hAnsi="Arial Narrow" w:cs="Arial"/>
          <w:sz w:val="12"/>
          <w:szCs w:val="16"/>
          <w:lang w:eastAsia="en-US"/>
        </w:rPr>
        <w:t xml:space="preserve"> </w:t>
      </w:r>
      <w:r w:rsidRPr="004F31A4">
        <w:rPr>
          <w:rFonts w:ascii="Arial Narrow" w:hAnsi="Arial Narrow" w:cs="Arial"/>
          <w:sz w:val="16"/>
          <w:szCs w:val="16"/>
          <w:lang w:eastAsia="en-US"/>
        </w:rPr>
        <w:t xml:space="preserve">(Table 42 of the </w:t>
      </w:r>
      <w:r w:rsidR="00DD7827" w:rsidRPr="004F31A4">
        <w:rPr>
          <w:rFonts w:ascii="Arial Narrow" w:hAnsi="Arial Narrow" w:cs="Arial"/>
          <w:sz w:val="16"/>
          <w:szCs w:val="16"/>
          <w:lang w:eastAsia="en-US"/>
        </w:rPr>
        <w:t>Commentary</w:t>
      </w:r>
      <w:r w:rsidRPr="004F31A4">
        <w:rPr>
          <w:rFonts w:ascii="Arial Narrow" w:hAnsi="Arial Narrow" w:cs="Arial"/>
          <w:sz w:val="16"/>
          <w:szCs w:val="16"/>
          <w:lang w:eastAsia="en-US"/>
        </w:rPr>
        <w:t>).</w:t>
      </w:r>
    </w:p>
    <w:p w14:paraId="425F6297" w14:textId="11673A42" w:rsidR="005D25EA" w:rsidRPr="004F31A4" w:rsidRDefault="005D25EA" w:rsidP="005D25EA">
      <w:pPr>
        <w:widowControl w:val="0"/>
        <w:snapToGrid w:val="0"/>
        <w:jc w:val="both"/>
        <w:rPr>
          <w:rFonts w:ascii="Arial Narrow" w:hAnsi="Arial Narrow" w:cs="Arial"/>
          <w:sz w:val="16"/>
          <w:szCs w:val="16"/>
          <w:lang w:eastAsia="en-US"/>
        </w:rPr>
      </w:pPr>
      <w:r w:rsidRPr="004F31A4">
        <w:rPr>
          <w:rFonts w:ascii="Arial Narrow" w:hAnsi="Arial Narrow" w:cs="Arial"/>
          <w:sz w:val="16"/>
          <w:szCs w:val="16"/>
          <w:vertAlign w:val="superscript"/>
          <w:lang w:eastAsia="en-US"/>
        </w:rPr>
        <w:t xml:space="preserve">c </w:t>
      </w:r>
      <w:r w:rsidRPr="004F31A4">
        <w:rPr>
          <w:rFonts w:ascii="Arial Narrow" w:hAnsi="Arial Narrow" w:cs="Arial"/>
          <w:sz w:val="16"/>
          <w:szCs w:val="16"/>
          <w:lang w:eastAsia="en-US"/>
        </w:rPr>
        <w:t xml:space="preserve">The evaluation included </w:t>
      </w:r>
      <w:r w:rsidRPr="004F31A4">
        <w:rPr>
          <w:rFonts w:ascii="Arial Narrow" w:hAnsi="Arial Narrow" w:cstheme="minorHAnsi"/>
          <w:sz w:val="16"/>
          <w:szCs w:val="16"/>
          <w:lang w:eastAsia="en-US"/>
        </w:rPr>
        <w:t xml:space="preserve">prostheses costs and hospital stay costs </w:t>
      </w:r>
      <w:r w:rsidR="00274B4B">
        <w:rPr>
          <w:rFonts w:ascii="Arial Narrow" w:hAnsi="Arial Narrow" w:cstheme="minorHAnsi"/>
          <w:sz w:val="16"/>
          <w:szCs w:val="16"/>
          <w:lang w:eastAsia="en-US"/>
        </w:rPr>
        <w:t>(</w:t>
      </w:r>
      <w:r w:rsidR="00274B4B" w:rsidRPr="00274B4B">
        <w:rPr>
          <w:rFonts w:ascii="Arial Narrow" w:hAnsi="Arial Narrow" w:cs="Tahoma"/>
          <w:b/>
          <w:sz w:val="16"/>
        </w:rPr>
        <w:t>$redacted</w:t>
      </w:r>
      <w:r w:rsidR="00274B4B" w:rsidRPr="00274B4B">
        <w:rPr>
          <w:rFonts w:ascii="Arial Narrow" w:hAnsi="Arial Narrow" w:cstheme="minorHAnsi"/>
          <w:sz w:val="12"/>
          <w:szCs w:val="16"/>
          <w:lang w:eastAsia="en-US"/>
        </w:rPr>
        <w:t xml:space="preserve"> </w:t>
      </w:r>
      <w:r w:rsidRPr="004F31A4">
        <w:rPr>
          <w:rFonts w:ascii="Arial Narrow" w:hAnsi="Arial Narrow" w:cstheme="minorHAnsi"/>
          <w:sz w:val="16"/>
          <w:szCs w:val="16"/>
          <w:lang w:eastAsia="en-US"/>
        </w:rPr>
        <w:t xml:space="preserve">for TAVI,  </w:t>
      </w:r>
      <w:r w:rsidR="00274B4B" w:rsidRPr="00274B4B">
        <w:rPr>
          <w:rFonts w:ascii="Arial Narrow" w:hAnsi="Arial Narrow" w:cs="Tahoma"/>
          <w:b/>
          <w:sz w:val="16"/>
        </w:rPr>
        <w:t>$redacted</w:t>
      </w:r>
      <w:r w:rsidRPr="004F31A4">
        <w:rPr>
          <w:rFonts w:ascii="Arial Narrow" w:hAnsi="Arial Narrow" w:cstheme="minorHAnsi"/>
          <w:sz w:val="16"/>
          <w:szCs w:val="16"/>
          <w:lang w:eastAsia="en-US"/>
        </w:rPr>
        <w:t>) for private patients based on hospitalisation costs updated to 2021 values and TAVI hospitalisation costs being 44% of SAVR  hospitalisation cost, excluding prosthesis</w:t>
      </w:r>
    </w:p>
    <w:p w14:paraId="60560FBF" w14:textId="060E6F33" w:rsidR="005D25EA" w:rsidRPr="004F31A4" w:rsidRDefault="005D25EA" w:rsidP="005D25EA">
      <w:pPr>
        <w:widowControl w:val="0"/>
        <w:snapToGrid w:val="0"/>
        <w:spacing w:after="240"/>
        <w:jc w:val="both"/>
        <w:rPr>
          <w:rFonts w:ascii="Arial Narrow" w:hAnsi="Arial Narrow" w:cs="Arial"/>
          <w:sz w:val="16"/>
          <w:szCs w:val="16"/>
          <w:lang w:eastAsia="en-US"/>
        </w:rPr>
      </w:pPr>
      <w:r w:rsidRPr="004F31A4">
        <w:rPr>
          <w:rFonts w:ascii="Arial Narrow" w:hAnsi="Arial Narrow" w:cs="Arial"/>
          <w:sz w:val="16"/>
          <w:szCs w:val="16"/>
          <w:lang w:eastAsia="en-US"/>
        </w:rPr>
        <w:t xml:space="preserve">Source: Table 8, ppxx-xxi of the </w:t>
      </w:r>
      <w:r w:rsidR="00DD7827" w:rsidRPr="004F31A4">
        <w:rPr>
          <w:rFonts w:ascii="Arial Narrow" w:hAnsi="Arial Narrow" w:cs="Arial"/>
          <w:sz w:val="16"/>
          <w:szCs w:val="16"/>
          <w:lang w:eastAsia="en-US"/>
        </w:rPr>
        <w:t>Commentary</w:t>
      </w:r>
      <w:r w:rsidRPr="004F31A4">
        <w:rPr>
          <w:rFonts w:ascii="Arial Narrow" w:hAnsi="Arial Narrow" w:cs="Arial"/>
          <w:sz w:val="16"/>
          <w:szCs w:val="16"/>
          <w:lang w:eastAsia="en-US"/>
        </w:rPr>
        <w:t xml:space="preserve">, </w:t>
      </w:r>
      <w:r w:rsidRPr="004F31A4">
        <w:rPr>
          <w:rFonts w:ascii="Arial Narrow" w:hAnsi="Arial Narrow" w:cs="Arial"/>
          <w:i/>
          <w:sz w:val="16"/>
          <w:szCs w:val="16"/>
          <w:lang w:eastAsia="en-US"/>
        </w:rPr>
        <w:t>and revised Post ESC</w:t>
      </w:r>
      <w:r w:rsidRPr="004F31A4">
        <w:rPr>
          <w:rFonts w:ascii="Arial Narrow" w:hAnsi="Arial Narrow" w:cs="Arial"/>
          <w:sz w:val="16"/>
          <w:szCs w:val="16"/>
          <w:lang w:eastAsia="en-US"/>
        </w:rPr>
        <w:t xml:space="preserve"> </w:t>
      </w:r>
    </w:p>
    <w:p w14:paraId="60A70ADF" w14:textId="77A063FB" w:rsidR="005D25EA" w:rsidRPr="006618B7" w:rsidRDefault="005D25EA" w:rsidP="005D25EA">
      <w:r w:rsidRPr="006618B7">
        <w:rPr>
          <w:iCs/>
        </w:rPr>
        <w:t xml:space="preserve">The </w:t>
      </w:r>
      <w:r w:rsidR="00DD7827">
        <w:rPr>
          <w:iCs/>
        </w:rPr>
        <w:t>Commentary</w:t>
      </w:r>
      <w:r w:rsidRPr="006618B7">
        <w:rPr>
          <w:iCs/>
        </w:rPr>
        <w:t xml:space="preserve"> considered that the cost of listing of TAVI-BEV is uncer</w:t>
      </w:r>
      <w:r w:rsidR="00ED374F">
        <w:rPr>
          <w:iCs/>
        </w:rPr>
        <w:t>tain for the following reasons:</w:t>
      </w:r>
    </w:p>
    <w:p w14:paraId="0358E9DA" w14:textId="77777777" w:rsidR="005D25EA" w:rsidRDefault="005D25EA" w:rsidP="005D25EA">
      <w:pPr>
        <w:pStyle w:val="ListParagraph"/>
        <w:numPr>
          <w:ilvl w:val="0"/>
          <w:numId w:val="36"/>
        </w:numPr>
      </w:pPr>
      <w:r w:rsidRPr="006618B7">
        <w:rPr>
          <w:iCs/>
        </w:rPr>
        <w:t>The</w:t>
      </w:r>
      <w:r w:rsidRPr="006618B7">
        <w:t xml:space="preserve"> ADAR considered that TAVI-BEV would only replace SAVR. </w:t>
      </w:r>
      <w:r w:rsidRPr="006618B7">
        <w:rPr>
          <w:iCs/>
        </w:rPr>
        <w:t xml:space="preserve">However TAVI-BEV may also replace medical management as some intermediate-risk patients would prefer to not undergo major open-heart surgery with SAVR but would opt for minimally invasive surgery with TAVI-BEV. </w:t>
      </w:r>
      <w:r w:rsidRPr="006618B7">
        <w:t>Depending on patient numbers, TAVI-BEV could be significantly more costly th</w:t>
      </w:r>
      <w:r>
        <w:t>an what is proposed by the ADAR</w:t>
      </w:r>
    </w:p>
    <w:p w14:paraId="051005B3" w14:textId="77777777" w:rsidR="005D25EA" w:rsidRDefault="005D25EA" w:rsidP="005D25EA">
      <w:pPr>
        <w:pStyle w:val="ListParagraph"/>
        <w:numPr>
          <w:ilvl w:val="0"/>
          <w:numId w:val="36"/>
        </w:numPr>
      </w:pPr>
      <w:r w:rsidRPr="006618B7">
        <w:rPr>
          <w:iCs/>
        </w:rPr>
        <w:t>The</w:t>
      </w:r>
      <w:r w:rsidRPr="006618B7">
        <w:t xml:space="preserve"> ADAR assumed that all eligible patients currently treated with SAVR would opt for treatment with TAVI-BEV (100% uptake). However, many patients would not be suitable candidates for treatment with TAVI-BEV. </w:t>
      </w:r>
      <w:r w:rsidRPr="006618B7">
        <w:rPr>
          <w:iCs/>
        </w:rPr>
        <w:t xml:space="preserve">For example, the European Society of Cardiology and EACTS Guidelines for Valvular Heart Disease, state that SAVR is generally preferred in patients under 75 years and TAVI in patients 75 years and older </w:t>
      </w:r>
      <w:r w:rsidRPr="006618B7">
        <w:rPr>
          <w:iCs/>
        </w:rPr>
        <w:fldChar w:fldCharType="begin">
          <w:fldData xml:space="preserve">PEVuZE5vdGU+PENpdGU+PEF1dGhvcj5CYXVtZ2FydG5lcjwvQXV0aG9yPjxZZWFyPjIwMTc8L1ll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</w:fldData>
        </w:fldChar>
      </w:r>
      <w:r w:rsidRPr="006618B7">
        <w:rPr>
          <w:iCs/>
        </w:rPr>
        <w:instrText xml:space="preserve"> ADDIN EN.CITE </w:instrText>
      </w:r>
      <w:r w:rsidRPr="006618B7">
        <w:rPr>
          <w:iCs/>
        </w:rPr>
        <w:fldChar w:fldCharType="begin">
          <w:fldData xml:space="preserve">PEVuZE5vdGU+PENpdGU+PEF1dGhvcj5CYXVtZ2FydG5lcjwvQXV0aG9yPjxZZWFyPjIwMTc8L1ll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</w:fldData>
        </w:fldChar>
      </w:r>
      <w:r w:rsidRPr="006618B7">
        <w:rPr>
          <w:iCs/>
        </w:rPr>
        <w:instrText xml:space="preserve"> ADDIN EN.CITE.DATA </w:instrText>
      </w:r>
      <w:r w:rsidRPr="006618B7">
        <w:rPr>
          <w:iCs/>
        </w:rPr>
      </w:r>
      <w:r w:rsidRPr="006618B7">
        <w:rPr>
          <w:iCs/>
        </w:rPr>
        <w:fldChar w:fldCharType="end"/>
      </w:r>
      <w:r w:rsidRPr="006618B7">
        <w:rPr>
          <w:iCs/>
        </w:rPr>
      </w:r>
      <w:r w:rsidRPr="006618B7">
        <w:rPr>
          <w:iCs/>
        </w:rPr>
        <w:fldChar w:fldCharType="separate"/>
      </w:r>
      <w:r w:rsidRPr="006618B7">
        <w:rPr>
          <w:iCs/>
          <w:noProof/>
        </w:rPr>
        <w:t>(Baumgartner et al., 2017)</w:t>
      </w:r>
      <w:r w:rsidRPr="006618B7">
        <w:rPr>
          <w:iCs/>
        </w:rPr>
        <w:fldChar w:fldCharType="end"/>
      </w:r>
      <w:r w:rsidRPr="006618B7">
        <w:rPr>
          <w:iCs/>
        </w:rPr>
        <w:t xml:space="preserve">. </w:t>
      </w:r>
      <w:r w:rsidRPr="006618B7">
        <w:t>This could result in higher or lower cost-savin</w:t>
      </w:r>
      <w:r>
        <w:t>gs to the Australian government</w:t>
      </w:r>
    </w:p>
    <w:p w14:paraId="52B74BAA" w14:textId="70E81B09" w:rsidR="005D25EA" w:rsidRDefault="005D25EA" w:rsidP="00AB5C2E">
      <w:pPr>
        <w:pStyle w:val="ListParagraph"/>
        <w:numPr>
          <w:ilvl w:val="0"/>
          <w:numId w:val="35"/>
        </w:numPr>
      </w:pPr>
      <w:r>
        <w:t xml:space="preserve">As per the economic model, uncertainty in the length of hospitalisation stay and therefore the hospitalisation cost of </w:t>
      </w:r>
      <w:r w:rsidR="00E40C30">
        <w:t>TAVI-BEV</w:t>
      </w:r>
      <w:r>
        <w:t xml:space="preserve">. </w:t>
      </w:r>
      <w:r w:rsidRPr="00144212">
        <w:t xml:space="preserve">Sensitivity analyses found that changing the ratio of hospital-stay between TAVI-BEV and SAVR patients from 0.44 (4 days </w:t>
      </w:r>
      <w:r w:rsidRPr="006618B7">
        <w:rPr>
          <w:i/>
        </w:rPr>
        <w:t>vs.</w:t>
      </w:r>
      <w:r w:rsidRPr="00144212">
        <w:t xml:space="preserve"> 9 days) to 0.82 (9 days </w:t>
      </w:r>
      <w:r w:rsidRPr="006618B7">
        <w:rPr>
          <w:i/>
        </w:rPr>
        <w:t>vs</w:t>
      </w:r>
      <w:r w:rsidRPr="00144212">
        <w:t>. 11 days</w:t>
      </w:r>
      <w:r>
        <w:t>) [Si et al. 2019]</w:t>
      </w:r>
      <w:r>
        <w:rPr>
          <w:rStyle w:val="FootnoteReference"/>
        </w:rPr>
        <w:footnoteReference w:id="16"/>
      </w:r>
      <w:r>
        <w:t xml:space="preserve"> </w:t>
      </w:r>
      <w:r w:rsidRPr="00144212">
        <w:t xml:space="preserve">changed the results of the financial model from producing </w:t>
      </w:r>
      <w:r w:rsidR="00AB5C2E" w:rsidRPr="00AB5C2E">
        <w:rPr>
          <w:b/>
        </w:rPr>
        <w:t xml:space="preserve">$redacted </w:t>
      </w:r>
      <w:r w:rsidRPr="00144212">
        <w:t>million in cost-savings to the Australian government over five years, to costing the Australian governme</w:t>
      </w:r>
      <w:r>
        <w:t xml:space="preserve">nt </w:t>
      </w:r>
      <w:r w:rsidR="00AB5C2E" w:rsidRPr="00AB5C2E">
        <w:rPr>
          <w:b/>
        </w:rPr>
        <w:t xml:space="preserve">$redacted </w:t>
      </w:r>
      <w:r>
        <w:t>million over five years</w:t>
      </w:r>
    </w:p>
    <w:p w14:paraId="5CDE95F8" w14:textId="77777777" w:rsidR="005D25EA" w:rsidRPr="00936557" w:rsidRDefault="005D25EA" w:rsidP="005D25EA">
      <w:pPr>
        <w:pStyle w:val="ListParagraph"/>
        <w:numPr>
          <w:ilvl w:val="0"/>
          <w:numId w:val="35"/>
        </w:numPr>
      </w:pPr>
      <w:r w:rsidRPr="00144212">
        <w:t>There is also the potential for TAVI-BEV to be used in lower-risk patients as the proposed MBS item does not provide an objective definition of a patient who ’has been assessed by the Heart Team as having an intermediate risk for surgical aortic valve replacement’ This could result in higher or lower cost-savings to the Australian government.</w:t>
      </w:r>
    </w:p>
    <w:p w14:paraId="622C236F" w14:textId="77777777" w:rsidR="006A0D97" w:rsidRPr="00F715D1" w:rsidRDefault="006A0D97" w:rsidP="00F715D1">
      <w:pPr>
        <w:pStyle w:val="Heading1"/>
      </w:pPr>
      <w:r w:rsidRPr="00F715D1">
        <w:t>Key issues from ESC for MSAC</w:t>
      </w:r>
    </w:p>
    <w:tbl>
      <w:tblPr>
        <w:tblStyle w:val="TableGrid"/>
        <w:tblW w:w="0" w:type="auto"/>
        <w:tblLook w:val="04A0" w:firstRow="1" w:lastRow="0" w:firstColumn="1" w:lastColumn="0" w:noHBand="0" w:noVBand="1"/>
        <w:tblDescription w:val="Key issues from ESC for MSAC consideration"/>
      </w:tblPr>
      <w:tblGrid>
        <w:gridCol w:w="2405"/>
        <w:gridCol w:w="6611"/>
      </w:tblGrid>
      <w:tr w:rsidR="002063FA" w:rsidRPr="002063FA" w14:paraId="20EB6837" w14:textId="77777777" w:rsidTr="002063FA">
        <w:trPr>
          <w:cantSplit/>
          <w:tblHeader/>
        </w:trPr>
        <w:tc>
          <w:tcPr>
            <w:tcW w:w="2405" w:type="dxa"/>
          </w:tcPr>
          <w:p w14:paraId="52583915" w14:textId="77777777" w:rsidR="002063FA" w:rsidRPr="002063FA" w:rsidRDefault="002063FA" w:rsidP="002063FA">
            <w:pPr>
              <w:pStyle w:val="TableHeading"/>
              <w:keepNext w:val="0"/>
              <w:widowControl w:val="0"/>
              <w:rPr>
                <w:rFonts w:cs="Times New Roman"/>
                <w:szCs w:val="22"/>
              </w:rPr>
            </w:pPr>
            <w:r w:rsidRPr="002063FA">
              <w:rPr>
                <w:rFonts w:cs="Times New Roman"/>
                <w:szCs w:val="22"/>
              </w:rPr>
              <w:t>ESC key issue</w:t>
            </w:r>
          </w:p>
        </w:tc>
        <w:tc>
          <w:tcPr>
            <w:tcW w:w="6611" w:type="dxa"/>
          </w:tcPr>
          <w:p w14:paraId="1D92B9B7" w14:textId="77777777" w:rsidR="002063FA" w:rsidRPr="002063FA" w:rsidRDefault="002063FA" w:rsidP="002063FA">
            <w:pPr>
              <w:pStyle w:val="TableHeading"/>
              <w:keepNext w:val="0"/>
              <w:widowControl w:val="0"/>
              <w:rPr>
                <w:rFonts w:cs="Times New Roman"/>
                <w:szCs w:val="22"/>
              </w:rPr>
            </w:pPr>
            <w:r w:rsidRPr="002063FA">
              <w:rPr>
                <w:rFonts w:cs="Times New Roman"/>
                <w:szCs w:val="22"/>
              </w:rPr>
              <w:t>ESC advice to MSAC</w:t>
            </w:r>
          </w:p>
        </w:tc>
      </w:tr>
      <w:tr w:rsidR="002063FA" w:rsidRPr="002063FA" w14:paraId="683B8A8D" w14:textId="77777777" w:rsidTr="002063FA">
        <w:trPr>
          <w:cantSplit/>
          <w:trHeight w:val="1234"/>
        </w:trPr>
        <w:tc>
          <w:tcPr>
            <w:tcW w:w="2405" w:type="dxa"/>
            <w:hideMark/>
          </w:tcPr>
          <w:p w14:paraId="0209CB71"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Safety </w:t>
            </w:r>
            <w:r w:rsidRPr="002063FA">
              <w:rPr>
                <w:rFonts w:ascii="Arial Narrow" w:hAnsi="Arial Narrow"/>
                <w:i/>
                <w:sz w:val="20"/>
                <w:szCs w:val="22"/>
              </w:rPr>
              <w:t>vs.</w:t>
            </w:r>
            <w:r w:rsidRPr="002063FA">
              <w:rPr>
                <w:rFonts w:ascii="Arial Narrow" w:hAnsi="Arial Narrow"/>
                <w:sz w:val="20"/>
                <w:szCs w:val="22"/>
              </w:rPr>
              <w:t xml:space="preserve"> SAVR</w:t>
            </w:r>
          </w:p>
        </w:tc>
        <w:tc>
          <w:tcPr>
            <w:tcW w:w="6611" w:type="dxa"/>
            <w:hideMark/>
          </w:tcPr>
          <w:p w14:paraId="4CCE7023"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Patients treated with TAVI-BEV had a higher rate of moderate or severe aortic regurgitation than patients treated with SAVR at 12 months follow-up and a higher chance of requiring a permanent pacemaker after TAVI-BEV.</w:t>
            </w:r>
          </w:p>
          <w:p w14:paraId="26B0D080"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TAVI-BEV is safer with regards to the incidence of myocardial infarction and atrial fibrillation.</w:t>
            </w:r>
          </w:p>
        </w:tc>
      </w:tr>
      <w:tr w:rsidR="002063FA" w:rsidRPr="002063FA" w14:paraId="333687FE" w14:textId="77777777" w:rsidTr="002063FA">
        <w:trPr>
          <w:cantSplit/>
          <w:trHeight w:val="680"/>
        </w:trPr>
        <w:tc>
          <w:tcPr>
            <w:tcW w:w="2405" w:type="dxa"/>
            <w:hideMark/>
          </w:tcPr>
          <w:p w14:paraId="4F3F2B13"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Effectiveness </w:t>
            </w:r>
            <w:r w:rsidRPr="002063FA">
              <w:rPr>
                <w:rFonts w:ascii="Arial Narrow" w:hAnsi="Arial Narrow"/>
                <w:i/>
                <w:sz w:val="20"/>
                <w:szCs w:val="22"/>
              </w:rPr>
              <w:t>vs.</w:t>
            </w:r>
            <w:r w:rsidRPr="002063FA">
              <w:rPr>
                <w:rFonts w:ascii="Arial Narrow" w:hAnsi="Arial Narrow"/>
                <w:sz w:val="20"/>
                <w:szCs w:val="22"/>
              </w:rPr>
              <w:t xml:space="preserve"> SAVR</w:t>
            </w:r>
          </w:p>
        </w:tc>
        <w:tc>
          <w:tcPr>
            <w:tcW w:w="6611" w:type="dxa"/>
            <w:hideMark/>
          </w:tcPr>
          <w:p w14:paraId="4564484D"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TAVI-BEV is superior for the outcomes of death and stroke at 12 months follow-up, but the ADAR did not present longer term comparative data for TAVI-BEV </w:t>
            </w:r>
            <w:r w:rsidRPr="002063FA">
              <w:rPr>
                <w:rFonts w:ascii="Arial Narrow" w:hAnsi="Arial Narrow"/>
                <w:i/>
                <w:sz w:val="20"/>
                <w:szCs w:val="22"/>
              </w:rPr>
              <w:t>vs.</w:t>
            </w:r>
            <w:r w:rsidRPr="002063FA">
              <w:rPr>
                <w:rFonts w:ascii="Arial Narrow" w:hAnsi="Arial Narrow"/>
                <w:sz w:val="20"/>
                <w:szCs w:val="22"/>
              </w:rPr>
              <w:t xml:space="preserve"> SAVR. However, The Pre-ESC Response (p2) noted that 5-year data from PARTNER 3Si are available (although no publication or verifiable evidence-based data was provided) and showed that differences between the TAVI-BEV and SAVR groups in terms of mortality and disabling stroke persisted, although survival curves for mortality began to converge from Year 3. </w:t>
            </w:r>
          </w:p>
        </w:tc>
      </w:tr>
      <w:tr w:rsidR="002063FA" w:rsidRPr="002063FA" w14:paraId="72123BB0" w14:textId="77777777" w:rsidTr="002063FA">
        <w:trPr>
          <w:cantSplit/>
          <w:trHeight w:val="692"/>
        </w:trPr>
        <w:tc>
          <w:tcPr>
            <w:tcW w:w="2405" w:type="dxa"/>
            <w:hideMark/>
          </w:tcPr>
          <w:p w14:paraId="4E0BE2D4"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Indirect comparison of TAVI-BEV </w:t>
            </w:r>
            <w:r w:rsidRPr="002063FA">
              <w:rPr>
                <w:rFonts w:ascii="Arial Narrow" w:hAnsi="Arial Narrow"/>
                <w:i/>
                <w:sz w:val="20"/>
                <w:szCs w:val="22"/>
              </w:rPr>
              <w:t>vs.</w:t>
            </w:r>
            <w:r w:rsidRPr="002063FA">
              <w:rPr>
                <w:rFonts w:ascii="Arial Narrow" w:hAnsi="Arial Narrow"/>
                <w:sz w:val="20"/>
                <w:szCs w:val="22"/>
              </w:rPr>
              <w:t xml:space="preserve"> SEV</w:t>
            </w:r>
          </w:p>
        </w:tc>
        <w:tc>
          <w:tcPr>
            <w:tcW w:w="6611" w:type="dxa"/>
            <w:hideMark/>
          </w:tcPr>
          <w:p w14:paraId="3909CAC3"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Probably no difference, although level of evidence is low quality, noting the exchangeability issues (e.g. different primary outcome, different generation TAVI devices, different baseline characteristics) with PARTNER S3i </w:t>
            </w:r>
            <w:r w:rsidRPr="002063FA">
              <w:rPr>
                <w:rFonts w:ascii="Arial Narrow" w:hAnsi="Arial Narrow"/>
                <w:i/>
                <w:sz w:val="20"/>
                <w:szCs w:val="22"/>
              </w:rPr>
              <w:t xml:space="preserve">vs. </w:t>
            </w:r>
            <w:r w:rsidRPr="002063FA">
              <w:rPr>
                <w:rFonts w:ascii="Arial Narrow" w:hAnsi="Arial Narrow"/>
                <w:sz w:val="20"/>
                <w:szCs w:val="22"/>
              </w:rPr>
              <w:t xml:space="preserve">SURTAVI (SEV) </w:t>
            </w:r>
          </w:p>
          <w:p w14:paraId="47B47C52"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Overall, ESC considered that there was a reasonable case to support a TAVI device agnostic approach. </w:t>
            </w:r>
          </w:p>
        </w:tc>
      </w:tr>
      <w:tr w:rsidR="002063FA" w:rsidRPr="002063FA" w14:paraId="26724243" w14:textId="77777777" w:rsidTr="002063FA">
        <w:trPr>
          <w:cantSplit/>
          <w:trHeight w:val="735"/>
        </w:trPr>
        <w:tc>
          <w:tcPr>
            <w:tcW w:w="2405" w:type="dxa"/>
          </w:tcPr>
          <w:p w14:paraId="4088D057"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Economic model of TAVI-BEV </w:t>
            </w:r>
            <w:r w:rsidRPr="002063FA">
              <w:rPr>
                <w:rFonts w:ascii="Arial Narrow" w:hAnsi="Arial Narrow"/>
                <w:i/>
                <w:sz w:val="20"/>
                <w:szCs w:val="22"/>
              </w:rPr>
              <w:t>vs.</w:t>
            </w:r>
            <w:r w:rsidRPr="002063FA">
              <w:rPr>
                <w:rFonts w:ascii="Arial Narrow" w:hAnsi="Arial Narrow"/>
                <w:sz w:val="20"/>
                <w:szCs w:val="22"/>
              </w:rPr>
              <w:t xml:space="preserve"> SAVR</w:t>
            </w:r>
          </w:p>
        </w:tc>
        <w:tc>
          <w:tcPr>
            <w:tcW w:w="6611" w:type="dxa"/>
          </w:tcPr>
          <w:p w14:paraId="5BAD67C1" w14:textId="617D374B" w:rsidR="002063FA" w:rsidRPr="002063FA" w:rsidRDefault="002063FA" w:rsidP="008F7015">
            <w:pPr>
              <w:pStyle w:val="TableText"/>
              <w:keepNext w:val="0"/>
              <w:widowControl w:val="0"/>
              <w:rPr>
                <w:rFonts w:ascii="Arial Narrow" w:hAnsi="Arial Narrow"/>
                <w:sz w:val="20"/>
                <w:szCs w:val="22"/>
              </w:rPr>
            </w:pPr>
            <w:r w:rsidRPr="002063FA">
              <w:rPr>
                <w:rFonts w:ascii="Arial Narrow" w:hAnsi="Arial Narrow"/>
                <w:sz w:val="20"/>
                <w:szCs w:val="22"/>
              </w:rPr>
              <w:t xml:space="preserve">The cost-utility analysis was based on the clinical claim of superior effectiveness compared with SAVR in terms of death and disabling stroke. However, the Pre-ESC response revised the economic model as the 5-year data from the PARTNER 3Si study found the survival curves for mortality began to converge from Year 3. TAVI-BEV remained dominant (i.e. cheaper, more effective) in the revised economic model. TAVI-BEV’s dominance was due to the estimated reduction in hospitalisation costs which might be uncertain as it was informed by </w:t>
            </w:r>
            <w:r w:rsidR="000B623A">
              <w:rPr>
                <w:rFonts w:ascii="Arial Narrow" w:hAnsi="Arial Narrow"/>
                <w:sz w:val="20"/>
                <w:szCs w:val="22"/>
              </w:rPr>
              <w:t>propensity score analysis</w:t>
            </w:r>
            <w:r w:rsidRPr="002063FA">
              <w:rPr>
                <w:rFonts w:ascii="Arial Narrow" w:hAnsi="Arial Narrow"/>
                <w:sz w:val="20"/>
                <w:szCs w:val="22"/>
              </w:rPr>
              <w:t xml:space="preserve"> </w:t>
            </w:r>
            <w:r w:rsidR="000B623A">
              <w:rPr>
                <w:rFonts w:ascii="Arial Narrow" w:hAnsi="Arial Narrow"/>
                <w:sz w:val="20"/>
                <w:szCs w:val="22"/>
              </w:rPr>
              <w:t>(</w:t>
            </w:r>
            <w:r w:rsidRPr="002063FA">
              <w:rPr>
                <w:rFonts w:ascii="Arial Narrow" w:hAnsi="Arial Narrow"/>
                <w:sz w:val="20"/>
                <w:szCs w:val="22"/>
              </w:rPr>
              <w:t>PARTNER 3Si</w:t>
            </w:r>
            <w:r w:rsidR="000B623A">
              <w:rPr>
                <w:rFonts w:ascii="Arial Narrow" w:hAnsi="Arial Narrow"/>
                <w:sz w:val="20"/>
                <w:szCs w:val="22"/>
              </w:rPr>
              <w:t>)</w:t>
            </w:r>
            <w:r w:rsidRPr="002063FA">
              <w:rPr>
                <w:rFonts w:ascii="Arial Narrow" w:hAnsi="Arial Narrow"/>
                <w:sz w:val="20"/>
                <w:szCs w:val="22"/>
              </w:rPr>
              <w:t xml:space="preserve"> study, which might favour TAVI-BEV.</w:t>
            </w:r>
          </w:p>
        </w:tc>
      </w:tr>
      <w:tr w:rsidR="002063FA" w:rsidRPr="002063FA" w14:paraId="0F9F2F35" w14:textId="77777777" w:rsidTr="002063FA">
        <w:trPr>
          <w:cantSplit/>
          <w:trHeight w:val="735"/>
        </w:trPr>
        <w:tc>
          <w:tcPr>
            <w:tcW w:w="2405" w:type="dxa"/>
            <w:hideMark/>
          </w:tcPr>
          <w:p w14:paraId="0864D471"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Utilisation and potential for leakage</w:t>
            </w:r>
          </w:p>
        </w:tc>
        <w:tc>
          <w:tcPr>
            <w:tcW w:w="6611" w:type="dxa"/>
            <w:hideMark/>
          </w:tcPr>
          <w:p w14:paraId="1F36AD33"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“Real life” decisions by the Heart Care team about characteristics are not included in the various surgical risks scores.</w:t>
            </w:r>
          </w:p>
        </w:tc>
      </w:tr>
      <w:tr w:rsidR="002063FA" w:rsidRPr="002063FA" w14:paraId="078E86A9" w14:textId="77777777" w:rsidTr="002063FA">
        <w:trPr>
          <w:cantSplit/>
          <w:trHeight w:val="1331"/>
        </w:trPr>
        <w:tc>
          <w:tcPr>
            <w:tcW w:w="2405" w:type="dxa"/>
            <w:hideMark/>
          </w:tcPr>
          <w:p w14:paraId="68E2C823"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Descriptor and item number</w:t>
            </w:r>
          </w:p>
        </w:tc>
        <w:tc>
          <w:tcPr>
            <w:tcW w:w="6611" w:type="dxa"/>
            <w:hideMark/>
          </w:tcPr>
          <w:p w14:paraId="5F24D648" w14:textId="77777777" w:rsidR="002063FA" w:rsidRPr="002063FA" w:rsidRDefault="002063FA" w:rsidP="002063FA">
            <w:pPr>
              <w:pStyle w:val="TableText"/>
              <w:widowControl w:val="0"/>
              <w:rPr>
                <w:rFonts w:ascii="Arial Narrow" w:hAnsi="Arial Narrow"/>
                <w:sz w:val="20"/>
                <w:szCs w:val="22"/>
              </w:rPr>
            </w:pPr>
            <w:r w:rsidRPr="002063FA">
              <w:rPr>
                <w:rFonts w:ascii="Arial Narrow" w:hAnsi="Arial Narrow"/>
                <w:sz w:val="20"/>
                <w:szCs w:val="22"/>
              </w:rPr>
              <w:t>Need to be more specific/explicit about the classification of patients as being of ‘intermediate’ risk. Clinical records and registry reports should document the clinical reasons why patients are categorised at higher risk level than suggested by the surgical risk score.</w:t>
            </w:r>
          </w:p>
          <w:p w14:paraId="233D73C1"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Suggest separate item number to the current MBS item numbers for high-risk TAVIs as this can be used to monitor practice when data from ACOR TAVI registry is analysed.</w:t>
            </w:r>
          </w:p>
        </w:tc>
      </w:tr>
      <w:tr w:rsidR="002063FA" w:rsidRPr="002063FA" w14:paraId="62264B55" w14:textId="77777777" w:rsidTr="002063FA">
        <w:trPr>
          <w:cantSplit/>
          <w:trHeight w:val="47"/>
        </w:trPr>
        <w:tc>
          <w:tcPr>
            <w:tcW w:w="2405" w:type="dxa"/>
            <w:hideMark/>
          </w:tcPr>
          <w:p w14:paraId="01D0C92E" w14:textId="77777777"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Prosthesis List benefit</w:t>
            </w:r>
          </w:p>
        </w:tc>
        <w:tc>
          <w:tcPr>
            <w:tcW w:w="6611" w:type="dxa"/>
            <w:hideMark/>
          </w:tcPr>
          <w:p w14:paraId="41C29DA3" w14:textId="31341781" w:rsidR="002063FA" w:rsidRPr="002063FA" w:rsidRDefault="002063FA" w:rsidP="002063FA">
            <w:pPr>
              <w:pStyle w:val="TableText"/>
              <w:keepNext w:val="0"/>
              <w:widowControl w:val="0"/>
              <w:rPr>
                <w:rFonts w:ascii="Arial Narrow" w:hAnsi="Arial Narrow"/>
                <w:sz w:val="20"/>
                <w:szCs w:val="22"/>
              </w:rPr>
            </w:pPr>
            <w:r w:rsidRPr="002063FA">
              <w:rPr>
                <w:rFonts w:ascii="Arial Narrow" w:hAnsi="Arial Narrow"/>
                <w:sz w:val="20"/>
                <w:szCs w:val="22"/>
              </w:rPr>
              <w:t xml:space="preserve">The ADAR proposed a higher prosthesis benefit of </w:t>
            </w:r>
            <w:r w:rsidR="00AB5C2E" w:rsidRPr="00AB5C2E">
              <w:rPr>
                <w:rFonts w:ascii="Arial Narrow" w:hAnsi="Arial Narrow"/>
                <w:b/>
                <w:sz w:val="20"/>
                <w:szCs w:val="20"/>
              </w:rPr>
              <w:t>$redacted</w:t>
            </w:r>
            <w:r w:rsidR="00AB5C2E" w:rsidRPr="00AB5C2E">
              <w:rPr>
                <w:b/>
              </w:rPr>
              <w:t xml:space="preserve"> </w:t>
            </w:r>
            <w:r w:rsidRPr="002063FA">
              <w:rPr>
                <w:rFonts w:ascii="Arial Narrow" w:hAnsi="Arial Narrow"/>
                <w:sz w:val="20"/>
                <w:szCs w:val="22"/>
              </w:rPr>
              <w:t>for TAVI-BEV than the July 2020 Prosthesis List benefit of $22,932 TAVI-BEV and TAVI-SEV devices for high/risk inoperable patients. ESC queried whether it is plausible that the clinical gain is greater in the intermediate population compared to the high-risk/inoperable population.</w:t>
            </w:r>
          </w:p>
        </w:tc>
      </w:tr>
    </w:tbl>
    <w:p w14:paraId="0F94270E" w14:textId="77777777" w:rsidR="002063FA" w:rsidRDefault="002063FA" w:rsidP="0060464A">
      <w:pPr>
        <w:spacing w:before="240" w:after="240"/>
        <w:rPr>
          <w:b/>
        </w:rPr>
      </w:pPr>
      <w:r w:rsidRPr="00F56D7F">
        <w:rPr>
          <w:b/>
        </w:rPr>
        <w:t>ESC discussion</w:t>
      </w:r>
    </w:p>
    <w:p w14:paraId="41AAFB9C" w14:textId="77777777" w:rsidR="002063FA" w:rsidRPr="002063FA" w:rsidRDefault="002063FA" w:rsidP="002063FA">
      <w:pPr>
        <w:spacing w:after="240"/>
        <w:rPr>
          <w:b/>
        </w:rPr>
      </w:pPr>
      <w:r>
        <w:t xml:space="preserve">ESC noted that </w:t>
      </w:r>
      <w:r>
        <w:rPr>
          <w:szCs w:val="24"/>
        </w:rPr>
        <w:t>t</w:t>
      </w:r>
      <w:r w:rsidRPr="00EE216E">
        <w:rPr>
          <w:szCs w:val="24"/>
        </w:rPr>
        <w:t xml:space="preserve">ranscatheter aortic valve implantation </w:t>
      </w:r>
      <w:r>
        <w:rPr>
          <w:szCs w:val="24"/>
        </w:rPr>
        <w:t>(</w:t>
      </w:r>
      <w:r w:rsidRPr="001B4630">
        <w:t>TAVI</w:t>
      </w:r>
      <w:r>
        <w:t>)</w:t>
      </w:r>
      <w:r w:rsidRPr="001B4630">
        <w:t xml:space="preserve"> is currently </w:t>
      </w:r>
      <w:r>
        <w:t>Medicare Benefits Schedule– (</w:t>
      </w:r>
      <w:r w:rsidRPr="001B4630">
        <w:t>MBS</w:t>
      </w:r>
      <w:r>
        <w:t>)</w:t>
      </w:r>
      <w:r w:rsidRPr="001B4630">
        <w:t xml:space="preserve"> listed </w:t>
      </w:r>
      <w:r>
        <w:t xml:space="preserve">as a TAVI device agnostic item (either balloon expandable valve [BEV] or self-expandable valve [SEV] for </w:t>
      </w:r>
      <w:r w:rsidRPr="001B4630">
        <w:t>high-risk</w:t>
      </w:r>
      <w:r>
        <w:t>/inoperable</w:t>
      </w:r>
      <w:r w:rsidRPr="001B4630">
        <w:t xml:space="preserve"> surgical patients with symptomatic severe </w:t>
      </w:r>
      <w:r w:rsidRPr="00EC2824">
        <w:t xml:space="preserve">aortic stenosis </w:t>
      </w:r>
      <w:r>
        <w:t>(</w:t>
      </w:r>
      <w:r w:rsidRPr="001B4630">
        <w:t>AS</w:t>
      </w:r>
      <w:r>
        <w:t>)</w:t>
      </w:r>
      <w:r w:rsidRPr="001B4630">
        <w:t xml:space="preserve"> under item 38495. This application seeks to expand</w:t>
      </w:r>
      <w:r>
        <w:t xml:space="preserve"> the</w:t>
      </w:r>
      <w:r w:rsidRPr="001B4630">
        <w:t xml:space="preserve"> MBS listing to include intermediate-risk surgical patients.</w:t>
      </w:r>
    </w:p>
    <w:p w14:paraId="57835A00" w14:textId="6DF55C28" w:rsidR="002063FA" w:rsidRDefault="002063FA" w:rsidP="002063FA">
      <w:r>
        <w:t xml:space="preserve">ESC noted that, originally, the Department received a TAVI device agnostic application for patients at intermediate risk for surgery (1552), which was placed on hold by the applicant to pursue this </w:t>
      </w:r>
      <w:r w:rsidR="00E40C30">
        <w:t>TAVI-BEV</w:t>
      </w:r>
      <w:r w:rsidR="004F31A4">
        <w:t xml:space="preserve"> specific application (1603). </w:t>
      </w:r>
      <w:r>
        <w:t>ESC noted the</w:t>
      </w:r>
      <w:r w:rsidRPr="002B72F6">
        <w:t xml:space="preserve"> applicant’s rationale for this was that the PARTNER II trial showed BEVs have different clinical and economic outcome</w:t>
      </w:r>
      <w:r>
        <w:t xml:space="preserve">s in intermediate-risk patients, which </w:t>
      </w:r>
      <w:r w:rsidRPr="002B72F6">
        <w:t>PASC advised that these “different clinical &amp; economic outcomes” should be clarified during the assessment phase, including what they were compared to</w:t>
      </w:r>
      <w:r>
        <w:t xml:space="preserve"> (see Section 2 Background). However, ESC noted that the ADAR did not make a</w:t>
      </w:r>
      <w:r w:rsidRPr="00F17EC5">
        <w:t xml:space="preserve"> clinical claim for </w:t>
      </w:r>
      <w:r>
        <w:t xml:space="preserve">its comparison of </w:t>
      </w:r>
      <w:r w:rsidRPr="00F17EC5">
        <w:t xml:space="preserve">TAVI-BEV </w:t>
      </w:r>
      <w:r w:rsidRPr="00BC7E9B">
        <w:rPr>
          <w:i/>
        </w:rPr>
        <w:t>vs.</w:t>
      </w:r>
      <w:r>
        <w:t xml:space="preserve"> </w:t>
      </w:r>
      <w:r w:rsidRPr="00F17EC5">
        <w:t>SEV</w:t>
      </w:r>
      <w:r>
        <w:t>.</w:t>
      </w:r>
    </w:p>
    <w:p w14:paraId="2DB57C5D" w14:textId="48719EA7" w:rsidR="002063FA" w:rsidRDefault="002063FA" w:rsidP="0060464A">
      <w:pPr>
        <w:spacing w:before="240"/>
      </w:pPr>
      <w:r>
        <w:t>ESC noted that the main comparator was surgical aortic valve replacement (SAVR) and that the secondary comparator was TAVI-SEV.</w:t>
      </w:r>
    </w:p>
    <w:p w14:paraId="2670C930" w14:textId="2B79576B" w:rsidR="002063FA" w:rsidRDefault="002063FA" w:rsidP="002063FA">
      <w:pPr>
        <w:spacing w:before="240"/>
      </w:pPr>
      <w:r>
        <w:t xml:space="preserve">ESC noted that TAVI-BEV [Edwards] and TAVI-SEV [Medtronic] are </w:t>
      </w:r>
      <w:r w:rsidRPr="00E3576F">
        <w:rPr>
          <w:szCs w:val="24"/>
        </w:rPr>
        <w:t xml:space="preserve">Australian Register of Therapeutic Goods </w:t>
      </w:r>
      <w:r>
        <w:rPr>
          <w:szCs w:val="24"/>
        </w:rPr>
        <w:t>(</w:t>
      </w:r>
      <w:r w:rsidRPr="00D47829">
        <w:rPr>
          <w:szCs w:val="24"/>
        </w:rPr>
        <w:t>ARTG</w:t>
      </w:r>
      <w:r>
        <w:rPr>
          <w:szCs w:val="24"/>
        </w:rPr>
        <w:t>)</w:t>
      </w:r>
      <w:r w:rsidRPr="00D47829">
        <w:rPr>
          <w:szCs w:val="24"/>
        </w:rPr>
        <w:t xml:space="preserve"> registered</w:t>
      </w:r>
      <w:r>
        <w:rPr>
          <w:szCs w:val="24"/>
        </w:rPr>
        <w:t xml:space="preserve"> for all </w:t>
      </w:r>
      <w:r w:rsidRPr="00D47829">
        <w:rPr>
          <w:szCs w:val="24"/>
        </w:rPr>
        <w:t>patients with symptomatic</w:t>
      </w:r>
      <w:r>
        <w:rPr>
          <w:szCs w:val="24"/>
        </w:rPr>
        <w:t xml:space="preserve"> </w:t>
      </w:r>
      <w:r w:rsidRPr="00D47829">
        <w:rPr>
          <w:szCs w:val="24"/>
        </w:rPr>
        <w:t>severe AS, regardless of surgical</w:t>
      </w:r>
      <w:r w:rsidR="005D25EA">
        <w:rPr>
          <w:szCs w:val="24"/>
        </w:rPr>
        <w:t xml:space="preserve"> risk (see Table 2</w:t>
      </w:r>
      <w:r>
        <w:rPr>
          <w:szCs w:val="24"/>
        </w:rPr>
        <w:t>).</w:t>
      </w:r>
    </w:p>
    <w:p w14:paraId="4FE30244" w14:textId="77777777" w:rsidR="002063FA" w:rsidRDefault="002063FA" w:rsidP="002063FA">
      <w:pPr>
        <w:spacing w:before="240"/>
      </w:pPr>
      <w:r>
        <w:t>ESC noted that there was no public consultation with patient groups. ESC noted the consumer issues raised for this application included the lack of long-term comparative safety and effectiveness data, the lack of an agreed definition of intermediate risk which might contribute to inconsistent care and the importance of TAVI pre-implantation assessment.</w:t>
      </w:r>
    </w:p>
    <w:p w14:paraId="52DABDA6" w14:textId="5F43C6D3" w:rsidR="002063FA" w:rsidRDefault="002063FA" w:rsidP="002063FA">
      <w:pPr>
        <w:spacing w:before="240"/>
      </w:pPr>
      <w:r w:rsidRPr="001B4630">
        <w:t xml:space="preserve">ESC </w:t>
      </w:r>
      <w:r>
        <w:t>noted</w:t>
      </w:r>
      <w:r w:rsidRPr="001B4630">
        <w:t xml:space="preserve"> that </w:t>
      </w:r>
      <w:r>
        <w:t>consistent with MBS item 38495, there are no risk criteria specified in the proposed descr</w:t>
      </w:r>
      <w:r w:rsidR="004F31A4">
        <w:t xml:space="preserve">iptor for “intermediate risk”. </w:t>
      </w:r>
      <w:r w:rsidRPr="001B4630">
        <w:t>However, because of concerns about leakage, ESC</w:t>
      </w:r>
      <w:r>
        <w:t xml:space="preserve"> considered the explanatory notes/item descriptor should require the Heart Team to document reasons for their assessment of surgical risk classification if their assessment of risk differs from the risk indicated by </w:t>
      </w:r>
      <w:r w:rsidRPr="00D33E28">
        <w:t>Society of Thoracic Surgeons</w:t>
      </w:r>
      <w:r>
        <w:t>-</w:t>
      </w:r>
      <w:r w:rsidRPr="00D33E28">
        <w:t>Predicted Risk of Mortality</w:t>
      </w:r>
      <w:r>
        <w:t xml:space="preserve"> (STS-PROM) score. ESC also noted that the pre-ESC response stating that the Cardiac Society of Australia and New Zealand (CSANZ) and the Australian and New Zealand Society of Cardiac and Thoracic Surgeons are soon to publish a consensus statement on TAVI, in which the central role of</w:t>
      </w:r>
      <w:r w:rsidR="00ED374F">
        <w:t xml:space="preserve"> the Heart Teams is emphasised.</w:t>
      </w:r>
    </w:p>
    <w:p w14:paraId="2CAA6611" w14:textId="69A37269" w:rsidR="002063FA" w:rsidRDefault="002063FA" w:rsidP="002063FA">
      <w:pPr>
        <w:spacing w:before="240"/>
      </w:pPr>
      <w:r>
        <w:t xml:space="preserve">ESC noted that the Department requested a separate item number for this intermediate population, to </w:t>
      </w:r>
      <w:r w:rsidRPr="00E26795">
        <w:t xml:space="preserve">monitor practice when data from </w:t>
      </w:r>
      <w:r>
        <w:t xml:space="preserve">the </w:t>
      </w:r>
      <w:r w:rsidRPr="00E26795">
        <w:t xml:space="preserve">ACOR TAVI registry </w:t>
      </w:r>
      <w:r>
        <w:t>are</w:t>
      </w:r>
      <w:r w:rsidRPr="00E26795">
        <w:t xml:space="preserve"> analysed.</w:t>
      </w:r>
    </w:p>
    <w:p w14:paraId="201A6F12" w14:textId="3E4BB93B" w:rsidR="002063FA" w:rsidRDefault="002063FA" w:rsidP="002063FA">
      <w:pPr>
        <w:spacing w:before="240"/>
      </w:pPr>
      <w:r>
        <w:t xml:space="preserve">ESC noted that the </w:t>
      </w:r>
      <w:r w:rsidR="00DD7827">
        <w:t>Commentary</w:t>
      </w:r>
      <w:r>
        <w:t xml:space="preserve"> focused on the traditional definition of intermediate risk as the patient having an STS-PROM score of 4–8%. However, in the pre-ESC response, the applicant noted that the risk also depends on what the Heart Team considers to be a “compromised patient” because of pre-morbid status or type of impediment. This is illustrated by the fact that the </w:t>
      </w:r>
      <w:r w:rsidR="00DD7827">
        <w:t>Commentary</w:t>
      </w:r>
      <w:r>
        <w:t xml:space="preserve"> included the SOLVE-TAVI trial (published earlier in 2020) in its analysis but this was not included in the original applicant-developed assessment report (ADAR). Although the SOLVE-TAVI trial </w:t>
      </w:r>
      <w:r w:rsidRPr="005402F6">
        <w:t>(Thiele et al., 2020)</w:t>
      </w:r>
      <w:r>
        <w:t xml:space="preserve"> reported that the median STS-PROM score was 4.9%, the trial publication considered these patients to be high risk because of other factors</w:t>
      </w:r>
      <w:r w:rsidRPr="00591B2F">
        <w:t>.</w:t>
      </w:r>
      <w:r>
        <w:t xml:space="preserve"> ESC agreed with the pre-ESC response and noted that this underscores the real</w:t>
      </w:r>
      <w:r w:rsidR="003B7D3C">
        <w:t>-</w:t>
      </w:r>
      <w:r>
        <w:t>life decisions made by the Heart Team make a broader assessment of surgical risk and consider factors not captured in STS-PROM score alone.</w:t>
      </w:r>
    </w:p>
    <w:p w14:paraId="3123D7A9" w14:textId="30BACF81" w:rsidR="002063FA" w:rsidRDefault="002063FA" w:rsidP="002063FA">
      <w:pPr>
        <w:spacing w:before="240"/>
      </w:pPr>
      <w:r>
        <w:t xml:space="preserve">ESC noted concerns in the </w:t>
      </w:r>
      <w:r w:rsidR="00DD7827">
        <w:t>Commentary</w:t>
      </w:r>
      <w:r>
        <w:t xml:space="preserve"> that t</w:t>
      </w:r>
      <w:r w:rsidRPr="00F57AED">
        <w:t xml:space="preserve">here was no direct </w:t>
      </w:r>
      <w:r>
        <w:t>randomised controlled trial (</w:t>
      </w:r>
      <w:r w:rsidRPr="00F57AED">
        <w:t>RCT</w:t>
      </w:r>
      <w:r>
        <w:t xml:space="preserve">) </w:t>
      </w:r>
      <w:r w:rsidRPr="00F57AED">
        <w:t xml:space="preserve">evidence assessing </w:t>
      </w:r>
      <w:r w:rsidR="00E40C30">
        <w:t>TAVI-BEV</w:t>
      </w:r>
      <w:r w:rsidRPr="00F57AED">
        <w:t xml:space="preserve"> </w:t>
      </w:r>
      <w:r w:rsidRPr="00BC7E9B">
        <w:rPr>
          <w:i/>
        </w:rPr>
        <w:t>vs</w:t>
      </w:r>
      <w:r>
        <w:t xml:space="preserve">. </w:t>
      </w:r>
      <w:r w:rsidRPr="00F57AED">
        <w:t>the primary comparator, SAVR. The ADAR</w:t>
      </w:r>
      <w:r>
        <w:t>’</w:t>
      </w:r>
      <w:r w:rsidRPr="00F57AED">
        <w:t>s primary clinical evidence</w:t>
      </w:r>
      <w:r>
        <w:t xml:space="preserve"> </w:t>
      </w:r>
      <w:r w:rsidRPr="00F57AED">
        <w:t>relied</w:t>
      </w:r>
      <w:r>
        <w:t xml:space="preserve"> </w:t>
      </w:r>
      <w:r w:rsidRPr="00F57AED">
        <w:t>on</w:t>
      </w:r>
      <w:r>
        <w:t xml:space="preserve"> </w:t>
      </w:r>
      <w:r w:rsidRPr="00F57AED">
        <w:t>comparing</w:t>
      </w:r>
      <w:r>
        <w:t xml:space="preserve"> </w:t>
      </w:r>
      <w:r w:rsidRPr="00F57AED">
        <w:t>a</w:t>
      </w:r>
      <w:r>
        <w:t xml:space="preserve"> newer </w:t>
      </w:r>
      <w:r w:rsidRPr="00F57AED">
        <w:t>generation</w:t>
      </w:r>
      <w:r>
        <w:t xml:space="preserve"> </w:t>
      </w:r>
      <w:r w:rsidRPr="00F57AED">
        <w:t>TAVI-BEV</w:t>
      </w:r>
      <w:r>
        <w:t xml:space="preserve"> </w:t>
      </w:r>
      <w:r w:rsidRPr="00F57AED">
        <w:t>device</w:t>
      </w:r>
      <w:r>
        <w:t xml:space="preserve"> </w:t>
      </w:r>
      <w:r w:rsidRPr="00F57AED">
        <w:t>(SAPIEN</w:t>
      </w:r>
      <w:r>
        <w:t xml:space="preserve"> </w:t>
      </w:r>
      <w:r w:rsidRPr="00F57AED">
        <w:t>3)</w:t>
      </w:r>
      <w:r>
        <w:t xml:space="preserve"> </w:t>
      </w:r>
      <w:r w:rsidRPr="00F57AED">
        <w:t>with</w:t>
      </w:r>
      <w:r>
        <w:t xml:space="preserve"> </w:t>
      </w:r>
      <w:r w:rsidRPr="00F57AED">
        <w:t>SAVR</w:t>
      </w:r>
      <w:r>
        <w:t xml:space="preserve"> </w:t>
      </w:r>
      <w:r w:rsidRPr="00F57AED">
        <w:t>via</w:t>
      </w:r>
      <w:r>
        <w:t xml:space="preserve"> </w:t>
      </w:r>
      <w:r w:rsidRPr="00F57AED">
        <w:t>a propensity</w:t>
      </w:r>
      <w:r>
        <w:t xml:space="preserve"> </w:t>
      </w:r>
      <w:r w:rsidRPr="00F57AED">
        <w:t>score-adjusted</w:t>
      </w:r>
      <w:r>
        <w:t xml:space="preserve"> </w:t>
      </w:r>
      <w:r w:rsidRPr="00F57AED">
        <w:t>comparison</w:t>
      </w:r>
      <w:r>
        <w:t xml:space="preserve"> </w:t>
      </w:r>
      <w:r w:rsidRPr="00F57AED">
        <w:t>(PARTNER</w:t>
      </w:r>
      <w:r>
        <w:t xml:space="preserve"> </w:t>
      </w:r>
      <w:r w:rsidRPr="00F57AED">
        <w:t>S3i)</w:t>
      </w:r>
      <w:r>
        <w:t xml:space="preserve"> </w:t>
      </w:r>
      <w:r w:rsidRPr="00F57AED">
        <w:t>of</w:t>
      </w:r>
      <w:r>
        <w:t xml:space="preserve"> </w:t>
      </w:r>
      <w:r w:rsidRPr="00F57AED">
        <w:t>two</w:t>
      </w:r>
      <w:r>
        <w:t xml:space="preserve"> </w:t>
      </w:r>
      <w:r w:rsidRPr="00F57AED">
        <w:t>sub-populations</w:t>
      </w:r>
      <w:r>
        <w:t xml:space="preserve"> </w:t>
      </w:r>
      <w:r w:rsidRPr="00F57AED">
        <w:t>from</w:t>
      </w:r>
      <w:r>
        <w:t xml:space="preserve"> </w:t>
      </w:r>
      <w:r w:rsidRPr="00F57AED">
        <w:t>two</w:t>
      </w:r>
      <w:r>
        <w:t xml:space="preserve"> </w:t>
      </w:r>
      <w:r w:rsidRPr="00F57AED">
        <w:t>clinical</w:t>
      </w:r>
      <w:r>
        <w:t xml:space="preserve"> </w:t>
      </w:r>
      <w:r w:rsidRPr="00F57AED">
        <w:t>studies</w:t>
      </w:r>
      <w:r>
        <w:t xml:space="preserve"> </w:t>
      </w:r>
      <w:r w:rsidRPr="00F57AED">
        <w:t>–</w:t>
      </w:r>
      <w:r>
        <w:t xml:space="preserve"> </w:t>
      </w:r>
      <w:r w:rsidRPr="00F57AED">
        <w:t>intermediate risk subgroup (STS-PROM score: 4</w:t>
      </w:r>
      <w:r>
        <w:t>–</w:t>
      </w:r>
      <w:r w:rsidRPr="00F57AED">
        <w:t xml:space="preserve">8%) from SAPIEN 3 single-arm observational study (TAVI-BEV arm in PARTNER S3i) and patients treated with SAVR from PARTNER 2A RCT (SAVR arm). </w:t>
      </w:r>
      <w:r>
        <w:t xml:space="preserve">ESC agreed with the </w:t>
      </w:r>
      <w:r w:rsidR="00DD7827">
        <w:t>Commentary</w:t>
      </w:r>
      <w:r>
        <w:t xml:space="preserve"> that w</w:t>
      </w:r>
      <w:r w:rsidRPr="00A373B5">
        <w:t>hile the propensity score adjustment process controlled for all relevant observed characteristics</w:t>
      </w:r>
      <w:r>
        <w:t xml:space="preserve"> for the primary outcomes (the composite endpoint of all-cause mortality, stroke, moderate or severe prosthetic valve regurgitation at 1</w:t>
      </w:r>
      <w:r w:rsidR="004F31A4">
        <w:t> </w:t>
      </w:r>
      <w:r>
        <w:t>year)</w:t>
      </w:r>
      <w:r w:rsidRPr="00F57AED">
        <w:t xml:space="preserve"> there is the potential for bias due to potential differences in unobserved variables.</w:t>
      </w:r>
      <w:r>
        <w:t xml:space="preserve"> However, ESC also noted the pre-ESC response stating that the same selection criteria were used between PARTNER 2A and SAPIEN 3 and that the prespecified propensity score adjusted analysis allowed for unbiased and meaningful comparison. For all secondary outcomes, ESC noted that the ADAR acknowledged the high uncertainty from the unadjusted (naïve) comparisons.</w:t>
      </w:r>
    </w:p>
    <w:p w14:paraId="47154B3B" w14:textId="785B9E3F" w:rsidR="002063FA" w:rsidRDefault="002063FA" w:rsidP="002063FA">
      <w:pPr>
        <w:spacing w:before="240"/>
      </w:pPr>
      <w:r>
        <w:t xml:space="preserve">In terms of comparative safety of TAVI-BEV </w:t>
      </w:r>
      <w:r w:rsidRPr="00BC7E9B">
        <w:rPr>
          <w:i/>
        </w:rPr>
        <w:t>vs.</w:t>
      </w:r>
      <w:r>
        <w:t xml:space="preserve"> SAVR, ESC noted that based on the propensity score-adjusted results, p</w:t>
      </w:r>
      <w:r w:rsidRPr="00E07339">
        <w:t>atients treated with TAVI-BEV had a higher rate of moderate or severe aortic regurgitation than patients treated with SAVR at 12-months follow</w:t>
      </w:r>
      <w:r>
        <w:noBreakHyphen/>
      </w:r>
      <w:r w:rsidRPr="00E07339">
        <w:t>up</w:t>
      </w:r>
      <w:r>
        <w:t xml:space="preserve">. ESC also noted that based on naïve comparison, </w:t>
      </w:r>
      <w:r w:rsidRPr="00E07339">
        <w:t>TAVI-BEV</w:t>
      </w:r>
      <w:r>
        <w:t xml:space="preserve"> had higher rates of aortic valve re-intervention and new pacemaker implantations, but had superior </w:t>
      </w:r>
      <w:r w:rsidRPr="00E07339">
        <w:t>safe</w:t>
      </w:r>
      <w:r>
        <w:t>ty</w:t>
      </w:r>
      <w:r w:rsidRPr="00E07339">
        <w:t xml:space="preserve"> regard</w:t>
      </w:r>
      <w:r>
        <w:t>ing</w:t>
      </w:r>
      <w:r w:rsidRPr="00E07339">
        <w:t xml:space="preserve"> incident myocardial infarction and atrial fibrillation.</w:t>
      </w:r>
    </w:p>
    <w:p w14:paraId="16F3F24C" w14:textId="110F8ECC" w:rsidR="002063FA" w:rsidRDefault="002063FA" w:rsidP="002063FA">
      <w:pPr>
        <w:spacing w:before="240"/>
      </w:pPr>
      <w:r>
        <w:t xml:space="preserve">In terms of the comparative effectiveness of TAVI-BEV </w:t>
      </w:r>
      <w:r w:rsidRPr="00BC7E9B">
        <w:rPr>
          <w:i/>
        </w:rPr>
        <w:t>vs.</w:t>
      </w:r>
      <w:r>
        <w:t xml:space="preserve"> SAVR, ESC considered that based on the propensity score-adjusted results, </w:t>
      </w:r>
      <w:r w:rsidRPr="00502114">
        <w:t xml:space="preserve">TAVI-BEV </w:t>
      </w:r>
      <w:r>
        <w:t>is</w:t>
      </w:r>
      <w:r w:rsidRPr="00502114">
        <w:t xml:space="preserve"> superior for the outcomes of death and stroke at 12 months follow-up.</w:t>
      </w:r>
      <w:r>
        <w:t xml:space="preserve"> ESC noted that naïve comparisons indicated that patients treated with TAVI-BEV had superior health-related quality of life (HRQoL) at 30</w:t>
      </w:r>
      <w:r w:rsidR="004F31A4">
        <w:t> </w:t>
      </w:r>
      <w:r>
        <w:t>days, but not at 12 months follow-up suggesting that TAVI-BEVs beneficial impact on patients HRQoL did not extend beyond the perioperative period.</w:t>
      </w:r>
    </w:p>
    <w:p w14:paraId="27A31B9D" w14:textId="0288FE04" w:rsidR="002063FA" w:rsidRDefault="004F31A4" w:rsidP="002063FA">
      <w:pPr>
        <w:spacing w:before="240"/>
      </w:pPr>
      <w:r>
        <w:t xml:space="preserve">ESC noted that the pre-ESC response </w:t>
      </w:r>
      <w:r w:rsidR="002063FA">
        <w:t>cited the 5-year outcome data from patients enrolled in PARTNER 3Si presented at a conference in June 2020. These results showed that differences between the TAVI</w:t>
      </w:r>
      <w:r w:rsidR="002063FA">
        <w:noBreakHyphen/>
        <w:t>BEV and SAVR groups in terms of mortality and disabling stroke persisted, although survival curves for mortality began to converge from Year 3. ESC considered that the 5-year data would be beneficial to MSAC’s consideration, in particular to verify the comparative clinical claim for all outcomes over the longer term.</w:t>
      </w:r>
    </w:p>
    <w:p w14:paraId="37670CE2" w14:textId="0427F84F" w:rsidR="002063FA" w:rsidRDefault="002063FA" w:rsidP="002063FA">
      <w:pPr>
        <w:spacing w:before="240"/>
      </w:pPr>
      <w:r>
        <w:t xml:space="preserve">ESC considered the ADARs secondary comparison of TAVI-BEV </w:t>
      </w:r>
      <w:r w:rsidRPr="00BC7E9B">
        <w:rPr>
          <w:i/>
        </w:rPr>
        <w:t>vs.</w:t>
      </w:r>
      <w:r>
        <w:t xml:space="preserve"> SEV, noting that the ADAR and </w:t>
      </w:r>
      <w:r w:rsidR="00DD7827">
        <w:t>Commentary</w:t>
      </w:r>
      <w:r>
        <w:t xml:space="preserve"> agreed that there was </w:t>
      </w:r>
      <w:r w:rsidRPr="005209E8">
        <w:t>too much clinical heterogeneity to draw conclusions from the indirect comparison made between TAV-BEV (PARTNER S3i</w:t>
      </w:r>
      <w:r>
        <w:t xml:space="preserve"> study</w:t>
      </w:r>
      <w:r w:rsidRPr="005209E8">
        <w:t>) and TAVI-SEV (SURTAVI</w:t>
      </w:r>
      <w:r>
        <w:t xml:space="preserve"> RCT</w:t>
      </w:r>
      <w:r w:rsidRPr="005209E8">
        <w:t>), via the common comparator, SAVR</w:t>
      </w:r>
      <w:r>
        <w:t xml:space="preserve">. ESC noted </w:t>
      </w:r>
      <w:r w:rsidRPr="00127657">
        <w:t xml:space="preserve">that the primary endpoint of PARTNER S3i was different to the primary endpoint of the PARTNER 2A (and SURTAVI RCT) which used composite of death or disabling stroke. </w:t>
      </w:r>
      <w:r>
        <w:t>Additionally</w:t>
      </w:r>
      <w:r w:rsidR="003B7D3C">
        <w:t>,</w:t>
      </w:r>
      <w:r>
        <w:t xml:space="preserve"> there were also differences in TAVI devices used, baseline characteristics and event rates for the common comparator arm (SAVR). In the pre-ESC response, the applicant noted that PASC requested this evaluation and, to undertake this evaluation, an assumption had to be made about the relative efficacy of TAVI-BEV compared with TAVI-SEV. The applicant noted that, as detailed in the ADAR, it was reasonable based on available evidence to assume that TAVI-SEV had the same efficacy as SAVR in terms of the composite outcome of death and stroke: TAVI-SEV 8.1% versus SAVR 8.8% at 12 months (95% confidence interval 3.5% to 2.1%, </w:t>
      </w:r>
      <w:r w:rsidRPr="00CE327A">
        <w:rPr>
          <w:i/>
          <w:iCs/>
        </w:rPr>
        <w:t>P</w:t>
      </w:r>
      <w:r>
        <w:rPr>
          <w:i/>
          <w:iCs/>
        </w:rPr>
        <w:t> </w:t>
      </w:r>
      <w:r>
        <w:t>&gt; 0.99). However, ESC considered that the superiority of the BEV device (relative to SEV) was not established as it relied upon this assumption.</w:t>
      </w:r>
    </w:p>
    <w:p w14:paraId="07661272" w14:textId="26DA1C3B" w:rsidR="002063FA" w:rsidRDefault="002063FA" w:rsidP="002063FA">
      <w:pPr>
        <w:spacing w:before="240"/>
      </w:pPr>
      <w:r>
        <w:t xml:space="preserve">ESC also considered the </w:t>
      </w:r>
      <w:r w:rsidR="00DD7827">
        <w:t>Commentary</w:t>
      </w:r>
      <w:r>
        <w:t xml:space="preserve">’s secondary comparison of TAVI-BEV </w:t>
      </w:r>
      <w:r w:rsidRPr="00BC7E9B">
        <w:rPr>
          <w:i/>
        </w:rPr>
        <w:t>vs.</w:t>
      </w:r>
      <w:r>
        <w:t xml:space="preserve"> SEV, noting that the results of SOLVE-TAVI suggested that TAVI-BEV and SEV were equivalent </w:t>
      </w:r>
      <w:r w:rsidRPr="001738DF">
        <w:t>in terms of the composite primary endpoint: all-cause mortality, stroke, moderate or severe paravalvular leakage, and permanent pacemaker implantation at 30-day follow-up.</w:t>
      </w:r>
      <w:r>
        <w:t xml:space="preserve"> However, ESC considered there were applicability concerns with the trial population and that the results were limited to 30-days, and as such did</w:t>
      </w:r>
      <w:r w:rsidRPr="00AC54F1">
        <w:t xml:space="preserve"> not inform longer term outcomes</w:t>
      </w:r>
      <w:r>
        <w:t>.</w:t>
      </w:r>
    </w:p>
    <w:p w14:paraId="71DE58CE" w14:textId="5337D9AF" w:rsidR="002063FA" w:rsidRDefault="002063FA" w:rsidP="002063FA">
      <w:pPr>
        <w:spacing w:before="240"/>
      </w:pPr>
      <w:r>
        <w:t xml:space="preserve">Overall, ESC considered that there is probably no difference between TAVI-BEV </w:t>
      </w:r>
      <w:r w:rsidRPr="00BC7E9B">
        <w:rPr>
          <w:i/>
        </w:rPr>
        <w:t>vs</w:t>
      </w:r>
      <w:r>
        <w:t xml:space="preserve">. SEV, although the level of evidence is not high. Thus, ESC considered there might be a case to support a device agnostic approach. However, </w:t>
      </w:r>
      <w:r>
        <w:rPr>
          <w:szCs w:val="24"/>
        </w:rPr>
        <w:t>ESC also noted that there is an upcoming TAVI-device agnostic (BEV or SEV or mechanically expanding valve) application in intermediate surgical risk population (1652) which will be considered at the February 2021 ESC meeting.</w:t>
      </w:r>
    </w:p>
    <w:p w14:paraId="7A01DC48" w14:textId="77777777" w:rsidR="002063FA" w:rsidRDefault="002063FA" w:rsidP="002063FA">
      <w:pPr>
        <w:spacing w:before="240"/>
        <w:rPr>
          <w:lang w:eastAsia="en-US"/>
        </w:rPr>
      </w:pPr>
      <w:r>
        <w:rPr>
          <w:lang w:eastAsia="en-US"/>
        </w:rPr>
        <w:t xml:space="preserve">However, ESC noted if a device agnostic approach was not supported by MSAC, that any MBS item should be specific to BEV. If SEV is to be listed, then it would need to demonstrate that is it non-inferior (to BEV) to be used in intermediate-risk populations. At that time, there would need to be a separate discussion around the pricing for SEV, which would have implications for price negotiations for BEV </w:t>
      </w:r>
      <w:r w:rsidRPr="00E8500A">
        <w:rPr>
          <w:i/>
          <w:lang w:eastAsia="en-US"/>
        </w:rPr>
        <w:t>vs.</w:t>
      </w:r>
      <w:r>
        <w:rPr>
          <w:lang w:eastAsia="en-US"/>
        </w:rPr>
        <w:t xml:space="preserve"> SEV (if SEV is to be listed).</w:t>
      </w:r>
    </w:p>
    <w:p w14:paraId="346CA354" w14:textId="6304A4B6" w:rsidR="002063FA" w:rsidRDefault="002063FA" w:rsidP="002063FA">
      <w:pPr>
        <w:spacing w:before="240"/>
      </w:pPr>
      <w:r>
        <w:t xml:space="preserve">ESC noted that originally, the ADAR's economic model for TAVI-BEV </w:t>
      </w:r>
      <w:r w:rsidRPr="00BC7E9B">
        <w:rPr>
          <w:i/>
        </w:rPr>
        <w:t>vs.</w:t>
      </w:r>
      <w:r>
        <w:t xml:space="preserve"> SAVR relied on one</w:t>
      </w:r>
      <w:r w:rsidR="00F06990">
        <w:t>-</w:t>
      </w:r>
      <w:r>
        <w:t xml:space="preserve">year data from the PARTNER S3i study only and that the ADAR assumed no treatment benefit between </w:t>
      </w:r>
      <w:r w:rsidR="00E40C30">
        <w:t>TAVI-BEV</w:t>
      </w:r>
      <w:r>
        <w:t xml:space="preserve"> and SAVR beyond one year. ESC also noted that the ADAR base case model was non conservative, as the pre-ESC response revised the modelled evaluation such that the overall survival curves crossed at five years based on 5-year outcome</w:t>
      </w:r>
      <w:r w:rsidR="005D25EA">
        <w:t>s from PARTNER 3Si (see Figure 5</w:t>
      </w:r>
      <w:r>
        <w:t xml:space="preserve">). However, ESC noted that TAVI-BEV remained </w:t>
      </w:r>
      <w:r w:rsidR="005D25EA">
        <w:t>dominant over SAVR (see Table 11</w:t>
      </w:r>
      <w:r>
        <w:t xml:space="preserve">), but queried if the model should be based on the 5 year results for all outcomes (such as stroke rates and other adverse events). ESC also noted the </w:t>
      </w:r>
      <w:r w:rsidR="00DD7827">
        <w:t>Commentary</w:t>
      </w:r>
      <w:r>
        <w:t xml:space="preserve"> performed model validation comparing the modelled Markov traces with the 5-year trial results of death or disabling stroke from PARTNER 2A, which compared the earlier generation BEV device: TAVI-SAPIEN XT </w:t>
      </w:r>
      <w:r w:rsidRPr="00E8500A">
        <w:rPr>
          <w:i/>
        </w:rPr>
        <w:t>vs</w:t>
      </w:r>
      <w:r>
        <w:t>. SAVR (see Figure 4).</w:t>
      </w:r>
    </w:p>
    <w:p w14:paraId="46C29A04" w14:textId="1252950B" w:rsidR="002063FA" w:rsidRDefault="002063FA" w:rsidP="002063FA">
      <w:pPr>
        <w:spacing w:before="240"/>
      </w:pPr>
      <w:r>
        <w:t xml:space="preserve">ESC noted that the ADAR </w:t>
      </w:r>
      <w:r w:rsidRPr="00090DD4">
        <w:t>did not include the cost of prostheses or the cost of hospital stay for the proportion of private patients included in the economic and financial model.</w:t>
      </w:r>
      <w:r>
        <w:t xml:space="preserve"> ESC noted that the </w:t>
      </w:r>
      <w:r w:rsidR="00DD7827">
        <w:t>Commentary</w:t>
      </w:r>
      <w:r>
        <w:t xml:space="preserve"> revised the ADAR </w:t>
      </w:r>
      <w:r w:rsidRPr="00090DD4">
        <w:t>base</w:t>
      </w:r>
      <w:r>
        <w:t>-</w:t>
      </w:r>
      <w:r w:rsidRPr="00090DD4">
        <w:t>case</w:t>
      </w:r>
      <w:r>
        <w:t xml:space="preserve"> model</w:t>
      </w:r>
      <w:r w:rsidRPr="00090DD4">
        <w:t xml:space="preserve"> using </w:t>
      </w:r>
      <w:r>
        <w:t>the current benefit level of</w:t>
      </w:r>
      <w:r w:rsidRPr="00090DD4">
        <w:t xml:space="preserve"> TAVI-BEV </w:t>
      </w:r>
      <w:r w:rsidR="004F31A4">
        <w:t>on the Prostheses L</w:t>
      </w:r>
      <w:r>
        <w:t>ist (</w:t>
      </w:r>
      <w:r w:rsidRPr="00090DD4">
        <w:t>$22,932</w:t>
      </w:r>
      <w:r>
        <w:t>)</w:t>
      </w:r>
      <w:r w:rsidRPr="00090DD4">
        <w:t xml:space="preserve"> </w:t>
      </w:r>
      <w:r>
        <w:t>rather than the ADARs proposal</w:t>
      </w:r>
      <w:r w:rsidRPr="00090DD4">
        <w:t xml:space="preserve"> and including hospital stay and prostheses costs for private patients.</w:t>
      </w:r>
      <w:r>
        <w:t xml:space="preserve"> Expectantly, ESC noted this resulted in a more favourable incremental cost-effectiveness ratio (ICER). ESC also noted the </w:t>
      </w:r>
      <w:r w:rsidR="00DD7827">
        <w:t>Commentary</w:t>
      </w:r>
      <w:r>
        <w:t>’s revised financial estimates attributed costs of the prostheses to private health insurance (PHI), but also assumed private hospital costs would be based on public hospitalisation costs and attributed to PHI. ESC queried if this was appropriate and advised presenting the costs to private hospitals se</w:t>
      </w:r>
      <w:r w:rsidR="005D25EA">
        <w:t>parate to PHI (see Table</w:t>
      </w:r>
      <w:r w:rsidR="004F31A4">
        <w:t> </w:t>
      </w:r>
      <w:r w:rsidR="005D25EA">
        <w:t>13</w:t>
      </w:r>
      <w:r>
        <w:t>).</w:t>
      </w:r>
    </w:p>
    <w:p w14:paraId="329B76C0" w14:textId="79ADDE0B" w:rsidR="002063FA" w:rsidRDefault="002063FA" w:rsidP="002063FA">
      <w:pPr>
        <w:spacing w:before="240"/>
      </w:pPr>
      <w:r>
        <w:t xml:space="preserve">However, ESC noted that the cost savings estimated in the economic and financial models were highly sensitive to the extent of the reduction in hospitalisation costs in patients treated with TAVI-BEV compared with SAVR. However, the sensitivity analyses found that TAVI-BEV was the dominant (i.e. cheaper, more effective) treatment option compared to SAVR in most scenarios. The only exception was the uncertainty in hospital length of stay as the </w:t>
      </w:r>
      <w:r w:rsidR="00DD7827">
        <w:t>Commentary</w:t>
      </w:r>
      <w:r>
        <w:t xml:space="preserve">’s threshold analysis indicated that TAVI-BEV stops being the dominant treatment option when TAVI-BEV hospitalisation costs reach </w:t>
      </w:r>
      <w:r w:rsidR="00AB5C2E" w:rsidRPr="00AB5C2E">
        <w:rPr>
          <w:b/>
        </w:rPr>
        <w:t xml:space="preserve">redacted </w:t>
      </w:r>
      <w:r w:rsidR="00ED374F">
        <w:t>of SAVR hospitalisation costs.</w:t>
      </w:r>
    </w:p>
    <w:p w14:paraId="33AAD449" w14:textId="2DFFC0FF" w:rsidR="002063FA" w:rsidRDefault="002063FA" w:rsidP="0060464A">
      <w:pPr>
        <w:spacing w:before="240"/>
      </w:pPr>
      <w:r>
        <w:t xml:space="preserve">ESC considered the secondary cost-utility analysis of </w:t>
      </w:r>
      <w:r w:rsidR="00E40C30">
        <w:t>TAVI-BEV</w:t>
      </w:r>
      <w:r>
        <w:t xml:space="preserve"> </w:t>
      </w:r>
      <w:r w:rsidRPr="00BC7E9B">
        <w:rPr>
          <w:i/>
        </w:rPr>
        <w:t>vs.</w:t>
      </w:r>
      <w:r>
        <w:t xml:space="preserve"> SEV. ESC agreed with the </w:t>
      </w:r>
      <w:r w:rsidR="00DD7827">
        <w:t>Commentary</w:t>
      </w:r>
      <w:r>
        <w:t xml:space="preserve"> that this</w:t>
      </w:r>
      <w:r w:rsidRPr="006029FA">
        <w:t xml:space="preserve"> comparison was non-informative as the ADAR inappropriately assumed that TAVI-SEV </w:t>
      </w:r>
      <w:r>
        <w:t xml:space="preserve">generally </w:t>
      </w:r>
      <w:r w:rsidRPr="006029FA">
        <w:t xml:space="preserve">had the same efficacy and risks as SAVR. </w:t>
      </w:r>
      <w:r>
        <w:t xml:space="preserve">ESC also noted that the ADAR proposed a higher prosthesis benefit of </w:t>
      </w:r>
      <w:r w:rsidR="00AB5C2E" w:rsidRPr="00AB5C2E">
        <w:rPr>
          <w:b/>
        </w:rPr>
        <w:t xml:space="preserve">$redacted </w:t>
      </w:r>
      <w:r>
        <w:t>for TAVI-B</w:t>
      </w:r>
      <w:r w:rsidR="004F31A4">
        <w:t>EV than the July 2020 Prostheses</w:t>
      </w:r>
      <w:r>
        <w:t xml:space="preserve"> List benefit of $22,932 for TAVI-BEV and TAVI-SEV devices.</w:t>
      </w:r>
    </w:p>
    <w:p w14:paraId="3B9ECD4F" w14:textId="11D00796" w:rsidR="002063FA" w:rsidRDefault="002063FA" w:rsidP="002063FA">
      <w:pPr>
        <w:spacing w:before="240"/>
        <w:rPr>
          <w:lang w:eastAsia="en-US"/>
        </w:rPr>
      </w:pPr>
      <w:r>
        <w:rPr>
          <w:lang w:eastAsia="en-US"/>
        </w:rPr>
        <w:t xml:space="preserve">ESC discussed whether it is plausible that clinical gain is greater in the intermediate population compared to the high-risk/inoperable population, to justify the price of </w:t>
      </w:r>
      <w:r w:rsidR="00AB5C2E" w:rsidRPr="00AB5C2E">
        <w:rPr>
          <w:b/>
        </w:rPr>
        <w:t xml:space="preserve">$redacted </w:t>
      </w:r>
      <w:r>
        <w:rPr>
          <w:lang w:eastAsia="en-US"/>
        </w:rPr>
        <w:t xml:space="preserve">(compared to $22,932 for high-risk/inoperable patients). ESC recalled that, when MSAC considered TAVI for high-risk/inoperable patients, the debate pivoted on the claim that the duration of hospitalisation was reduced. MSAC noted that this </w:t>
      </w:r>
      <w:r w:rsidRPr="00B42B7E">
        <w:rPr>
          <w:szCs w:val="24"/>
        </w:rPr>
        <w:t xml:space="preserve">approach still favoured </w:t>
      </w:r>
      <w:r>
        <w:rPr>
          <w:szCs w:val="24"/>
        </w:rPr>
        <w:t xml:space="preserve">TAVI </w:t>
      </w:r>
      <w:r w:rsidRPr="00B42B7E">
        <w:rPr>
          <w:szCs w:val="24"/>
        </w:rPr>
        <w:t>because this calculation assumes that the cost of hospitalisation will be evenly distributed</w:t>
      </w:r>
      <w:r>
        <w:rPr>
          <w:szCs w:val="24"/>
        </w:rPr>
        <w:t xml:space="preserve"> </w:t>
      </w:r>
      <w:r w:rsidRPr="00B42B7E">
        <w:rPr>
          <w:szCs w:val="24"/>
        </w:rPr>
        <w:t>across the length of the hospital stay, whereas it is known that the reductions in hospital stay</w:t>
      </w:r>
      <w:r>
        <w:rPr>
          <w:szCs w:val="24"/>
        </w:rPr>
        <w:t xml:space="preserve"> </w:t>
      </w:r>
      <w:r w:rsidRPr="00B42B7E">
        <w:rPr>
          <w:szCs w:val="24"/>
        </w:rPr>
        <w:t xml:space="preserve">are typically for the cheaper days </w:t>
      </w:r>
      <w:r>
        <w:rPr>
          <w:szCs w:val="24"/>
        </w:rPr>
        <w:t>that</w:t>
      </w:r>
      <w:r w:rsidRPr="00B42B7E">
        <w:rPr>
          <w:szCs w:val="24"/>
        </w:rPr>
        <w:t xml:space="preserve"> do not i</w:t>
      </w:r>
      <w:r>
        <w:rPr>
          <w:szCs w:val="24"/>
        </w:rPr>
        <w:t>ncur the costs of the procedure.</w:t>
      </w:r>
      <w:r>
        <w:rPr>
          <w:lang w:eastAsia="en-US"/>
        </w:rPr>
        <w:t xml:space="preserve"> Consistent with the high-risk/inoperable application, ESC noted that length of stay is also the key driver in the economic model, and also no</w:t>
      </w:r>
      <w:r w:rsidR="004F31A4">
        <w:rPr>
          <w:lang w:eastAsia="en-US"/>
        </w:rPr>
        <w:t>ted the pre-ESC response</w:t>
      </w:r>
      <w:r>
        <w:rPr>
          <w:lang w:eastAsia="en-US"/>
        </w:rPr>
        <w:t xml:space="preserve"> discussion of length of stay reported for Australian TAVI patients.</w:t>
      </w:r>
    </w:p>
    <w:p w14:paraId="563732E7" w14:textId="77777777" w:rsidR="002063FA" w:rsidRDefault="002063FA" w:rsidP="002063FA">
      <w:pPr>
        <w:spacing w:before="240"/>
        <w:rPr>
          <w:szCs w:val="24"/>
        </w:rPr>
      </w:pPr>
      <w:r>
        <w:rPr>
          <w:lang w:eastAsia="en-US"/>
        </w:rPr>
        <w:t xml:space="preserve">ESC noted that MSAC anticipated a clinical gain when moving from high-risk to intermediate-risk patients, and that this might give an expectation that the value proposition would be better in the intermediate population. ESC noted that length of stay will need to be considered in any future applications that consider low-risk populations. ESC noted that TAVI-BEV for low risk (1635) will be </w:t>
      </w:r>
      <w:r>
        <w:rPr>
          <w:szCs w:val="24"/>
        </w:rPr>
        <w:t>considered at the February 2021 ESC meeting.</w:t>
      </w:r>
    </w:p>
    <w:p w14:paraId="6EB604A4" w14:textId="3DE0E11A" w:rsidR="002063FA" w:rsidRDefault="002063FA" w:rsidP="0060464A">
      <w:pPr>
        <w:spacing w:before="240"/>
      </w:pPr>
      <w:r>
        <w:t xml:space="preserve">To investigate the value proposition of TAVI across the different levels of surgical risk </w:t>
      </w:r>
      <w:r w:rsidR="0060464A">
        <w:br/>
      </w:r>
      <w:r>
        <w:t xml:space="preserve">(high-, intermediate-, and low-risk), </w:t>
      </w:r>
      <w:r>
        <w:rPr>
          <w:lang w:eastAsia="en-US"/>
        </w:rPr>
        <w:t xml:space="preserve">ESC reviewed the published literature focusing on </w:t>
      </w:r>
      <w:r>
        <w:t>length of hospital stay reported from</w:t>
      </w:r>
      <w:r>
        <w:rPr>
          <w:lang w:eastAsia="en-US"/>
        </w:rPr>
        <w:t xml:space="preserve"> RCT based comparisons of TAVI (BEV or SEV) </w:t>
      </w:r>
      <w:r w:rsidRPr="00B91169">
        <w:rPr>
          <w:i/>
          <w:lang w:eastAsia="en-US"/>
        </w:rPr>
        <w:t>vs.</w:t>
      </w:r>
      <w:r>
        <w:rPr>
          <w:lang w:eastAsia="en-US"/>
        </w:rPr>
        <w:t xml:space="preserve"> SAVR. </w:t>
      </w:r>
      <w:r>
        <w:t xml:space="preserve">ESC noted this analysis indicated that although patients treated with TAVI or SAVR typically have longer index hospitalisation for those with higher surgical risk, the clinical gain in regards to the reduction in hospital length of stay with TAVI (BEV or SEV) </w:t>
      </w:r>
      <w:r w:rsidRPr="005A7297">
        <w:rPr>
          <w:i/>
        </w:rPr>
        <w:t xml:space="preserve">vs. </w:t>
      </w:r>
      <w:r>
        <w:t xml:space="preserve">SAVR across surgical risk categories was broadly consistent across the absolute differences (~4 days) rather than the ratios of </w:t>
      </w:r>
      <w:r w:rsidRPr="0018722E">
        <w:t>duration (</w:t>
      </w:r>
      <w:r w:rsidRPr="00077E6C">
        <w:t>Table 1</w:t>
      </w:r>
      <w:r w:rsidR="005D25EA">
        <w:t>4</w:t>
      </w:r>
      <w:r w:rsidRPr="0018722E">
        <w:t>). ESC</w:t>
      </w:r>
      <w:r>
        <w:t xml:space="preserve"> noted that these results were also consistent with an RCT (Thyregod et al 2015</w:t>
      </w:r>
      <w:r>
        <w:rPr>
          <w:rStyle w:val="FootnoteReference"/>
        </w:rPr>
        <w:footnoteReference w:id="17"/>
      </w:r>
      <w:r>
        <w:t xml:space="preserve">) of an all comers population (mainly low risk) treated with </w:t>
      </w:r>
      <w:r w:rsidR="00E40C30">
        <w:t>TAVI-SEV</w:t>
      </w:r>
      <w:r>
        <w:t xml:space="preserve"> </w:t>
      </w:r>
      <w:r w:rsidRPr="006608B6">
        <w:rPr>
          <w:i/>
        </w:rPr>
        <w:t>vs.</w:t>
      </w:r>
      <w:r>
        <w:t xml:space="preserve"> SAVR (8.9 ± 6.2 days </w:t>
      </w:r>
      <w:r w:rsidRPr="006608B6">
        <w:rPr>
          <w:i/>
        </w:rPr>
        <w:t>vs</w:t>
      </w:r>
      <w:r>
        <w:t xml:space="preserve">. 12.9 ± 11.6 days, respectively; p=0.001). However, from non-RCT data, such as the PARTNER 3Si study, ESC noted that the results supported a greater reduction in hospital length of stay (5 days) for TAVI-BEV </w:t>
      </w:r>
      <w:r w:rsidRPr="00D824A1">
        <w:rPr>
          <w:i/>
        </w:rPr>
        <w:t>vs.</w:t>
      </w:r>
      <w:r>
        <w:t xml:space="preserve"> SAVR. However, ESC noted that these estimates were more uncertain as they were informed from </w:t>
      </w:r>
      <w:r w:rsidR="000B623A">
        <w:t>propensity score analysis</w:t>
      </w:r>
      <w:r>
        <w:t xml:space="preserve"> (rather than from an RCT).</w:t>
      </w:r>
    </w:p>
    <w:p w14:paraId="77287743" w14:textId="5175A6E3" w:rsidR="0060464A" w:rsidRDefault="0060464A" w:rsidP="0060464A">
      <w:pPr>
        <w:spacing w:before="240"/>
      </w:pPr>
      <w:r>
        <w:rPr>
          <w:noProof/>
        </w:rPr>
        <w:drawing>
          <wp:inline distT="0" distB="0" distL="0" distR="0" wp14:anchorId="299043D5" wp14:editId="21B586A3">
            <wp:extent cx="5731510" cy="5415915"/>
            <wp:effectExtent l="0" t="0" r="2540" b="0"/>
            <wp:docPr id="3" name="Picture 3" descr="Comparison of hospital length of stay across surgical risk for TAVI (BEV or SEV) vs S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5415915"/>
                    </a:xfrm>
                    <a:prstGeom prst="rect">
                      <a:avLst/>
                    </a:prstGeom>
                  </pic:spPr>
                </pic:pic>
              </a:graphicData>
            </a:graphic>
          </wp:inline>
        </w:drawing>
      </w:r>
    </w:p>
    <w:p w14:paraId="32917AB7" w14:textId="77777777" w:rsidR="002063FA" w:rsidRDefault="002063FA" w:rsidP="0060464A">
      <w:pPr>
        <w:spacing w:before="240"/>
      </w:pPr>
      <w:r>
        <w:t xml:space="preserve">ESC recalled that for the high-risk/inoperable application (1361.2), that the economic model was revised to use the relevant 5-year PARTNER trial data (see Table 1). ESC also recalled that on the basis of the 5-year data, MSAC considered that the claim of an improved overall survival was </w:t>
      </w:r>
      <w:r w:rsidRPr="00C65830">
        <w:t>not substantiated</w:t>
      </w:r>
      <w:r>
        <w:t xml:space="preserve"> in order to justify the incremental cost-utility ratios presented in the stepped economic evaluation, and recommended that TAVI was negotiated on a cost</w:t>
      </w:r>
      <w:r>
        <w:noBreakHyphen/>
        <w:t>minimisation basis (see Section 2-Background).</w:t>
      </w:r>
    </w:p>
    <w:p w14:paraId="121D8298" w14:textId="77777777" w:rsidR="00D90A38" w:rsidRPr="00F715D1" w:rsidRDefault="00BC1364" w:rsidP="00F715D1">
      <w:pPr>
        <w:pStyle w:val="Heading1"/>
      </w:pPr>
      <w:r w:rsidRPr="00F715D1">
        <w:t>Other significant factors</w:t>
      </w:r>
    </w:p>
    <w:p w14:paraId="1127B8F8" w14:textId="49CD11BC" w:rsidR="00BC1364" w:rsidRPr="005A4362" w:rsidRDefault="00E40C30" w:rsidP="00E40C30">
      <w:r>
        <w:t>Nil.</w:t>
      </w:r>
    </w:p>
    <w:p w14:paraId="3BEFBAF7"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17ABE641" w14:textId="27D3F0CC" w:rsidR="00B74282" w:rsidRPr="00AB5C2E" w:rsidRDefault="004F76E9" w:rsidP="00F715D1">
      <w:pPr>
        <w:spacing w:after="240"/>
        <w:rPr>
          <w:szCs w:val="24"/>
        </w:rPr>
      </w:pPr>
      <w:r w:rsidRPr="00AB5C2E">
        <w:rPr>
          <w:szCs w:val="24"/>
        </w:rPr>
        <w:t xml:space="preserve">Edwards Lifesciences is pleased that </w:t>
      </w:r>
      <w:r w:rsidRPr="00AB5C2E">
        <w:rPr>
          <w:i/>
          <w:iCs/>
          <w:szCs w:val="24"/>
        </w:rPr>
        <w:t>“MSAC supported the creation of a new Medicare Benefits Schedule (MBS) item for transcatheter aortic valve implantation (TAVI) using a balloon-expandable valve (BEV) system for patients with symptomatic severe aortic stenosis (AS) at intermediate risk for surgery”</w:t>
      </w:r>
      <w:r w:rsidRPr="00AB5C2E">
        <w:rPr>
          <w:szCs w:val="24"/>
        </w:rPr>
        <w:t>, and looks forward to working</w:t>
      </w:r>
      <w:r w:rsidR="0074402F">
        <w:rPr>
          <w:szCs w:val="24"/>
        </w:rPr>
        <w:t xml:space="preserve"> with</w:t>
      </w:r>
      <w:r w:rsidRPr="00AB5C2E">
        <w:rPr>
          <w:szCs w:val="24"/>
        </w:rPr>
        <w:t xml:space="preserve"> government, private health insurers, clinical providers and patient groups to make SAPIEN 3 accessible to Australians in need.</w:t>
      </w:r>
    </w:p>
    <w:p w14:paraId="33D2AEA3" w14:textId="77777777" w:rsidR="00BC1364" w:rsidRPr="00F715D1" w:rsidRDefault="00271F18" w:rsidP="00F715D1">
      <w:pPr>
        <w:pStyle w:val="Heading1"/>
      </w:pPr>
      <w:r w:rsidRPr="00F715D1">
        <w:t>Further information on MSAC</w:t>
      </w:r>
    </w:p>
    <w:p w14:paraId="3482662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3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33"/>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A60C70" w16cid:durableId="23BAAB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5712" w14:textId="77777777" w:rsidR="003C680B" w:rsidRDefault="003C680B" w:rsidP="00065623">
      <w:r>
        <w:separator/>
      </w:r>
    </w:p>
  </w:endnote>
  <w:endnote w:type="continuationSeparator" w:id="0">
    <w:p w14:paraId="2C51A80E" w14:textId="77777777" w:rsidR="003C680B" w:rsidRDefault="003C680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73568"/>
      <w:docPartObj>
        <w:docPartGallery w:val="Page Numbers (Bottom of Page)"/>
        <w:docPartUnique/>
      </w:docPartObj>
    </w:sdtPr>
    <w:sdtEndPr>
      <w:rPr>
        <w:noProof/>
      </w:rPr>
    </w:sdtEndPr>
    <w:sdtContent>
      <w:p w14:paraId="666C2B32" w14:textId="782E7C73" w:rsidR="003C680B" w:rsidRDefault="003C680B">
        <w:pPr>
          <w:pStyle w:val="Footer"/>
          <w:jc w:val="right"/>
        </w:pPr>
        <w:r>
          <w:fldChar w:fldCharType="begin"/>
        </w:r>
        <w:r>
          <w:instrText xml:space="preserve"> PAGE   \* MERGEFORMAT </w:instrText>
        </w:r>
        <w:r>
          <w:fldChar w:fldCharType="separate"/>
        </w:r>
        <w:r w:rsidR="00C55A2D">
          <w:rPr>
            <w:noProof/>
          </w:rPr>
          <w:t>14</w:t>
        </w:r>
        <w:r>
          <w:rPr>
            <w:noProof/>
          </w:rPr>
          <w:fldChar w:fldCharType="end"/>
        </w:r>
      </w:p>
    </w:sdtContent>
  </w:sdt>
  <w:p w14:paraId="5EC1FA13" w14:textId="77777777" w:rsidR="003C680B" w:rsidRDefault="003C6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7812F2D" w14:textId="468027FC" w:rsidR="003C680B" w:rsidRDefault="003C680B">
        <w:pPr>
          <w:pStyle w:val="Footer"/>
          <w:jc w:val="right"/>
        </w:pPr>
        <w:r>
          <w:fldChar w:fldCharType="begin"/>
        </w:r>
        <w:r>
          <w:instrText xml:space="preserve"> PAGE   \* MERGEFORMAT </w:instrText>
        </w:r>
        <w:r>
          <w:fldChar w:fldCharType="separate"/>
        </w:r>
        <w:r w:rsidR="00C55A2D">
          <w:rPr>
            <w:noProof/>
          </w:rPr>
          <w:t>27</w:t>
        </w:r>
        <w:r>
          <w:rPr>
            <w:noProof/>
          </w:rPr>
          <w:fldChar w:fldCharType="end"/>
        </w:r>
      </w:p>
    </w:sdtContent>
  </w:sdt>
  <w:p w14:paraId="61FBAEEE" w14:textId="77777777" w:rsidR="003C680B" w:rsidRDefault="003C6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7A2D6" w14:textId="77777777" w:rsidR="003C680B" w:rsidRDefault="003C680B" w:rsidP="00065623">
      <w:r>
        <w:separator/>
      </w:r>
    </w:p>
  </w:footnote>
  <w:footnote w:type="continuationSeparator" w:id="0">
    <w:p w14:paraId="0442535F" w14:textId="77777777" w:rsidR="003C680B" w:rsidRDefault="003C680B" w:rsidP="00065623">
      <w:r>
        <w:continuationSeparator/>
      </w:r>
    </w:p>
  </w:footnote>
  <w:footnote w:id="1">
    <w:p w14:paraId="629C51AA" w14:textId="19711C5D" w:rsidR="003C680B" w:rsidRPr="00B74282" w:rsidRDefault="003C680B">
      <w:pPr>
        <w:pStyle w:val="FootnoteText"/>
        <w:rPr>
          <w:lang w:val="de-DE"/>
        </w:rPr>
      </w:pPr>
      <w:r>
        <w:rPr>
          <w:rStyle w:val="FootnoteReference"/>
        </w:rPr>
        <w:footnoteRef/>
      </w:r>
      <w:r w:rsidRPr="00B74282">
        <w:rPr>
          <w:lang w:val="de-DE"/>
        </w:rPr>
        <w:t xml:space="preserve"> Population, Intervention, Comparator, Outcome</w:t>
      </w:r>
    </w:p>
  </w:footnote>
  <w:footnote w:id="2">
    <w:p w14:paraId="5B4CBDAD" w14:textId="77777777" w:rsidR="003C680B" w:rsidRPr="00092AEE" w:rsidRDefault="003C680B" w:rsidP="005D25EA">
      <w:pPr>
        <w:pStyle w:val="FootnoteText"/>
        <w:rPr>
          <w:lang w:val="da-DK"/>
        </w:rPr>
      </w:pPr>
      <w:r>
        <w:rPr>
          <w:rStyle w:val="FootnoteReference"/>
        </w:rPr>
        <w:footnoteRef/>
      </w:r>
      <w:r w:rsidRPr="00F508C3">
        <w:rPr>
          <w:lang w:val="nl-NL"/>
        </w:rPr>
        <w:t xml:space="preserve"> Thiele H, Kurz T, Feistritzer HJ, Stachel G, Hartung P, Eitel I, et al. 2020. </w:t>
      </w:r>
      <w:r w:rsidRPr="009824D0">
        <w:t xml:space="preserve">Comparison of newer generation self-expandable vs. balloon-expandable valves in transcatheter aortic valve implantation: the randomized SOLVE-TAVI trial. </w:t>
      </w:r>
      <w:r w:rsidRPr="00092AEE">
        <w:rPr>
          <w:lang w:val="da-DK"/>
        </w:rPr>
        <w:t>Eur Heart J 41: 1890-1899</w:t>
      </w:r>
    </w:p>
  </w:footnote>
  <w:footnote w:id="3">
    <w:p w14:paraId="2A157156" w14:textId="77777777" w:rsidR="003C680B" w:rsidRPr="00092AEE" w:rsidRDefault="003C680B" w:rsidP="005D25EA">
      <w:pPr>
        <w:pStyle w:val="FootnoteText"/>
        <w:rPr>
          <w:lang w:val="da-DK"/>
        </w:rPr>
      </w:pPr>
      <w:r>
        <w:rPr>
          <w:rStyle w:val="FootnoteReference"/>
        </w:rPr>
        <w:footnoteRef/>
      </w:r>
      <w:r w:rsidRPr="00F508C3">
        <w:rPr>
          <w:lang w:val="nl-NL"/>
        </w:rPr>
        <w:t xml:space="preserve"> Abdel-Wahab M, Mehilli J, Frerker C et al. </w:t>
      </w:r>
      <w:r w:rsidRPr="009824D0">
        <w:t xml:space="preserve">Comparison of balloon-expandable versus self-expandable valves in patients undergoing transcatheter aortic valve replacement: the CHOICE randomized clinical trial. </w:t>
      </w:r>
      <w:r w:rsidRPr="00092AEE">
        <w:rPr>
          <w:lang w:val="da-DK"/>
        </w:rPr>
        <w:t>JAMA. 2014;311:1503.</w:t>
      </w:r>
    </w:p>
  </w:footnote>
  <w:footnote w:id="4">
    <w:p w14:paraId="13A9C1C4" w14:textId="77777777" w:rsidR="003C680B" w:rsidRPr="00092AEE" w:rsidRDefault="003C680B" w:rsidP="005D25EA">
      <w:pPr>
        <w:pStyle w:val="FootnoteText"/>
        <w:rPr>
          <w:lang w:val="da-DK"/>
        </w:rPr>
      </w:pPr>
      <w:r>
        <w:rPr>
          <w:rStyle w:val="FootnoteReference"/>
        </w:rPr>
        <w:footnoteRef/>
      </w:r>
      <w:r w:rsidRPr="00092AEE">
        <w:rPr>
          <w:lang w:val="da-DK"/>
        </w:rPr>
        <w:t xml:space="preserve"> Leon MB, Smith CR, Mack MJ, Makkar RR, Svensson LG, Kodali SK, et al. 2016. </w:t>
      </w:r>
      <w:r w:rsidRPr="007A6D12">
        <w:t xml:space="preserve">Transcatheter or Surgical Aortic-Valve Replacement in Intermediate-Risk Patients. </w:t>
      </w:r>
      <w:r w:rsidRPr="00092AEE">
        <w:rPr>
          <w:lang w:val="da-DK"/>
        </w:rPr>
        <w:t>N Engl J Med 374: 1609-1620.</w:t>
      </w:r>
    </w:p>
  </w:footnote>
  <w:footnote w:id="5">
    <w:p w14:paraId="727B47A7" w14:textId="77777777" w:rsidR="003C680B" w:rsidRDefault="003C680B" w:rsidP="005D25EA">
      <w:pPr>
        <w:pStyle w:val="FootnoteText"/>
      </w:pPr>
      <w:r>
        <w:rPr>
          <w:rStyle w:val="FootnoteReference"/>
        </w:rPr>
        <w:footnoteRef/>
      </w:r>
      <w:r w:rsidRPr="00F508C3">
        <w:rPr>
          <w:lang w:val="nl-NL"/>
        </w:rPr>
        <w:t xml:space="preserve"> Søndergaard L, Popma JJ, Reardon MJ, et al. </w:t>
      </w:r>
      <w:r w:rsidRPr="00461CD7">
        <w:t>Comparison of a complete percutaneous versus surgical approach to aortic valve replacement and revascularization in patients at intermediate surgical risk results from the randomized SURTAVI trial. Circulation 2019;140:1296-305.</w:t>
      </w:r>
    </w:p>
  </w:footnote>
  <w:footnote w:id="6">
    <w:p w14:paraId="7E78CE7F" w14:textId="77777777" w:rsidR="003C680B" w:rsidRDefault="003C680B" w:rsidP="00B36C1B">
      <w:pPr>
        <w:pStyle w:val="FootnoteText"/>
      </w:pPr>
      <w:r>
        <w:rPr>
          <w:rStyle w:val="FootnoteReference"/>
        </w:rPr>
        <w:footnoteRef/>
      </w:r>
      <w:r>
        <w:t xml:space="preserve"> Defined as </w:t>
      </w:r>
      <w:r w:rsidRPr="00A107DD">
        <w:t xml:space="preserve">NYHA functional Class II </w:t>
      </w:r>
      <w:r>
        <w:t xml:space="preserve">or greater and symptoms of </w:t>
      </w:r>
      <w:r w:rsidRPr="00A107DD">
        <w:t>symptoms of dyspnoea, angina or syncope</w:t>
      </w:r>
      <w:r>
        <w:t>,</w:t>
      </w:r>
    </w:p>
  </w:footnote>
  <w:footnote w:id="7">
    <w:p w14:paraId="7B96CFA6" w14:textId="77777777" w:rsidR="003C680B" w:rsidRDefault="003C680B" w:rsidP="00B36C1B">
      <w:pPr>
        <w:pStyle w:val="FootnoteText"/>
      </w:pPr>
      <w:r>
        <w:rPr>
          <w:rStyle w:val="FootnoteReference"/>
        </w:rPr>
        <w:footnoteRef/>
      </w:r>
      <w:r>
        <w:t xml:space="preserve"> Defined as an </w:t>
      </w:r>
      <w:r w:rsidRPr="00A107DD">
        <w:t>aortic valve area</w:t>
      </w:r>
      <w:r>
        <w:t xml:space="preserve"> &lt;0.8 cm</w:t>
      </w:r>
      <w:r w:rsidRPr="00AF54A5">
        <w:rPr>
          <w:vertAlign w:val="superscript"/>
        </w:rPr>
        <w:t>2</w:t>
      </w:r>
    </w:p>
  </w:footnote>
  <w:footnote w:id="8">
    <w:p w14:paraId="63A91AB3" w14:textId="77777777" w:rsidR="003C680B" w:rsidRDefault="003C680B" w:rsidP="00B36C1B">
      <w:pPr>
        <w:pStyle w:val="FootnoteText"/>
      </w:pPr>
      <w:r>
        <w:rPr>
          <w:rStyle w:val="FootnoteReference"/>
        </w:rPr>
        <w:footnoteRef/>
      </w:r>
      <w:r w:rsidRPr="00092AEE">
        <w:rPr>
          <w:lang w:val="da-DK"/>
        </w:rPr>
        <w:t xml:space="preserve"> Baumgartner H, Falk V, Bax JJ, De Bonis M, Hamm C, Holm PJ, et al. 2017. </w:t>
      </w:r>
      <w:r w:rsidRPr="00461CD7">
        <w:t>2017 ESC/EACTS Guidelines for the management of valvular heart disease. Eur Heart J 38: 2739-2791.</w:t>
      </w:r>
    </w:p>
  </w:footnote>
  <w:footnote w:id="9">
    <w:p w14:paraId="6972278E" w14:textId="77777777" w:rsidR="003C680B" w:rsidRDefault="003C680B" w:rsidP="00040D5B">
      <w:pPr>
        <w:pStyle w:val="FootnoteText"/>
      </w:pPr>
      <w:r>
        <w:rPr>
          <w:rStyle w:val="FootnoteReference"/>
        </w:rPr>
        <w:footnoteRef/>
      </w:r>
      <w:r>
        <w:t xml:space="preserve"> </w:t>
      </w:r>
      <w:r w:rsidRPr="002F29FE">
        <w:t>Thourani VH, Kodali S, Makkar RR, Herrmann HC, Williams M, Babaliaros V, et al. 2016. Transcatheter aortic valve replacement versus surgical valve replacement in intermediate-risk patients: a propensity score analysis. Lancet 387: 2218-2225.</w:t>
      </w:r>
    </w:p>
  </w:footnote>
  <w:footnote w:id="10">
    <w:p w14:paraId="5B646D51" w14:textId="77777777" w:rsidR="003C680B" w:rsidRDefault="003C680B" w:rsidP="00040D5B">
      <w:pPr>
        <w:pStyle w:val="FootnoteText"/>
      </w:pPr>
      <w:r>
        <w:rPr>
          <w:rStyle w:val="FootnoteReference"/>
        </w:rPr>
        <w:footnoteRef/>
      </w:r>
      <w:r>
        <w:t xml:space="preserve"> </w:t>
      </w:r>
      <w:r w:rsidRPr="002F29FE">
        <w:t>Kodali S, Thourani VH, White J, et al. Early clinical and echocardiographic outcomes after SAPIEN 3 transcatheter aortic valve replacement in inoperable, high-risk and intermediate-risk patients with aortic stenosis. Eur Heart J. 2016;37(28):2252-2262.</w:t>
      </w:r>
    </w:p>
  </w:footnote>
  <w:footnote w:id="11">
    <w:p w14:paraId="36C2AA7F" w14:textId="77777777" w:rsidR="003C680B" w:rsidRPr="00F508C3" w:rsidRDefault="003C680B" w:rsidP="00040D5B">
      <w:pPr>
        <w:pStyle w:val="FootnoteText"/>
        <w:rPr>
          <w:lang w:val="nl-NL"/>
        </w:rPr>
      </w:pPr>
      <w:r>
        <w:rPr>
          <w:rStyle w:val="FootnoteReference"/>
        </w:rPr>
        <w:footnoteRef/>
      </w:r>
      <w:r>
        <w:t xml:space="preserve"> </w:t>
      </w:r>
      <w:r w:rsidRPr="002F29FE">
        <w:t xml:space="preserve">Ando T, Briasoulis A, Holmes AA, Taub CC, Takagi H, Afonso L. 2016. Sapien 3 versus Sapien XT prosthetic valves in transcatheter aortic valve implantation: A meta-analysis. </w:t>
      </w:r>
      <w:r w:rsidRPr="00F508C3">
        <w:rPr>
          <w:lang w:val="nl-NL"/>
        </w:rPr>
        <w:t>Int J Cardiol 220: 472-478.</w:t>
      </w:r>
    </w:p>
  </w:footnote>
  <w:footnote w:id="12">
    <w:p w14:paraId="65139D74" w14:textId="77777777" w:rsidR="003C680B" w:rsidRDefault="003C680B" w:rsidP="00040D5B">
      <w:pPr>
        <w:pStyle w:val="FootnoteText"/>
      </w:pPr>
      <w:r>
        <w:rPr>
          <w:rStyle w:val="FootnoteReference"/>
        </w:rPr>
        <w:footnoteRef/>
      </w:r>
      <w:r w:rsidRPr="00F508C3">
        <w:rPr>
          <w:lang w:val="nl-NL"/>
        </w:rPr>
        <w:t xml:space="preserve"> Schofer N, Deuschl F, Vogel B, Pecha S, Seiffert M, Lubos E, et al. 2016. </w:t>
      </w:r>
      <w:r w:rsidRPr="002F29FE">
        <w:t>Sapien 3 is Superior to Sapien XT: A Single-Center Analysis of Implanted Balloon Expandable Transcatheter Heart Valves. The Thor</w:t>
      </w:r>
      <w:r>
        <w:t>acic and Cardiovascular Surgeon.</w:t>
      </w:r>
    </w:p>
  </w:footnote>
  <w:footnote w:id="13">
    <w:p w14:paraId="3C8C6ABE" w14:textId="77777777" w:rsidR="003C680B" w:rsidRDefault="003C680B" w:rsidP="00040D5B">
      <w:pPr>
        <w:pStyle w:val="FootnoteText"/>
      </w:pPr>
      <w:r>
        <w:rPr>
          <w:rStyle w:val="FootnoteReference"/>
        </w:rPr>
        <w:footnoteRef/>
      </w:r>
      <w:r>
        <w:t xml:space="preserve"> </w:t>
      </w:r>
      <w:r w:rsidRPr="00AC0FE5">
        <w:t>Lee HA, Chou AH, Wu VC, Chen DY, Lee HF, Lee KT, et al. 2020. Balloon-expandable versus self-expanding transcatheter aortic valve replacement for bioprosthetic dysfunction: A systematic review and meta-analysis. PLoS One 15: e0233894.</w:t>
      </w:r>
    </w:p>
  </w:footnote>
  <w:footnote w:id="14">
    <w:p w14:paraId="71E7E1AC" w14:textId="77777777" w:rsidR="003C680B" w:rsidRDefault="003C680B" w:rsidP="00040D5B">
      <w:pPr>
        <w:pStyle w:val="FootnoteText"/>
      </w:pPr>
      <w:r>
        <w:rPr>
          <w:rStyle w:val="FootnoteReference"/>
        </w:rPr>
        <w:footnoteRef/>
      </w:r>
      <w:r>
        <w:t xml:space="preserve"> </w:t>
      </w:r>
      <w:r w:rsidRPr="00AC0FE5">
        <w:t>Thourani VH, Kodali S, Makkar RR, Herrmann HC, Williams M, Babaliaros V, et al. 2016. Transcatheter aortic valve replacement versus surgical valve replacement in intermediate-risk patients: a propensity score analysis. Lancet 387: 2218-2225.</w:t>
      </w:r>
    </w:p>
  </w:footnote>
  <w:footnote w:id="15">
    <w:p w14:paraId="67C97DD7" w14:textId="77777777" w:rsidR="003C680B" w:rsidRDefault="003C680B" w:rsidP="00040D5B">
      <w:pPr>
        <w:pStyle w:val="FootnoteText"/>
      </w:pPr>
      <w:r>
        <w:rPr>
          <w:rStyle w:val="FootnoteReference"/>
        </w:rPr>
        <w:footnoteRef/>
      </w:r>
      <w:r>
        <w:t xml:space="preserve"> </w:t>
      </w:r>
      <w:r w:rsidRPr="00AC0FE5">
        <w:t>Baron SJ, Thourani VH, Kodali S, Arnold SV, Wang K, Magnuson EA, et al. 2018. Effect of SAPIEN 3 Transcatheter Valve Implantation on Health Status in Patients With Severe Aortic Stenosis at Intermediate Surgical Risk: Results From the PARTNER S3i Trial. JACC Cardiovasc Interv 11: 1188-1198</w:t>
      </w:r>
    </w:p>
  </w:footnote>
  <w:footnote w:id="16">
    <w:p w14:paraId="37ED92C6" w14:textId="77777777" w:rsidR="003C680B" w:rsidRDefault="003C680B" w:rsidP="005D25EA">
      <w:pPr>
        <w:pStyle w:val="FootnoteText"/>
      </w:pPr>
      <w:r>
        <w:rPr>
          <w:rStyle w:val="FootnoteReference"/>
        </w:rPr>
        <w:footnoteRef/>
      </w:r>
      <w:r>
        <w:t xml:space="preserve"> </w:t>
      </w:r>
      <w:r w:rsidRPr="002B6AED">
        <w:t>Si S, Hillis GS, Sanfilippo FM, Smith J, Tran L, Reid CM, et al. 2019. Surgical aortic valve replacement in Australia, 2002-2015: temporal changes in clinical practice, patient profiles and outcomes. ANZ J Surg 89: 1061-1067.</w:t>
      </w:r>
    </w:p>
  </w:footnote>
  <w:footnote w:id="17">
    <w:p w14:paraId="30247E76" w14:textId="77777777" w:rsidR="003C680B" w:rsidRDefault="003C680B" w:rsidP="002063FA">
      <w:pPr>
        <w:pStyle w:val="FootnoteText"/>
      </w:pPr>
      <w:r>
        <w:rPr>
          <w:rStyle w:val="FootnoteReference"/>
        </w:rPr>
        <w:footnoteRef/>
      </w:r>
      <w:r>
        <w:t xml:space="preserve"> </w:t>
      </w:r>
      <w:r w:rsidRPr="000D1648">
        <w:t>Thyregod HG, Steinbrüchel DA, Ihlemann N, Nissen H, Kjeldsen BJ, Petursson P, Chang Y, Franzen OW, Engstrøm T, Clemmensen P, Hansen PB. Transcatheter versus surgical aortic valve replacement in patients with severe aortic valve stenosis: 1-year results from the all-comers NOTION randomized clinical trial. Journal of the American College of Cardiology. 2015 May 26;65(20):2184-94.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137E9"/>
    <w:multiLevelType w:val="hybridMultilevel"/>
    <w:tmpl w:val="EF02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B758F5"/>
    <w:multiLevelType w:val="hybridMultilevel"/>
    <w:tmpl w:val="8DBCE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E858C0"/>
    <w:multiLevelType w:val="hybridMultilevel"/>
    <w:tmpl w:val="8DBCE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A35977"/>
    <w:multiLevelType w:val="hybridMultilevel"/>
    <w:tmpl w:val="076C1A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63851"/>
    <w:multiLevelType w:val="hybridMultilevel"/>
    <w:tmpl w:val="6B9A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0117C"/>
    <w:multiLevelType w:val="hybridMultilevel"/>
    <w:tmpl w:val="FDE4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01349B"/>
    <w:multiLevelType w:val="hybridMultilevel"/>
    <w:tmpl w:val="D200F7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10434F"/>
    <w:multiLevelType w:val="hybridMultilevel"/>
    <w:tmpl w:val="CFFEF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4B3159"/>
    <w:multiLevelType w:val="hybridMultilevel"/>
    <w:tmpl w:val="9FAE3F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C04DA"/>
    <w:multiLevelType w:val="hybridMultilevel"/>
    <w:tmpl w:val="B3CE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085084A"/>
    <w:multiLevelType w:val="hybridMultilevel"/>
    <w:tmpl w:val="1F681E68"/>
    <w:lvl w:ilvl="0" w:tplc="AED23DAA">
      <w:start w:val="2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2075F92"/>
    <w:multiLevelType w:val="hybridMultilevel"/>
    <w:tmpl w:val="40CC2A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9F36578"/>
    <w:multiLevelType w:val="hybridMultilevel"/>
    <w:tmpl w:val="A6626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6E2B3783"/>
    <w:multiLevelType w:val="hybridMultilevel"/>
    <w:tmpl w:val="97CC1CBE"/>
    <w:lvl w:ilvl="0" w:tplc="39AAA0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D76A2B"/>
    <w:multiLevelType w:val="hybridMultilevel"/>
    <w:tmpl w:val="69A668D4"/>
    <w:lvl w:ilvl="0" w:tplc="BF1AE7D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007E67"/>
    <w:multiLevelType w:val="hybridMultilevel"/>
    <w:tmpl w:val="19A08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A0D1C29"/>
    <w:multiLevelType w:val="hybridMultilevel"/>
    <w:tmpl w:val="8DBCE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
  </w:num>
  <w:num w:numId="4">
    <w:abstractNumId w:val="24"/>
  </w:num>
  <w:num w:numId="5">
    <w:abstractNumId w:val="16"/>
  </w:num>
  <w:num w:numId="6">
    <w:abstractNumId w:val="23"/>
  </w:num>
  <w:num w:numId="7">
    <w:abstractNumId w:val="30"/>
  </w:num>
  <w:num w:numId="8">
    <w:abstractNumId w:val="17"/>
  </w:num>
  <w:num w:numId="9">
    <w:abstractNumId w:val="41"/>
  </w:num>
  <w:num w:numId="10">
    <w:abstractNumId w:val="0"/>
  </w:num>
  <w:num w:numId="11">
    <w:abstractNumId w:val="27"/>
  </w:num>
  <w:num w:numId="12">
    <w:abstractNumId w:val="31"/>
  </w:num>
  <w:num w:numId="13">
    <w:abstractNumId w:val="7"/>
  </w:num>
  <w:num w:numId="14">
    <w:abstractNumId w:val="36"/>
  </w:num>
  <w:num w:numId="15">
    <w:abstractNumId w:val="26"/>
  </w:num>
  <w:num w:numId="16">
    <w:abstractNumId w:val="32"/>
  </w:num>
  <w:num w:numId="17">
    <w:abstractNumId w:val="19"/>
  </w:num>
  <w:num w:numId="18">
    <w:abstractNumId w:val="21"/>
  </w:num>
  <w:num w:numId="19">
    <w:abstractNumId w:val="35"/>
  </w:num>
  <w:num w:numId="20">
    <w:abstractNumId w:val="33"/>
  </w:num>
  <w:num w:numId="21">
    <w:abstractNumId w:val="4"/>
  </w:num>
  <w:num w:numId="22">
    <w:abstractNumId w:val="14"/>
  </w:num>
  <w:num w:numId="23">
    <w:abstractNumId w:val="2"/>
  </w:num>
  <w:num w:numId="24">
    <w:abstractNumId w:val="12"/>
  </w:num>
  <w:num w:numId="25">
    <w:abstractNumId w:val="8"/>
  </w:num>
  <w:num w:numId="26">
    <w:abstractNumId w:val="40"/>
  </w:num>
  <w:num w:numId="27">
    <w:abstractNumId w:val="5"/>
  </w:num>
  <w:num w:numId="28">
    <w:abstractNumId w:val="6"/>
  </w:num>
  <w:num w:numId="29">
    <w:abstractNumId w:val="3"/>
  </w:num>
  <w:num w:numId="30">
    <w:abstractNumId w:val="9"/>
  </w:num>
  <w:num w:numId="31">
    <w:abstractNumId w:val="29"/>
  </w:num>
  <w:num w:numId="32">
    <w:abstractNumId w:val="34"/>
  </w:num>
  <w:num w:numId="33">
    <w:abstractNumId w:val="38"/>
  </w:num>
  <w:num w:numId="34">
    <w:abstractNumId w:val="37"/>
  </w:num>
  <w:num w:numId="35">
    <w:abstractNumId w:val="18"/>
  </w:num>
  <w:num w:numId="36">
    <w:abstractNumId w:val="11"/>
  </w:num>
  <w:num w:numId="37">
    <w:abstractNumId w:val="39"/>
  </w:num>
  <w:num w:numId="38">
    <w:abstractNumId w:val="15"/>
  </w:num>
  <w:num w:numId="39">
    <w:abstractNumId w:val="20"/>
  </w:num>
  <w:num w:numId="40">
    <w:abstractNumId w:val="25"/>
  </w:num>
  <w:num w:numId="41">
    <w:abstractNumId w:val="2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21F25"/>
    <w:rsid w:val="00023CD8"/>
    <w:rsid w:val="00024323"/>
    <w:rsid w:val="000317F2"/>
    <w:rsid w:val="00037D08"/>
    <w:rsid w:val="00040D5B"/>
    <w:rsid w:val="00047606"/>
    <w:rsid w:val="00065623"/>
    <w:rsid w:val="00070B63"/>
    <w:rsid w:val="000756B9"/>
    <w:rsid w:val="00075B5A"/>
    <w:rsid w:val="00092AEE"/>
    <w:rsid w:val="00096B67"/>
    <w:rsid w:val="00096DAF"/>
    <w:rsid w:val="000A1F98"/>
    <w:rsid w:val="000B623A"/>
    <w:rsid w:val="000C2F47"/>
    <w:rsid w:val="000D2B9A"/>
    <w:rsid w:val="000D6C00"/>
    <w:rsid w:val="000E37A5"/>
    <w:rsid w:val="000E4E04"/>
    <w:rsid w:val="000E6900"/>
    <w:rsid w:val="000F14B4"/>
    <w:rsid w:val="000F6297"/>
    <w:rsid w:val="000F75DF"/>
    <w:rsid w:val="001023DC"/>
    <w:rsid w:val="00106329"/>
    <w:rsid w:val="0010695D"/>
    <w:rsid w:val="001328FA"/>
    <w:rsid w:val="00147AAF"/>
    <w:rsid w:val="001552C0"/>
    <w:rsid w:val="001640B1"/>
    <w:rsid w:val="00164B92"/>
    <w:rsid w:val="001842B7"/>
    <w:rsid w:val="0018435E"/>
    <w:rsid w:val="00194A71"/>
    <w:rsid w:val="001A0D94"/>
    <w:rsid w:val="001A2443"/>
    <w:rsid w:val="001A3D05"/>
    <w:rsid w:val="001E0D73"/>
    <w:rsid w:val="001E3F42"/>
    <w:rsid w:val="002041A1"/>
    <w:rsid w:val="002054F0"/>
    <w:rsid w:val="002063FA"/>
    <w:rsid w:val="00214059"/>
    <w:rsid w:val="0022169D"/>
    <w:rsid w:val="00222DAE"/>
    <w:rsid w:val="002266C9"/>
    <w:rsid w:val="00230D6B"/>
    <w:rsid w:val="00232068"/>
    <w:rsid w:val="002330F2"/>
    <w:rsid w:val="00234520"/>
    <w:rsid w:val="00243D9E"/>
    <w:rsid w:val="00245881"/>
    <w:rsid w:val="00253B66"/>
    <w:rsid w:val="00255E54"/>
    <w:rsid w:val="0026096E"/>
    <w:rsid w:val="00261DF1"/>
    <w:rsid w:val="00271F18"/>
    <w:rsid w:val="00274B4B"/>
    <w:rsid w:val="0028237B"/>
    <w:rsid w:val="00282779"/>
    <w:rsid w:val="0028334D"/>
    <w:rsid w:val="002B64D2"/>
    <w:rsid w:val="002B7FFA"/>
    <w:rsid w:val="002C109E"/>
    <w:rsid w:val="002C1EAC"/>
    <w:rsid w:val="002C2BCF"/>
    <w:rsid w:val="002F279D"/>
    <w:rsid w:val="002F3DCC"/>
    <w:rsid w:val="002F43B8"/>
    <w:rsid w:val="00310000"/>
    <w:rsid w:val="003257BF"/>
    <w:rsid w:val="00336856"/>
    <w:rsid w:val="0034554D"/>
    <w:rsid w:val="00352224"/>
    <w:rsid w:val="003671E6"/>
    <w:rsid w:val="003724D2"/>
    <w:rsid w:val="00384272"/>
    <w:rsid w:val="00386D67"/>
    <w:rsid w:val="0038733F"/>
    <w:rsid w:val="003945B8"/>
    <w:rsid w:val="003B42C4"/>
    <w:rsid w:val="003B7D3C"/>
    <w:rsid w:val="003C1223"/>
    <w:rsid w:val="003C680B"/>
    <w:rsid w:val="003D366F"/>
    <w:rsid w:val="003D7F29"/>
    <w:rsid w:val="003E70F4"/>
    <w:rsid w:val="003F77B9"/>
    <w:rsid w:val="003F7A2B"/>
    <w:rsid w:val="00404268"/>
    <w:rsid w:val="00405A6B"/>
    <w:rsid w:val="00406413"/>
    <w:rsid w:val="00407B1F"/>
    <w:rsid w:val="0041184F"/>
    <w:rsid w:val="00414231"/>
    <w:rsid w:val="00414C57"/>
    <w:rsid w:val="0041758C"/>
    <w:rsid w:val="00424791"/>
    <w:rsid w:val="004539DE"/>
    <w:rsid w:val="004663EB"/>
    <w:rsid w:val="0049430E"/>
    <w:rsid w:val="004A2CF1"/>
    <w:rsid w:val="004A7E0B"/>
    <w:rsid w:val="004A7F0F"/>
    <w:rsid w:val="004C3035"/>
    <w:rsid w:val="004C307F"/>
    <w:rsid w:val="004D0016"/>
    <w:rsid w:val="004E4BA8"/>
    <w:rsid w:val="004F1CA5"/>
    <w:rsid w:val="004F288F"/>
    <w:rsid w:val="004F31A4"/>
    <w:rsid w:val="004F340F"/>
    <w:rsid w:val="004F38A5"/>
    <w:rsid w:val="004F76E9"/>
    <w:rsid w:val="004F7B7C"/>
    <w:rsid w:val="0052243D"/>
    <w:rsid w:val="00532435"/>
    <w:rsid w:val="00532749"/>
    <w:rsid w:val="0054186C"/>
    <w:rsid w:val="00550354"/>
    <w:rsid w:val="0055751B"/>
    <w:rsid w:val="00571236"/>
    <w:rsid w:val="00585FA8"/>
    <w:rsid w:val="005953A1"/>
    <w:rsid w:val="005A2D17"/>
    <w:rsid w:val="005A4362"/>
    <w:rsid w:val="005B5434"/>
    <w:rsid w:val="005D0332"/>
    <w:rsid w:val="005D0D8C"/>
    <w:rsid w:val="005D25EA"/>
    <w:rsid w:val="005D721D"/>
    <w:rsid w:val="005E1A65"/>
    <w:rsid w:val="0060464A"/>
    <w:rsid w:val="00640A46"/>
    <w:rsid w:val="00640F8A"/>
    <w:rsid w:val="006522D5"/>
    <w:rsid w:val="006776AE"/>
    <w:rsid w:val="00681B3D"/>
    <w:rsid w:val="00683913"/>
    <w:rsid w:val="0068469E"/>
    <w:rsid w:val="00686F4D"/>
    <w:rsid w:val="006A0D97"/>
    <w:rsid w:val="006B1F86"/>
    <w:rsid w:val="006C0A91"/>
    <w:rsid w:val="006C4386"/>
    <w:rsid w:val="006E4C5F"/>
    <w:rsid w:val="007035C0"/>
    <w:rsid w:val="00704F04"/>
    <w:rsid w:val="007054BB"/>
    <w:rsid w:val="00707064"/>
    <w:rsid w:val="00712B1D"/>
    <w:rsid w:val="00724C12"/>
    <w:rsid w:val="00726768"/>
    <w:rsid w:val="00730683"/>
    <w:rsid w:val="0074402F"/>
    <w:rsid w:val="00747FFA"/>
    <w:rsid w:val="0075261F"/>
    <w:rsid w:val="0075468E"/>
    <w:rsid w:val="00757328"/>
    <w:rsid w:val="007606E9"/>
    <w:rsid w:val="00761714"/>
    <w:rsid w:val="007665D8"/>
    <w:rsid w:val="00766E36"/>
    <w:rsid w:val="007765F4"/>
    <w:rsid w:val="00776633"/>
    <w:rsid w:val="00784D53"/>
    <w:rsid w:val="00797797"/>
    <w:rsid w:val="007A08D3"/>
    <w:rsid w:val="007A63C9"/>
    <w:rsid w:val="007B32D1"/>
    <w:rsid w:val="007B598B"/>
    <w:rsid w:val="007B7095"/>
    <w:rsid w:val="007D24E1"/>
    <w:rsid w:val="007D6288"/>
    <w:rsid w:val="007D63F2"/>
    <w:rsid w:val="007E3405"/>
    <w:rsid w:val="007F0CA5"/>
    <w:rsid w:val="007F2D30"/>
    <w:rsid w:val="007F4CE9"/>
    <w:rsid w:val="007F4E20"/>
    <w:rsid w:val="00822C7E"/>
    <w:rsid w:val="00847060"/>
    <w:rsid w:val="00847A36"/>
    <w:rsid w:val="00856A33"/>
    <w:rsid w:val="00860808"/>
    <w:rsid w:val="0087527B"/>
    <w:rsid w:val="00892620"/>
    <w:rsid w:val="008A7FAC"/>
    <w:rsid w:val="008C778E"/>
    <w:rsid w:val="008C7D37"/>
    <w:rsid w:val="008D5885"/>
    <w:rsid w:val="008E67E7"/>
    <w:rsid w:val="008F7015"/>
    <w:rsid w:val="00923FA2"/>
    <w:rsid w:val="009332E8"/>
    <w:rsid w:val="00953E49"/>
    <w:rsid w:val="0096060D"/>
    <w:rsid w:val="009742FC"/>
    <w:rsid w:val="00974A50"/>
    <w:rsid w:val="0097585A"/>
    <w:rsid w:val="009924B0"/>
    <w:rsid w:val="009942C9"/>
    <w:rsid w:val="009958C2"/>
    <w:rsid w:val="009B169C"/>
    <w:rsid w:val="009B35C4"/>
    <w:rsid w:val="009B7951"/>
    <w:rsid w:val="009C596F"/>
    <w:rsid w:val="009C630A"/>
    <w:rsid w:val="009D04D1"/>
    <w:rsid w:val="009E0D98"/>
    <w:rsid w:val="009F36BF"/>
    <w:rsid w:val="00A068A1"/>
    <w:rsid w:val="00A1207D"/>
    <w:rsid w:val="00A12FD8"/>
    <w:rsid w:val="00A245ED"/>
    <w:rsid w:val="00A346FC"/>
    <w:rsid w:val="00A46D77"/>
    <w:rsid w:val="00A539FC"/>
    <w:rsid w:val="00A6376C"/>
    <w:rsid w:val="00A846F2"/>
    <w:rsid w:val="00A84F93"/>
    <w:rsid w:val="00AA5AEF"/>
    <w:rsid w:val="00AB1AC5"/>
    <w:rsid w:val="00AB2823"/>
    <w:rsid w:val="00AB3BFC"/>
    <w:rsid w:val="00AB5C2E"/>
    <w:rsid w:val="00AC061E"/>
    <w:rsid w:val="00AC4F2E"/>
    <w:rsid w:val="00AD0C37"/>
    <w:rsid w:val="00AD385F"/>
    <w:rsid w:val="00AE6E2A"/>
    <w:rsid w:val="00AF4529"/>
    <w:rsid w:val="00B03EAB"/>
    <w:rsid w:val="00B1119B"/>
    <w:rsid w:val="00B14FF0"/>
    <w:rsid w:val="00B2563C"/>
    <w:rsid w:val="00B257A0"/>
    <w:rsid w:val="00B275B2"/>
    <w:rsid w:val="00B31E9C"/>
    <w:rsid w:val="00B35595"/>
    <w:rsid w:val="00B36C1B"/>
    <w:rsid w:val="00B51C6D"/>
    <w:rsid w:val="00B6064B"/>
    <w:rsid w:val="00B74282"/>
    <w:rsid w:val="00B83DD2"/>
    <w:rsid w:val="00B86D64"/>
    <w:rsid w:val="00B90F45"/>
    <w:rsid w:val="00BA4AC5"/>
    <w:rsid w:val="00BB08AB"/>
    <w:rsid w:val="00BC1364"/>
    <w:rsid w:val="00BC2667"/>
    <w:rsid w:val="00BC7DE9"/>
    <w:rsid w:val="00BF479B"/>
    <w:rsid w:val="00C02577"/>
    <w:rsid w:val="00C06B0B"/>
    <w:rsid w:val="00C204FB"/>
    <w:rsid w:val="00C20BEE"/>
    <w:rsid w:val="00C2158D"/>
    <w:rsid w:val="00C25E04"/>
    <w:rsid w:val="00C52347"/>
    <w:rsid w:val="00C55A2D"/>
    <w:rsid w:val="00C67DD2"/>
    <w:rsid w:val="00C725CB"/>
    <w:rsid w:val="00C76F5C"/>
    <w:rsid w:val="00C905B5"/>
    <w:rsid w:val="00C9228E"/>
    <w:rsid w:val="00C93A14"/>
    <w:rsid w:val="00C96BAD"/>
    <w:rsid w:val="00CA6944"/>
    <w:rsid w:val="00CB0F8E"/>
    <w:rsid w:val="00CB2623"/>
    <w:rsid w:val="00CB7E7D"/>
    <w:rsid w:val="00CC2911"/>
    <w:rsid w:val="00CC6D87"/>
    <w:rsid w:val="00CF0C6D"/>
    <w:rsid w:val="00CF4E81"/>
    <w:rsid w:val="00CF7307"/>
    <w:rsid w:val="00CF7C68"/>
    <w:rsid w:val="00D064A8"/>
    <w:rsid w:val="00D124FA"/>
    <w:rsid w:val="00D22853"/>
    <w:rsid w:val="00D340DE"/>
    <w:rsid w:val="00D361E0"/>
    <w:rsid w:val="00D542C8"/>
    <w:rsid w:val="00D55723"/>
    <w:rsid w:val="00D62FAD"/>
    <w:rsid w:val="00D64355"/>
    <w:rsid w:val="00D70450"/>
    <w:rsid w:val="00D75C5F"/>
    <w:rsid w:val="00D83BFD"/>
    <w:rsid w:val="00D90A38"/>
    <w:rsid w:val="00D95739"/>
    <w:rsid w:val="00DA0515"/>
    <w:rsid w:val="00DA171E"/>
    <w:rsid w:val="00DA56AA"/>
    <w:rsid w:val="00DB5833"/>
    <w:rsid w:val="00DC0B94"/>
    <w:rsid w:val="00DD2858"/>
    <w:rsid w:val="00DD7827"/>
    <w:rsid w:val="00DE0E87"/>
    <w:rsid w:val="00DE58A4"/>
    <w:rsid w:val="00DE7C45"/>
    <w:rsid w:val="00DF0995"/>
    <w:rsid w:val="00DF489D"/>
    <w:rsid w:val="00DF4EA8"/>
    <w:rsid w:val="00DF5889"/>
    <w:rsid w:val="00E03E33"/>
    <w:rsid w:val="00E047A5"/>
    <w:rsid w:val="00E059E0"/>
    <w:rsid w:val="00E126CB"/>
    <w:rsid w:val="00E13964"/>
    <w:rsid w:val="00E3642A"/>
    <w:rsid w:val="00E40C30"/>
    <w:rsid w:val="00E40CBB"/>
    <w:rsid w:val="00E415C4"/>
    <w:rsid w:val="00E50016"/>
    <w:rsid w:val="00E50EAA"/>
    <w:rsid w:val="00E54228"/>
    <w:rsid w:val="00E60F1E"/>
    <w:rsid w:val="00E656D6"/>
    <w:rsid w:val="00E724ED"/>
    <w:rsid w:val="00E977EE"/>
    <w:rsid w:val="00EA2F24"/>
    <w:rsid w:val="00EA5C0E"/>
    <w:rsid w:val="00EA67A2"/>
    <w:rsid w:val="00EA772A"/>
    <w:rsid w:val="00EB630F"/>
    <w:rsid w:val="00EB6B6F"/>
    <w:rsid w:val="00EC4F98"/>
    <w:rsid w:val="00ED374F"/>
    <w:rsid w:val="00EE515D"/>
    <w:rsid w:val="00EE57F4"/>
    <w:rsid w:val="00F011D4"/>
    <w:rsid w:val="00F0234D"/>
    <w:rsid w:val="00F06990"/>
    <w:rsid w:val="00F117A3"/>
    <w:rsid w:val="00F12F02"/>
    <w:rsid w:val="00F24BB1"/>
    <w:rsid w:val="00F32E0D"/>
    <w:rsid w:val="00F35134"/>
    <w:rsid w:val="00F37B9C"/>
    <w:rsid w:val="00F41812"/>
    <w:rsid w:val="00F53620"/>
    <w:rsid w:val="00F56D7F"/>
    <w:rsid w:val="00F60B18"/>
    <w:rsid w:val="00F715D1"/>
    <w:rsid w:val="00F72715"/>
    <w:rsid w:val="00F73333"/>
    <w:rsid w:val="00F8518E"/>
    <w:rsid w:val="00F878CB"/>
    <w:rsid w:val="00F95D8F"/>
    <w:rsid w:val="00FB350A"/>
    <w:rsid w:val="00FB35ED"/>
    <w:rsid w:val="00FB4C5D"/>
    <w:rsid w:val="00FC354C"/>
    <w:rsid w:val="00FD0063"/>
    <w:rsid w:val="00FD1ECB"/>
    <w:rsid w:val="00FD758A"/>
    <w:rsid w:val="00FE1C3F"/>
    <w:rsid w:val="00FE1F19"/>
    <w:rsid w:val="00FE731D"/>
    <w:rsid w:val="00FE77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FC6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98"/>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B36C1B"/>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B36C1B"/>
    <w:pPr>
      <w:keepNext/>
      <w:keepLines/>
      <w:spacing w:before="200"/>
      <w:outlineLvl w:val="2"/>
    </w:pPr>
    <w:rPr>
      <w:rFonts w:eastAsiaTheme="majorEastAsia" w:cstheme="majorBidi"/>
      <w:szCs w:val="24"/>
      <w:u w:val="single"/>
    </w:rPr>
  </w:style>
  <w:style w:type="paragraph" w:styleId="Heading4">
    <w:name w:val="heading 4"/>
    <w:basedOn w:val="Normal"/>
    <w:next w:val="Normal"/>
    <w:link w:val="Heading4Char"/>
    <w:semiHidden/>
    <w:unhideWhenUsed/>
    <w:qFormat/>
    <w:locked/>
    <w:rsid w:val="00040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B36C1B"/>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link w:val="TabletextcentredChar"/>
    <w:qFormat/>
    <w:rsid w:val="002063FA"/>
    <w:pPr>
      <w:spacing w:before="40" w:after="40"/>
      <w:jc w:val="center"/>
    </w:pPr>
    <w:rPr>
      <w:rFonts w:ascii="Arial Narrow" w:hAnsi="Arial Narrow"/>
      <w:sz w:val="20"/>
      <w:szCs w:val="24"/>
      <w:lang w:eastAsia="en-US"/>
    </w:rPr>
  </w:style>
  <w:style w:type="character" w:customStyle="1" w:styleId="TabletextcentredChar">
    <w:name w:val="Table text centred Char"/>
    <w:basedOn w:val="DefaultParagraphFont"/>
    <w:link w:val="Tabletextcentred"/>
    <w:rsid w:val="002063FA"/>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2063F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2063FA"/>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2063FA"/>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2063FA"/>
    <w:rPr>
      <w:rFonts w:ascii="Arial Narrow" w:eastAsia="Times New Roman" w:hAnsi="Arial Narrow" w:cs="Tahoma"/>
      <w:b/>
      <w:noProof/>
      <w:sz w:val="20"/>
      <w:szCs w:val="20"/>
    </w:rPr>
  </w:style>
  <w:style w:type="paragraph" w:customStyle="1" w:styleId="TableText">
    <w:name w:val="TableText"/>
    <w:basedOn w:val="Normal"/>
    <w:rsid w:val="002063FA"/>
    <w:pPr>
      <w:keepNext/>
      <w:spacing w:before="60" w:after="60"/>
    </w:pPr>
    <w:rPr>
      <w:color w:val="000000"/>
      <w:sz w:val="21"/>
      <w:szCs w:val="21"/>
    </w:rPr>
  </w:style>
  <w:style w:type="character" w:customStyle="1" w:styleId="Heading3Char">
    <w:name w:val="Heading 3 Char"/>
    <w:basedOn w:val="DefaultParagraphFont"/>
    <w:link w:val="Heading3"/>
    <w:semiHidden/>
    <w:rsid w:val="00B36C1B"/>
    <w:rPr>
      <w:rFonts w:eastAsiaTheme="majorEastAsia" w:cstheme="majorBidi"/>
      <w:sz w:val="24"/>
      <w:szCs w:val="24"/>
      <w:u w:val="single"/>
    </w:rPr>
  </w:style>
  <w:style w:type="paragraph" w:customStyle="1" w:styleId="Tabletext0">
    <w:name w:val="Table text"/>
    <w:basedOn w:val="Normal"/>
    <w:link w:val="TabletextChar"/>
    <w:qFormat/>
    <w:rsid w:val="002063FA"/>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2063FA"/>
    <w:rPr>
      <w:rFonts w:ascii="Arial Narrow" w:eastAsia="Times New Roman" w:hAnsi="Arial Narrow"/>
      <w:sz w:val="20"/>
      <w:szCs w:val="24"/>
      <w:lang w:eastAsia="en-US"/>
    </w:rPr>
  </w:style>
  <w:style w:type="character" w:customStyle="1" w:styleId="TableFooterChar">
    <w:name w:val="Table Footer Char"/>
    <w:link w:val="TableFooter"/>
    <w:locked/>
    <w:rsid w:val="002063FA"/>
    <w:rPr>
      <w:rFonts w:ascii="Arial Narrow" w:hAnsi="Arial Narrow" w:cs="Arial"/>
      <w:sz w:val="18"/>
    </w:rPr>
  </w:style>
  <w:style w:type="paragraph" w:customStyle="1" w:styleId="TableFooter">
    <w:name w:val="Table Footer"/>
    <w:basedOn w:val="Normal"/>
    <w:link w:val="TableFooterChar"/>
    <w:qFormat/>
    <w:rsid w:val="002063FA"/>
    <w:pPr>
      <w:widowControl w:val="0"/>
      <w:snapToGrid w:val="0"/>
      <w:jc w:val="both"/>
    </w:pPr>
    <w:rPr>
      <w:rFonts w:ascii="Arial Narrow" w:eastAsia="Calibri" w:hAnsi="Arial Narrow" w:cs="Arial"/>
      <w:sz w:val="18"/>
      <w:szCs w:val="22"/>
    </w:rPr>
  </w:style>
  <w:style w:type="paragraph" w:customStyle="1" w:styleId="Tablenotes">
    <w:name w:val="Tablenotes"/>
    <w:basedOn w:val="Normal"/>
    <w:link w:val="TablenotesChar"/>
    <w:autoRedefine/>
    <w:qFormat/>
    <w:rsid w:val="00B36C1B"/>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B36C1B"/>
    <w:rPr>
      <w:rFonts w:ascii="Arial Narrow" w:eastAsia="Times New Roman" w:hAnsi="Arial Narrow" w:cs="Arial"/>
      <w:snapToGrid w:val="0"/>
      <w:sz w:val="18"/>
      <w:szCs w:val="20"/>
      <w:lang w:eastAsia="en-US"/>
    </w:rPr>
  </w:style>
  <w:style w:type="character" w:customStyle="1" w:styleId="eop">
    <w:name w:val="eop"/>
    <w:basedOn w:val="DefaultParagraphFont"/>
    <w:rsid w:val="00B36C1B"/>
  </w:style>
  <w:style w:type="character" w:customStyle="1" w:styleId="ListParagraphChar">
    <w:name w:val="List Paragraph Char"/>
    <w:aliases w:val="Styl moj Char,Akapit z listą1 Char,Akapit z listą11 Char"/>
    <w:link w:val="ListParagraph"/>
    <w:uiPriority w:val="34"/>
    <w:rsid w:val="00B36C1B"/>
    <w:rPr>
      <w:rFonts w:eastAsia="Times New Roman"/>
      <w:sz w:val="24"/>
      <w:szCs w:val="20"/>
    </w:rPr>
  </w:style>
  <w:style w:type="paragraph" w:customStyle="1" w:styleId="Tablenotes1">
    <w:name w:val="Tablenotes 1"/>
    <w:basedOn w:val="Normal"/>
    <w:link w:val="Tablenotes1Char"/>
    <w:qFormat/>
    <w:rsid w:val="00040D5B"/>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040D5B"/>
    <w:rPr>
      <w:rFonts w:ascii="Arial Narrow" w:eastAsia="Times New Roman" w:hAnsi="Arial Narrow" w:cs="Arial"/>
      <w:snapToGrid w:val="0"/>
      <w:sz w:val="18"/>
      <w:szCs w:val="20"/>
      <w:lang w:eastAsia="en-US"/>
    </w:rPr>
  </w:style>
  <w:style w:type="table" w:customStyle="1" w:styleId="Summarybox1">
    <w:name w:val="Summary box1"/>
    <w:basedOn w:val="TableNormal"/>
    <w:next w:val="TableGrid"/>
    <w:uiPriority w:val="39"/>
    <w:rsid w:val="00040D5B"/>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39"/>
    <w:rsid w:val="00040D5B"/>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040D5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40D5B"/>
    <w:rPr>
      <w:rFonts w:ascii="Arial Narrow" w:eastAsia="Times New Roman" w:hAnsi="Arial Narrow" w:cs="Arial"/>
      <w:sz w:val="20"/>
      <w:szCs w:val="20"/>
      <w:lang w:eastAsia="en-US"/>
    </w:rPr>
  </w:style>
  <w:style w:type="character" w:customStyle="1" w:styleId="Heading4Char">
    <w:name w:val="Heading 4 Char"/>
    <w:basedOn w:val="DefaultParagraphFont"/>
    <w:link w:val="Heading4"/>
    <w:semiHidden/>
    <w:rsid w:val="00040D5B"/>
    <w:rPr>
      <w:rFonts w:asciiTheme="majorHAnsi" w:eastAsiaTheme="majorEastAsia" w:hAnsiTheme="majorHAnsi" w:cstheme="majorBidi"/>
      <w:i/>
      <w:iCs/>
      <w:color w:val="365F91" w:themeColor="accent1" w:themeShade="BF"/>
      <w:sz w:val="24"/>
      <w:szCs w:val="20"/>
    </w:rPr>
  </w:style>
  <w:style w:type="paragraph" w:customStyle="1" w:styleId="TableCentre">
    <w:name w:val="Table Centre"/>
    <w:basedOn w:val="Normal"/>
    <w:uiPriority w:val="99"/>
    <w:qFormat/>
    <w:rsid w:val="00040D5B"/>
    <w:pPr>
      <w:jc w:val="center"/>
    </w:pPr>
    <w:rPr>
      <w:rFonts w:ascii="Candara" w:eastAsiaTheme="majorEastAsia" w:hAnsi="Candara" w:cstheme="majorBidi"/>
      <w:sz w:val="20"/>
      <w:szCs w:val="22"/>
      <w:lang w:eastAsia="en-US" w:bidi="en-US"/>
    </w:rPr>
  </w:style>
  <w:style w:type="table" w:customStyle="1" w:styleId="TableGrid2">
    <w:name w:val="Table Grid2"/>
    <w:basedOn w:val="TableNormal"/>
    <w:next w:val="TableGrid"/>
    <w:rsid w:val="00040D5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21">
    <w:name w:val="Table Grid21"/>
    <w:basedOn w:val="TableNormal"/>
    <w:next w:val="TableGrid"/>
    <w:rsid w:val="00040D5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22">
    <w:name w:val="Table Grid22"/>
    <w:basedOn w:val="TableNormal"/>
    <w:next w:val="TableGrid"/>
    <w:rsid w:val="00040D5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BoxText">
    <w:name w:val="BoxText"/>
    <w:basedOn w:val="Normal"/>
    <w:qFormat/>
    <w:rsid w:val="00C52347"/>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C52347"/>
    <w:pPr>
      <w:keepNext/>
      <w:spacing w:before="180"/>
      <w:ind w:left="1080" w:hanging="1080"/>
    </w:pPr>
    <w:rPr>
      <w:b/>
      <w:bCs/>
    </w:rPr>
  </w:style>
  <w:style w:type="paragraph" w:customStyle="1" w:styleId="BoxHeading">
    <w:name w:val="BoxHeading"/>
    <w:basedOn w:val="BoxText"/>
    <w:rsid w:val="00C52347"/>
    <w:pPr>
      <w:keepNext/>
      <w:spacing w:before="120" w:after="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5C3844FD549800CBCA25849300087D9F/$File/1603%20Ratified%20PICO.docx" TargetMode="External"/><Relationship Id="rId18" Type="http://schemas.openxmlformats.org/officeDocument/2006/relationships/hyperlink" Target="http://www.msac.gov.au/internet/msac/publishing.nsf/Content/5C3844FD549800CBCA25849300087D9F/$File/1603%20Ratified%20PICO.docx" TargetMode="External"/><Relationship Id="rId26" Type="http://schemas.openxmlformats.org/officeDocument/2006/relationships/hyperlink" Target="https://www.tctmd.com/slide/sapien-3-transcatheter-aortic-valve-replacement-compared-surgery-intermediate-risk-patients-0"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ac.gov.au/internet/msac/publishing.nsf/Content/88E4F87C9D70B70FCA258300001762FE/$File/1552-PICO-Ratified.docx" TargetMode="External"/><Relationship Id="rId17" Type="http://schemas.openxmlformats.org/officeDocument/2006/relationships/hyperlink" Target="http://www.msac.gov.au/internet/msac/publishing.nsf/Content/244229C699007FA8CA25801000123BF3/$File/1361Final-PSD-Accessible.docx" TargetMode="External"/><Relationship Id="rId25" Type="http://schemas.openxmlformats.org/officeDocument/2006/relationships/hyperlink" Target="https://www.nejm.org/doi/full/10.1056/NEJMoa1910555" TargetMode="External"/><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sac.gov.au/internet/msac/publishing.nsf/Content/1361.2-public" TargetMode="External"/><Relationship Id="rId20" Type="http://schemas.openxmlformats.org/officeDocument/2006/relationships/image" Target="media/image2.png"/><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52-public" TargetMode="External"/><Relationship Id="rId24" Type="http://schemas.openxmlformats.org/officeDocument/2006/relationships/chart" Target="charts/chart1.xml"/><Relationship Id="rId32"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hyperlink" Target="http://www.msac.gov.au/internet/msac/publishing.nsf/Content/DD8E7B7D8210F8B6CA25801000123C1A/$File/FINAL_PSD_1361.2_TAVI-accessible.docx" TargetMode="External"/><Relationship Id="rId23" Type="http://schemas.openxmlformats.org/officeDocument/2006/relationships/image" Target="media/image4.tmp"/><Relationship Id="rId28" Type="http://schemas.openxmlformats.org/officeDocument/2006/relationships/chart" Target="charts/chart3.xml"/><Relationship Id="rId10" Type="http://schemas.openxmlformats.org/officeDocument/2006/relationships/hyperlink" Target="http://www.msac.gov.au/internet/msac/publishing.nsf/Content/1552-public" TargetMode="External"/><Relationship Id="rId19" Type="http://schemas.openxmlformats.org/officeDocument/2006/relationships/footer" Target="footer1.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244229C699007FA8CA25801000123BF3/$File/TAVI%20Stakeholder%20Meeting%20Minutes%2030-10-15-for%20web.docx" TargetMode="External"/><Relationship Id="rId22" Type="http://schemas.openxmlformats.org/officeDocument/2006/relationships/hyperlink" Target="http://www.msac.gov.au/internet/msac/publishing.nsf/Content/244229C699007FA8CA25801000123BF3/$File/1361Final-PSD-Accessible.docx" TargetMode="External"/><Relationship Id="rId27" Type="http://schemas.openxmlformats.org/officeDocument/2006/relationships/chart" Target="charts/chart2.xml"/><Relationship Id="rId30" Type="http://schemas.openxmlformats.org/officeDocument/2006/relationships/hyperlink" Target="https://www.tctmd.com/slide/sapien-3-transcatheter-aortic-valve-replacement-compared-surgery-intermediate-risk-patients-0"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hereutseduau-my.sharepoint.com/personal/anna_crothers_chere_uts_edu_au/Documents/Appendix%20A%20-%20Model%20Section%20D_corrected%20-%20scenario%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entral.health\dfsuserenv\Users\User_01\JAROBB\Downloads\Appendix%20A%20-%20Model%20Section%20D%20(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entral.health\dfsuserenv\Users\User_01\JAROBB\Downloads\Appendix%20A%20-%20Model%20Section%20D%20(4).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1\JAROBB\Downloads\07a.%201603%20preMSAC%20response%20Appendix%20A%20-%20Model%20Section%20D%20-%205yr%20horizon%20(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00" b="0" i="0" u="none" strike="noStrike" kern="1200" spc="0" baseline="0">
                <a:solidFill>
                  <a:sysClr val="windowText" lastClr="000000"/>
                </a:solidFill>
                <a:latin typeface="Arial Narrow" panose="020B0606020202030204" pitchFamily="34" charset="0"/>
                <a:ea typeface="+mn-ea"/>
                <a:cs typeface="+mn-cs"/>
              </a:defRPr>
            </a:pPr>
            <a:r>
              <a:rPr lang="en-AU" sz="700"/>
              <a:t>Death or Disabiling Stroke</a:t>
            </a:r>
          </a:p>
        </c:rich>
      </c:tx>
      <c:layout>
        <c:manualLayout>
          <c:xMode val="edge"/>
          <c:yMode val="edge"/>
          <c:x val="0.32252078219010882"/>
          <c:y val="7.4986705093235892E-2"/>
        </c:manualLayout>
      </c:layout>
      <c:overlay val="0"/>
      <c:spPr>
        <a:noFill/>
        <a:ln>
          <a:noFill/>
        </a:ln>
        <a:effectLst/>
      </c:spPr>
      <c:txPr>
        <a:bodyPr rot="0" spcFirstLastPara="1" vertOverflow="ellipsis" vert="horz" wrap="square" anchor="ctr" anchorCtr="1"/>
        <a:lstStyle/>
        <a:p>
          <a:pPr>
            <a:defRPr sz="700" b="0" i="0" u="none" strike="noStrike" kern="1200" spc="0" baseline="0">
              <a:solidFill>
                <a:sysClr val="windowText" lastClr="000000"/>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753648516005665"/>
          <c:y val="3.2897603485838783E-2"/>
          <c:w val="0.77990059030628134"/>
          <c:h val="0.85470754064238708"/>
        </c:manualLayout>
      </c:layout>
      <c:scatterChart>
        <c:scatterStyle val="lineMarker"/>
        <c:varyColors val="0"/>
        <c:ser>
          <c:idx val="0"/>
          <c:order val="0"/>
          <c:tx>
            <c:v>TAVI BEV</c:v>
          </c:tx>
          <c:spPr>
            <a:ln w="19050" cap="rnd">
              <a:solidFill>
                <a:schemeClr val="accent1"/>
              </a:solidFill>
              <a:round/>
            </a:ln>
            <a:effectLst/>
          </c:spPr>
          <c:marker>
            <c:symbol val="circle"/>
            <c:size val="5"/>
            <c:spPr>
              <a:noFill/>
              <a:ln w="9525">
                <a:noFill/>
              </a:ln>
              <a:effectLst/>
            </c:spPr>
          </c:marker>
          <c:dLbls>
            <c:dLbl>
              <c:idx val="12"/>
              <c:layout>
                <c:manualLayout>
                  <c:x val="-1.9905449116695648E-2"/>
                  <c:y val="8.71459694989105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C7B-4154-97EE-E253A6833278}"/>
                </c:ext>
              </c:extLst>
            </c:dLbl>
            <c:dLbl>
              <c:idx val="61"/>
              <c:layout>
                <c:manualLayout>
                  <c:x val="-5.1568543188655024E-2"/>
                  <c:y val="0.149325626204238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7B-4154-97EE-E253A6833278}"/>
                </c:ext>
              </c:extLst>
            </c:dLbl>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BEVM!$D$4:$D$126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BEVM!$AJ$4:$AJ$126</c:f>
              <c:numCache>
                <c:formatCode>0%</c:formatCode>
                <c:ptCount val="123"/>
                <c:pt idx="0">
                  <c:v>9.5992083127164771E-2</c:v>
                </c:pt>
                <c:pt idx="1">
                  <c:v>0.12366452830644095</c:v>
                </c:pt>
                <c:pt idx="2">
                  <c:v>0.12766953780353318</c:v>
                </c:pt>
                <c:pt idx="3">
                  <c:v>0.13166089945009279</c:v>
                </c:pt>
                <c:pt idx="4">
                  <c:v>0.13563857756466097</c:v>
                </c:pt>
                <c:pt idx="5">
                  <c:v>0.13960253831835145</c:v>
                </c:pt>
                <c:pt idx="6">
                  <c:v>0.14355274969871035</c:v>
                </c:pt>
                <c:pt idx="7">
                  <c:v>0.14748918147419143</c:v>
                </c:pt>
                <c:pt idx="8">
                  <c:v>0.15141180515923053</c:v>
                </c:pt>
                <c:pt idx="9">
                  <c:v>0.15532059397991252</c:v>
                </c:pt>
                <c:pt idx="10">
                  <c:v>0.15921552284022056</c:v>
                </c:pt>
                <c:pt idx="11">
                  <c:v>0.16309656828885827</c:v>
                </c:pt>
                <c:pt idx="12">
                  <c:v>0.16696370848663533</c:v>
                </c:pt>
                <c:pt idx="13">
                  <c:v>0.1710773250441619</c:v>
                </c:pt>
                <c:pt idx="14">
                  <c:v>0.17516847047055187</c:v>
                </c:pt>
                <c:pt idx="15">
                  <c:v>0.17923729660111512</c:v>
                </c:pt>
                <c:pt idx="16">
                  <c:v>0.18328395379802986</c:v>
                </c:pt>
                <c:pt idx="17">
                  <c:v>0.18730859097085606</c:v>
                </c:pt>
                <c:pt idx="18">
                  <c:v>0.19131135559669762</c:v>
                </c:pt>
                <c:pt idx="19">
                  <c:v>0.19529239374002019</c:v>
                </c:pt>
                <c:pt idx="20">
                  <c:v>0.19925185007213089</c:v>
                </c:pt>
                <c:pt idx="21">
                  <c:v>0.20318986789032648</c:v>
                </c:pt>
                <c:pt idx="22">
                  <c:v>0.20710658913671531</c:v>
                </c:pt>
                <c:pt idx="23">
                  <c:v>0.21100215441671985</c:v>
                </c:pt>
                <c:pt idx="24">
                  <c:v>0.21487670301726672</c:v>
                </c:pt>
                <c:pt idx="25">
                  <c:v>0.21925600410404852</c:v>
                </c:pt>
                <c:pt idx="26">
                  <c:v>0.22360945488708781</c:v>
                </c:pt>
                <c:pt idx="27">
                  <c:v>0.22793722700723976</c:v>
                </c:pt>
                <c:pt idx="28">
                  <c:v>0.23223949064440427</c:v>
                </c:pt>
                <c:pt idx="29">
                  <c:v>0.23651641453546796</c:v>
                </c:pt>
                <c:pt idx="30">
                  <c:v>0.24076816599194586</c:v>
                </c:pt>
                <c:pt idx="31">
                  <c:v>0.24499491091732914</c:v>
                </c:pt>
                <c:pt idx="32">
                  <c:v>0.24919681382414816</c:v>
                </c:pt>
                <c:pt idx="33">
                  <c:v>0.2533740378507488</c:v>
                </c:pt>
                <c:pt idx="34">
                  <c:v>0.25752674477779591</c:v>
                </c:pt>
                <c:pt idx="35">
                  <c:v>0.26165509504450352</c:v>
                </c:pt>
                <c:pt idx="36">
                  <c:v>0.26575924776460003</c:v>
                </c:pt>
                <c:pt idx="37">
                  <c:v>0.27056130587156429</c:v>
                </c:pt>
                <c:pt idx="38">
                  <c:v>0.2753315418314885</c:v>
                </c:pt>
                <c:pt idx="39">
                  <c:v>0.28007015937156116</c:v>
                </c:pt>
                <c:pt idx="40">
                  <c:v>0.28477736120495101</c:v>
                </c:pt>
                <c:pt idx="41">
                  <c:v>0.28945334902736131</c:v>
                </c:pt>
                <c:pt idx="42">
                  <c:v>0.29409832351387799</c:v>
                </c:pt>
                <c:pt idx="43">
                  <c:v>0.2987124843161012</c:v>
                </c:pt>
                <c:pt idx="44">
                  <c:v>0.30329603005955447</c:v>
                </c:pt>
                <c:pt idx="45">
                  <c:v>0.30784915834136029</c:v>
                </c:pt>
                <c:pt idx="46">
                  <c:v>0.312372065728176</c:v>
                </c:pt>
                <c:pt idx="47">
                  <c:v>0.31686494775438134</c:v>
                </c:pt>
                <c:pt idx="48">
                  <c:v>0.32132799892050906</c:v>
                </c:pt>
                <c:pt idx="49">
                  <c:v>0.32616438162838013</c:v>
                </c:pt>
                <c:pt idx="50">
                  <c:v>0.33096612169089473</c:v>
                </c:pt>
                <c:pt idx="51">
                  <c:v>0.33573345116212422</c:v>
                </c:pt>
                <c:pt idx="52">
                  <c:v>0.34046660112544302</c:v>
                </c:pt>
                <c:pt idx="53">
                  <c:v>0.34516580167900413</c:v>
                </c:pt>
                <c:pt idx="54">
                  <c:v>0.34983128192192392</c:v>
                </c:pt>
                <c:pt idx="55">
                  <c:v>0.35446326994115418</c:v>
                </c:pt>
                <c:pt idx="56">
                  <c:v>0.35906199279902168</c:v>
                </c:pt>
                <c:pt idx="57">
                  <c:v>0.36362767652141487</c:v>
                </c:pt>
                <c:pt idx="58">
                  <c:v>0.3681605460865961</c:v>
                </c:pt>
                <c:pt idx="59">
                  <c:v>0.37266082541462198</c:v>
                </c:pt>
                <c:pt idx="60">
                  <c:v>0.37712873735735225</c:v>
                </c:pt>
                <c:pt idx="61">
                  <c:v>0.38232074268659055</c:v>
                </c:pt>
                <c:pt idx="62">
                  <c:v>0.38747064182601326</c:v>
                </c:pt>
                <c:pt idx="63">
                  <c:v>0.39257871834928498</c:v>
                </c:pt>
                <c:pt idx="64">
                  <c:v>0.39764525593111905</c:v>
                </c:pt>
                <c:pt idx="65">
                  <c:v>0.40267053826754817</c:v>
                </c:pt>
                <c:pt idx="66">
                  <c:v>0.40765484899927223</c:v>
                </c:pt>
                <c:pt idx="67">
                  <c:v>0.41259847163798635</c:v>
                </c:pt>
                <c:pt idx="68">
                  <c:v>0.41750168949559585</c:v>
                </c:pt>
                <c:pt idx="69">
                  <c:v>0.42236478561622215</c:v>
                </c:pt>
                <c:pt idx="70">
                  <c:v>0.42718804271091093</c:v>
                </c:pt>
                <c:pt idx="71">
                  <c:v>0.43197174309495928</c:v>
                </c:pt>
                <c:pt idx="72">
                  <c:v>0.43671616862777218</c:v>
                </c:pt>
                <c:pt idx="73">
                  <c:v>0.44142160065516967</c:v>
                </c:pt>
                <c:pt idx="74">
                  <c:v>0.44641572809211627</c:v>
                </c:pt>
                <c:pt idx="75">
                  <c:v>0.45136622067396903</c:v>
                </c:pt>
                <c:pt idx="76">
                  <c:v>0.4562734093741872</c:v>
                </c:pt>
                <c:pt idx="77">
                  <c:v>0.46113762445638212</c:v>
                </c:pt>
                <c:pt idx="78">
                  <c:v>0.46595919540542913</c:v>
                </c:pt>
                <c:pt idx="79">
                  <c:v>0.47073845086160138</c:v>
                </c:pt>
                <c:pt idx="80">
                  <c:v>0.47547571855762899</c:v>
                </c:pt>
                <c:pt idx="81">
                  <c:v>0.48017132525858131</c:v>
                </c:pt>
                <c:pt idx="82">
                  <c:v>0.48482559670447467</c:v>
                </c:pt>
                <c:pt idx="83">
                  <c:v>0.48943885755551408</c:v>
                </c:pt>
                <c:pt idx="84">
                  <c:v>0.49401143133987774</c:v>
                </c:pt>
                <c:pt idx="85">
                  <c:v>0.49854364040395488</c:v>
                </c:pt>
                <c:pt idx="86">
                  <c:v>0.50393380018741085</c:v>
                </c:pt>
                <c:pt idx="87">
                  <c:v>0.5092686519516979</c:v>
                </c:pt>
                <c:pt idx="88">
                  <c:v>0.51454862958072112</c:v>
                </c:pt>
                <c:pt idx="89">
                  <c:v>0.51977416928677023</c:v>
                </c:pt>
                <c:pt idx="90">
                  <c:v>0.52494570931145734</c:v>
                </c:pt>
                <c:pt idx="91">
                  <c:v>0.5300636896402271</c:v>
                </c:pt>
                <c:pt idx="92">
                  <c:v>0.53512855172990048</c:v>
                </c:pt>
                <c:pt idx="93">
                  <c:v>0.54014073824874487</c:v>
                </c:pt>
                <c:pt idx="94">
                  <c:v>0.54510069282857709</c:v>
                </c:pt>
                <c:pt idx="95">
                  <c:v>0.55000885982842584</c:v>
                </c:pt>
                <c:pt idx="96">
                  <c:v>0.55486568410929737</c:v>
                </c:pt>
                <c:pt idx="97">
                  <c:v>0.55967161081960537</c:v>
                </c:pt>
                <c:pt idx="98">
                  <c:v>0.56502168965327015</c:v>
                </c:pt>
                <c:pt idx="99">
                  <c:v>0.57030978304743918</c:v>
                </c:pt>
                <c:pt idx="100">
                  <c:v>0.57553645363524653</c:v>
                </c:pt>
                <c:pt idx="101">
                  <c:v>0.5807022661145228</c:v>
                </c:pt>
                <c:pt idx="102">
                  <c:v>0.58580778684407864</c:v>
                </c:pt>
                <c:pt idx="103">
                  <c:v>0.590853583460484</c:v>
                </c:pt>
                <c:pt idx="104">
                  <c:v>0.59584022451445839</c:v>
                </c:pt>
                <c:pt idx="105">
                  <c:v>0.60076827912602659</c:v>
                </c:pt>
                <c:pt idx="106">
                  <c:v>0.60563831665762735</c:v>
                </c:pt>
                <c:pt idx="107">
                  <c:v>0.61045090640439625</c:v>
                </c:pt>
                <c:pt idx="108">
                  <c:v>0.61520661730087733</c:v>
                </c:pt>
                <c:pt idx="109">
                  <c:v>0.6199060176434481</c:v>
                </c:pt>
                <c:pt idx="110">
                  <c:v>0.62502732443191478</c:v>
                </c:pt>
                <c:pt idx="111">
                  <c:v>0.63008262224783684</c:v>
                </c:pt>
                <c:pt idx="112">
                  <c:v>0.63507260958241785</c:v>
                </c:pt>
                <c:pt idx="113">
                  <c:v>0.63999798484308945</c:v>
                </c:pt>
                <c:pt idx="114">
                  <c:v>0.6448594459347593</c:v>
                </c:pt>
                <c:pt idx="115">
                  <c:v>0.64965768986507166</c:v>
                </c:pt>
                <c:pt idx="116">
                  <c:v>0.65439341237256343</c:v>
                </c:pt>
                <c:pt idx="117">
                  <c:v>0.65906730757664356</c:v>
                </c:pt>
                <c:pt idx="118">
                  <c:v>0.66368006764837684</c:v>
                </c:pt>
                <c:pt idx="119">
                  <c:v>0.66823238250109152</c:v>
                </c:pt>
                <c:pt idx="120">
                  <c:v>0.67272493949987688</c:v>
                </c:pt>
                <c:pt idx="121">
                  <c:v>0.6771584231890807</c:v>
                </c:pt>
                <c:pt idx="122">
                  <c:v>0.68214340172474641</c:v>
                </c:pt>
              </c:numCache>
            </c:numRef>
          </c:yVal>
          <c:smooth val="0"/>
          <c:extLst>
            <c:ext xmlns:c16="http://schemas.microsoft.com/office/drawing/2014/chart" uri="{C3380CC4-5D6E-409C-BE32-E72D297353CC}">
              <c16:uniqueId val="{00000002-FC7B-4154-97EE-E253A6833278}"/>
            </c:ext>
          </c:extLst>
        </c:ser>
        <c:ser>
          <c:idx val="1"/>
          <c:order val="1"/>
          <c:tx>
            <c:v>SAVR</c:v>
          </c:tx>
          <c:spPr>
            <a:ln w="19050" cap="rnd">
              <a:solidFill>
                <a:schemeClr val="accent2"/>
              </a:solidFill>
              <a:round/>
            </a:ln>
            <a:effectLst/>
          </c:spPr>
          <c:marker>
            <c:symbol val="circle"/>
            <c:size val="5"/>
            <c:spPr>
              <a:noFill/>
              <a:ln w="9525">
                <a:noFill/>
              </a:ln>
              <a:effectLst/>
            </c:spPr>
          </c:marker>
          <c:dLbls>
            <c:dLbl>
              <c:idx val="12"/>
              <c:layout>
                <c:manualLayout>
                  <c:x val="-0.10947997014182628"/>
                  <c:y val="-0.108932461873638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C7B-4154-97EE-E253A6833278}"/>
                </c:ext>
              </c:extLst>
            </c:dLbl>
            <c:dLbl>
              <c:idx val="61"/>
              <c:layout>
                <c:manualLayout>
                  <c:x val="-8.0217733849018771E-2"/>
                  <c:y val="-6.7437379576107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C7B-4154-97EE-E253A6833278}"/>
                </c:ext>
              </c:extLst>
            </c:dLbl>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Arial Narrow" panose="020B060602020203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SAVRM!$D$4:$D$126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SAVRM!$AI$4:$AI$126</c:f>
              <c:numCache>
                <c:formatCode>0%</c:formatCode>
                <c:ptCount val="123"/>
                <c:pt idx="0">
                  <c:v>9.5992083127164771E-2</c:v>
                </c:pt>
                <c:pt idx="1">
                  <c:v>0.1431243938644236</c:v>
                </c:pt>
                <c:pt idx="2">
                  <c:v>0.1496875780073974</c:v>
                </c:pt>
                <c:pt idx="3">
                  <c:v>0.15621537367818539</c:v>
                </c:pt>
                <c:pt idx="4">
                  <c:v>0.16270751639520137</c:v>
                </c:pt>
                <c:pt idx="5">
                  <c:v>0.16916375948719026</c:v>
                </c:pt>
                <c:pt idx="6">
                  <c:v>0.17558387351428015</c:v>
                </c:pt>
                <c:pt idx="7">
                  <c:v>0.18196764570569829</c:v>
                </c:pt>
                <c:pt idx="8">
                  <c:v>0.1883148794136813</c:v>
                </c:pt>
                <c:pt idx="9">
                  <c:v>0.19462539358313205</c:v>
                </c:pt>
                <c:pt idx="10">
                  <c:v>0.20089902223658238</c:v>
                </c:pt>
                <c:pt idx="11">
                  <c:v>0.20713561397403651</c:v>
                </c:pt>
                <c:pt idx="12">
                  <c:v>0.21333503148728095</c:v>
                </c:pt>
                <c:pt idx="13">
                  <c:v>0.21721966181211494</c:v>
                </c:pt>
                <c:pt idx="14">
                  <c:v>0.22108307187097956</c:v>
                </c:pt>
                <c:pt idx="15">
                  <c:v>0.22492540504720698</c:v>
                </c:pt>
                <c:pt idx="16">
                  <c:v>0.22874680333300013</c:v>
                </c:pt>
                <c:pt idx="17">
                  <c:v>0.23254740734880461</c:v>
                </c:pt>
                <c:pt idx="18">
                  <c:v>0.2363273563623475</c:v>
                </c:pt>
                <c:pt idx="19">
                  <c:v>0.24008678830735358</c:v>
                </c:pt>
                <c:pt idx="20">
                  <c:v>0.24382583980193956</c:v>
                </c:pt>
                <c:pt idx="21">
                  <c:v>0.24754464616669644</c:v>
                </c:pt>
                <c:pt idx="22">
                  <c:v>0.25124334144246407</c:v>
                </c:pt>
                <c:pt idx="23">
                  <c:v>0.25492205840780413</c:v>
                </c:pt>
                <c:pt idx="24">
                  <c:v>0.25858092859617599</c:v>
                </c:pt>
                <c:pt idx="25">
                  <c:v>0.26271645400681864</c:v>
                </c:pt>
                <c:pt idx="26">
                  <c:v>0.26682756808198055</c:v>
                </c:pt>
                <c:pt idx="27">
                  <c:v>0.27091443290805506</c:v>
                </c:pt>
                <c:pt idx="28">
                  <c:v>0.27497720919180491</c:v>
                </c:pt>
                <c:pt idx="29">
                  <c:v>0.27901605627730564</c:v>
                </c:pt>
                <c:pt idx="30">
                  <c:v>0.28303113216260412</c:v>
                </c:pt>
                <c:pt idx="31">
                  <c:v>0.2870225935161036</c:v>
                </c:pt>
                <c:pt idx="32">
                  <c:v>0.29099059569267288</c:v>
                </c:pt>
                <c:pt idx="33">
                  <c:v>0.29493529274949198</c:v>
                </c:pt>
                <c:pt idx="34">
                  <c:v>0.29885683746163572</c:v>
                </c:pt>
                <c:pt idx="35">
                  <c:v>0.30275538133740054</c:v>
                </c:pt>
                <c:pt idx="36">
                  <c:v>0.30663107463338002</c:v>
                </c:pt>
                <c:pt idx="37">
                  <c:v>0.31116582411307986</c:v>
                </c:pt>
                <c:pt idx="38">
                  <c:v>0.31567052283922398</c:v>
                </c:pt>
                <c:pt idx="39">
                  <c:v>0.32014536319843934</c:v>
                </c:pt>
                <c:pt idx="40">
                  <c:v>0.32459053661977899</c:v>
                </c:pt>
                <c:pt idx="41">
                  <c:v>0.32900623357146863</c:v>
                </c:pt>
                <c:pt idx="42">
                  <c:v>0.33339264355792869</c:v>
                </c:pt>
                <c:pt idx="43">
                  <c:v>0.33774995511706773</c:v>
                </c:pt>
                <c:pt idx="44">
                  <c:v>0.34207835581783408</c:v>
                </c:pt>
                <c:pt idx="45">
                  <c:v>0.34637803225802155</c:v>
                </c:pt>
                <c:pt idx="46">
                  <c:v>0.35064917006232021</c:v>
                </c:pt>
                <c:pt idx="47">
                  <c:v>0.35489195388060424</c:v>
                </c:pt>
                <c:pt idx="48">
                  <c:v>0.35910656738645053</c:v>
                </c:pt>
                <c:pt idx="49">
                  <c:v>0.36367373077340326</c:v>
                </c:pt>
                <c:pt idx="50">
                  <c:v>0.36820817991273458</c:v>
                </c:pt>
                <c:pt idx="51">
                  <c:v>0.37271013394112545</c:v>
                </c:pt>
                <c:pt idx="52">
                  <c:v>0.37717981107859555</c:v>
                </c:pt>
                <c:pt idx="53">
                  <c:v>0.38161742861478531</c:v>
                </c:pt>
                <c:pt idx="54">
                  <c:v>0.38602320289591019</c:v>
                </c:pt>
                <c:pt idx="55">
                  <c:v>0.39039734931236381</c:v>
                </c:pt>
                <c:pt idx="56">
                  <c:v>0.39474008228695123</c:v>
                </c:pt>
                <c:pt idx="57">
                  <c:v>0.39905161526373267</c:v>
                </c:pt>
                <c:pt idx="58">
                  <c:v>0.40333216069745864</c:v>
                </c:pt>
                <c:pt idx="59">
                  <c:v>0.40758193004357973</c:v>
                </c:pt>
                <c:pt idx="60">
                  <c:v>0.41180113374881122</c:v>
                </c:pt>
                <c:pt idx="61">
                  <c:v>0.41670412387115396</c:v>
                </c:pt>
                <c:pt idx="62">
                  <c:v>0.42156735166282422</c:v>
                </c:pt>
                <c:pt idx="63">
                  <c:v>0.42639108491223643</c:v>
                </c:pt>
                <c:pt idx="64">
                  <c:v>0.43117559150322948</c:v>
                </c:pt>
                <c:pt idx="65">
                  <c:v>0.43592113933977428</c:v>
                </c:pt>
                <c:pt idx="66">
                  <c:v>0.44062799627358912</c:v>
                </c:pt>
                <c:pt idx="67">
                  <c:v>0.44529643003456965</c:v>
                </c:pt>
                <c:pt idx="68">
                  <c:v>0.44992670816394159</c:v>
                </c:pt>
                <c:pt idx="69">
                  <c:v>0.45451909795005363</c:v>
                </c:pt>
                <c:pt idx="70">
                  <c:v>0.45907386636672015</c:v>
                </c:pt>
                <c:pt idx="71">
                  <c:v>0.46359128001403577</c:v>
                </c:pt>
                <c:pt idx="72">
                  <c:v>0.46807160506158074</c:v>
                </c:pt>
                <c:pt idx="73">
                  <c:v>0.47251510719393885</c:v>
                </c:pt>
                <c:pt idx="74">
                  <c:v>0.47723123438186338</c:v>
                </c:pt>
                <c:pt idx="75">
                  <c:v>0.48190615566764672</c:v>
                </c:pt>
                <c:pt idx="76">
                  <c:v>0.48654018360096773</c:v>
                </c:pt>
                <c:pt idx="77">
                  <c:v>0.49113363006117233</c:v>
                </c:pt>
                <c:pt idx="78">
                  <c:v>0.49568680619221833</c:v>
                </c:pt>
                <c:pt idx="79">
                  <c:v>0.50020002234047733</c:v>
                </c:pt>
                <c:pt idx="80">
                  <c:v>0.50467358799529616</c:v>
                </c:pt>
                <c:pt idx="81">
                  <c:v>0.50910781173222641</c:v>
                </c:pt>
                <c:pt idx="82">
                  <c:v>0.51350300115882608</c:v>
                </c:pt>
                <c:pt idx="83">
                  <c:v>0.51785946286295059</c:v>
                </c:pt>
                <c:pt idx="84">
                  <c:v>0.52217750236344318</c:v>
                </c:pt>
                <c:pt idx="85">
                  <c:v>0.52645742406314278</c:v>
                </c:pt>
                <c:pt idx="86">
                  <c:v>0.53154753828689127</c:v>
                </c:pt>
                <c:pt idx="87">
                  <c:v>0.53658542323611569</c:v>
                </c:pt>
                <c:pt idx="88">
                  <c:v>0.54157148864238724</c:v>
                </c:pt>
                <c:pt idx="89">
                  <c:v>0.54650614643605067</c:v>
                </c:pt>
                <c:pt idx="90">
                  <c:v>0.55138981046381108</c:v>
                </c:pt>
                <c:pt idx="91">
                  <c:v>0.55622289621913423</c:v>
                </c:pt>
                <c:pt idx="92">
                  <c:v>0.56100582058495729</c:v>
                </c:pt>
                <c:pt idx="93">
                  <c:v>0.56573900158822843</c:v>
                </c:pt>
                <c:pt idx="94">
                  <c:v>0.57042285816580907</c:v>
                </c:pt>
                <c:pt idx="95">
                  <c:v>0.57505780994129163</c:v>
                </c:pt>
                <c:pt idx="96">
                  <c:v>0.57964427701230314</c:v>
                </c:pt>
                <c:pt idx="97">
                  <c:v>0.58418267974787974</c:v>
                </c:pt>
                <c:pt idx="98">
                  <c:v>0.58923494414512423</c:v>
                </c:pt>
                <c:pt idx="99">
                  <c:v>0.59422867354898834</c:v>
                </c:pt>
                <c:pt idx="100">
                  <c:v>0.59916439927339138</c:v>
                </c:pt>
                <c:pt idx="101">
                  <c:v>0.60404265458201656</c:v>
                </c:pt>
                <c:pt idx="102">
                  <c:v>0.60886397430706807</c:v>
                </c:pt>
                <c:pt idx="103">
                  <c:v>0.61362889448738211</c:v>
                </c:pt>
                <c:pt idx="104">
                  <c:v>0.61833795202505848</c:v>
                </c:pt>
                <c:pt idx="105">
                  <c:v>0.62299168435981123</c:v>
                </c:pt>
                <c:pt idx="106">
                  <c:v>0.62759062916027442</c:v>
                </c:pt>
                <c:pt idx="107">
                  <c:v>0.63213532403152506</c:v>
                </c:pt>
                <c:pt idx="108">
                  <c:v>0.636626306238122</c:v>
                </c:pt>
                <c:pt idx="109">
                  <c:v>0.64106411244198036</c:v>
                </c:pt>
                <c:pt idx="110">
                  <c:v>0.64590033948819225</c:v>
                </c:pt>
                <c:pt idx="111">
                  <c:v>0.65067423197967078</c:v>
                </c:pt>
                <c:pt idx="112">
                  <c:v>0.65538644952580638</c:v>
                </c:pt>
                <c:pt idx="113">
                  <c:v>0.66003765165688111</c:v>
                </c:pt>
                <c:pt idx="114">
                  <c:v>0.66462849742862606</c:v>
                </c:pt>
                <c:pt idx="115">
                  <c:v>0.6691596450494558</c:v>
                </c:pt>
                <c:pt idx="116">
                  <c:v>0.67363175152932242</c:v>
                </c:pt>
                <c:pt idx="117">
                  <c:v>0.67804547234917978</c:v>
                </c:pt>
                <c:pt idx="118">
                  <c:v>0.68240146115009348</c:v>
                </c:pt>
                <c:pt idx="119">
                  <c:v>0.68670036944106949</c:v>
                </c:pt>
                <c:pt idx="120">
                  <c:v>0.69094284632472458</c:v>
                </c:pt>
                <c:pt idx="121">
                  <c:v>0.69512953823995083</c:v>
                </c:pt>
                <c:pt idx="122">
                  <c:v>0.69983702580411444</c:v>
                </c:pt>
              </c:numCache>
            </c:numRef>
          </c:yVal>
          <c:smooth val="0"/>
          <c:extLst>
            <c:ext xmlns:c16="http://schemas.microsoft.com/office/drawing/2014/chart" uri="{C3380CC4-5D6E-409C-BE32-E72D297353CC}">
              <c16:uniqueId val="{00000005-FC7B-4154-97EE-E253A6833278}"/>
            </c:ext>
          </c:extLst>
        </c:ser>
        <c:dLbls>
          <c:showLegendKey val="0"/>
          <c:showVal val="0"/>
          <c:showCatName val="0"/>
          <c:showSerName val="0"/>
          <c:showPercent val="0"/>
          <c:showBubbleSize val="0"/>
        </c:dLbls>
        <c:axId val="634459856"/>
        <c:axId val="634460184"/>
      </c:scatterChart>
      <c:valAx>
        <c:axId val="634459856"/>
        <c:scaling>
          <c:orientation val="minMax"/>
          <c:max val="5"/>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r>
                  <a:rPr lang="en-US"/>
                  <a:t>Years</a:t>
                </a:r>
              </a:p>
            </c:rich>
          </c:tx>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634460184"/>
        <c:crosses val="autoZero"/>
        <c:crossBetween val="midCat"/>
        <c:majorUnit val="1"/>
      </c:valAx>
      <c:valAx>
        <c:axId val="634460184"/>
        <c:scaling>
          <c:orientation val="minMax"/>
          <c:max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ysClr val="windowText" lastClr="000000"/>
                    </a:solidFill>
                    <a:latin typeface="Arial Narrow" panose="020B0606020202030204" pitchFamily="34" charset="0"/>
                    <a:ea typeface="+mn-ea"/>
                    <a:cs typeface="+mn-cs"/>
                  </a:defRPr>
                </a:pPr>
                <a:r>
                  <a:rPr lang="en-AU" sz="600"/>
                  <a:t>Death or Disabilig Stroke %</a:t>
                </a:r>
              </a:p>
            </c:rich>
          </c:tx>
          <c:layout/>
          <c:overlay val="0"/>
          <c:spPr>
            <a:noFill/>
            <a:ln>
              <a:noFill/>
            </a:ln>
            <a:effectLst/>
          </c:spPr>
          <c:txPr>
            <a:bodyPr rot="-5400000" spcFirstLastPara="1" vertOverflow="ellipsis" vert="horz" wrap="square" anchor="ctr" anchorCtr="1"/>
            <a:lstStyle/>
            <a:p>
              <a:pPr>
                <a:defRPr sz="6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Narrow" panose="020B0606020202030204" pitchFamily="34" charset="0"/>
                <a:ea typeface="+mn-ea"/>
                <a:cs typeface="+mn-cs"/>
              </a:defRPr>
            </a:pPr>
            <a:endParaRPr lang="en-US"/>
          </a:p>
        </c:txPr>
        <c:crossAx val="634459856"/>
        <c:crosses val="autoZero"/>
        <c:crossBetween val="midCat"/>
      </c:valAx>
      <c:spPr>
        <a:noFill/>
        <a:ln>
          <a:noFill/>
        </a:ln>
        <a:effectLst/>
      </c:spPr>
    </c:plotArea>
    <c:legend>
      <c:legendPos val="r"/>
      <c:layout>
        <c:manualLayout>
          <c:xMode val="edge"/>
          <c:yMode val="edge"/>
          <c:x val="0.21025444101149462"/>
          <c:y val="0.19149068784702569"/>
          <c:w val="0.27737688216604506"/>
          <c:h val="0.21588628581921085"/>
        </c:manualLayout>
      </c:layout>
      <c:overlay val="0"/>
      <c:spPr>
        <a:noFill/>
        <a:ln>
          <a:solidFill>
            <a:schemeClr val="tx1"/>
          </a:solidFill>
        </a:ln>
        <a:effectLst/>
      </c:spPr>
      <c:txPr>
        <a:bodyPr rot="0" spcFirstLastPara="1" vertOverflow="ellipsis" vert="horz" wrap="square" anchor="ctr" anchorCtr="1"/>
        <a:lstStyle/>
        <a:p>
          <a:pPr>
            <a:defRPr sz="6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solid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000">
                <a:latin typeface="Times New Roman" panose="02020603050405020304" pitchFamily="18" charset="0"/>
                <a:cs typeface="Times New Roman" panose="02020603050405020304" pitchFamily="18" charset="0"/>
              </a:rPr>
              <a:t>Overall survival</a:t>
            </a:r>
          </a:p>
        </c:rich>
      </c:tx>
      <c:layout>
        <c:manualLayout>
          <c:xMode val="edge"/>
          <c:yMode val="edge"/>
          <c:x val="0.40726783242342157"/>
          <c:y val="5.1040159359554988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7877044215626898E-2"/>
          <c:y val="9.7502847521418315E-2"/>
          <c:w val="0.85125109361329832"/>
          <c:h val="0.68858236838042319"/>
        </c:manualLayout>
      </c:layout>
      <c:scatterChart>
        <c:scatterStyle val="lineMarker"/>
        <c:varyColors val="0"/>
        <c:ser>
          <c:idx val="0"/>
          <c:order val="0"/>
          <c:tx>
            <c:v>TAVI BEV</c:v>
          </c:tx>
          <c:spPr>
            <a:ln w="15875" cap="rnd">
              <a:solidFill>
                <a:srgbClr val="0070C0"/>
              </a:solidFill>
              <a:round/>
            </a:ln>
            <a:effectLst/>
          </c:spPr>
          <c:marker>
            <c:symbol val="circle"/>
            <c:size val="5"/>
            <c:spPr>
              <a:noFill/>
              <a:ln w="9525">
                <a:noFill/>
              </a:ln>
              <a:effectLst/>
            </c:spPr>
          </c:marker>
          <c:xVal>
            <c:numRef>
              <c:f>BEVM!$D$4:$D$126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BEVM!$AF$4:$AF$126</c:f>
              <c:numCache>
                <c:formatCode>0.00</c:formatCode>
                <c:ptCount val="123"/>
                <c:pt idx="0">
                  <c:v>1</c:v>
                </c:pt>
                <c:pt idx="1">
                  <c:v>0.97599999999999998</c:v>
                </c:pt>
                <c:pt idx="2">
                  <c:v>0.97108691628219135</c:v>
                </c:pt>
                <c:pt idx="3">
                  <c:v>0.9661985645230079</c:v>
                </c:pt>
                <c:pt idx="4">
                  <c:v>0.96133482022431127</c:v>
                </c:pt>
                <c:pt idx="5">
                  <c:v>0.95649555951467335</c:v>
                </c:pt>
                <c:pt idx="6">
                  <c:v>0.9516806591462228</c:v>
                </c:pt>
                <c:pt idx="7">
                  <c:v>0.94688999649150485</c:v>
                </c:pt>
                <c:pt idx="8">
                  <c:v>0.94212344954035909</c:v>
                </c:pt>
                <c:pt idx="9">
                  <c:v>0.93738089689681148</c:v>
                </c:pt>
                <c:pt idx="10">
                  <c:v>0.93266221777598302</c:v>
                </c:pt>
                <c:pt idx="11">
                  <c:v>0.92796729200101324</c:v>
                </c:pt>
                <c:pt idx="12">
                  <c:v>0.92329599999999978</c:v>
                </c:pt>
                <c:pt idx="13">
                  <c:v>0.91889671296564679</c:v>
                </c:pt>
                <c:pt idx="14">
                  <c:v>0.91451886584126696</c:v>
                </c:pt>
                <c:pt idx="15">
                  <c:v>0.91016235466696482</c:v>
                </c:pt>
                <c:pt idx="16">
                  <c:v>0.90582707593937406</c:v>
                </c:pt>
                <c:pt idx="17">
                  <c:v>0.90151292661067461</c:v>
                </c:pt>
                <c:pt idx="18">
                  <c:v>0.89721980408759083</c:v>
                </c:pt>
                <c:pt idx="19">
                  <c:v>0.89294760623036895</c:v>
                </c:pt>
                <c:pt idx="20">
                  <c:v>0.88869623135173947</c:v>
                </c:pt>
                <c:pt idx="21">
                  <c:v>0.88446557821585947</c:v>
                </c:pt>
                <c:pt idx="22">
                  <c:v>0.88025554603723977</c:v>
                </c:pt>
                <c:pt idx="23">
                  <c:v>0.8760660344796537</c:v>
                </c:pt>
                <c:pt idx="24">
                  <c:v>0.87189694365503023</c:v>
                </c:pt>
                <c:pt idx="25">
                  <c:v>0.86711694548195095</c:v>
                </c:pt>
                <c:pt idx="26">
                  <c:v>0.86236367234043876</c:v>
                </c:pt>
                <c:pt idx="27">
                  <c:v>0.85763697380514448</c:v>
                </c:pt>
                <c:pt idx="28">
                  <c:v>0.85293670027191593</c:v>
                </c:pt>
                <c:pt idx="29">
                  <c:v>0.84826270295403383</c:v>
                </c:pt>
                <c:pt idx="30">
                  <c:v>0.84361483387845215</c:v>
                </c:pt>
                <c:pt idx="31">
                  <c:v>0.83899294588203821</c:v>
                </c:pt>
                <c:pt idx="32">
                  <c:v>0.83439689260781402</c:v>
                </c:pt>
                <c:pt idx="33">
                  <c:v>0.82982652850120386</c:v>
                </c:pt>
                <c:pt idx="34">
                  <c:v>0.82528170880627971</c:v>
                </c:pt>
                <c:pt idx="35">
                  <c:v>0.8207622895620138</c:v>
                </c:pt>
                <c:pt idx="36">
                  <c:v>0.81626812759853262</c:v>
                </c:pt>
                <c:pt idx="37">
                  <c:v>0.81090930806404116</c:v>
                </c:pt>
                <c:pt idx="38">
                  <c:v>0.80558668205891715</c:v>
                </c:pt>
                <c:pt idx="39">
                  <c:v>0.80029999850134803</c:v>
                </c:pt>
                <c:pt idx="40">
                  <c:v>0.79504900810859547</c:v>
                </c:pt>
                <c:pt idx="41">
                  <c:v>0.7898334633832339</c:v>
                </c:pt>
                <c:pt idx="42">
                  <c:v>0.78465311859951681</c:v>
                </c:pt>
                <c:pt idx="43">
                  <c:v>0.77950772978986216</c:v>
                </c:pt>
                <c:pt idx="44">
                  <c:v>0.77439705473146281</c:v>
                </c:pt>
                <c:pt idx="45">
                  <c:v>0.769320852933016</c:v>
                </c:pt>
                <c:pt idx="46">
                  <c:v>0.76427888562157043</c:v>
                </c:pt>
                <c:pt idx="47">
                  <c:v>0.75927091572949224</c:v>
                </c:pt>
                <c:pt idx="48">
                  <c:v>0.75429670788154546</c:v>
                </c:pt>
                <c:pt idx="49">
                  <c:v>0.74888060359376318</c:v>
                </c:pt>
                <c:pt idx="50">
                  <c:v>0.74350456238819174</c:v>
                </c:pt>
                <c:pt idx="51">
                  <c:v>0.73816827896554538</c:v>
                </c:pt>
                <c:pt idx="52">
                  <c:v>0.73287145044877056</c:v>
                </c:pt>
                <c:pt idx="53">
                  <c:v>0.7276137763620889</c:v>
                </c:pt>
                <c:pt idx="54">
                  <c:v>0.72239495861026282</c:v>
                </c:pt>
                <c:pt idx="55">
                  <c:v>0.71721470145808441</c:v>
                </c:pt>
                <c:pt idx="56">
                  <c:v>0.71207271151007923</c:v>
                </c:pt>
                <c:pt idx="57">
                  <c:v>0.70696869769042681</c:v>
                </c:pt>
                <c:pt idx="58">
                  <c:v>0.70190237122309018</c:v>
                </c:pt>
                <c:pt idx="59">
                  <c:v>0.69687344561215447</c:v>
                </c:pt>
                <c:pt idx="60">
                  <c:v>0.69188163662236857</c:v>
                </c:pt>
                <c:pt idx="61">
                  <c:v>0.68599191206950361</c:v>
                </c:pt>
                <c:pt idx="62">
                  <c:v>0.6801536701984251</c:v>
                </c:pt>
                <c:pt idx="63">
                  <c:v>0.67436644658929557</c:v>
                </c:pt>
                <c:pt idx="64">
                  <c:v>0.66862978124384853</c:v>
                </c:pt>
                <c:pt idx="65">
                  <c:v>0.66294321853767424</c:v>
                </c:pt>
                <c:pt idx="66">
                  <c:v>0.65730630717318805</c:v>
                </c:pt>
                <c:pt idx="67">
                  <c:v>0.651718600133255</c:v>
                </c:pt>
                <c:pt idx="68">
                  <c:v>0.64617965463547034</c:v>
                </c:pt>
                <c:pt idx="69">
                  <c:v>0.64068903208707073</c:v>
                </c:pt>
                <c:pt idx="70">
                  <c:v>0.63524629804046984</c:v>
                </c:pt>
                <c:pt idx="71">
                  <c:v>0.62985102214940392</c:v>
                </c:pt>
                <c:pt idx="72">
                  <c:v>0.62450277812567456</c:v>
                </c:pt>
                <c:pt idx="73">
                  <c:v>0.6192011436964775</c:v>
                </c:pt>
                <c:pt idx="74">
                  <c:v>0.61356747958679947</c:v>
                </c:pt>
                <c:pt idx="75">
                  <c:v>0.60798613125580714</c:v>
                </c:pt>
                <c:pt idx="76">
                  <c:v>0.60245660065995343</c:v>
                </c:pt>
                <c:pt idx="77">
                  <c:v>0.59697839470548864</c:v>
                </c:pt>
                <c:pt idx="78">
                  <c:v>0.59155102519402047</c:v>
                </c:pt>
                <c:pt idx="79">
                  <c:v>0.58617400876883252</c:v>
                </c:pt>
                <c:pt idx="80">
                  <c:v>0.58084686686194331</c:v>
                </c:pt>
                <c:pt idx="81">
                  <c:v>0.57556912564189144</c:v>
                </c:pt>
                <c:pt idx="82">
                  <c:v>0.57034031596223322</c:v>
                </c:pt>
                <c:pt idx="83">
                  <c:v>0.5651599733107382</c:v>
                </c:pt>
                <c:pt idx="84">
                  <c:v>0.56002763775926878</c:v>
                </c:pt>
                <c:pt idx="85">
                  <c:v>0.55494285391433151</c:v>
                </c:pt>
                <c:pt idx="86">
                  <c:v>0.54879496240843928</c:v>
                </c:pt>
                <c:pt idx="87">
                  <c:v>0.54271698720523687</c:v>
                </c:pt>
                <c:pt idx="88">
                  <c:v>0.53670810683691716</c:v>
                </c:pt>
                <c:pt idx="89">
                  <c:v>0.53076751005083789</c:v>
                </c:pt>
                <c:pt idx="90">
                  <c:v>0.52489439566517537</c:v>
                </c:pt>
                <c:pt idx="91">
                  <c:v>0.51908797242724825</c:v>
                </c:pt>
                <c:pt idx="92">
                  <c:v>0.51334745887443523</c:v>
                </c:pt>
                <c:pt idx="93">
                  <c:v>0.5076720831976218</c:v>
                </c:pt>
                <c:pt idx="94">
                  <c:v>0.50206108310710518</c:v>
                </c:pt>
                <c:pt idx="95">
                  <c:v>0.49651370570089493</c:v>
                </c:pt>
                <c:pt idx="96">
                  <c:v>0.49102920733534688</c:v>
                </c:pt>
                <c:pt idx="97">
                  <c:v>0.48560685349807042</c:v>
                </c:pt>
                <c:pt idx="98">
                  <c:v>0.47952872215490899</c:v>
                </c:pt>
                <c:pt idx="99">
                  <c:v>0.47352825598052539</c:v>
                </c:pt>
                <c:pt idx="100">
                  <c:v>0.46760443559685438</c:v>
                </c:pt>
                <c:pt idx="101">
                  <c:v>0.46175625566496359</c:v>
                </c:pt>
                <c:pt idx="102">
                  <c:v>0.45598272466929107</c:v>
                </c:pt>
                <c:pt idx="103">
                  <c:v>0.45028286470608897</c:v>
                </c:pt>
                <c:pt idx="104">
                  <c:v>0.44465571127595616</c:v>
                </c:pt>
                <c:pt idx="105">
                  <c:v>0.43910031308034525</c:v>
                </c:pt>
                <c:pt idx="106">
                  <c:v>0.43361573182193697</c:v>
                </c:pt>
                <c:pt idx="107">
                  <c:v>0.42820104200877573</c:v>
                </c:pt>
                <c:pt idx="108">
                  <c:v>0.42285533076206649</c:v>
                </c:pt>
                <c:pt idx="109">
                  <c:v>0.41757769762753616</c:v>
                </c:pt>
                <c:pt idx="110">
                  <c:v>0.4118013473135429</c:v>
                </c:pt>
                <c:pt idx="111">
                  <c:v>0.40610598335032649</c:v>
                </c:pt>
                <c:pt idx="112">
                  <c:v>0.40049044852643989</c:v>
                </c:pt>
                <c:pt idx="113">
                  <c:v>0.39495360278529917</c:v>
                </c:pt>
                <c:pt idx="114">
                  <c:v>0.38949432294755221</c:v>
                </c:pt>
                <c:pt idx="115">
                  <c:v>0.3841115024389371</c:v>
                </c:pt>
                <c:pt idx="116">
                  <c:v>0.37880405102347753</c:v>
                </c:pt>
                <c:pt idx="117">
                  <c:v>0.37357089454187148</c:v>
                </c:pt>
                <c:pt idx="118">
                  <c:v>0.36841097465493144</c:v>
                </c:pt>
                <c:pt idx="119">
                  <c:v>0.36332324859194221</c:v>
                </c:pt>
                <c:pt idx="120">
                  <c:v>0.35830668890380596</c:v>
                </c:pt>
                <c:pt idx="121">
                  <c:v>0.35336028322085111</c:v>
                </c:pt>
                <c:pt idx="122">
                  <c:v>0.34775701645073648</c:v>
                </c:pt>
              </c:numCache>
            </c:numRef>
          </c:yVal>
          <c:smooth val="0"/>
          <c:extLst>
            <c:ext xmlns:c16="http://schemas.microsoft.com/office/drawing/2014/chart" uri="{C3380CC4-5D6E-409C-BE32-E72D297353CC}">
              <c16:uniqueId val="{00000000-82CA-435D-A9FD-B8C2FCE410C0}"/>
            </c:ext>
          </c:extLst>
        </c:ser>
        <c:ser>
          <c:idx val="1"/>
          <c:order val="1"/>
          <c:tx>
            <c:v>SAVR</c:v>
          </c:tx>
          <c:spPr>
            <a:ln w="15875" cap="rnd">
              <a:solidFill>
                <a:srgbClr val="FF0000"/>
              </a:solidFill>
              <a:round/>
            </a:ln>
            <a:effectLst/>
          </c:spPr>
          <c:marker>
            <c:symbol val="circle"/>
            <c:size val="5"/>
            <c:spPr>
              <a:noFill/>
              <a:ln w="9525">
                <a:noFill/>
              </a:ln>
              <a:effectLst/>
            </c:spPr>
          </c:marker>
          <c:xVal>
            <c:numRef>
              <c:f>SAVRM!$D$4:$D$126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SAVRM!$AF$4:$AF$126</c:f>
              <c:numCache>
                <c:formatCode>0.00</c:formatCode>
                <c:ptCount val="123"/>
                <c:pt idx="0">
                  <c:v>1</c:v>
                </c:pt>
                <c:pt idx="1">
                  <c:v>0.96</c:v>
                </c:pt>
                <c:pt idx="2">
                  <c:v>0.95180443315314456</c:v>
                </c:pt>
                <c:pt idx="3">
                  <c:v>0.94367883226039462</c:v>
                </c:pt>
                <c:pt idx="4">
                  <c:v>0.93562260001898578</c:v>
                </c:pt>
                <c:pt idx="5">
                  <c:v>0.9276351442253562</c:v>
                </c:pt>
                <c:pt idx="6">
                  <c:v>0.91971587773161523</c:v>
                </c:pt>
                <c:pt idx="7">
                  <c:v>0.91186421840238185</c:v>
                </c:pt>
                <c:pt idx="8">
                  <c:v>0.90407958907199404</c:v>
                </c:pt>
                <c:pt idx="9">
                  <c:v>0.89636141750208054</c:v>
                </c:pt>
                <c:pt idx="10">
                  <c:v>0.88870913633949655</c:v>
                </c:pt>
                <c:pt idx="11">
                  <c:v>0.88112218307462009</c:v>
                </c:pt>
                <c:pt idx="12">
                  <c:v>0.87359999999999993</c:v>
                </c:pt>
                <c:pt idx="13">
                  <c:v>0.8694302459909502</c:v>
                </c:pt>
                <c:pt idx="14">
                  <c:v>0.86528088204802656</c:v>
                </c:pt>
                <c:pt idx="15">
                  <c:v>0.86115180861526408</c:v>
                </c:pt>
                <c:pt idx="16">
                  <c:v>0.85704292658144599</c:v>
                </c:pt>
                <c:pt idx="17">
                  <c:v>0.85295413727903679</c:v>
                </c:pt>
                <c:pt idx="18">
                  <c:v>0.84888534248310177</c:v>
                </c:pt>
                <c:pt idx="19">
                  <c:v>0.84483644441020833</c:v>
                </c:pt>
                <c:pt idx="20">
                  <c:v>0.84080734571731097</c:v>
                </c:pt>
                <c:pt idx="21">
                  <c:v>0.83679794950062458</c:v>
                </c:pt>
                <c:pt idx="22">
                  <c:v>0.83280815929447816</c:v>
                </c:pt>
                <c:pt idx="23">
                  <c:v>0.82883787907015838</c:v>
                </c:pt>
                <c:pt idx="24">
                  <c:v>0.82488701323473534</c:v>
                </c:pt>
                <c:pt idx="25">
                  <c:v>0.82035700880445328</c:v>
                </c:pt>
                <c:pt idx="26">
                  <c:v>0.81585241592519975</c:v>
                </c:pt>
                <c:pt idx="27">
                  <c:v>0.81137309061592855</c:v>
                </c:pt>
                <c:pt idx="28">
                  <c:v>0.8069188896928553</c:v>
                </c:pt>
                <c:pt idx="29">
                  <c:v>0.80248967076565669</c:v>
                </c:pt>
                <c:pt idx="30">
                  <c:v>0.79808529223366942</c:v>
                </c:pt>
                <c:pt idx="31">
                  <c:v>0.79370561328209877</c:v>
                </c:pt>
                <c:pt idx="32">
                  <c:v>0.78935049387822731</c:v>
                </c:pt>
                <c:pt idx="33">
                  <c:v>0.78501979476763151</c:v>
                </c:pt>
                <c:pt idx="34">
                  <c:v>0.7807133774704027</c:v>
                </c:pt>
                <c:pt idx="35">
                  <c:v>0.77643110427737472</c:v>
                </c:pt>
                <c:pt idx="36">
                  <c:v>0.77217283824635563</c:v>
                </c:pt>
                <c:pt idx="37">
                  <c:v>0.76709500745604942</c:v>
                </c:pt>
                <c:pt idx="38">
                  <c:v>0.76205158581249755</c:v>
                </c:pt>
                <c:pt idx="39">
                  <c:v>0.75704233306112234</c:v>
                </c:pt>
                <c:pt idx="40">
                  <c:v>0.75206701069030502</c:v>
                </c:pt>
                <c:pt idx="41">
                  <c:v>0.74712538191776501</c:v>
                </c:pt>
                <c:pt idx="42">
                  <c:v>0.74221721167706523</c:v>
                </c:pt>
                <c:pt idx="43">
                  <c:v>0.73734226660424407</c:v>
                </c:pt>
                <c:pt idx="44">
                  <c:v>0.73250031502456903</c:v>
                </c:pt>
                <c:pt idx="45">
                  <c:v>0.72769112693941496</c:v>
                </c:pt>
                <c:pt idx="46">
                  <c:v>0.72291447401326125</c:v>
                </c:pt>
                <c:pt idx="47">
                  <c:v>0.71817012956080684</c:v>
                </c:pt>
                <c:pt idx="48">
                  <c:v>0.71345786853420656</c:v>
                </c:pt>
                <c:pt idx="49">
                  <c:v>0.70832699714637526</c:v>
                </c:pt>
                <c:pt idx="50">
                  <c:v>0.70323419636128826</c:v>
                </c:pt>
                <c:pt idx="51">
                  <c:v>0.69817917429887921</c:v>
                </c:pt>
                <c:pt idx="52">
                  <c:v>0.69316164142155967</c:v>
                </c:pt>
                <c:pt idx="53">
                  <c:v>0.68818131051356179</c:v>
                </c:pt>
                <c:pt idx="54">
                  <c:v>0.68323789666050927</c:v>
                </c:pt>
                <c:pt idx="55">
                  <c:v>0.6783311172292098</c:v>
                </c:pt>
                <c:pt idx="56">
                  <c:v>0.67346069184766566</c:v>
                </c:pt>
                <c:pt idx="57">
                  <c:v>0.66862634238530105</c:v>
                </c:pt>
                <c:pt idx="58">
                  <c:v>0.66382779293339989</c:v>
                </c:pt>
                <c:pt idx="59">
                  <c:v>0.65906476978575323</c:v>
                </c:pt>
                <c:pt idx="60">
                  <c:v>0.65433700141951234</c:v>
                </c:pt>
                <c:pt idx="61">
                  <c:v>0.64875862625576863</c:v>
                </c:pt>
                <c:pt idx="62">
                  <c:v>0.64322915670658176</c:v>
                </c:pt>
                <c:pt idx="63">
                  <c:v>0.63774814902864474</c:v>
                </c:pt>
                <c:pt idx="64">
                  <c:v>0.63231516374881924</c:v>
                </c:pt>
                <c:pt idx="65">
                  <c:v>0.6269297656173155</c:v>
                </c:pt>
                <c:pt idx="66">
                  <c:v>0.62159152356154479</c:v>
                </c:pt>
                <c:pt idx="67">
                  <c:v>0.61630001064063278</c:v>
                </c:pt>
                <c:pt idx="68">
                  <c:v>0.61105480400057421</c:v>
                </c:pt>
                <c:pt idx="69">
                  <c:v>0.60585548483002272</c:v>
                </c:pt>
                <c:pt idx="70">
                  <c:v>0.60070163831669743</c:v>
                </c:pt>
                <c:pt idx="71">
                  <c:v>0.59559285360439573</c:v>
                </c:pt>
                <c:pt idx="72">
                  <c:v>0.59052872375060084</c:v>
                </c:pt>
                <c:pt idx="73">
                  <c:v>0.58550884568467088</c:v>
                </c:pt>
                <c:pt idx="74">
                  <c:v>0.58017466222802638</c:v>
                </c:pt>
                <c:pt idx="75">
                  <c:v>0.57489014479639422</c:v>
                </c:pt>
                <c:pt idx="76">
                  <c:v>0.56965481809657859</c:v>
                </c:pt>
                <c:pt idx="77">
                  <c:v>0.56446821160556171</c:v>
                </c:pt>
                <c:pt idx="78">
                  <c:v>0.55932985951721792</c:v>
                </c:pt>
                <c:pt idx="79">
                  <c:v>0.55423930068977889</c:v>
                </c:pt>
                <c:pt idx="80">
                  <c:v>0.5491960785940363</c:v>
                </c:pt>
                <c:pt idx="81">
                  <c:v>0.544199741262264</c:v>
                </c:pt>
                <c:pt idx="82">
                  <c:v>0.53924984123785047</c:v>
                </c:pt>
                <c:pt idx="83">
                  <c:v>0.53434593552562271</c:v>
                </c:pt>
                <c:pt idx="84">
                  <c:v>0.52948758554285136</c:v>
                </c:pt>
                <c:pt idx="85">
                  <c:v>0.52467435707092092</c:v>
                </c:pt>
                <c:pt idx="86">
                  <c:v>0.51885469335581069</c:v>
                </c:pt>
                <c:pt idx="87">
                  <c:v>0.51310137716816573</c:v>
                </c:pt>
                <c:pt idx="88">
                  <c:v>0.50741362512189825</c:v>
                </c:pt>
                <c:pt idx="89">
                  <c:v>0.50179066366229574</c:v>
                </c:pt>
                <c:pt idx="90">
                  <c:v>0.49623172892515943</c:v>
                </c:pt>
                <c:pt idx="91">
                  <c:v>0.49073606659857627</c:v>
                </c:pt>
                <c:pt idx="92">
                  <c:v>0.48530293178725409</c:v>
                </c:pt>
                <c:pt idx="93">
                  <c:v>0.47993158887935</c:v>
                </c:pt>
                <c:pt idx="94">
                  <c:v>0.47462131141572766</c:v>
                </c:pt>
                <c:pt idx="95">
                  <c:v>0.46937138196157885</c:v>
                </c:pt>
                <c:pt idx="96">
                  <c:v>0.46418109198034835</c:v>
                </c:pt>
                <c:pt idx="97">
                  <c:v>0.4590497417099027</c:v>
                </c:pt>
                <c:pt idx="98">
                  <c:v>0.45329782734418334</c:v>
                </c:pt>
                <c:pt idx="99">
                  <c:v>0.44761957118484552</c:v>
                </c:pt>
                <c:pt idx="100">
                  <c:v>0.44201400218387038</c:v>
                </c:pt>
                <c:pt idx="101">
                  <c:v>0.43648016277874124</c:v>
                </c:pt>
                <c:pt idx="102">
                  <c:v>0.43101710868242293</c:v>
                </c:pt>
                <c:pt idx="103">
                  <c:v>0.42562390867748739</c:v>
                </c:pt>
                <c:pt idx="104">
                  <c:v>0.42029964441427026</c:v>
                </c:pt>
                <c:pt idx="105">
                  <c:v>0.41504341021294661</c:v>
                </c:pt>
                <c:pt idx="106">
                  <c:v>0.40985431286941831</c:v>
                </c:pt>
                <c:pt idx="107">
                  <c:v>0.40473147146490979</c:v>
                </c:pt>
                <c:pt idx="108">
                  <c:v>0.39967401717917223</c:v>
                </c:pt>
                <c:pt idx="109">
                  <c:v>0.39468109310720151</c:v>
                </c:pt>
                <c:pt idx="110">
                  <c:v>0.38921639768695671</c:v>
                </c:pt>
                <c:pt idx="111">
                  <c:v>0.38382846496998801</c:v>
                </c:pt>
                <c:pt idx="112">
                  <c:v>0.37851619387447349</c:v>
                </c:pt>
                <c:pt idx="113">
                  <c:v>0.37327849976279631</c:v>
                </c:pt>
                <c:pt idx="114">
                  <c:v>0.36811431417208657</c:v>
                </c:pt>
                <c:pt idx="115">
                  <c:v>0.36302258455016717</c:v>
                </c:pt>
                <c:pt idx="116">
                  <c:v>0.35800227399675238</c:v>
                </c:pt>
                <c:pt idx="117">
                  <c:v>0.35305236100975618</c:v>
                </c:pt>
                <c:pt idx="118">
                  <c:v>0.34817183923657069</c:v>
                </c:pt>
                <c:pt idx="119">
                  <c:v>0.34335971723018266</c:v>
                </c:pt>
                <c:pt idx="120">
                  <c:v>0.33861501820999879</c:v>
                </c:pt>
                <c:pt idx="121">
                  <c:v>0.33393677982725661</c:v>
                </c:pt>
                <c:pt idx="122">
                  <c:v>0.32863736605816574</c:v>
                </c:pt>
              </c:numCache>
            </c:numRef>
          </c:yVal>
          <c:smooth val="0"/>
          <c:extLst>
            <c:ext xmlns:c16="http://schemas.microsoft.com/office/drawing/2014/chart" uri="{C3380CC4-5D6E-409C-BE32-E72D297353CC}">
              <c16:uniqueId val="{00000001-82CA-435D-A9FD-B8C2FCE410C0}"/>
            </c:ext>
          </c:extLst>
        </c:ser>
        <c:dLbls>
          <c:showLegendKey val="0"/>
          <c:showVal val="0"/>
          <c:showCatName val="0"/>
          <c:showSerName val="0"/>
          <c:showPercent val="0"/>
          <c:showBubbleSize val="0"/>
        </c:dLbls>
        <c:axId val="634459856"/>
        <c:axId val="634460184"/>
      </c:scatterChart>
      <c:valAx>
        <c:axId val="634459856"/>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60184"/>
        <c:crosses val="autoZero"/>
        <c:crossBetween val="midCat"/>
        <c:majorUnit val="1"/>
      </c:valAx>
      <c:valAx>
        <c:axId val="634460184"/>
        <c:scaling>
          <c:orientation val="minMax"/>
          <c:max val="1"/>
          <c:min val="0.60000000000000009"/>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59856"/>
        <c:crosses val="autoZero"/>
        <c:crossBetween val="midCat"/>
      </c:valAx>
      <c:spPr>
        <a:noFill/>
        <a:ln>
          <a:noFill/>
        </a:ln>
        <a:effectLst/>
      </c:spPr>
    </c:plotArea>
    <c:legend>
      <c:legendPos val="r"/>
      <c:layout>
        <c:manualLayout>
          <c:xMode val="edge"/>
          <c:yMode val="edge"/>
          <c:x val="0.15551461392209717"/>
          <c:y val="0.39483149842048187"/>
          <c:w val="0.27737688216604506"/>
          <c:h val="0.215886285819210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000">
                <a:latin typeface="Times New Roman" panose="02020603050405020304" pitchFamily="18" charset="0"/>
                <a:cs typeface="Times New Roman" panose="02020603050405020304" pitchFamily="18" charset="0"/>
              </a:rPr>
              <a:t>Overall survival</a:t>
            </a:r>
          </a:p>
        </c:rich>
      </c:tx>
      <c:layout>
        <c:manualLayout>
          <c:xMode val="edge"/>
          <c:yMode val="edge"/>
          <c:x val="0.40726783242342157"/>
          <c:y val="5.1040159359554988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7877044215626898E-2"/>
          <c:y val="9.7502847521418315E-2"/>
          <c:w val="0.85914004935429578"/>
          <c:h val="0.72041079167429656"/>
        </c:manualLayout>
      </c:layout>
      <c:scatterChart>
        <c:scatterStyle val="lineMarker"/>
        <c:varyColors val="0"/>
        <c:ser>
          <c:idx val="0"/>
          <c:order val="0"/>
          <c:tx>
            <c:v>TAVI BEV</c:v>
          </c:tx>
          <c:spPr>
            <a:ln w="15875" cap="rnd">
              <a:solidFill>
                <a:srgbClr val="0070C0"/>
              </a:solidFill>
              <a:round/>
            </a:ln>
            <a:effectLst/>
          </c:spPr>
          <c:marker>
            <c:symbol val="circle"/>
            <c:size val="5"/>
            <c:spPr>
              <a:noFill/>
              <a:ln w="9525">
                <a:noFill/>
              </a:ln>
              <a:effectLst/>
            </c:spPr>
          </c:marker>
          <c:xVal>
            <c:numRef>
              <c:f>BEVM!$D$4:$D$126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BEVM!$AF$4:$AF$126</c:f>
              <c:numCache>
                <c:formatCode>0.00</c:formatCode>
                <c:ptCount val="123"/>
                <c:pt idx="0">
                  <c:v>1</c:v>
                </c:pt>
                <c:pt idx="1">
                  <c:v>0.97599999999999998</c:v>
                </c:pt>
                <c:pt idx="2">
                  <c:v>0.97108691628219135</c:v>
                </c:pt>
                <c:pt idx="3">
                  <c:v>0.9661985645230079</c:v>
                </c:pt>
                <c:pt idx="4">
                  <c:v>0.96133482022431127</c:v>
                </c:pt>
                <c:pt idx="5">
                  <c:v>0.95649555951467335</c:v>
                </c:pt>
                <c:pt idx="6">
                  <c:v>0.9516806591462228</c:v>
                </c:pt>
                <c:pt idx="7">
                  <c:v>0.94688999649150485</c:v>
                </c:pt>
                <c:pt idx="8">
                  <c:v>0.94212344954035909</c:v>
                </c:pt>
                <c:pt idx="9">
                  <c:v>0.93738089689681148</c:v>
                </c:pt>
                <c:pt idx="10">
                  <c:v>0.93266221777598302</c:v>
                </c:pt>
                <c:pt idx="11">
                  <c:v>0.92796729200101324</c:v>
                </c:pt>
                <c:pt idx="12">
                  <c:v>0.92329599999999978</c:v>
                </c:pt>
                <c:pt idx="13">
                  <c:v>0.91818642799339134</c:v>
                </c:pt>
                <c:pt idx="14">
                  <c:v>0.91310653597159319</c:v>
                </c:pt>
                <c:pt idx="15">
                  <c:v>0.90805614492775433</c:v>
                </c:pt>
                <c:pt idx="16">
                  <c:v>0.90303507692217067</c:v>
                </c:pt>
                <c:pt idx="17">
                  <c:v>0.89804315507720689</c:v>
                </c:pt>
                <c:pt idx="18">
                  <c:v>0.89308020357220452</c:v>
                </c:pt>
                <c:pt idx="19">
                  <c:v>0.88814604763838434</c:v>
                </c:pt>
                <c:pt idx="20">
                  <c:v>0.88324051355373834</c:v>
                </c:pt>
                <c:pt idx="21">
                  <c:v>0.8783634286379165</c:v>
                </c:pt>
                <c:pt idx="22">
                  <c:v>0.87351462124710588</c:v>
                </c:pt>
                <c:pt idx="23">
                  <c:v>0.86869392076890439</c:v>
                </c:pt>
                <c:pt idx="24">
                  <c:v>0.86390115761719088</c:v>
                </c:pt>
                <c:pt idx="25">
                  <c:v>0.85841780519147803</c:v>
                </c:pt>
                <c:pt idx="26">
                  <c:v>0.85297080035360817</c:v>
                </c:pt>
                <c:pt idx="27">
                  <c:v>0.8475598905753875</c:v>
                </c:pt>
                <c:pt idx="28">
                  <c:v>0.8421848251547267</c:v>
                </c:pt>
                <c:pt idx="29">
                  <c:v>0.83684535520251824</c:v>
                </c:pt>
                <c:pt idx="30">
                  <c:v>0.83154123362958898</c:v>
                </c:pt>
                <c:pt idx="31">
                  <c:v>0.82627221513373117</c:v>
                </c:pt>
                <c:pt idx="32">
                  <c:v>0.82103805618680914</c:v>
                </c:pt>
                <c:pt idx="33">
                  <c:v>0.81583851502194404</c:v>
                </c:pt>
                <c:pt idx="34">
                  <c:v>0.81067335162077425</c:v>
                </c:pt>
                <c:pt idx="35">
                  <c:v>0.80554232770079404</c:v>
                </c:pt>
                <c:pt idx="36">
                  <c:v>0.80044520670276942</c:v>
                </c:pt>
                <c:pt idx="37">
                  <c:v>0.79438496926391167</c:v>
                </c:pt>
                <c:pt idx="38">
                  <c:v>0.78837288269708894</c:v>
                </c:pt>
                <c:pt idx="39">
                  <c:v>0.78240853904098384</c:v>
                </c:pt>
                <c:pt idx="40">
                  <c:v>0.77649153414534244</c:v>
                </c:pt>
                <c:pt idx="41">
                  <c:v>0.77062146762948469</c:v>
                </c:pt>
                <c:pt idx="42">
                  <c:v>0.76479794284137304</c:v>
                </c:pt>
                <c:pt idx="43">
                  <c:v>0.75902056681723173</c:v>
                </c:pt>
                <c:pt idx="44">
                  <c:v>0.7532889502417015</c:v>
                </c:pt>
                <c:pt idx="45">
                  <c:v>0.74760270740852597</c:v>
                </c:pt>
                <c:pt idx="46">
                  <c:v>0.74196145618176068</c:v>
                </c:pt>
                <c:pt idx="47">
                  <c:v>0.73636481795749187</c:v>
                </c:pt>
                <c:pt idx="48">
                  <c:v>0.73081241762606142</c:v>
                </c:pt>
                <c:pt idx="49">
                  <c:v>0.72477688122795569</c:v>
                </c:pt>
                <c:pt idx="50">
                  <c:v>0.71879358216570655</c:v>
                </c:pt>
                <c:pt idx="51">
                  <c:v>0.71286203868658249</c:v>
                </c:pt>
                <c:pt idx="52">
                  <c:v>0.70698177395910777</c:v>
                </c:pt>
                <c:pt idx="53">
                  <c:v>0.70115231601337724</c:v>
                </c:pt>
                <c:pt idx="54">
                  <c:v>0.69537319768229533</c:v>
                </c:pt>
                <c:pt idx="55">
                  <c:v>0.6896439565437199</c:v>
                </c:pt>
                <c:pt idx="56">
                  <c:v>0.68396413486349439</c:v>
                </c:pt>
                <c:pt idx="57">
                  <c:v>0.67833327953934697</c:v>
                </c:pt>
                <c:pt idx="58">
                  <c:v>0.67275094204564723</c:v>
                </c:pt>
                <c:pt idx="59">
                  <c:v>0.66721667837899323</c:v>
                </c:pt>
                <c:pt idx="60">
                  <c:v>0.66173004900462296</c:v>
                </c:pt>
                <c:pt idx="61">
                  <c:v>0.65527409872082309</c:v>
                </c:pt>
                <c:pt idx="62">
                  <c:v>0.64888364307941615</c:v>
                </c:pt>
                <c:pt idx="63">
                  <c:v>0.64255797588944363</c:v>
                </c:pt>
                <c:pt idx="64">
                  <c:v>0.63629639951822103</c:v>
                </c:pt>
                <c:pt idx="65">
                  <c:v>0.63009822476236022</c:v>
                </c:pt>
                <c:pt idx="66">
                  <c:v>0.62396277072141726</c:v>
                </c:pt>
                <c:pt idx="67">
                  <c:v>0.61788936467410149</c:v>
                </c:pt>
                <c:pt idx="68">
                  <c:v>0.61187734195697085</c:v>
                </c:pt>
                <c:pt idx="69">
                  <c:v>0.60592604584555476</c:v>
                </c:pt>
                <c:pt idx="70">
                  <c:v>0.60003482743783565</c:v>
                </c:pt>
                <c:pt idx="71">
                  <c:v>0.59420304554002989</c:v>
                </c:pt>
                <c:pt idx="72">
                  <c:v>0.58843006655460794</c:v>
                </c:pt>
                <c:pt idx="73">
                  <c:v>0.5827152643704967</c:v>
                </c:pt>
                <c:pt idx="74">
                  <c:v>0.57665065467048793</c:v>
                </c:pt>
                <c:pt idx="75">
                  <c:v>0.57065111832510174</c:v>
                </c:pt>
                <c:pt idx="76">
                  <c:v>0.56471592220049682</c:v>
                </c:pt>
                <c:pt idx="77">
                  <c:v>0.55884434225758628</c:v>
                </c:pt>
                <c:pt idx="78">
                  <c:v>0.55303566341560551</c:v>
                </c:pt>
                <c:pt idx="79">
                  <c:v>0.54728917941840582</c:v>
                </c:pt>
                <c:pt idx="80">
                  <c:v>0.54160419270340676</c:v>
                </c:pt>
                <c:pt idx="81">
                  <c:v>0.53598001427313402</c:v>
                </c:pt>
                <c:pt idx="82">
                  <c:v>0.53041596356927634</c:v>
                </c:pt>
                <c:pt idx="83">
                  <c:v>0.52491136834919627</c:v>
                </c:pt>
                <c:pt idx="84">
                  <c:v>0.51946556456482906</c:v>
                </c:pt>
                <c:pt idx="85">
                  <c:v>0.51407789624391009</c:v>
                </c:pt>
                <c:pt idx="86">
                  <c:v>0.50758630272557059</c:v>
                </c:pt>
                <c:pt idx="87">
                  <c:v>0.50117919269074729</c:v>
                </c:pt>
                <c:pt idx="88">
                  <c:v>0.49485541094249402</c:v>
                </c:pt>
                <c:pt idx="89">
                  <c:v>0.48861381994045316</c:v>
                </c:pt>
                <c:pt idx="90">
                  <c:v>0.48245329945682108</c:v>
                </c:pt>
                <c:pt idx="91">
                  <c:v>0.47637274624188092</c:v>
                </c:pt>
                <c:pt idx="92">
                  <c:v>0.47037107369874409</c:v>
                </c:pt>
                <c:pt idx="93">
                  <c:v>0.46444721156696089</c:v>
                </c:pt>
                <c:pt idx="94">
                  <c:v>0.45860010561467196</c:v>
                </c:pt>
                <c:pt idx="95">
                  <c:v>0.45282871733898877</c:v>
                </c:pt>
                <c:pt idx="96">
                  <c:v>0.4471320236743056</c:v>
                </c:pt>
                <c:pt idx="97">
                  <c:v>0.44150901670825288</c:v>
                </c:pt>
                <c:pt idx="98">
                  <c:v>0.43521944588616485</c:v>
                </c:pt>
                <c:pt idx="99">
                  <c:v>0.42902136975162941</c:v>
                </c:pt>
                <c:pt idx="100">
                  <c:v>0.42291340813383316</c:v>
                </c:pt>
                <c:pt idx="101">
                  <c:v>0.41689420366142499</c:v>
                </c:pt>
                <c:pt idx="102">
                  <c:v>0.4109624212925379</c:v>
                </c:pt>
                <c:pt idx="103">
                  <c:v>0.40511674785870239</c:v>
                </c:pt>
                <c:pt idx="104">
                  <c:v>0.39935589162209001</c:v>
                </c:pt>
                <c:pt idx="105">
                  <c:v>0.39367858184554644</c:v>
                </c:pt>
                <c:pt idx="106">
                  <c:v>0.38808356837490282</c:v>
                </c:pt>
                <c:pt idx="107">
                  <c:v>0.38256962123307731</c:v>
                </c:pt>
                <c:pt idx="108">
                  <c:v>0.37713553022550272</c:v>
                </c:pt>
                <c:pt idx="109">
                  <c:v>0.37178010455643684</c:v>
                </c:pt>
                <c:pt idx="110">
                  <c:v>0.3659290245982646</c:v>
                </c:pt>
                <c:pt idx="111">
                  <c:v>0.36017106806843108</c:v>
                </c:pt>
                <c:pt idx="112">
                  <c:v>0.35450471934275074</c:v>
                </c:pt>
                <c:pt idx="113">
                  <c:v>0.34892848914091795</c:v>
                </c:pt>
                <c:pt idx="114">
                  <c:v>0.34344091397665583</c:v>
                </c:pt>
                <c:pt idx="115">
                  <c:v>0.33804055562404289</c:v>
                </c:pt>
                <c:pt idx="116">
                  <c:v>0.33272600059934382</c:v>
                </c:pt>
                <c:pt idx="117">
                  <c:v>0.32749585965770611</c:v>
                </c:pt>
                <c:pt idx="118">
                  <c:v>0.32234876730411449</c:v>
                </c:pt>
                <c:pt idx="119">
                  <c:v>0.31728338131802825</c:v>
                </c:pt>
                <c:pt idx="120">
                  <c:v>0.31229838229115087</c:v>
                </c:pt>
                <c:pt idx="121">
                  <c:v>0.30739247317781498</c:v>
                </c:pt>
                <c:pt idx="122">
                  <c:v>0.30185132080244326</c:v>
                </c:pt>
              </c:numCache>
            </c:numRef>
          </c:yVal>
          <c:smooth val="0"/>
          <c:extLst>
            <c:ext xmlns:c16="http://schemas.microsoft.com/office/drawing/2014/chart" uri="{C3380CC4-5D6E-409C-BE32-E72D297353CC}">
              <c16:uniqueId val="{00000000-80A3-48D7-9573-B0015C9C0598}"/>
            </c:ext>
          </c:extLst>
        </c:ser>
        <c:ser>
          <c:idx val="1"/>
          <c:order val="1"/>
          <c:tx>
            <c:v>SAVR</c:v>
          </c:tx>
          <c:spPr>
            <a:ln w="15875" cap="rnd">
              <a:solidFill>
                <a:srgbClr val="FF0000"/>
              </a:solidFill>
              <a:round/>
            </a:ln>
            <a:effectLst/>
          </c:spPr>
          <c:marker>
            <c:symbol val="circle"/>
            <c:size val="5"/>
            <c:spPr>
              <a:noFill/>
              <a:ln w="9525">
                <a:noFill/>
              </a:ln>
              <a:effectLst/>
            </c:spPr>
          </c:marker>
          <c:xVal>
            <c:numRef>
              <c:f>SAVRM!$D$4:$D$126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SAVRM!$AF$4:$AF$126</c:f>
              <c:numCache>
                <c:formatCode>0.00</c:formatCode>
                <c:ptCount val="123"/>
                <c:pt idx="0">
                  <c:v>1</c:v>
                </c:pt>
                <c:pt idx="1">
                  <c:v>0.96</c:v>
                </c:pt>
                <c:pt idx="2">
                  <c:v>0.95180443315314456</c:v>
                </c:pt>
                <c:pt idx="3">
                  <c:v>0.94367883226039462</c:v>
                </c:pt>
                <c:pt idx="4">
                  <c:v>0.93562260001898578</c:v>
                </c:pt>
                <c:pt idx="5">
                  <c:v>0.9276351442253562</c:v>
                </c:pt>
                <c:pt idx="6">
                  <c:v>0.91971587773161523</c:v>
                </c:pt>
                <c:pt idx="7">
                  <c:v>0.91186421840238185</c:v>
                </c:pt>
                <c:pt idx="8">
                  <c:v>0.90407958907199404</c:v>
                </c:pt>
                <c:pt idx="9">
                  <c:v>0.89636141750208054</c:v>
                </c:pt>
                <c:pt idx="10">
                  <c:v>0.88870913633949655</c:v>
                </c:pt>
                <c:pt idx="11">
                  <c:v>0.88112218307462009</c:v>
                </c:pt>
                <c:pt idx="12">
                  <c:v>0.87359999999999993</c:v>
                </c:pt>
                <c:pt idx="13">
                  <c:v>0.8694302459909502</c:v>
                </c:pt>
                <c:pt idx="14">
                  <c:v>0.86528088204802656</c:v>
                </c:pt>
                <c:pt idx="15">
                  <c:v>0.86115180861526408</c:v>
                </c:pt>
                <c:pt idx="16">
                  <c:v>0.85704292658144599</c:v>
                </c:pt>
                <c:pt idx="17">
                  <c:v>0.85295413727903679</c:v>
                </c:pt>
                <c:pt idx="18">
                  <c:v>0.84888534248310177</c:v>
                </c:pt>
                <c:pt idx="19">
                  <c:v>0.84483644441020833</c:v>
                </c:pt>
                <c:pt idx="20">
                  <c:v>0.84080734571731097</c:v>
                </c:pt>
                <c:pt idx="21">
                  <c:v>0.83679794950062458</c:v>
                </c:pt>
                <c:pt idx="22">
                  <c:v>0.83280815929447816</c:v>
                </c:pt>
                <c:pt idx="23">
                  <c:v>0.82883787907015838</c:v>
                </c:pt>
                <c:pt idx="24">
                  <c:v>0.82488701323473534</c:v>
                </c:pt>
                <c:pt idx="25">
                  <c:v>0.82035700880445328</c:v>
                </c:pt>
                <c:pt idx="26">
                  <c:v>0.81585241592519975</c:v>
                </c:pt>
                <c:pt idx="27">
                  <c:v>0.81137309061592855</c:v>
                </c:pt>
                <c:pt idx="28">
                  <c:v>0.8069188896928553</c:v>
                </c:pt>
                <c:pt idx="29">
                  <c:v>0.80248967076565669</c:v>
                </c:pt>
                <c:pt idx="30">
                  <c:v>0.79808529223366942</c:v>
                </c:pt>
                <c:pt idx="31">
                  <c:v>0.79370561328209877</c:v>
                </c:pt>
                <c:pt idx="32">
                  <c:v>0.78935049387822731</c:v>
                </c:pt>
                <c:pt idx="33">
                  <c:v>0.78501979476763151</c:v>
                </c:pt>
                <c:pt idx="34">
                  <c:v>0.7807133774704027</c:v>
                </c:pt>
                <c:pt idx="35">
                  <c:v>0.77643110427737472</c:v>
                </c:pt>
                <c:pt idx="36">
                  <c:v>0.77217283824635563</c:v>
                </c:pt>
                <c:pt idx="37">
                  <c:v>0.76709500745604942</c:v>
                </c:pt>
                <c:pt idx="38">
                  <c:v>0.76205158581249755</c:v>
                </c:pt>
                <c:pt idx="39">
                  <c:v>0.75704233306112234</c:v>
                </c:pt>
                <c:pt idx="40">
                  <c:v>0.75206701069030502</c:v>
                </c:pt>
                <c:pt idx="41">
                  <c:v>0.74712538191776501</c:v>
                </c:pt>
                <c:pt idx="42">
                  <c:v>0.74221721167706523</c:v>
                </c:pt>
                <c:pt idx="43">
                  <c:v>0.73734226660424407</c:v>
                </c:pt>
                <c:pt idx="44">
                  <c:v>0.73250031502456903</c:v>
                </c:pt>
                <c:pt idx="45">
                  <c:v>0.72769112693941496</c:v>
                </c:pt>
                <c:pt idx="46">
                  <c:v>0.72291447401326125</c:v>
                </c:pt>
                <c:pt idx="47">
                  <c:v>0.71817012956080684</c:v>
                </c:pt>
                <c:pt idx="48">
                  <c:v>0.71345786853420656</c:v>
                </c:pt>
                <c:pt idx="49">
                  <c:v>0.70832699714637526</c:v>
                </c:pt>
                <c:pt idx="50">
                  <c:v>0.70323419636128826</c:v>
                </c:pt>
                <c:pt idx="51">
                  <c:v>0.69817917429887921</c:v>
                </c:pt>
                <c:pt idx="52">
                  <c:v>0.69316164142155967</c:v>
                </c:pt>
                <c:pt idx="53">
                  <c:v>0.68818131051356179</c:v>
                </c:pt>
                <c:pt idx="54">
                  <c:v>0.68323789666050927</c:v>
                </c:pt>
                <c:pt idx="55">
                  <c:v>0.6783311172292098</c:v>
                </c:pt>
                <c:pt idx="56">
                  <c:v>0.67346069184766566</c:v>
                </c:pt>
                <c:pt idx="57">
                  <c:v>0.66862634238530105</c:v>
                </c:pt>
                <c:pt idx="58">
                  <c:v>0.66382779293339989</c:v>
                </c:pt>
                <c:pt idx="59">
                  <c:v>0.65906476978575323</c:v>
                </c:pt>
                <c:pt idx="60">
                  <c:v>0.65433700141951234</c:v>
                </c:pt>
                <c:pt idx="61">
                  <c:v>0.64875862625576863</c:v>
                </c:pt>
                <c:pt idx="62">
                  <c:v>0.64322915670658176</c:v>
                </c:pt>
                <c:pt idx="63">
                  <c:v>0.63774814902864474</c:v>
                </c:pt>
                <c:pt idx="64">
                  <c:v>0.63231516374881924</c:v>
                </c:pt>
                <c:pt idx="65">
                  <c:v>0.6269297656173155</c:v>
                </c:pt>
                <c:pt idx="66">
                  <c:v>0.62159152356154479</c:v>
                </c:pt>
                <c:pt idx="67">
                  <c:v>0.61630001064063278</c:v>
                </c:pt>
                <c:pt idx="68">
                  <c:v>0.61105480400057421</c:v>
                </c:pt>
                <c:pt idx="69">
                  <c:v>0.60585548483002272</c:v>
                </c:pt>
                <c:pt idx="70">
                  <c:v>0.60070163831669743</c:v>
                </c:pt>
                <c:pt idx="71">
                  <c:v>0.59559285360439573</c:v>
                </c:pt>
                <c:pt idx="72">
                  <c:v>0.59052872375060084</c:v>
                </c:pt>
                <c:pt idx="73">
                  <c:v>0.58550884568467088</c:v>
                </c:pt>
                <c:pt idx="74">
                  <c:v>0.58017466222802638</c:v>
                </c:pt>
                <c:pt idx="75">
                  <c:v>0.57489014479639422</c:v>
                </c:pt>
                <c:pt idx="76">
                  <c:v>0.56965481809657859</c:v>
                </c:pt>
                <c:pt idx="77">
                  <c:v>0.56446821160556171</c:v>
                </c:pt>
                <c:pt idx="78">
                  <c:v>0.55932985951721792</c:v>
                </c:pt>
                <c:pt idx="79">
                  <c:v>0.55423930068977889</c:v>
                </c:pt>
                <c:pt idx="80">
                  <c:v>0.5491960785940363</c:v>
                </c:pt>
                <c:pt idx="81">
                  <c:v>0.544199741262264</c:v>
                </c:pt>
                <c:pt idx="82">
                  <c:v>0.53924984123785047</c:v>
                </c:pt>
                <c:pt idx="83">
                  <c:v>0.53434593552562271</c:v>
                </c:pt>
                <c:pt idx="84">
                  <c:v>0.52948758554285136</c:v>
                </c:pt>
                <c:pt idx="85">
                  <c:v>0.52467435707092092</c:v>
                </c:pt>
                <c:pt idx="86">
                  <c:v>0.51885469335581069</c:v>
                </c:pt>
                <c:pt idx="87">
                  <c:v>0.51310137716816573</c:v>
                </c:pt>
                <c:pt idx="88">
                  <c:v>0.50741362512189825</c:v>
                </c:pt>
                <c:pt idx="89">
                  <c:v>0.50179066366229574</c:v>
                </c:pt>
                <c:pt idx="90">
                  <c:v>0.49623172892515943</c:v>
                </c:pt>
                <c:pt idx="91">
                  <c:v>0.49073606659857627</c:v>
                </c:pt>
                <c:pt idx="92">
                  <c:v>0.48530293178725409</c:v>
                </c:pt>
                <c:pt idx="93">
                  <c:v>0.47993158887935</c:v>
                </c:pt>
                <c:pt idx="94">
                  <c:v>0.47462131141572766</c:v>
                </c:pt>
                <c:pt idx="95">
                  <c:v>0.46937138196157885</c:v>
                </c:pt>
                <c:pt idx="96">
                  <c:v>0.46418109198034835</c:v>
                </c:pt>
                <c:pt idx="97">
                  <c:v>0.4590497417099027</c:v>
                </c:pt>
                <c:pt idx="98">
                  <c:v>0.45329782734418334</c:v>
                </c:pt>
                <c:pt idx="99">
                  <c:v>0.44761957118484552</c:v>
                </c:pt>
                <c:pt idx="100">
                  <c:v>0.44201400218387038</c:v>
                </c:pt>
                <c:pt idx="101">
                  <c:v>0.43648016277874124</c:v>
                </c:pt>
                <c:pt idx="102">
                  <c:v>0.43101710868242293</c:v>
                </c:pt>
                <c:pt idx="103">
                  <c:v>0.42562390867748739</c:v>
                </c:pt>
                <c:pt idx="104">
                  <c:v>0.42029964441427026</c:v>
                </c:pt>
                <c:pt idx="105">
                  <c:v>0.41504341021294661</c:v>
                </c:pt>
                <c:pt idx="106">
                  <c:v>0.40985431286941831</c:v>
                </c:pt>
                <c:pt idx="107">
                  <c:v>0.40473147146490979</c:v>
                </c:pt>
                <c:pt idx="108">
                  <c:v>0.39967401717917223</c:v>
                </c:pt>
                <c:pt idx="109">
                  <c:v>0.39468109310720151</c:v>
                </c:pt>
                <c:pt idx="110">
                  <c:v>0.38921639768695671</c:v>
                </c:pt>
                <c:pt idx="111">
                  <c:v>0.38382846496998801</c:v>
                </c:pt>
                <c:pt idx="112">
                  <c:v>0.37851619387447349</c:v>
                </c:pt>
                <c:pt idx="113">
                  <c:v>0.37327849976279631</c:v>
                </c:pt>
                <c:pt idx="114">
                  <c:v>0.36811431417208657</c:v>
                </c:pt>
                <c:pt idx="115">
                  <c:v>0.36302258455016717</c:v>
                </c:pt>
                <c:pt idx="116">
                  <c:v>0.35800227399675238</c:v>
                </c:pt>
                <c:pt idx="117">
                  <c:v>0.35305236100975618</c:v>
                </c:pt>
                <c:pt idx="118">
                  <c:v>0.34817183923657069</c:v>
                </c:pt>
                <c:pt idx="119">
                  <c:v>0.34335971723018266</c:v>
                </c:pt>
                <c:pt idx="120">
                  <c:v>0.33861501820999879</c:v>
                </c:pt>
                <c:pt idx="121">
                  <c:v>0.33393677982725661</c:v>
                </c:pt>
                <c:pt idx="122">
                  <c:v>0.32863736605816574</c:v>
                </c:pt>
              </c:numCache>
            </c:numRef>
          </c:yVal>
          <c:smooth val="0"/>
          <c:extLst>
            <c:ext xmlns:c16="http://schemas.microsoft.com/office/drawing/2014/chart" uri="{C3380CC4-5D6E-409C-BE32-E72D297353CC}">
              <c16:uniqueId val="{00000001-80A3-48D7-9573-B0015C9C0598}"/>
            </c:ext>
          </c:extLst>
        </c:ser>
        <c:dLbls>
          <c:showLegendKey val="0"/>
          <c:showVal val="0"/>
          <c:showCatName val="0"/>
          <c:showSerName val="0"/>
          <c:showPercent val="0"/>
          <c:showBubbleSize val="0"/>
        </c:dLbls>
        <c:axId val="634459856"/>
        <c:axId val="634460184"/>
      </c:scatterChart>
      <c:valAx>
        <c:axId val="634459856"/>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60184"/>
        <c:crosses val="autoZero"/>
        <c:crossBetween val="midCat"/>
        <c:majorUnit val="1"/>
      </c:valAx>
      <c:valAx>
        <c:axId val="634460184"/>
        <c:scaling>
          <c:orientation val="minMax"/>
          <c:max val="1"/>
          <c:min val="0.60000000000000009"/>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59856"/>
        <c:crosses val="autoZero"/>
        <c:crossBetween val="midCat"/>
      </c:valAx>
      <c:spPr>
        <a:noFill/>
        <a:ln>
          <a:noFill/>
        </a:ln>
        <a:effectLst/>
      </c:spPr>
    </c:plotArea>
    <c:legend>
      <c:legendPos val="r"/>
      <c:layout>
        <c:manualLayout>
          <c:xMode val="edge"/>
          <c:yMode val="edge"/>
          <c:x val="0.14222547762924984"/>
          <c:y val="0.39483122749191235"/>
          <c:w val="0.27737688216604506"/>
          <c:h val="0.215886285819210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000">
                <a:latin typeface="Times New Roman" panose="02020603050405020304" pitchFamily="18" charset="0"/>
                <a:cs typeface="Times New Roman" panose="02020603050405020304" pitchFamily="18" charset="0"/>
              </a:rPr>
              <a:t>Overall survival+disabling stroke</a:t>
            </a:r>
          </a:p>
        </c:rich>
      </c:tx>
      <c:layout>
        <c:manualLayout>
          <c:xMode val="edge"/>
          <c:yMode val="edge"/>
          <c:x val="0.2215327009038546"/>
          <c:y val="5.1037370328708906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7877044215626898E-2"/>
          <c:y val="9.7502847521418315E-2"/>
          <c:w val="0.88507167373309104"/>
          <c:h val="0.75917066970402292"/>
        </c:manualLayout>
      </c:layout>
      <c:scatterChart>
        <c:scatterStyle val="lineMarker"/>
        <c:varyColors val="0"/>
        <c:ser>
          <c:idx val="0"/>
          <c:order val="0"/>
          <c:tx>
            <c:v>TAVI BEV</c:v>
          </c:tx>
          <c:spPr>
            <a:ln w="19050" cap="rnd">
              <a:solidFill>
                <a:schemeClr val="accent1"/>
              </a:solidFill>
              <a:round/>
            </a:ln>
            <a:effectLst/>
          </c:spPr>
          <c:marker>
            <c:symbol val="circle"/>
            <c:size val="5"/>
            <c:spPr>
              <a:noFill/>
              <a:ln w="9525">
                <a:noFill/>
              </a:ln>
              <a:effectLst/>
            </c:spPr>
          </c:marker>
          <c:xVal>
            <c:numRef>
              <c:f>BEVM!$D$4:$D$126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BEVM!$AB$4:$AB$126</c:f>
              <c:numCache>
                <c:formatCode>0.00</c:formatCode>
                <c:ptCount val="123"/>
                <c:pt idx="0">
                  <c:v>9.5992083127164771E-2</c:v>
                </c:pt>
                <c:pt idx="1">
                  <c:v>0.12366452830644092</c:v>
                </c:pt>
                <c:pt idx="2">
                  <c:v>0.12766953780353316</c:v>
                </c:pt>
                <c:pt idx="3">
                  <c:v>0.13166089945009266</c:v>
                </c:pt>
                <c:pt idx="4">
                  <c:v>0.13563857756466097</c:v>
                </c:pt>
                <c:pt idx="5">
                  <c:v>0.13960253831835129</c:v>
                </c:pt>
                <c:pt idx="6">
                  <c:v>0.14355274969871024</c:v>
                </c:pt>
                <c:pt idx="7">
                  <c:v>0.14748918147419141</c:v>
                </c:pt>
                <c:pt idx="8">
                  <c:v>0.15141180515923053</c:v>
                </c:pt>
                <c:pt idx="9">
                  <c:v>0.15532059397991249</c:v>
                </c:pt>
                <c:pt idx="10">
                  <c:v>0.1592155228402205</c:v>
                </c:pt>
                <c:pt idx="11">
                  <c:v>0.1630965682888583</c:v>
                </c:pt>
                <c:pt idx="12">
                  <c:v>0.16696370848663528</c:v>
                </c:pt>
                <c:pt idx="13">
                  <c:v>0.17178332886618214</c:v>
                </c:pt>
                <c:pt idx="14">
                  <c:v>0.17658602510285576</c:v>
                </c:pt>
                <c:pt idx="15">
                  <c:v>0.18137160894606572</c:v>
                </c:pt>
                <c:pt idx="16">
                  <c:v>0.18613989903893097</c:v>
                </c:pt>
                <c:pt idx="17">
                  <c:v>0.19089072077165115</c:v>
                </c:pt>
                <c:pt idx="18">
                  <c:v>0.19562390613754538</c:v>
                </c:pt>
                <c:pt idx="19">
                  <c:v>0.20033929359171557</c:v>
                </c:pt>
                <c:pt idx="20">
                  <c:v>0.20503672791229172</c:v>
                </c:pt>
                <c:pt idx="21">
                  <c:v>0.20971606006421845</c:v>
                </c:pt>
                <c:pt idx="22">
                  <c:v>0.21437714706554034</c:v>
                </c:pt>
                <c:pt idx="23">
                  <c:v>0.21901985185614647</c:v>
                </c:pt>
                <c:pt idx="24">
                  <c:v>0.22364404316893369</c:v>
                </c:pt>
                <c:pt idx="25">
                  <c:v>0.22892449133004589</c:v>
                </c:pt>
                <c:pt idx="26">
                  <c:v>0.23418149703804353</c:v>
                </c:pt>
                <c:pt idx="27">
                  <c:v>0.23941485350654873</c:v>
                </c:pt>
                <c:pt idx="28">
                  <c:v>0.24462436373634078</c:v>
                </c:pt>
                <c:pt idx="29">
                  <c:v>0.24980984027420369</c:v>
                </c:pt>
                <c:pt idx="30">
                  <c:v>0.25497110497681091</c:v>
                </c:pt>
                <c:pt idx="31">
                  <c:v>0.26010798877955366</c:v>
                </c:pt>
                <c:pt idx="32">
                  <c:v>0.26522033147022084</c:v>
                </c:pt>
                <c:pt idx="33">
                  <c:v>0.2703079814674389</c:v>
                </c:pt>
                <c:pt idx="34">
                  <c:v>0.27537079560378269</c:v>
                </c:pt>
                <c:pt idx="35">
                  <c:v>0.28040863891346862</c:v>
                </c:pt>
                <c:pt idx="36">
                  <c:v>0.28542138442454396</c:v>
                </c:pt>
                <c:pt idx="37">
                  <c:v>0.2913672068108889</c:v>
                </c:pt>
                <c:pt idx="38">
                  <c:v>0.29727867661013435</c:v>
                </c:pt>
                <c:pt idx="39">
                  <c:v>0.30315553268591022</c:v>
                </c:pt>
                <c:pt idx="40">
                  <c:v>0.30899753144498665</c:v>
                </c:pt>
                <c:pt idx="41">
                  <c:v>0.31480444629820037</c:v>
                </c:pt>
                <c:pt idx="42">
                  <c:v>0.32057606713529302</c:v>
                </c:pt>
                <c:pt idx="43">
                  <c:v>0.32631219981334081</c:v>
                </c:pt>
                <c:pt idx="44">
                  <c:v>0.33201266565845794</c:v>
                </c:pt>
                <c:pt idx="45">
                  <c:v>0.33767730098046544</c:v>
                </c:pt>
                <c:pt idx="46">
                  <c:v>0.34330595660022101</c:v>
                </c:pt>
                <c:pt idx="47">
                  <c:v>0.34889849738931233</c:v>
                </c:pt>
                <c:pt idx="48">
                  <c:v>0.35445480182182276</c:v>
                </c:pt>
                <c:pt idx="49">
                  <c:v>0.36049774692946535</c:v>
                </c:pt>
                <c:pt idx="50">
                  <c:v>0.36649749321677849</c:v>
                </c:pt>
                <c:pt idx="51">
                  <c:v>0.37245390593942657</c:v>
                </c:pt>
                <c:pt idx="52">
                  <c:v>0.37836686843441691</c:v>
                </c:pt>
                <c:pt idx="53">
                  <c:v>0.38423628147293265</c:v>
                </c:pt>
                <c:pt idx="54">
                  <c:v>0.39006206263204435</c:v>
                </c:pt>
                <c:pt idx="55">
                  <c:v>0.39584414568480375</c:v>
                </c:pt>
                <c:pt idx="56">
                  <c:v>0.40158248000823149</c:v>
                </c:pt>
                <c:pt idx="57">
                  <c:v>0.40727703000872656</c:v>
                </c:pt>
                <c:pt idx="58">
                  <c:v>0.41292777456443264</c:v>
                </c:pt>
                <c:pt idx="59">
                  <c:v>0.41853470648410873</c:v>
                </c:pt>
                <c:pt idx="60">
                  <c:v>0.4240978319820643</c:v>
                </c:pt>
                <c:pt idx="61">
                  <c:v>0.43063280631752504</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numCache>
            </c:numRef>
          </c:yVal>
          <c:smooth val="0"/>
          <c:extLst>
            <c:ext xmlns:c16="http://schemas.microsoft.com/office/drawing/2014/chart" uri="{C3380CC4-5D6E-409C-BE32-E72D297353CC}">
              <c16:uniqueId val="{00000000-8AED-4B4D-A619-A1B8035FCE7B}"/>
            </c:ext>
          </c:extLst>
        </c:ser>
        <c:ser>
          <c:idx val="1"/>
          <c:order val="1"/>
          <c:tx>
            <c:v>SAVR</c:v>
          </c:tx>
          <c:spPr>
            <a:ln w="19050" cap="rnd">
              <a:solidFill>
                <a:srgbClr val="FF0000"/>
              </a:solidFill>
              <a:round/>
            </a:ln>
            <a:effectLst/>
          </c:spPr>
          <c:marker>
            <c:symbol val="circle"/>
            <c:size val="5"/>
            <c:spPr>
              <a:noFill/>
              <a:ln w="9525">
                <a:noFill/>
              </a:ln>
              <a:effectLst/>
            </c:spPr>
          </c:marker>
          <c:xVal>
            <c:numRef>
              <c:f>SAVRM!$D$4:$D$126</c:f>
              <c:numCache>
                <c:formatCode>0.00</c:formatCode>
                <c:ptCount val="123"/>
                <c:pt idx="0" formatCode="General">
                  <c:v>0</c:v>
                </c:pt>
                <c:pt idx="1">
                  <c:v>8.2135523613963035E-2</c:v>
                </c:pt>
                <c:pt idx="2">
                  <c:v>0.16427104722792607</c:v>
                </c:pt>
                <c:pt idx="3">
                  <c:v>0.24640657084188911</c:v>
                </c:pt>
                <c:pt idx="4">
                  <c:v>0.32854209445585214</c:v>
                </c:pt>
                <c:pt idx="5">
                  <c:v>0.41067761806981518</c:v>
                </c:pt>
                <c:pt idx="6">
                  <c:v>0.49281314168377821</c:v>
                </c:pt>
                <c:pt idx="7">
                  <c:v>0.57494866529774125</c:v>
                </c:pt>
                <c:pt idx="8">
                  <c:v>0.65708418891170428</c:v>
                </c:pt>
                <c:pt idx="9">
                  <c:v>0.73921971252566732</c:v>
                </c:pt>
                <c:pt idx="10">
                  <c:v>0.82135523613963035</c:v>
                </c:pt>
                <c:pt idx="11">
                  <c:v>0.90349075975359339</c:v>
                </c:pt>
                <c:pt idx="12">
                  <c:v>0.98562628336755642</c:v>
                </c:pt>
                <c:pt idx="13">
                  <c:v>1.0677618069815193</c:v>
                </c:pt>
                <c:pt idx="14">
                  <c:v>1.1498973305954823</c:v>
                </c:pt>
                <c:pt idx="15">
                  <c:v>1.2320328542094452</c:v>
                </c:pt>
                <c:pt idx="16">
                  <c:v>1.3141683778234081</c:v>
                </c:pt>
                <c:pt idx="17">
                  <c:v>1.396303901437371</c:v>
                </c:pt>
                <c:pt idx="18">
                  <c:v>1.478439425051334</c:v>
                </c:pt>
                <c:pt idx="19">
                  <c:v>1.5605749486652969</c:v>
                </c:pt>
                <c:pt idx="20">
                  <c:v>1.6427104722792598</c:v>
                </c:pt>
                <c:pt idx="21">
                  <c:v>1.7248459958932227</c:v>
                </c:pt>
                <c:pt idx="22">
                  <c:v>1.8069815195071857</c:v>
                </c:pt>
                <c:pt idx="23">
                  <c:v>1.8891170431211486</c:v>
                </c:pt>
                <c:pt idx="24">
                  <c:v>1.9712525667351115</c:v>
                </c:pt>
                <c:pt idx="25">
                  <c:v>2.0533880903490744</c:v>
                </c:pt>
                <c:pt idx="26">
                  <c:v>2.1355236139630374</c:v>
                </c:pt>
                <c:pt idx="27">
                  <c:v>2.2176591375770003</c:v>
                </c:pt>
                <c:pt idx="28">
                  <c:v>2.2997946611909632</c:v>
                </c:pt>
                <c:pt idx="29">
                  <c:v>2.3819301848049261</c:v>
                </c:pt>
                <c:pt idx="30">
                  <c:v>2.4640657084188891</c:v>
                </c:pt>
                <c:pt idx="31">
                  <c:v>2.546201232032852</c:v>
                </c:pt>
                <c:pt idx="32">
                  <c:v>2.6283367556468149</c:v>
                </c:pt>
                <c:pt idx="33">
                  <c:v>2.7104722792607778</c:v>
                </c:pt>
                <c:pt idx="34">
                  <c:v>2.7926078028747408</c:v>
                </c:pt>
                <c:pt idx="35">
                  <c:v>2.8747433264887037</c:v>
                </c:pt>
                <c:pt idx="36">
                  <c:v>2.9568788501026666</c:v>
                </c:pt>
                <c:pt idx="37">
                  <c:v>3.0390143737166295</c:v>
                </c:pt>
                <c:pt idx="38">
                  <c:v>3.1211498973305924</c:v>
                </c:pt>
                <c:pt idx="39">
                  <c:v>3.2032854209445554</c:v>
                </c:pt>
                <c:pt idx="40">
                  <c:v>3.2854209445585183</c:v>
                </c:pt>
                <c:pt idx="41">
                  <c:v>3.3675564681724812</c:v>
                </c:pt>
                <c:pt idx="42">
                  <c:v>3.4496919917864441</c:v>
                </c:pt>
                <c:pt idx="43">
                  <c:v>3.5318275154004071</c:v>
                </c:pt>
                <c:pt idx="44">
                  <c:v>3.61396303901437</c:v>
                </c:pt>
                <c:pt idx="45">
                  <c:v>3.6960985626283329</c:v>
                </c:pt>
                <c:pt idx="46">
                  <c:v>3.7782340862422958</c:v>
                </c:pt>
                <c:pt idx="47">
                  <c:v>3.8603696098562588</c:v>
                </c:pt>
                <c:pt idx="48">
                  <c:v>3.9425051334702217</c:v>
                </c:pt>
                <c:pt idx="49">
                  <c:v>4.0246406570841851</c:v>
                </c:pt>
                <c:pt idx="50">
                  <c:v>4.106776180698148</c:v>
                </c:pt>
                <c:pt idx="51">
                  <c:v>4.1889117043121109</c:v>
                </c:pt>
                <c:pt idx="52">
                  <c:v>4.2710472279260738</c:v>
                </c:pt>
                <c:pt idx="53">
                  <c:v>4.3531827515400368</c:v>
                </c:pt>
                <c:pt idx="54">
                  <c:v>4.4353182751539997</c:v>
                </c:pt>
                <c:pt idx="55">
                  <c:v>4.5174537987679626</c:v>
                </c:pt>
                <c:pt idx="56">
                  <c:v>4.5995893223819255</c:v>
                </c:pt>
                <c:pt idx="57">
                  <c:v>4.6817248459958885</c:v>
                </c:pt>
                <c:pt idx="58">
                  <c:v>4.7638603696098514</c:v>
                </c:pt>
                <c:pt idx="59">
                  <c:v>4.8459958932238143</c:v>
                </c:pt>
                <c:pt idx="60">
                  <c:v>4.9281314168377772</c:v>
                </c:pt>
                <c:pt idx="61">
                  <c:v>5.0102669404517401</c:v>
                </c:pt>
                <c:pt idx="62">
                  <c:v>5.0924024640657031</c:v>
                </c:pt>
                <c:pt idx="63">
                  <c:v>5.174537987679666</c:v>
                </c:pt>
                <c:pt idx="64">
                  <c:v>5.2566735112936289</c:v>
                </c:pt>
                <c:pt idx="65">
                  <c:v>5.3388090349075918</c:v>
                </c:pt>
                <c:pt idx="66">
                  <c:v>5.4209445585215548</c:v>
                </c:pt>
                <c:pt idx="67">
                  <c:v>5.5030800821355177</c:v>
                </c:pt>
                <c:pt idx="68">
                  <c:v>5.5852156057494806</c:v>
                </c:pt>
                <c:pt idx="69">
                  <c:v>5.6673511293634435</c:v>
                </c:pt>
                <c:pt idx="70">
                  <c:v>5.7494866529774065</c:v>
                </c:pt>
                <c:pt idx="71">
                  <c:v>5.8316221765913694</c:v>
                </c:pt>
                <c:pt idx="72">
                  <c:v>5.9137577002053323</c:v>
                </c:pt>
                <c:pt idx="73">
                  <c:v>5.9958932238192952</c:v>
                </c:pt>
                <c:pt idx="74">
                  <c:v>6.0780287474332582</c:v>
                </c:pt>
                <c:pt idx="75">
                  <c:v>6.1601642710472211</c:v>
                </c:pt>
                <c:pt idx="76">
                  <c:v>6.242299794661184</c:v>
                </c:pt>
                <c:pt idx="77">
                  <c:v>6.3244353182751469</c:v>
                </c:pt>
                <c:pt idx="78">
                  <c:v>6.4065708418891099</c:v>
                </c:pt>
                <c:pt idx="79">
                  <c:v>6.4887063655030728</c:v>
                </c:pt>
                <c:pt idx="80">
                  <c:v>6.5708418891170357</c:v>
                </c:pt>
                <c:pt idx="81">
                  <c:v>6.6529774127309986</c:v>
                </c:pt>
                <c:pt idx="82">
                  <c:v>6.7351129363449616</c:v>
                </c:pt>
                <c:pt idx="83">
                  <c:v>6.8172484599589245</c:v>
                </c:pt>
                <c:pt idx="84">
                  <c:v>6.8993839835728874</c:v>
                </c:pt>
                <c:pt idx="85">
                  <c:v>6.9815195071868503</c:v>
                </c:pt>
                <c:pt idx="86">
                  <c:v>7.0636550308008133</c:v>
                </c:pt>
                <c:pt idx="87">
                  <c:v>7.1457905544147762</c:v>
                </c:pt>
                <c:pt idx="88">
                  <c:v>7.2279260780287391</c:v>
                </c:pt>
                <c:pt idx="89">
                  <c:v>7.310061601642702</c:v>
                </c:pt>
                <c:pt idx="90">
                  <c:v>7.3921971252566649</c:v>
                </c:pt>
                <c:pt idx="91">
                  <c:v>7.4743326488706279</c:v>
                </c:pt>
                <c:pt idx="92">
                  <c:v>7.5564681724845908</c:v>
                </c:pt>
                <c:pt idx="93">
                  <c:v>7.6386036960985537</c:v>
                </c:pt>
                <c:pt idx="94">
                  <c:v>7.7207392197125166</c:v>
                </c:pt>
                <c:pt idx="95">
                  <c:v>7.8028747433264796</c:v>
                </c:pt>
                <c:pt idx="96">
                  <c:v>7.8850102669404425</c:v>
                </c:pt>
                <c:pt idx="97">
                  <c:v>7.9671457905544054</c:v>
                </c:pt>
                <c:pt idx="98">
                  <c:v>8.0492813141683683</c:v>
                </c:pt>
                <c:pt idx="99">
                  <c:v>8.1314168377823322</c:v>
                </c:pt>
                <c:pt idx="100">
                  <c:v>8.213552361396296</c:v>
                </c:pt>
                <c:pt idx="101">
                  <c:v>8.2956878850102598</c:v>
                </c:pt>
                <c:pt idx="102">
                  <c:v>8.3778234086242236</c:v>
                </c:pt>
                <c:pt idx="103">
                  <c:v>8.4599589322381874</c:v>
                </c:pt>
                <c:pt idx="104">
                  <c:v>8.5420944558521512</c:v>
                </c:pt>
                <c:pt idx="105">
                  <c:v>8.624229979466115</c:v>
                </c:pt>
                <c:pt idx="106">
                  <c:v>8.7063655030800788</c:v>
                </c:pt>
                <c:pt idx="107">
                  <c:v>8.7885010266940427</c:v>
                </c:pt>
                <c:pt idx="108">
                  <c:v>8.8706365503080065</c:v>
                </c:pt>
                <c:pt idx="109">
                  <c:v>8.9527720739219703</c:v>
                </c:pt>
                <c:pt idx="110">
                  <c:v>9.0349075975359341</c:v>
                </c:pt>
                <c:pt idx="111">
                  <c:v>9.1170431211498979</c:v>
                </c:pt>
                <c:pt idx="112">
                  <c:v>9.1991786447638617</c:v>
                </c:pt>
                <c:pt idx="113">
                  <c:v>9.2813141683778255</c:v>
                </c:pt>
                <c:pt idx="114">
                  <c:v>9.3634496919917893</c:v>
                </c:pt>
                <c:pt idx="115">
                  <c:v>9.4455852156057531</c:v>
                </c:pt>
                <c:pt idx="116">
                  <c:v>9.527720739219717</c:v>
                </c:pt>
                <c:pt idx="117">
                  <c:v>9.6098562628336808</c:v>
                </c:pt>
                <c:pt idx="118">
                  <c:v>9.6919917864476446</c:v>
                </c:pt>
                <c:pt idx="119">
                  <c:v>9.7741273100616084</c:v>
                </c:pt>
                <c:pt idx="120">
                  <c:v>9.8562628336755722</c:v>
                </c:pt>
                <c:pt idx="121">
                  <c:v>9.938398357289536</c:v>
                </c:pt>
                <c:pt idx="122">
                  <c:v>10.0205338809035</c:v>
                </c:pt>
              </c:numCache>
            </c:numRef>
          </c:xVal>
          <c:yVal>
            <c:numRef>
              <c:f>SAVRM!$AB$4:$AB$126</c:f>
              <c:numCache>
                <c:formatCode>0.00</c:formatCode>
                <c:ptCount val="123"/>
                <c:pt idx="0">
                  <c:v>9.5992083127164771E-2</c:v>
                </c:pt>
                <c:pt idx="1">
                  <c:v>0.14312439386442355</c:v>
                </c:pt>
                <c:pt idx="2">
                  <c:v>0.14968757800739735</c:v>
                </c:pt>
                <c:pt idx="3">
                  <c:v>0.15621537367818522</c:v>
                </c:pt>
                <c:pt idx="4">
                  <c:v>0.16270751639520142</c:v>
                </c:pt>
                <c:pt idx="5">
                  <c:v>0.16916375948719023</c:v>
                </c:pt>
                <c:pt idx="6">
                  <c:v>0.17558387351428012</c:v>
                </c:pt>
                <c:pt idx="7">
                  <c:v>0.18196764570569823</c:v>
                </c:pt>
                <c:pt idx="8">
                  <c:v>0.1883148794136813</c:v>
                </c:pt>
                <c:pt idx="9">
                  <c:v>0.19462539358313202</c:v>
                </c:pt>
                <c:pt idx="10">
                  <c:v>0.20089902223658226</c:v>
                </c:pt>
                <c:pt idx="11">
                  <c:v>0.20713561397403657</c:v>
                </c:pt>
                <c:pt idx="12">
                  <c:v>0.21333503148728089</c:v>
                </c:pt>
                <c:pt idx="13">
                  <c:v>0.21772661851137534</c:v>
                </c:pt>
                <c:pt idx="14">
                  <c:v>0.22210220960492136</c:v>
                </c:pt>
                <c:pt idx="15">
                  <c:v>0.2264616741962438</c:v>
                </c:pt>
                <c:pt idx="16">
                  <c:v>0.23080488691173842</c:v>
                </c:pt>
                <c:pt idx="17">
                  <c:v>0.2351317274623029</c:v>
                </c:pt>
                <c:pt idx="18">
                  <c:v>0.23944208053196292</c:v>
                </c:pt>
                <c:pt idx="19">
                  <c:v>0.24373583566865123</c:v>
                </c:pt>
                <c:pt idx="20">
                  <c:v>0.24801288717710027</c:v>
                </c:pt>
                <c:pt idx="21">
                  <c:v>0.25227313401380913</c:v>
                </c:pt>
                <c:pt idx="22">
                  <c:v>0.25651647968404584</c:v>
                </c:pt>
                <c:pt idx="23">
                  <c:v>0.26074283214084748</c:v>
                </c:pt>
                <c:pt idx="24">
                  <c:v>0.26495210368598054</c:v>
                </c:pt>
                <c:pt idx="25">
                  <c:v>0.26975881576088601</c:v>
                </c:pt>
                <c:pt idx="26">
                  <c:v>0.27454384083003497</c:v>
                </c:pt>
                <c:pt idx="27">
                  <c:v>0.2793070389041365</c:v>
                </c:pt>
                <c:pt idx="28">
                  <c:v>0.28404827734560534</c:v>
                </c:pt>
                <c:pt idx="29">
                  <c:v>0.28876743068345395</c:v>
                </c:pt>
                <c:pt idx="30">
                  <c:v>0.29346438043224488</c:v>
                </c:pt>
                <c:pt idx="31">
                  <c:v>0.2981390149150171</c:v>
                </c:pt>
                <c:pt idx="32">
                  <c:v>0.30279122909010409</c:v>
                </c:pt>
                <c:pt idx="33">
                  <c:v>0.30742092438176039</c:v>
                </c:pt>
                <c:pt idx="34">
                  <c:v>0.31202800851451717</c:v>
                </c:pt>
                <c:pt idx="35">
                  <c:v>0.31661239535118857</c:v>
                </c:pt>
                <c:pt idx="36">
                  <c:v>0.32117400473445135</c:v>
                </c:pt>
                <c:pt idx="37">
                  <c:v>0.3265848197558372</c:v>
                </c:pt>
                <c:pt idx="38">
                  <c:v>0.33196434900143384</c:v>
                </c:pt>
                <c:pt idx="39">
                  <c:v>0.33731242044977233</c:v>
                </c:pt>
                <c:pt idx="40">
                  <c:v>0.34262887523272323</c:v>
                </c:pt>
                <c:pt idx="41">
                  <c:v>0.34791356722439537</c:v>
                </c:pt>
                <c:pt idx="42">
                  <c:v>0.3531663626410767</c:v>
                </c:pt>
                <c:pt idx="43">
                  <c:v>0.3583871396519317</c:v>
                </c:pt>
                <c:pt idx="44">
                  <c:v>0.36357578800018198</c:v>
                </c:pt>
                <c:pt idx="45">
                  <c:v>0.36873220863449918</c:v>
                </c:pt>
                <c:pt idx="46">
                  <c:v>0.37385631335034808</c:v>
                </c:pt>
                <c:pt idx="47">
                  <c:v>0.37894802444102471</c:v>
                </c:pt>
                <c:pt idx="48">
                  <c:v>0.38400727435813964</c:v>
                </c:pt>
                <c:pt idx="49">
                  <c:v>0.38951014784273108</c:v>
                </c:pt>
                <c:pt idx="50">
                  <c:v>0.39497436961021032</c:v>
                </c:pt>
                <c:pt idx="51">
                  <c:v>0.40039986873792099</c:v>
                </c:pt>
                <c:pt idx="52">
                  <c:v>0.40578658780098759</c:v>
                </c:pt>
                <c:pt idx="53">
                  <c:v>0.41113448238343409</c:v>
                </c:pt>
                <c:pt idx="54">
                  <c:v>0.41644352060393774</c:v>
                </c:pt>
                <c:pt idx="55">
                  <c:v>0.42171368265580317</c:v>
                </c:pt>
                <c:pt idx="56">
                  <c:v>0.42694496036075347</c:v>
                </c:pt>
                <c:pt idx="57">
                  <c:v>0.4321373567361475</c:v>
                </c:pt>
                <c:pt idx="58">
                  <c:v>0.43729088557524121</c:v>
                </c:pt>
                <c:pt idx="59">
                  <c:v>0.44240557104012362</c:v>
                </c:pt>
                <c:pt idx="60">
                  <c:v>0.44748144726696759</c:v>
                </c:pt>
                <c:pt idx="61">
                  <c:v>0.45344472578781769</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numCache>
            </c:numRef>
          </c:yVal>
          <c:smooth val="0"/>
          <c:extLst>
            <c:ext xmlns:c16="http://schemas.microsoft.com/office/drawing/2014/chart" uri="{C3380CC4-5D6E-409C-BE32-E72D297353CC}">
              <c16:uniqueId val="{00000001-8AED-4B4D-A619-A1B8035FCE7B}"/>
            </c:ext>
          </c:extLst>
        </c:ser>
        <c:dLbls>
          <c:showLegendKey val="0"/>
          <c:showVal val="0"/>
          <c:showCatName val="0"/>
          <c:showSerName val="0"/>
          <c:showPercent val="0"/>
          <c:showBubbleSize val="0"/>
        </c:dLbls>
        <c:axId val="634459856"/>
        <c:axId val="634460184"/>
      </c:scatterChart>
      <c:valAx>
        <c:axId val="634459856"/>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60184"/>
        <c:crosses val="autoZero"/>
        <c:crossBetween val="midCat"/>
        <c:majorUnit val="1"/>
      </c:valAx>
      <c:valAx>
        <c:axId val="634460184"/>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4459856"/>
        <c:crosses val="autoZero"/>
        <c:crossBetween val="midCat"/>
        <c:majorUnit val="0.2"/>
      </c:valAx>
      <c:spPr>
        <a:noFill/>
        <a:ln>
          <a:noFill/>
        </a:ln>
        <a:effectLst/>
      </c:spPr>
    </c:plotArea>
    <c:legend>
      <c:legendPos val="r"/>
      <c:layout>
        <c:manualLayout>
          <c:xMode val="edge"/>
          <c:yMode val="edge"/>
          <c:x val="0.15551461392209717"/>
          <c:y val="0.39483149842048187"/>
          <c:w val="0.27737688216604506"/>
          <c:h val="0.215886285819210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5">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0A86-1CA6-4298-93EA-59376298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13843</Words>
  <Characters>83093</Characters>
  <Application>Microsoft Office Word</Application>
  <DocSecurity>0</DocSecurity>
  <Lines>2186</Lines>
  <Paragraphs>1127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2021-02-14T21:58:00Z</dcterms:created>
  <dcterms:modified xsi:type="dcterms:W3CDTF">2021-02-17T06:20:00Z</dcterms:modified>
</cp:coreProperties>
</file>