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A59D4B3" w14:textId="77777777" w:rsidR="00E45A4B" w:rsidRDefault="00E45A4B" w:rsidP="00C4750D">
      <w:pPr>
        <w:jc w:val="right"/>
        <w:rPr>
          <w:rFonts w:ascii="Arial" w:hAnsi="Arial" w:cs="Arial"/>
          <w:b/>
          <w:sz w:val="44"/>
          <w:szCs w:val="44"/>
        </w:rPr>
      </w:pPr>
    </w:p>
    <w:p w14:paraId="1341D8F5" w14:textId="77777777" w:rsidR="00C4750D" w:rsidRPr="00C40E3D" w:rsidRDefault="00C4750D" w:rsidP="00D22942">
      <w:pPr>
        <w:pStyle w:val="Heading1"/>
      </w:pPr>
      <w:bookmarkStart w:id="0" w:name="_Toc386093969"/>
      <w:bookmarkStart w:id="1" w:name="_Toc386094208"/>
      <w:bookmarkStart w:id="2" w:name="_Toc389142024"/>
      <w:r w:rsidRPr="00C40E3D">
        <w:t xml:space="preserve">MSAC application no </w:t>
      </w:r>
      <w:r w:rsidR="002A439B">
        <w:t>1196</w:t>
      </w:r>
      <w:bookmarkEnd w:id="0"/>
      <w:bookmarkEnd w:id="1"/>
      <w:bookmarkEnd w:id="2"/>
    </w:p>
    <w:p w14:paraId="602CE121" w14:textId="77777777" w:rsidR="00C4750D" w:rsidRPr="00C40E3D" w:rsidRDefault="00C4750D" w:rsidP="007416C0"/>
    <w:p w14:paraId="34C59CAF" w14:textId="77777777" w:rsidR="00C4750D" w:rsidRPr="00C40E3D" w:rsidRDefault="002A439B" w:rsidP="00D22942">
      <w:pPr>
        <w:pStyle w:val="Heading1"/>
      </w:pPr>
      <w:bookmarkStart w:id="3" w:name="_Toc386093970"/>
      <w:bookmarkStart w:id="4" w:name="_Toc386094209"/>
      <w:bookmarkStart w:id="5" w:name="_Toc389142025"/>
      <w:r>
        <w:t>Repetitive Transcranial Magnetic Stimu</w:t>
      </w:r>
      <w:r w:rsidR="00DB71D2">
        <w:t>l</w:t>
      </w:r>
      <w:r>
        <w:t>ation (rTMS)</w:t>
      </w:r>
      <w:bookmarkEnd w:id="3"/>
      <w:bookmarkEnd w:id="4"/>
      <w:bookmarkEnd w:id="5"/>
    </w:p>
    <w:p w14:paraId="1C18BC6B" w14:textId="77777777" w:rsidR="00C4750D" w:rsidRPr="00C9782D" w:rsidRDefault="00C4750D" w:rsidP="00C4750D">
      <w:pPr>
        <w:jc w:val="right"/>
        <w:rPr>
          <w:rFonts w:ascii="Arial" w:hAnsi="Arial" w:cs="Arial"/>
          <w:b/>
          <w:sz w:val="44"/>
          <w:szCs w:val="44"/>
        </w:rPr>
      </w:pPr>
    </w:p>
    <w:p w14:paraId="7C011C59" w14:textId="77777777" w:rsidR="00C4750D" w:rsidRPr="00C9782D" w:rsidRDefault="002A439B" w:rsidP="00C4750D">
      <w:pPr>
        <w:jc w:val="right"/>
        <w:rPr>
          <w:rFonts w:ascii="Arial" w:hAnsi="Arial" w:cs="Arial"/>
          <w:b/>
          <w:sz w:val="28"/>
          <w:szCs w:val="28"/>
        </w:rPr>
      </w:pPr>
      <w:r>
        <w:rPr>
          <w:rFonts w:ascii="Arial" w:hAnsi="Arial" w:cs="Arial"/>
          <w:b/>
          <w:sz w:val="28"/>
          <w:szCs w:val="28"/>
        </w:rPr>
        <w:t>June 2014</w:t>
      </w:r>
    </w:p>
    <w:p w14:paraId="51A98D79" w14:textId="77777777" w:rsidR="00C4750D" w:rsidRPr="00C9782D" w:rsidRDefault="00C4750D" w:rsidP="00C4750D">
      <w:pPr>
        <w:jc w:val="right"/>
        <w:rPr>
          <w:rFonts w:ascii="Arial" w:hAnsi="Arial" w:cs="Arial"/>
          <w:b/>
          <w:sz w:val="44"/>
          <w:szCs w:val="44"/>
        </w:rPr>
      </w:pPr>
    </w:p>
    <w:p w14:paraId="70A540A2" w14:textId="77777777" w:rsidR="00E45A4B" w:rsidRPr="00C9782D" w:rsidRDefault="00E45A4B" w:rsidP="00E45A4B">
      <w:pPr>
        <w:jc w:val="center"/>
        <w:rPr>
          <w:rFonts w:ascii="Arial" w:hAnsi="Arial" w:cs="Arial"/>
          <w:b/>
          <w:sz w:val="44"/>
          <w:szCs w:val="44"/>
        </w:rPr>
      </w:pPr>
    </w:p>
    <w:p w14:paraId="0EAD735A" w14:textId="77777777" w:rsidR="00C4750D" w:rsidRPr="00C9782D" w:rsidRDefault="00C4750D">
      <w:pPr>
        <w:sectPr w:rsidR="00C4750D" w:rsidRPr="00C9782D" w:rsidSect="00C4750D">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440" w:right="1440" w:bottom="1440" w:left="1440" w:header="578" w:footer="74" w:gutter="0"/>
          <w:pgNumType w:fmt="lowerRoman" w:start="1"/>
          <w:cols w:space="720"/>
          <w:noEndnote/>
          <w:titlePg/>
        </w:sectPr>
      </w:pPr>
    </w:p>
    <w:p w14:paraId="2F2EF7C6" w14:textId="77777777" w:rsidR="00A0054E" w:rsidRPr="00C9782D" w:rsidRDefault="008F59A8" w:rsidP="00A0054E">
      <w:pPr>
        <w:rPr>
          <w:b/>
        </w:rPr>
      </w:pPr>
      <w:r w:rsidRPr="00C9782D">
        <w:lastRenderedPageBreak/>
        <w:br w:type="page"/>
      </w:r>
      <w:r w:rsidR="00A0054E" w:rsidRPr="00C9782D">
        <w:rPr>
          <w:b/>
        </w:rPr>
        <w:lastRenderedPageBreak/>
        <w:t xml:space="preserve">Assessment </w:t>
      </w:r>
      <w:r w:rsidR="00647D24">
        <w:rPr>
          <w:b/>
        </w:rPr>
        <w:t>Report</w:t>
      </w:r>
      <w:r w:rsidR="00A0054E" w:rsidRPr="00C9782D">
        <w:rPr>
          <w:b/>
        </w:rPr>
        <w:t xml:space="preserve"> </w:t>
      </w:r>
      <w:r w:rsidR="00647D24">
        <w:rPr>
          <w:b/>
        </w:rPr>
        <w:t>–</w:t>
      </w:r>
      <w:r w:rsidR="00A0054E" w:rsidRPr="00C9782D">
        <w:rPr>
          <w:b/>
        </w:rPr>
        <w:t xml:space="preserve"> </w:t>
      </w:r>
      <w:r w:rsidR="00647D24">
        <w:rPr>
          <w:b/>
        </w:rPr>
        <w:t>Repetitive Transcranial Magnetic Stimulation</w:t>
      </w:r>
    </w:p>
    <w:p w14:paraId="56D8F115" w14:textId="77777777" w:rsidR="00A0054E" w:rsidRPr="00C9782D" w:rsidRDefault="00A0054E" w:rsidP="00A0054E">
      <w:pPr>
        <w:rPr>
          <w:rFonts w:ascii="Tahoma" w:hAnsi="Tahoma" w:cs="Tahoma"/>
          <w:color w:val="0000FF"/>
          <w:sz w:val="18"/>
          <w:szCs w:val="18"/>
        </w:rPr>
      </w:pPr>
      <w:r w:rsidRPr="00C9782D">
        <w:rPr>
          <w:rFonts w:ascii="Tahoma" w:hAnsi="Tahoma" w:cs="Tahoma"/>
          <w:b/>
          <w:bCs/>
          <w:sz w:val="18"/>
          <w:szCs w:val="18"/>
        </w:rPr>
        <w:t xml:space="preserve">Internet site </w:t>
      </w:r>
      <w:hyperlink r:id="rId15" w:tooltip="This is a link to the MSAC website" w:history="1">
        <w:r w:rsidRPr="00C9782D">
          <w:rPr>
            <w:rStyle w:val="Hyperlink"/>
            <w:rFonts w:ascii="Tahoma" w:hAnsi="Tahoma" w:cs="Tahoma"/>
            <w:sz w:val="18"/>
            <w:szCs w:val="18"/>
          </w:rPr>
          <w:t>http://www.msac.gov.au</w:t>
        </w:r>
      </w:hyperlink>
    </w:p>
    <w:p w14:paraId="5BA58892" w14:textId="77777777" w:rsidR="00A0054E" w:rsidRPr="00C9782D" w:rsidRDefault="00A0054E" w:rsidP="00A0054E">
      <w:r w:rsidRPr="00C9782D">
        <w:t>© Commonwealth of Australia 2013</w:t>
      </w:r>
    </w:p>
    <w:p w14:paraId="78752FFD" w14:textId="77777777" w:rsidR="00A0054E" w:rsidRPr="00C9782D" w:rsidRDefault="00A0054E" w:rsidP="00A0054E">
      <w:r w:rsidRPr="00C9782D">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C9782D">
        <w:rPr>
          <w:i/>
          <w:iCs/>
        </w:rPr>
        <w:t xml:space="preserve">Copyright Act 1968 </w:t>
      </w:r>
      <w:r w:rsidRPr="00C9782D">
        <w:t>or allowed by this copyright notice</w:t>
      </w:r>
      <w:r w:rsidRPr="00C9782D">
        <w:rPr>
          <w:i/>
          <w:iCs/>
        </w:rPr>
        <w:t xml:space="preserve">, </w:t>
      </w:r>
      <w:r w:rsidRPr="00C9782D">
        <w:t>all other rights are reserved and</w:t>
      </w:r>
      <w:r w:rsidRPr="00C9782D">
        <w:rPr>
          <w:i/>
          <w:iCs/>
        </w:rPr>
        <w:t xml:space="preserve"> </w:t>
      </w:r>
      <w:r w:rsidRPr="00C9782D">
        <w:t xml:space="preserve">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copyright@health.gov.au. </w:t>
      </w:r>
    </w:p>
    <w:p w14:paraId="42BEECC7" w14:textId="77777777" w:rsidR="00A0054E" w:rsidRPr="00C9782D" w:rsidRDefault="00A0054E" w:rsidP="00A0054E">
      <w:pPr>
        <w:rPr>
          <w:rFonts w:ascii="Tahoma" w:hAnsi="Tahoma" w:cs="Tahoma"/>
          <w:sz w:val="18"/>
          <w:szCs w:val="18"/>
        </w:rPr>
      </w:pPr>
      <w:r w:rsidRPr="00C9782D">
        <w:rPr>
          <w:rFonts w:ascii="Tahoma" w:hAnsi="Tahoma" w:cs="Tahoma"/>
          <w:sz w:val="18"/>
          <w:szCs w:val="18"/>
        </w:rPr>
        <w:t>Electronic copies of the report can be obtained from the Medical Service Advisory Committee’s Internet site at</w:t>
      </w:r>
    </w:p>
    <w:p w14:paraId="318E6F7A" w14:textId="77777777" w:rsidR="006F2CFC" w:rsidRDefault="004C1C27" w:rsidP="00A0054E">
      <w:pPr>
        <w:rPr>
          <w:rFonts w:ascii="Tahoma" w:hAnsi="Tahoma" w:cs="Tahoma"/>
          <w:color w:val="0000FF"/>
          <w:sz w:val="18"/>
          <w:szCs w:val="18"/>
        </w:rPr>
      </w:pPr>
      <w:hyperlink r:id="rId16" w:tooltip="This is a link to the MSAC website" w:history="1">
        <w:r w:rsidR="006F2CFC" w:rsidRPr="00C9782D">
          <w:rPr>
            <w:rStyle w:val="Hyperlink"/>
            <w:rFonts w:ascii="Tahoma" w:hAnsi="Tahoma" w:cs="Tahoma"/>
            <w:sz w:val="18"/>
            <w:szCs w:val="18"/>
          </w:rPr>
          <w:t>http://www.msac.gov.au</w:t>
        </w:r>
      </w:hyperlink>
    </w:p>
    <w:p w14:paraId="4057655A" w14:textId="77777777" w:rsidR="00A0054E" w:rsidRPr="00C9782D" w:rsidRDefault="00A0054E" w:rsidP="00A0054E">
      <w:pPr>
        <w:rPr>
          <w:rFonts w:ascii="Tahoma" w:hAnsi="Tahoma" w:cs="Tahoma"/>
          <w:sz w:val="18"/>
          <w:szCs w:val="18"/>
        </w:rPr>
      </w:pPr>
      <w:r w:rsidRPr="00C9782D">
        <w:rPr>
          <w:rFonts w:ascii="Tahoma" w:hAnsi="Tahoma" w:cs="Tahoma"/>
          <w:sz w:val="18"/>
          <w:szCs w:val="18"/>
        </w:rPr>
        <w:t>Enquiries about the content of the report should be directed to the above address.</w:t>
      </w:r>
    </w:p>
    <w:p w14:paraId="73D7F2DA" w14:textId="77777777" w:rsidR="00A0054E" w:rsidRPr="00C9782D" w:rsidRDefault="00A0054E" w:rsidP="00A0054E">
      <w:pPr>
        <w:rPr>
          <w:rFonts w:ascii="Tahoma" w:hAnsi="Tahoma" w:cs="Tahoma"/>
          <w:sz w:val="18"/>
          <w:szCs w:val="18"/>
        </w:rPr>
      </w:pPr>
      <w:r w:rsidRPr="00C9782D">
        <w:rPr>
          <w:rFonts w:ascii="Tahoma" w:hAnsi="Tahoma" w:cs="Tahoma"/>
          <w:sz w:val="18"/>
          <w:szCs w:val="18"/>
        </w:rPr>
        <w:t>This report is a contracted technical report for use by the Medical Services Advisory Committee (MSAC) to inform its deliberations. MSAC is an independent committee which has been established to provide advice to the Minister for Health and Ageing on the strength of evidence available on new and existing medical technologies and procedures in terms of their safety, effectiveness and cost effectiveness. This advice will help to inform government decisions about which medical services should attract funding under Medicare.</w:t>
      </w:r>
    </w:p>
    <w:p w14:paraId="3E8C8823" w14:textId="77777777" w:rsidR="00A0054E" w:rsidRPr="00C9782D" w:rsidRDefault="00A0054E" w:rsidP="00A0054E">
      <w:pPr>
        <w:rPr>
          <w:rFonts w:ascii="Tahoma" w:hAnsi="Tahoma" w:cs="Tahoma"/>
          <w:b/>
          <w:bCs/>
          <w:sz w:val="18"/>
          <w:szCs w:val="18"/>
        </w:rPr>
      </w:pPr>
      <w:r w:rsidRPr="00C9782D">
        <w:rPr>
          <w:rFonts w:ascii="Tahoma" w:hAnsi="Tahoma" w:cs="Tahoma"/>
          <w:b/>
          <w:bCs/>
          <w:sz w:val="18"/>
          <w:szCs w:val="18"/>
        </w:rPr>
        <w:t>MSAC’s advice does not necessarily reflect the views of all individuals who participated in the MSAC evaluation.</w:t>
      </w:r>
    </w:p>
    <w:p w14:paraId="304F72C5" w14:textId="5C110B0C" w:rsidR="00A0054E" w:rsidRPr="00C9782D" w:rsidRDefault="00A0054E" w:rsidP="00A0054E">
      <w:pPr>
        <w:rPr>
          <w:rFonts w:ascii="Tahoma" w:hAnsi="Tahoma" w:cs="Tahoma"/>
          <w:sz w:val="18"/>
          <w:szCs w:val="18"/>
        </w:rPr>
      </w:pPr>
      <w:r w:rsidRPr="00C9782D">
        <w:rPr>
          <w:rFonts w:ascii="Tahoma" w:hAnsi="Tahoma" w:cs="Tahoma"/>
          <w:sz w:val="18"/>
          <w:szCs w:val="18"/>
        </w:rPr>
        <w:t xml:space="preserve">This report was prepared for MSAC by </w:t>
      </w:r>
      <w:r w:rsidR="0035738A" w:rsidRPr="00F3508E">
        <w:rPr>
          <w:rFonts w:ascii="Tahoma" w:hAnsi="Tahoma" w:cs="Tahoma"/>
          <w:sz w:val="18"/>
          <w:szCs w:val="18"/>
        </w:rPr>
        <w:t>Cherrie Galletly, Patrick Clarke, Paul Fitzgerald, Shane Gill, Colleen Loo, Bill Lyndon</w:t>
      </w:r>
      <w:r w:rsidR="00013A95">
        <w:rPr>
          <w:rFonts w:ascii="Tahoma" w:hAnsi="Tahoma" w:cs="Tahoma"/>
          <w:sz w:val="18"/>
          <w:szCs w:val="18"/>
        </w:rPr>
        <w:t xml:space="preserve">, Tom </w:t>
      </w:r>
      <w:r w:rsidR="00013A95" w:rsidRPr="00F3508E">
        <w:rPr>
          <w:rFonts w:ascii="Tahoma" w:hAnsi="Tahoma" w:cs="Tahoma"/>
          <w:sz w:val="18"/>
          <w:szCs w:val="18"/>
        </w:rPr>
        <w:t>Paterson</w:t>
      </w:r>
      <w:r w:rsidR="0035738A" w:rsidRPr="00F3508E" w:rsidDel="0035738A">
        <w:rPr>
          <w:rFonts w:ascii="Tahoma" w:hAnsi="Tahoma" w:cs="Tahoma"/>
          <w:i/>
          <w:sz w:val="18"/>
          <w:szCs w:val="18"/>
        </w:rPr>
        <w:t xml:space="preserve"> </w:t>
      </w:r>
      <w:r w:rsidR="0035738A" w:rsidRPr="00F3508E">
        <w:rPr>
          <w:rFonts w:ascii="Tahoma" w:hAnsi="Tahoma" w:cs="Tahoma"/>
          <w:i/>
          <w:sz w:val="18"/>
          <w:szCs w:val="18"/>
        </w:rPr>
        <w:t xml:space="preserve"> </w:t>
      </w:r>
      <w:r w:rsidR="0035738A" w:rsidRPr="00F3508E">
        <w:rPr>
          <w:rFonts w:ascii="Tahoma" w:hAnsi="Tahoma" w:cs="Tahoma"/>
          <w:sz w:val="18"/>
          <w:szCs w:val="18"/>
        </w:rPr>
        <w:t>from the RANZCP</w:t>
      </w:r>
      <w:r w:rsidR="00F3508E">
        <w:rPr>
          <w:rFonts w:ascii="Tahoma" w:hAnsi="Tahoma" w:cs="Tahoma"/>
          <w:sz w:val="18"/>
          <w:szCs w:val="18"/>
        </w:rPr>
        <w:t xml:space="preserve"> and</w:t>
      </w:r>
      <w:r w:rsidR="0035738A" w:rsidRPr="00F3508E">
        <w:rPr>
          <w:rFonts w:ascii="Tahoma" w:hAnsi="Tahoma" w:cs="Tahoma"/>
          <w:i/>
          <w:sz w:val="18"/>
          <w:szCs w:val="18"/>
        </w:rPr>
        <w:t xml:space="preserve"> </w:t>
      </w:r>
      <w:r w:rsidR="00647D24" w:rsidRPr="0080117F">
        <w:rPr>
          <w:rFonts w:ascii="Tahoma" w:hAnsi="Tahoma" w:cs="Tahoma"/>
          <w:sz w:val="18"/>
          <w:szCs w:val="18"/>
        </w:rPr>
        <w:t>Louisa Gordon, Kim</w:t>
      </w:r>
      <w:r w:rsidR="0080117F" w:rsidRPr="0080117F">
        <w:rPr>
          <w:rFonts w:ascii="Tahoma" w:hAnsi="Tahoma" w:cs="Tahoma"/>
          <w:sz w:val="18"/>
          <w:szCs w:val="18"/>
        </w:rPr>
        <w:t>-Huong</w:t>
      </w:r>
      <w:r w:rsidR="00647D24" w:rsidRPr="0080117F">
        <w:rPr>
          <w:rFonts w:ascii="Tahoma" w:hAnsi="Tahoma" w:cs="Tahoma"/>
          <w:sz w:val="18"/>
          <w:szCs w:val="18"/>
        </w:rPr>
        <w:t xml:space="preserve"> Nguyen, Emilie Bettington</w:t>
      </w:r>
      <w:r w:rsidR="00647D24">
        <w:rPr>
          <w:rFonts w:ascii="Tahoma" w:hAnsi="Tahoma" w:cs="Tahoma"/>
          <w:i/>
          <w:sz w:val="18"/>
          <w:szCs w:val="18"/>
        </w:rPr>
        <w:t xml:space="preserve"> </w:t>
      </w:r>
      <w:r w:rsidRPr="00C9782D">
        <w:rPr>
          <w:rFonts w:ascii="Tahoma" w:hAnsi="Tahoma" w:cs="Tahoma"/>
          <w:sz w:val="18"/>
          <w:szCs w:val="18"/>
        </w:rPr>
        <w:t xml:space="preserve"> from </w:t>
      </w:r>
      <w:r w:rsidR="00647D24">
        <w:rPr>
          <w:rFonts w:ascii="Tahoma" w:hAnsi="Tahoma" w:cs="Tahoma"/>
          <w:sz w:val="18"/>
          <w:szCs w:val="18"/>
        </w:rPr>
        <w:t>Griffith University</w:t>
      </w:r>
      <w:r w:rsidRPr="00C9782D">
        <w:rPr>
          <w:rFonts w:ascii="Tahoma" w:hAnsi="Tahoma" w:cs="Tahoma"/>
          <w:sz w:val="18"/>
          <w:szCs w:val="18"/>
        </w:rPr>
        <w:t xml:space="preserve"> with the assistance of Health Expert Standing Panel member </w:t>
      </w:r>
      <w:r w:rsidR="00647D24">
        <w:rPr>
          <w:rFonts w:ascii="Tahoma" w:hAnsi="Tahoma" w:cs="Tahoma"/>
          <w:sz w:val="18"/>
          <w:szCs w:val="18"/>
        </w:rPr>
        <w:t>Perminder Sachev</w:t>
      </w:r>
      <w:r w:rsidRPr="00C9782D">
        <w:rPr>
          <w:rFonts w:ascii="Tahoma" w:hAnsi="Tahoma" w:cs="Tahoma"/>
          <w:sz w:val="18"/>
          <w:szCs w:val="18"/>
        </w:rPr>
        <w:t>. The report was commissioned by the Departme</w:t>
      </w:r>
      <w:r w:rsidR="00680A80">
        <w:rPr>
          <w:rFonts w:ascii="Tahoma" w:hAnsi="Tahoma" w:cs="Tahoma"/>
          <w:sz w:val="18"/>
          <w:szCs w:val="18"/>
        </w:rPr>
        <w:t>nt of Health on behalf of MSAC.</w:t>
      </w:r>
    </w:p>
    <w:p w14:paraId="72F2B10D" w14:textId="77777777" w:rsidR="00A0054E" w:rsidRPr="00C9782D" w:rsidRDefault="00A0054E" w:rsidP="00A0054E">
      <w:pPr>
        <w:rPr>
          <w:rFonts w:ascii="Tahoma" w:hAnsi="Tahoma" w:cs="Tahoma"/>
          <w:color w:val="212100"/>
          <w:sz w:val="18"/>
          <w:szCs w:val="18"/>
        </w:rPr>
      </w:pPr>
      <w:r w:rsidRPr="00C9782D">
        <w:rPr>
          <w:rFonts w:ascii="Tahoma" w:hAnsi="Tahoma" w:cs="Tahoma"/>
          <w:color w:val="212100"/>
          <w:sz w:val="18"/>
          <w:szCs w:val="18"/>
        </w:rPr>
        <w:t>This report should be referenced as follows</w:t>
      </w:r>
      <w:r w:rsidR="00C4750D" w:rsidRPr="00C9782D">
        <w:rPr>
          <w:rFonts w:ascii="Tahoma" w:hAnsi="Tahoma" w:cs="Tahoma"/>
          <w:color w:val="212100"/>
          <w:sz w:val="18"/>
          <w:szCs w:val="18"/>
        </w:rPr>
        <w:t>:</w:t>
      </w:r>
      <w:r w:rsidRPr="00C9782D">
        <w:rPr>
          <w:rFonts w:ascii="Tahoma" w:hAnsi="Tahoma" w:cs="Tahoma"/>
          <w:color w:val="212100"/>
          <w:sz w:val="18"/>
          <w:szCs w:val="18"/>
        </w:rPr>
        <w:t xml:space="preserve"> </w:t>
      </w:r>
    </w:p>
    <w:p w14:paraId="637F367B" w14:textId="5DBA8700" w:rsidR="00A0054E" w:rsidRPr="00C9782D" w:rsidRDefault="0035738A" w:rsidP="00A0054E">
      <w:pPr>
        <w:rPr>
          <w:rFonts w:ascii="Tahoma" w:hAnsi="Tahoma" w:cs="Tahoma"/>
          <w:i/>
          <w:color w:val="212100"/>
          <w:sz w:val="18"/>
          <w:szCs w:val="18"/>
        </w:rPr>
      </w:pPr>
      <w:r w:rsidRPr="001C04AD">
        <w:rPr>
          <w:rFonts w:ascii="Tahoma" w:hAnsi="Tahoma" w:cs="Tahoma"/>
          <w:sz w:val="18"/>
          <w:szCs w:val="18"/>
        </w:rPr>
        <w:t>Cherrie Galletly, Patrick Clarke, Paul Fitzgerald, Shane Gill, Colleen Loo, Bill Lyndon</w:t>
      </w:r>
      <w:r w:rsidR="00013A95">
        <w:rPr>
          <w:rFonts w:ascii="Tahoma" w:hAnsi="Tahoma" w:cs="Tahoma"/>
          <w:sz w:val="18"/>
          <w:szCs w:val="18"/>
        </w:rPr>
        <w:t xml:space="preserve">, Tom </w:t>
      </w:r>
      <w:proofErr w:type="gramStart"/>
      <w:r w:rsidR="00013A95">
        <w:rPr>
          <w:rFonts w:ascii="Tahoma" w:hAnsi="Tahoma" w:cs="Tahoma"/>
          <w:sz w:val="18"/>
          <w:szCs w:val="18"/>
        </w:rPr>
        <w:t>Paterson</w:t>
      </w:r>
      <w:r w:rsidRPr="0035738A" w:rsidDel="0035738A">
        <w:rPr>
          <w:rFonts w:ascii="Tahoma" w:hAnsi="Tahoma" w:cs="Tahoma"/>
          <w:i/>
          <w:sz w:val="18"/>
          <w:szCs w:val="18"/>
          <w:highlight w:val="yellow"/>
        </w:rPr>
        <w:t xml:space="preserve"> </w:t>
      </w:r>
      <w:r>
        <w:rPr>
          <w:rFonts w:ascii="Tahoma" w:hAnsi="Tahoma" w:cs="Tahoma"/>
          <w:i/>
          <w:sz w:val="18"/>
          <w:szCs w:val="18"/>
          <w:highlight w:val="yellow"/>
        </w:rPr>
        <w:t xml:space="preserve"> </w:t>
      </w:r>
      <w:r w:rsidR="00647D24">
        <w:rPr>
          <w:rFonts w:ascii="Tahoma" w:hAnsi="Tahoma" w:cs="Tahoma"/>
          <w:i/>
          <w:color w:val="212100"/>
          <w:sz w:val="18"/>
          <w:szCs w:val="18"/>
        </w:rPr>
        <w:t>Gordon</w:t>
      </w:r>
      <w:proofErr w:type="gramEnd"/>
      <w:r w:rsidR="00647D24">
        <w:rPr>
          <w:rFonts w:ascii="Tahoma" w:hAnsi="Tahoma" w:cs="Tahoma"/>
          <w:i/>
          <w:color w:val="212100"/>
          <w:sz w:val="18"/>
          <w:szCs w:val="18"/>
        </w:rPr>
        <w:t xml:space="preserve"> L, Nguyen K, Bettington E</w:t>
      </w:r>
      <w:r w:rsidR="00A0054E" w:rsidRPr="00C9782D">
        <w:rPr>
          <w:rFonts w:ascii="Tahoma" w:hAnsi="Tahoma" w:cs="Tahoma"/>
          <w:i/>
          <w:color w:val="212100"/>
          <w:sz w:val="18"/>
          <w:szCs w:val="18"/>
        </w:rPr>
        <w:t xml:space="preserve">. (2013). </w:t>
      </w:r>
      <w:proofErr w:type="gramStart"/>
      <w:r w:rsidR="00647D24">
        <w:rPr>
          <w:rFonts w:ascii="Tahoma" w:hAnsi="Tahoma" w:cs="Tahoma"/>
          <w:i/>
          <w:color w:val="212100"/>
          <w:sz w:val="18"/>
          <w:szCs w:val="18"/>
        </w:rPr>
        <w:t>Repetitive Transcranial Magnetic Stimulation</w:t>
      </w:r>
      <w:r w:rsidR="00A0054E" w:rsidRPr="00C9782D">
        <w:rPr>
          <w:rFonts w:ascii="Tahoma" w:hAnsi="Tahoma" w:cs="Tahoma"/>
          <w:i/>
          <w:color w:val="212100"/>
          <w:sz w:val="18"/>
          <w:szCs w:val="18"/>
        </w:rPr>
        <w:t>.</w:t>
      </w:r>
      <w:proofErr w:type="gramEnd"/>
      <w:r w:rsidR="00A0054E" w:rsidRPr="00C9782D">
        <w:rPr>
          <w:rFonts w:ascii="Tahoma" w:hAnsi="Tahoma" w:cs="Tahoma"/>
          <w:i/>
          <w:color w:val="212100"/>
          <w:sz w:val="18"/>
          <w:szCs w:val="18"/>
        </w:rPr>
        <w:t xml:space="preserve"> MSAC Application 11</w:t>
      </w:r>
      <w:r w:rsidR="00647D24">
        <w:rPr>
          <w:rFonts w:ascii="Tahoma" w:hAnsi="Tahoma" w:cs="Tahoma"/>
          <w:i/>
          <w:color w:val="212100"/>
          <w:sz w:val="18"/>
          <w:szCs w:val="18"/>
        </w:rPr>
        <w:t>96</w:t>
      </w:r>
      <w:r w:rsidR="00A0054E" w:rsidRPr="00C9782D">
        <w:rPr>
          <w:rFonts w:ascii="Tahoma" w:hAnsi="Tahoma" w:cs="Tahoma"/>
          <w:i/>
          <w:color w:val="212100"/>
          <w:sz w:val="18"/>
          <w:szCs w:val="18"/>
        </w:rPr>
        <w:t xml:space="preserve">, Assessment Report. </w:t>
      </w:r>
      <w:proofErr w:type="gramStart"/>
      <w:r w:rsidR="00A0054E" w:rsidRPr="00C9782D">
        <w:rPr>
          <w:rFonts w:ascii="Tahoma" w:hAnsi="Tahoma" w:cs="Tahoma"/>
          <w:i/>
          <w:color w:val="212100"/>
          <w:sz w:val="18"/>
          <w:szCs w:val="18"/>
        </w:rPr>
        <w:t>Commonwealth of Australia, Canberra, ACT.</w:t>
      </w:r>
      <w:proofErr w:type="gramEnd"/>
    </w:p>
    <w:p w14:paraId="731D789A" w14:textId="77777777" w:rsidR="00665179" w:rsidRPr="00C9782D" w:rsidRDefault="00665179" w:rsidP="00A0054E">
      <w:pPr>
        <w:ind w:left="0"/>
        <w:rPr>
          <w:i/>
          <w:sz w:val="12"/>
        </w:rPr>
      </w:pPr>
      <w:bookmarkStart w:id="6" w:name="_GoBack"/>
      <w:bookmarkEnd w:id="6"/>
    </w:p>
    <w:p w14:paraId="4CA89392" w14:textId="77777777" w:rsidR="008F59A8" w:rsidRPr="00C9782D" w:rsidRDefault="00E75529" w:rsidP="00665179">
      <w:pPr>
        <w:jc w:val="right"/>
        <w:sectPr w:rsidR="008F59A8" w:rsidRPr="00C9782D" w:rsidSect="00C4750D">
          <w:type w:val="continuous"/>
          <w:pgSz w:w="11907" w:h="16840" w:code="9"/>
          <w:pgMar w:top="1440" w:right="1440" w:bottom="1440" w:left="1440" w:header="578" w:footer="74" w:gutter="0"/>
          <w:pgNumType w:fmt="lowerRoman" w:start="1"/>
          <w:cols w:space="720"/>
          <w:noEndnote/>
          <w:titlePg/>
        </w:sectPr>
      </w:pPr>
      <w:r w:rsidRPr="00C9782D">
        <w:rPr>
          <w:i/>
          <w:sz w:val="12"/>
        </w:rPr>
        <w:t xml:space="preserve">Template </w:t>
      </w:r>
      <w:r w:rsidR="00C33268" w:rsidRPr="00C9782D">
        <w:rPr>
          <w:i/>
          <w:sz w:val="12"/>
        </w:rPr>
        <w:t xml:space="preserve">Version </w:t>
      </w:r>
      <w:r w:rsidR="00124EA4" w:rsidRPr="00C9782D">
        <w:rPr>
          <w:i/>
          <w:sz w:val="12"/>
        </w:rPr>
        <w:t xml:space="preserve">updated </w:t>
      </w:r>
      <w:r w:rsidR="00A0054E" w:rsidRPr="00C9782D">
        <w:rPr>
          <w:i/>
          <w:sz w:val="12"/>
        </w:rPr>
        <w:t>21 October 2013</w:t>
      </w:r>
    </w:p>
    <w:p w14:paraId="7A3229F8" w14:textId="77777777" w:rsidR="008F59A8" w:rsidRPr="00C40E3D" w:rsidRDefault="008F59A8" w:rsidP="00AB6AD4">
      <w:pPr>
        <w:pStyle w:val="Heading2"/>
      </w:pPr>
      <w:bookmarkStart w:id="7" w:name="_Toc192054741"/>
      <w:bookmarkStart w:id="8" w:name="_Toc206489930"/>
      <w:bookmarkStart w:id="9" w:name="_Toc206494639"/>
      <w:bookmarkStart w:id="10" w:name="_Toc386093971"/>
      <w:bookmarkStart w:id="11" w:name="_Toc386094210"/>
      <w:bookmarkStart w:id="12" w:name="_Toc389142026"/>
      <w:r w:rsidRPr="00C40E3D">
        <w:lastRenderedPageBreak/>
        <w:t>Contents</w:t>
      </w:r>
      <w:bookmarkEnd w:id="7"/>
      <w:bookmarkEnd w:id="8"/>
      <w:bookmarkEnd w:id="9"/>
      <w:bookmarkEnd w:id="10"/>
      <w:bookmarkEnd w:id="11"/>
      <w:bookmarkEnd w:id="12"/>
    </w:p>
    <w:p w14:paraId="66EEC01A" w14:textId="77777777" w:rsidR="00CE6213" w:rsidRPr="000B0018" w:rsidRDefault="00681C22">
      <w:pPr>
        <w:pStyle w:val="TOC1"/>
        <w:rPr>
          <w:rFonts w:ascii="Garamond" w:eastAsiaTheme="minorEastAsia" w:hAnsi="Garamond" w:cstheme="minorBidi"/>
          <w:b w:val="0"/>
          <w:bCs w:val="0"/>
          <w:i w:val="0"/>
          <w:iCs w:val="0"/>
          <w:noProof/>
          <w:lang w:eastAsia="en-AU"/>
        </w:rPr>
      </w:pPr>
      <w:r w:rsidRPr="00011DBC">
        <w:rPr>
          <w:caps/>
        </w:rPr>
        <w:fldChar w:fldCharType="begin"/>
      </w:r>
      <w:r w:rsidRPr="00011DBC">
        <w:rPr>
          <w:caps/>
        </w:rPr>
        <w:instrText xml:space="preserve"> TOC \o "1-3" \h \z \u </w:instrText>
      </w:r>
      <w:r w:rsidRPr="00011DBC">
        <w:rPr>
          <w:caps/>
        </w:rPr>
        <w:fldChar w:fldCharType="separate"/>
      </w:r>
      <w:hyperlink w:anchor="_Toc389142024" w:history="1">
        <w:r w:rsidR="00CE6213" w:rsidRPr="000B0018">
          <w:rPr>
            <w:rStyle w:val="Hyperlink"/>
            <w:rFonts w:ascii="Garamond" w:hAnsi="Garamond"/>
            <w:noProof/>
          </w:rPr>
          <w:t>MSAC application no 1196</w:t>
        </w:r>
        <w:r w:rsidR="00CE6213" w:rsidRPr="000B0018">
          <w:rPr>
            <w:rFonts w:ascii="Garamond" w:hAnsi="Garamond"/>
            <w:noProof/>
            <w:webHidden/>
          </w:rPr>
          <w:tab/>
        </w:r>
        <w:r w:rsidR="00CE6213" w:rsidRPr="000B0018">
          <w:rPr>
            <w:rFonts w:ascii="Garamond" w:hAnsi="Garamond"/>
            <w:noProof/>
            <w:webHidden/>
          </w:rPr>
          <w:fldChar w:fldCharType="begin"/>
        </w:r>
        <w:r w:rsidR="00CE6213" w:rsidRPr="000B0018">
          <w:rPr>
            <w:rFonts w:ascii="Garamond" w:hAnsi="Garamond"/>
            <w:noProof/>
            <w:webHidden/>
          </w:rPr>
          <w:instrText xml:space="preserve"> PAGEREF _Toc389142024 \h </w:instrText>
        </w:r>
        <w:r w:rsidR="00CE6213" w:rsidRPr="000B0018">
          <w:rPr>
            <w:rFonts w:ascii="Garamond" w:hAnsi="Garamond"/>
            <w:noProof/>
            <w:webHidden/>
          </w:rPr>
        </w:r>
        <w:r w:rsidR="00CE6213" w:rsidRPr="000B0018">
          <w:rPr>
            <w:rFonts w:ascii="Garamond" w:hAnsi="Garamond"/>
            <w:noProof/>
            <w:webHidden/>
          </w:rPr>
          <w:fldChar w:fldCharType="separate"/>
        </w:r>
        <w:r w:rsidR="004C1C27">
          <w:rPr>
            <w:rFonts w:ascii="Garamond" w:hAnsi="Garamond"/>
            <w:noProof/>
            <w:webHidden/>
          </w:rPr>
          <w:t>i</w:t>
        </w:r>
        <w:r w:rsidR="00CE6213" w:rsidRPr="000B0018">
          <w:rPr>
            <w:rFonts w:ascii="Garamond" w:hAnsi="Garamond"/>
            <w:noProof/>
            <w:webHidden/>
          </w:rPr>
          <w:fldChar w:fldCharType="end"/>
        </w:r>
      </w:hyperlink>
    </w:p>
    <w:p w14:paraId="704CA2A6" w14:textId="77777777" w:rsidR="00CE6213" w:rsidRPr="000B0018" w:rsidRDefault="004C1C27">
      <w:pPr>
        <w:pStyle w:val="TOC1"/>
        <w:rPr>
          <w:rFonts w:ascii="Garamond" w:eastAsiaTheme="minorEastAsia" w:hAnsi="Garamond" w:cstheme="minorBidi"/>
          <w:b w:val="0"/>
          <w:bCs w:val="0"/>
          <w:i w:val="0"/>
          <w:iCs w:val="0"/>
          <w:noProof/>
          <w:lang w:eastAsia="en-AU"/>
        </w:rPr>
      </w:pPr>
      <w:hyperlink w:anchor="_Toc389142025" w:history="1">
        <w:r w:rsidR="00CE6213" w:rsidRPr="000B0018">
          <w:rPr>
            <w:rStyle w:val="Hyperlink"/>
            <w:rFonts w:ascii="Garamond" w:hAnsi="Garamond"/>
            <w:noProof/>
          </w:rPr>
          <w:t>Repetitive Transcranial Magnetic Stimulation (rTMS)</w:t>
        </w:r>
        <w:r w:rsidR="00CE6213" w:rsidRPr="000B0018">
          <w:rPr>
            <w:rFonts w:ascii="Garamond" w:hAnsi="Garamond"/>
            <w:noProof/>
            <w:webHidden/>
          </w:rPr>
          <w:tab/>
        </w:r>
        <w:r w:rsidR="00CE6213" w:rsidRPr="000B0018">
          <w:rPr>
            <w:rFonts w:ascii="Garamond" w:hAnsi="Garamond"/>
            <w:noProof/>
            <w:webHidden/>
          </w:rPr>
          <w:fldChar w:fldCharType="begin"/>
        </w:r>
        <w:r w:rsidR="00CE6213" w:rsidRPr="000B0018">
          <w:rPr>
            <w:rFonts w:ascii="Garamond" w:hAnsi="Garamond"/>
            <w:noProof/>
            <w:webHidden/>
          </w:rPr>
          <w:instrText xml:space="preserve"> PAGEREF _Toc389142025 \h </w:instrText>
        </w:r>
        <w:r w:rsidR="00CE6213" w:rsidRPr="000B0018">
          <w:rPr>
            <w:rFonts w:ascii="Garamond" w:hAnsi="Garamond"/>
            <w:noProof/>
            <w:webHidden/>
          </w:rPr>
        </w:r>
        <w:r w:rsidR="00CE6213" w:rsidRPr="000B0018">
          <w:rPr>
            <w:rFonts w:ascii="Garamond" w:hAnsi="Garamond"/>
            <w:noProof/>
            <w:webHidden/>
          </w:rPr>
          <w:fldChar w:fldCharType="separate"/>
        </w:r>
        <w:r>
          <w:rPr>
            <w:rFonts w:ascii="Garamond" w:hAnsi="Garamond"/>
            <w:noProof/>
            <w:webHidden/>
          </w:rPr>
          <w:t>i</w:t>
        </w:r>
        <w:r w:rsidR="00CE6213" w:rsidRPr="000B0018">
          <w:rPr>
            <w:rFonts w:ascii="Garamond" w:hAnsi="Garamond"/>
            <w:noProof/>
            <w:webHidden/>
          </w:rPr>
          <w:fldChar w:fldCharType="end"/>
        </w:r>
      </w:hyperlink>
    </w:p>
    <w:p w14:paraId="4708A826" w14:textId="77777777" w:rsidR="00CE6213" w:rsidRPr="000B0018" w:rsidRDefault="004C1C27" w:rsidP="00AB6AD4">
      <w:pPr>
        <w:pStyle w:val="TOC2"/>
        <w:rPr>
          <w:rFonts w:eastAsiaTheme="minorEastAsia" w:cstheme="minorBidi"/>
          <w:noProof/>
          <w:lang w:eastAsia="en-AU"/>
        </w:rPr>
      </w:pPr>
      <w:hyperlink w:anchor="_Toc389142026" w:history="1">
        <w:r w:rsidR="00CE6213" w:rsidRPr="000B0018">
          <w:rPr>
            <w:rStyle w:val="Hyperlink"/>
            <w:rFonts w:ascii="Garamond" w:hAnsi="Garamond"/>
            <w:noProof/>
            <w:sz w:val="24"/>
            <w:szCs w:val="24"/>
          </w:rPr>
          <w:t>Contents</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_Toc389142026 \h </w:instrText>
        </w:r>
        <w:r w:rsidR="00CE6213" w:rsidRPr="000B0018">
          <w:rPr>
            <w:noProof/>
            <w:webHidden/>
          </w:rPr>
        </w:r>
        <w:r w:rsidR="00CE6213" w:rsidRPr="000B0018">
          <w:rPr>
            <w:noProof/>
            <w:webHidden/>
          </w:rPr>
          <w:fldChar w:fldCharType="separate"/>
        </w:r>
        <w:r>
          <w:rPr>
            <w:noProof/>
            <w:webHidden/>
          </w:rPr>
          <w:t>3</w:t>
        </w:r>
        <w:r w:rsidR="00CE6213" w:rsidRPr="000B0018">
          <w:rPr>
            <w:noProof/>
            <w:webHidden/>
          </w:rPr>
          <w:fldChar w:fldCharType="end"/>
        </w:r>
      </w:hyperlink>
    </w:p>
    <w:p w14:paraId="32279E96" w14:textId="77777777" w:rsidR="00CE6213" w:rsidRPr="000B0018" w:rsidRDefault="004C1C27" w:rsidP="00AB6AD4">
      <w:pPr>
        <w:pStyle w:val="TOC2"/>
        <w:rPr>
          <w:rFonts w:eastAsiaTheme="minorEastAsia" w:cstheme="minorBidi"/>
          <w:noProof/>
          <w:lang w:eastAsia="en-AU"/>
        </w:rPr>
      </w:pPr>
      <w:hyperlink w:anchor="_Toc389142027" w:history="1">
        <w:r w:rsidR="00CE6213" w:rsidRPr="000B0018">
          <w:rPr>
            <w:rStyle w:val="Hyperlink"/>
            <w:rFonts w:ascii="Garamond" w:hAnsi="Garamond"/>
            <w:noProof/>
            <w:sz w:val="24"/>
            <w:szCs w:val="24"/>
          </w:rPr>
          <w:t>Executive summary</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_Toc389142027 \h </w:instrText>
        </w:r>
        <w:r w:rsidR="00CE6213" w:rsidRPr="000B0018">
          <w:rPr>
            <w:noProof/>
            <w:webHidden/>
          </w:rPr>
        </w:r>
        <w:r w:rsidR="00CE6213" w:rsidRPr="000B0018">
          <w:rPr>
            <w:noProof/>
            <w:webHidden/>
          </w:rPr>
          <w:fldChar w:fldCharType="separate"/>
        </w:r>
        <w:r>
          <w:rPr>
            <w:noProof/>
            <w:webHidden/>
          </w:rPr>
          <w:t>8</w:t>
        </w:r>
        <w:r w:rsidR="00CE6213" w:rsidRPr="000B0018">
          <w:rPr>
            <w:noProof/>
            <w:webHidden/>
          </w:rPr>
          <w:fldChar w:fldCharType="end"/>
        </w:r>
      </w:hyperlink>
    </w:p>
    <w:p w14:paraId="34FB9FBC" w14:textId="77777777" w:rsidR="00CE6213" w:rsidRPr="000B0018" w:rsidRDefault="004C1C27">
      <w:pPr>
        <w:pStyle w:val="TOC3"/>
        <w:rPr>
          <w:rFonts w:ascii="Garamond" w:eastAsiaTheme="minorEastAsia" w:hAnsi="Garamond" w:cstheme="minorBidi"/>
          <w:noProof/>
          <w:sz w:val="24"/>
          <w:szCs w:val="24"/>
          <w:lang w:eastAsia="en-AU"/>
        </w:rPr>
      </w:pPr>
      <w:hyperlink w:anchor="_Toc389142028" w:history="1">
        <w:r w:rsidR="00CE6213" w:rsidRPr="000B0018">
          <w:rPr>
            <w:rStyle w:val="Hyperlink"/>
            <w:rFonts w:ascii="Garamond" w:hAnsi="Garamond"/>
            <w:noProof/>
            <w:sz w:val="24"/>
            <w:szCs w:val="24"/>
          </w:rPr>
          <w:t>The procedure</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_Toc389142028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w:t>
        </w:r>
        <w:r w:rsidR="00CE6213" w:rsidRPr="000B0018">
          <w:rPr>
            <w:rFonts w:ascii="Garamond" w:hAnsi="Garamond"/>
            <w:noProof/>
            <w:webHidden/>
            <w:sz w:val="24"/>
            <w:szCs w:val="24"/>
          </w:rPr>
          <w:fldChar w:fldCharType="end"/>
        </w:r>
      </w:hyperlink>
    </w:p>
    <w:p w14:paraId="342BAE76" w14:textId="77777777" w:rsidR="00CE6213" w:rsidRPr="000B0018" w:rsidRDefault="004C1C27">
      <w:pPr>
        <w:pStyle w:val="TOC3"/>
        <w:rPr>
          <w:rFonts w:ascii="Garamond" w:eastAsiaTheme="minorEastAsia" w:hAnsi="Garamond" w:cstheme="minorBidi"/>
          <w:noProof/>
          <w:sz w:val="24"/>
          <w:szCs w:val="24"/>
          <w:lang w:eastAsia="en-AU"/>
        </w:rPr>
      </w:pPr>
      <w:hyperlink w:anchor="_Toc389142029" w:history="1">
        <w:r w:rsidR="00CE6213" w:rsidRPr="000B0018">
          <w:rPr>
            <w:rStyle w:val="Hyperlink"/>
            <w:rFonts w:ascii="Garamond" w:hAnsi="Garamond"/>
            <w:noProof/>
            <w:sz w:val="24"/>
            <w:szCs w:val="24"/>
          </w:rPr>
          <w:t>Medical Services Advisory Committee – role and approach</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_Toc389142029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w:t>
        </w:r>
        <w:r w:rsidR="00CE6213" w:rsidRPr="000B0018">
          <w:rPr>
            <w:rFonts w:ascii="Garamond" w:hAnsi="Garamond"/>
            <w:noProof/>
            <w:webHidden/>
            <w:sz w:val="24"/>
            <w:szCs w:val="24"/>
          </w:rPr>
          <w:fldChar w:fldCharType="end"/>
        </w:r>
      </w:hyperlink>
    </w:p>
    <w:p w14:paraId="0AD0C36E" w14:textId="77777777" w:rsidR="00CE6213" w:rsidRPr="000B0018" w:rsidRDefault="004C1C27">
      <w:pPr>
        <w:pStyle w:val="TOC3"/>
        <w:rPr>
          <w:rFonts w:ascii="Garamond" w:eastAsiaTheme="minorEastAsia" w:hAnsi="Garamond" w:cstheme="minorBidi"/>
          <w:noProof/>
          <w:sz w:val="24"/>
          <w:szCs w:val="24"/>
          <w:lang w:eastAsia="en-AU"/>
        </w:rPr>
      </w:pPr>
      <w:hyperlink w:anchor="_Toc389142030" w:history="1">
        <w:r w:rsidR="00CE6213" w:rsidRPr="000B0018">
          <w:rPr>
            <w:rStyle w:val="Hyperlink"/>
            <w:rFonts w:ascii="Garamond" w:hAnsi="Garamond"/>
            <w:noProof/>
            <w:sz w:val="24"/>
            <w:szCs w:val="24"/>
          </w:rPr>
          <w:t>Assessment of rTMS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_Toc389142030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w:t>
        </w:r>
        <w:r w:rsidR="00CE6213" w:rsidRPr="000B0018">
          <w:rPr>
            <w:rFonts w:ascii="Garamond" w:hAnsi="Garamond"/>
            <w:noProof/>
            <w:webHidden/>
            <w:sz w:val="24"/>
            <w:szCs w:val="24"/>
          </w:rPr>
          <w:fldChar w:fldCharType="end"/>
        </w:r>
      </w:hyperlink>
    </w:p>
    <w:p w14:paraId="05E60F48" w14:textId="77777777" w:rsidR="00CE6213" w:rsidRPr="000B0018" w:rsidRDefault="004C1C27" w:rsidP="00AB6AD4">
      <w:pPr>
        <w:pStyle w:val="TOC2"/>
        <w:rPr>
          <w:rFonts w:eastAsiaTheme="minorEastAsia" w:cstheme="minorBidi"/>
          <w:noProof/>
          <w:lang w:eastAsia="en-AU"/>
        </w:rPr>
      </w:pPr>
      <w:hyperlink w:anchor="_Toc389142031" w:history="1">
        <w:r w:rsidR="00CE6213" w:rsidRPr="000B0018">
          <w:rPr>
            <w:rStyle w:val="Hyperlink"/>
            <w:rFonts w:ascii="Garamond" w:hAnsi="Garamond"/>
            <w:noProof/>
            <w:sz w:val="24"/>
            <w:szCs w:val="24"/>
          </w:rPr>
          <w:t>Introduction</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_Toc389142031 \h </w:instrText>
        </w:r>
        <w:r w:rsidR="00CE6213" w:rsidRPr="000B0018">
          <w:rPr>
            <w:noProof/>
            <w:webHidden/>
          </w:rPr>
        </w:r>
        <w:r w:rsidR="00CE6213" w:rsidRPr="000B0018">
          <w:rPr>
            <w:noProof/>
            <w:webHidden/>
          </w:rPr>
          <w:fldChar w:fldCharType="separate"/>
        </w:r>
        <w:r>
          <w:rPr>
            <w:noProof/>
            <w:webHidden/>
          </w:rPr>
          <w:t>15</w:t>
        </w:r>
        <w:r w:rsidR="00CE6213" w:rsidRPr="000B0018">
          <w:rPr>
            <w:noProof/>
            <w:webHidden/>
          </w:rPr>
          <w:fldChar w:fldCharType="end"/>
        </w:r>
      </w:hyperlink>
    </w:p>
    <w:p w14:paraId="65E4F919" w14:textId="77777777" w:rsidR="00CE6213" w:rsidRPr="000B0018" w:rsidRDefault="004C1C27" w:rsidP="00AB6AD4">
      <w:pPr>
        <w:pStyle w:val="TOC2"/>
        <w:rPr>
          <w:rFonts w:eastAsiaTheme="minorEastAsia" w:cstheme="minorBidi"/>
          <w:noProof/>
          <w:lang w:eastAsia="en-AU"/>
        </w:rPr>
      </w:pPr>
      <w:hyperlink w:anchor="_Toc389142032" w:history="1">
        <w:r w:rsidR="00CE6213" w:rsidRPr="000B0018">
          <w:rPr>
            <w:rStyle w:val="Hyperlink"/>
            <w:rFonts w:ascii="Garamond" w:hAnsi="Garamond"/>
            <w:noProof/>
            <w:sz w:val="24"/>
            <w:szCs w:val="24"/>
          </w:rPr>
          <w:t>Background</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_Toc389142032 \h </w:instrText>
        </w:r>
        <w:r w:rsidR="00CE6213" w:rsidRPr="000B0018">
          <w:rPr>
            <w:noProof/>
            <w:webHidden/>
          </w:rPr>
        </w:r>
        <w:r w:rsidR="00CE6213" w:rsidRPr="000B0018">
          <w:rPr>
            <w:noProof/>
            <w:webHidden/>
          </w:rPr>
          <w:fldChar w:fldCharType="separate"/>
        </w:r>
        <w:r>
          <w:rPr>
            <w:noProof/>
            <w:webHidden/>
          </w:rPr>
          <w:t>16</w:t>
        </w:r>
        <w:r w:rsidR="00CE6213" w:rsidRPr="000B0018">
          <w:rPr>
            <w:noProof/>
            <w:webHidden/>
          </w:rPr>
          <w:fldChar w:fldCharType="end"/>
        </w:r>
      </w:hyperlink>
    </w:p>
    <w:p w14:paraId="1C3519E9" w14:textId="77777777" w:rsidR="00CE6213" w:rsidRPr="000B0018" w:rsidRDefault="004C1C27">
      <w:pPr>
        <w:pStyle w:val="TOC3"/>
        <w:rPr>
          <w:rFonts w:ascii="Garamond" w:eastAsiaTheme="minorEastAsia" w:hAnsi="Garamond" w:cstheme="minorBidi"/>
          <w:noProof/>
          <w:sz w:val="24"/>
          <w:szCs w:val="24"/>
          <w:lang w:eastAsia="en-AU"/>
        </w:rPr>
      </w:pPr>
      <w:hyperlink w:anchor="_Toc389142033" w:history="1">
        <w:r w:rsidR="00CE6213" w:rsidRPr="000B0018">
          <w:rPr>
            <w:rStyle w:val="Hyperlink"/>
            <w:rFonts w:ascii="Garamond" w:hAnsi="Garamond"/>
            <w:noProof/>
            <w:sz w:val="24"/>
            <w:szCs w:val="24"/>
          </w:rPr>
          <w:t>Proposed technology: rTMS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_Toc389142033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16</w:t>
        </w:r>
        <w:r w:rsidR="00CE6213" w:rsidRPr="000B0018">
          <w:rPr>
            <w:rFonts w:ascii="Garamond" w:hAnsi="Garamond"/>
            <w:noProof/>
            <w:webHidden/>
            <w:sz w:val="24"/>
            <w:szCs w:val="24"/>
          </w:rPr>
          <w:fldChar w:fldCharType="end"/>
        </w:r>
      </w:hyperlink>
    </w:p>
    <w:p w14:paraId="3C2FD3B7" w14:textId="77777777" w:rsidR="00CE6213" w:rsidRPr="000B0018" w:rsidRDefault="004C1C27">
      <w:pPr>
        <w:pStyle w:val="TOC3"/>
        <w:rPr>
          <w:rFonts w:ascii="Garamond" w:eastAsiaTheme="minorEastAsia" w:hAnsi="Garamond" w:cstheme="minorBidi"/>
          <w:noProof/>
          <w:sz w:val="24"/>
          <w:szCs w:val="24"/>
          <w:lang w:eastAsia="en-AU"/>
        </w:rPr>
      </w:pPr>
      <w:hyperlink w:anchor="_Toc389142034" w:history="1">
        <w:r w:rsidR="00CE6213" w:rsidRPr="000B0018">
          <w:rPr>
            <w:rStyle w:val="Hyperlink"/>
            <w:rFonts w:ascii="Garamond" w:hAnsi="Garamond"/>
            <w:noProof/>
            <w:sz w:val="24"/>
            <w:szCs w:val="24"/>
          </w:rPr>
          <w:t>Clinical need</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_Toc389142034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17</w:t>
        </w:r>
        <w:r w:rsidR="00CE6213" w:rsidRPr="000B0018">
          <w:rPr>
            <w:rFonts w:ascii="Garamond" w:hAnsi="Garamond"/>
            <w:noProof/>
            <w:webHidden/>
            <w:sz w:val="24"/>
            <w:szCs w:val="24"/>
          </w:rPr>
          <w:fldChar w:fldCharType="end"/>
        </w:r>
      </w:hyperlink>
    </w:p>
    <w:p w14:paraId="11D9E5AE" w14:textId="77777777" w:rsidR="00CE6213" w:rsidRPr="000B0018" w:rsidRDefault="004C1C27">
      <w:pPr>
        <w:pStyle w:val="TOC3"/>
        <w:rPr>
          <w:rFonts w:ascii="Garamond" w:eastAsiaTheme="minorEastAsia" w:hAnsi="Garamond" w:cstheme="minorBidi"/>
          <w:noProof/>
          <w:sz w:val="24"/>
          <w:szCs w:val="24"/>
          <w:lang w:eastAsia="en-AU"/>
        </w:rPr>
      </w:pPr>
      <w:hyperlink w:anchor="_Toc389142035" w:history="1">
        <w:r w:rsidR="00CE6213" w:rsidRPr="000B0018">
          <w:rPr>
            <w:rStyle w:val="Hyperlink"/>
            <w:rFonts w:ascii="Garamond" w:hAnsi="Garamond"/>
            <w:noProof/>
            <w:sz w:val="24"/>
            <w:szCs w:val="24"/>
          </w:rPr>
          <w:t>Burden of treatment resistant depression</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_Toc389142035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17</w:t>
        </w:r>
        <w:r w:rsidR="00CE6213" w:rsidRPr="000B0018">
          <w:rPr>
            <w:rFonts w:ascii="Garamond" w:hAnsi="Garamond"/>
            <w:noProof/>
            <w:webHidden/>
            <w:sz w:val="24"/>
            <w:szCs w:val="24"/>
          </w:rPr>
          <w:fldChar w:fldCharType="end"/>
        </w:r>
      </w:hyperlink>
    </w:p>
    <w:p w14:paraId="6F4D01A6" w14:textId="77777777" w:rsidR="00CE6213" w:rsidRPr="000B0018" w:rsidRDefault="004C1C27">
      <w:pPr>
        <w:pStyle w:val="TOC3"/>
        <w:rPr>
          <w:rFonts w:ascii="Garamond" w:eastAsiaTheme="minorEastAsia" w:hAnsi="Garamond" w:cstheme="minorBidi"/>
          <w:noProof/>
          <w:sz w:val="24"/>
          <w:szCs w:val="24"/>
          <w:lang w:eastAsia="en-AU"/>
        </w:rPr>
      </w:pPr>
      <w:hyperlink w:anchor="_Toc389142036" w:history="1">
        <w:r w:rsidR="00CE6213" w:rsidRPr="000B0018">
          <w:rPr>
            <w:rStyle w:val="Hyperlink"/>
            <w:rFonts w:ascii="Garamond" w:hAnsi="Garamond"/>
            <w:noProof/>
            <w:sz w:val="24"/>
            <w:szCs w:val="24"/>
          </w:rPr>
          <w:t>Proposed MBS listing</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_Toc389142036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17</w:t>
        </w:r>
        <w:r w:rsidR="00CE6213" w:rsidRPr="000B0018">
          <w:rPr>
            <w:rFonts w:ascii="Garamond" w:hAnsi="Garamond"/>
            <w:noProof/>
            <w:webHidden/>
            <w:sz w:val="24"/>
            <w:szCs w:val="24"/>
          </w:rPr>
          <w:fldChar w:fldCharType="end"/>
        </w:r>
      </w:hyperlink>
    </w:p>
    <w:p w14:paraId="78453B68" w14:textId="77777777" w:rsidR="00CE6213" w:rsidRPr="000B0018" w:rsidRDefault="004C1C27">
      <w:pPr>
        <w:pStyle w:val="TOC3"/>
        <w:rPr>
          <w:rFonts w:ascii="Garamond" w:eastAsiaTheme="minorEastAsia" w:hAnsi="Garamond" w:cstheme="minorBidi"/>
          <w:noProof/>
          <w:sz w:val="24"/>
          <w:szCs w:val="24"/>
          <w:lang w:eastAsia="en-AU"/>
        </w:rPr>
      </w:pPr>
      <w:hyperlink w:anchor="_Toc389142037" w:history="1">
        <w:r w:rsidR="00CE6213" w:rsidRPr="000B0018">
          <w:rPr>
            <w:rStyle w:val="Hyperlink"/>
            <w:rFonts w:ascii="Garamond" w:hAnsi="Garamond"/>
            <w:noProof/>
            <w:sz w:val="24"/>
            <w:szCs w:val="24"/>
          </w:rPr>
          <w:t>Marketing status of rTMS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_Toc389142037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18</w:t>
        </w:r>
        <w:r w:rsidR="00CE6213" w:rsidRPr="000B0018">
          <w:rPr>
            <w:rFonts w:ascii="Garamond" w:hAnsi="Garamond"/>
            <w:noProof/>
            <w:webHidden/>
            <w:sz w:val="24"/>
            <w:szCs w:val="24"/>
          </w:rPr>
          <w:fldChar w:fldCharType="end"/>
        </w:r>
      </w:hyperlink>
    </w:p>
    <w:p w14:paraId="1304F999" w14:textId="77777777" w:rsidR="00CE6213" w:rsidRPr="000B0018" w:rsidRDefault="004C1C27">
      <w:pPr>
        <w:pStyle w:val="TOC3"/>
        <w:rPr>
          <w:rFonts w:ascii="Garamond" w:eastAsiaTheme="minorEastAsia" w:hAnsi="Garamond" w:cstheme="minorBidi"/>
          <w:noProof/>
          <w:sz w:val="24"/>
          <w:szCs w:val="24"/>
          <w:lang w:eastAsia="en-AU"/>
        </w:rPr>
      </w:pPr>
      <w:hyperlink w:anchor="_Toc389142038" w:history="1">
        <w:r w:rsidR="00CE6213" w:rsidRPr="000B0018">
          <w:rPr>
            <w:rStyle w:val="Hyperlink"/>
            <w:rFonts w:ascii="Garamond" w:hAnsi="Garamond"/>
            <w:noProof/>
            <w:sz w:val="24"/>
            <w:szCs w:val="24"/>
          </w:rPr>
          <w:t>Issues raised in the Protocol</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_Toc389142038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19</w:t>
        </w:r>
        <w:r w:rsidR="00CE6213" w:rsidRPr="000B0018">
          <w:rPr>
            <w:rFonts w:ascii="Garamond" w:hAnsi="Garamond"/>
            <w:noProof/>
            <w:webHidden/>
            <w:sz w:val="24"/>
            <w:szCs w:val="24"/>
          </w:rPr>
          <w:fldChar w:fldCharType="end"/>
        </w:r>
      </w:hyperlink>
    </w:p>
    <w:p w14:paraId="40E81CF4" w14:textId="77777777" w:rsidR="00CE6213" w:rsidRPr="000B0018" w:rsidRDefault="004C1C27" w:rsidP="00AB6AD4">
      <w:pPr>
        <w:pStyle w:val="TOC2"/>
        <w:rPr>
          <w:rFonts w:eastAsiaTheme="minorEastAsia" w:cstheme="minorBidi"/>
          <w:noProof/>
          <w:lang w:eastAsia="en-AU"/>
        </w:rPr>
      </w:pPr>
      <w:hyperlink w:anchor="_Toc389142039" w:history="1">
        <w:r w:rsidR="00CE6213" w:rsidRPr="000B0018">
          <w:rPr>
            <w:rStyle w:val="Hyperlink"/>
            <w:rFonts w:ascii="Garamond" w:hAnsi="Garamond"/>
            <w:noProof/>
            <w:sz w:val="24"/>
            <w:szCs w:val="24"/>
          </w:rPr>
          <w:t>Approach to assessment</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_Toc389142039 \h </w:instrText>
        </w:r>
        <w:r w:rsidR="00CE6213" w:rsidRPr="000B0018">
          <w:rPr>
            <w:noProof/>
            <w:webHidden/>
          </w:rPr>
        </w:r>
        <w:r w:rsidR="00CE6213" w:rsidRPr="000B0018">
          <w:rPr>
            <w:noProof/>
            <w:webHidden/>
          </w:rPr>
          <w:fldChar w:fldCharType="separate"/>
        </w:r>
        <w:r>
          <w:rPr>
            <w:noProof/>
            <w:webHidden/>
          </w:rPr>
          <w:t>20</w:t>
        </w:r>
        <w:r w:rsidR="00CE6213" w:rsidRPr="000B0018">
          <w:rPr>
            <w:noProof/>
            <w:webHidden/>
          </w:rPr>
          <w:fldChar w:fldCharType="end"/>
        </w:r>
      </w:hyperlink>
    </w:p>
    <w:p w14:paraId="23AB833A" w14:textId="77777777" w:rsidR="00CE6213" w:rsidRPr="000B0018" w:rsidRDefault="004C1C27">
      <w:pPr>
        <w:pStyle w:val="TOC3"/>
        <w:rPr>
          <w:rFonts w:ascii="Garamond" w:eastAsiaTheme="minorEastAsia" w:hAnsi="Garamond" w:cstheme="minorBidi"/>
          <w:noProof/>
          <w:sz w:val="24"/>
          <w:szCs w:val="24"/>
          <w:lang w:eastAsia="en-AU"/>
        </w:rPr>
      </w:pPr>
      <w:hyperlink w:anchor="_Toc389142040" w:history="1">
        <w:r w:rsidR="00CE6213" w:rsidRPr="000B0018">
          <w:rPr>
            <w:rStyle w:val="Hyperlink"/>
            <w:rFonts w:ascii="Garamond" w:hAnsi="Garamond"/>
            <w:noProof/>
            <w:sz w:val="24"/>
            <w:szCs w:val="24"/>
          </w:rPr>
          <w:t>Objective</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_Toc389142040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20</w:t>
        </w:r>
        <w:r w:rsidR="00CE6213" w:rsidRPr="000B0018">
          <w:rPr>
            <w:rFonts w:ascii="Garamond" w:hAnsi="Garamond"/>
            <w:noProof/>
            <w:webHidden/>
            <w:sz w:val="24"/>
            <w:szCs w:val="24"/>
          </w:rPr>
          <w:fldChar w:fldCharType="end"/>
        </w:r>
      </w:hyperlink>
    </w:p>
    <w:p w14:paraId="05D5FF99" w14:textId="77777777" w:rsidR="00CE6213" w:rsidRPr="000B0018" w:rsidRDefault="004C1C27">
      <w:pPr>
        <w:pStyle w:val="TOC3"/>
        <w:rPr>
          <w:rFonts w:ascii="Garamond" w:eastAsiaTheme="minorEastAsia" w:hAnsi="Garamond" w:cstheme="minorBidi"/>
          <w:noProof/>
          <w:sz w:val="24"/>
          <w:szCs w:val="24"/>
          <w:lang w:eastAsia="en-AU"/>
        </w:rPr>
      </w:pPr>
      <w:hyperlink w:anchor="_Toc389142041" w:history="1">
        <w:r w:rsidR="00CE6213" w:rsidRPr="000B0018">
          <w:rPr>
            <w:rStyle w:val="Hyperlink"/>
            <w:rFonts w:ascii="Garamond" w:hAnsi="Garamond"/>
            <w:noProof/>
            <w:sz w:val="24"/>
            <w:szCs w:val="24"/>
          </w:rPr>
          <w:t>Clinical decision pathway</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_Toc389142041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20</w:t>
        </w:r>
        <w:r w:rsidR="00CE6213" w:rsidRPr="000B0018">
          <w:rPr>
            <w:rFonts w:ascii="Garamond" w:hAnsi="Garamond"/>
            <w:noProof/>
            <w:webHidden/>
            <w:sz w:val="24"/>
            <w:szCs w:val="24"/>
          </w:rPr>
          <w:fldChar w:fldCharType="end"/>
        </w:r>
      </w:hyperlink>
    </w:p>
    <w:p w14:paraId="7DBB348B" w14:textId="77777777" w:rsidR="00CE6213" w:rsidRPr="000B0018" w:rsidRDefault="004C1C27">
      <w:pPr>
        <w:pStyle w:val="TOC3"/>
        <w:rPr>
          <w:rFonts w:ascii="Garamond" w:eastAsiaTheme="minorEastAsia" w:hAnsi="Garamond" w:cstheme="minorBidi"/>
          <w:noProof/>
          <w:sz w:val="24"/>
          <w:szCs w:val="24"/>
          <w:lang w:eastAsia="en-AU"/>
        </w:rPr>
      </w:pPr>
      <w:hyperlink w:anchor="_Toc389142042" w:history="1">
        <w:r w:rsidR="00CE6213" w:rsidRPr="000B0018">
          <w:rPr>
            <w:rStyle w:val="Hyperlink"/>
            <w:rFonts w:ascii="Garamond" w:hAnsi="Garamond"/>
            <w:noProof/>
            <w:sz w:val="24"/>
            <w:szCs w:val="24"/>
          </w:rPr>
          <w:t>Comparators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_Toc389142042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21</w:t>
        </w:r>
        <w:r w:rsidR="00CE6213" w:rsidRPr="000B0018">
          <w:rPr>
            <w:rFonts w:ascii="Garamond" w:hAnsi="Garamond"/>
            <w:noProof/>
            <w:webHidden/>
            <w:sz w:val="24"/>
            <w:szCs w:val="24"/>
          </w:rPr>
          <w:fldChar w:fldCharType="end"/>
        </w:r>
      </w:hyperlink>
    </w:p>
    <w:p w14:paraId="11DBBFE5" w14:textId="77777777" w:rsidR="00CE6213" w:rsidRPr="000B0018" w:rsidRDefault="004C1C27">
      <w:pPr>
        <w:pStyle w:val="TOC3"/>
        <w:rPr>
          <w:rFonts w:ascii="Garamond" w:eastAsiaTheme="minorEastAsia" w:hAnsi="Garamond" w:cstheme="minorBidi"/>
          <w:noProof/>
          <w:sz w:val="24"/>
          <w:szCs w:val="24"/>
          <w:lang w:eastAsia="en-AU"/>
        </w:rPr>
      </w:pPr>
      <w:hyperlink w:anchor="_Toc389142043" w:history="1">
        <w:r w:rsidR="00CE6213" w:rsidRPr="000B0018">
          <w:rPr>
            <w:rStyle w:val="Hyperlink"/>
            <w:rFonts w:ascii="Garamond" w:hAnsi="Garamond"/>
            <w:noProof/>
            <w:sz w:val="24"/>
            <w:szCs w:val="24"/>
          </w:rPr>
          <w:t>Differences between the rTMS and antidepressants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_Toc389142043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22</w:t>
        </w:r>
        <w:r w:rsidR="00CE6213" w:rsidRPr="000B0018">
          <w:rPr>
            <w:rFonts w:ascii="Garamond" w:hAnsi="Garamond"/>
            <w:noProof/>
            <w:webHidden/>
            <w:sz w:val="24"/>
            <w:szCs w:val="24"/>
          </w:rPr>
          <w:fldChar w:fldCharType="end"/>
        </w:r>
      </w:hyperlink>
    </w:p>
    <w:p w14:paraId="365D705C" w14:textId="77777777" w:rsidR="00CE6213" w:rsidRPr="000B0018" w:rsidRDefault="004C1C27">
      <w:pPr>
        <w:pStyle w:val="TOC3"/>
        <w:rPr>
          <w:rFonts w:ascii="Garamond" w:eastAsiaTheme="minorEastAsia" w:hAnsi="Garamond" w:cstheme="minorBidi"/>
          <w:noProof/>
          <w:sz w:val="24"/>
          <w:szCs w:val="24"/>
          <w:lang w:eastAsia="en-AU"/>
        </w:rPr>
      </w:pPr>
      <w:hyperlink w:anchor="_Toc389142044" w:history="1">
        <w:r w:rsidR="00CE6213" w:rsidRPr="000B0018">
          <w:rPr>
            <w:rStyle w:val="Hyperlink"/>
            <w:rFonts w:ascii="Garamond" w:hAnsi="Garamond"/>
            <w:noProof/>
            <w:sz w:val="24"/>
            <w:szCs w:val="24"/>
          </w:rPr>
          <w:t>Research Questions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_Toc389142044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23</w:t>
        </w:r>
        <w:r w:rsidR="00CE6213" w:rsidRPr="000B0018">
          <w:rPr>
            <w:rFonts w:ascii="Garamond" w:hAnsi="Garamond"/>
            <w:noProof/>
            <w:webHidden/>
            <w:sz w:val="24"/>
            <w:szCs w:val="24"/>
          </w:rPr>
          <w:fldChar w:fldCharType="end"/>
        </w:r>
      </w:hyperlink>
    </w:p>
    <w:p w14:paraId="39AC4DCB" w14:textId="77777777" w:rsidR="00CE6213" w:rsidRPr="000B0018" w:rsidRDefault="004C1C27">
      <w:pPr>
        <w:pStyle w:val="TOC3"/>
        <w:rPr>
          <w:rFonts w:ascii="Garamond" w:eastAsiaTheme="minorEastAsia" w:hAnsi="Garamond" w:cstheme="minorBidi"/>
          <w:noProof/>
          <w:sz w:val="24"/>
          <w:szCs w:val="24"/>
          <w:lang w:eastAsia="en-AU"/>
        </w:rPr>
      </w:pPr>
      <w:hyperlink w:anchor="_Toc389142045" w:history="1">
        <w:r w:rsidR="00CE6213" w:rsidRPr="000B0018">
          <w:rPr>
            <w:rStyle w:val="Hyperlink"/>
            <w:rFonts w:ascii="Garamond" w:hAnsi="Garamond"/>
            <w:noProof/>
            <w:sz w:val="24"/>
            <w:szCs w:val="24"/>
          </w:rPr>
          <w:t>Summary of the primary elements of the decision analysis (PICO)</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_Toc389142045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23</w:t>
        </w:r>
        <w:r w:rsidR="00CE6213" w:rsidRPr="000B0018">
          <w:rPr>
            <w:rFonts w:ascii="Garamond" w:hAnsi="Garamond"/>
            <w:noProof/>
            <w:webHidden/>
            <w:sz w:val="24"/>
            <w:szCs w:val="24"/>
          </w:rPr>
          <w:fldChar w:fldCharType="end"/>
        </w:r>
      </w:hyperlink>
    </w:p>
    <w:p w14:paraId="22312C74" w14:textId="77777777" w:rsidR="00CE6213" w:rsidRPr="000B0018" w:rsidRDefault="004C1C27">
      <w:pPr>
        <w:pStyle w:val="TOC3"/>
        <w:rPr>
          <w:rFonts w:ascii="Garamond" w:eastAsiaTheme="minorEastAsia" w:hAnsi="Garamond" w:cstheme="minorBidi"/>
          <w:noProof/>
          <w:sz w:val="24"/>
          <w:szCs w:val="24"/>
          <w:lang w:eastAsia="en-AU"/>
        </w:rPr>
      </w:pPr>
      <w:hyperlink w:anchor="_Toc389142046" w:history="1">
        <w:r w:rsidR="00CE6213" w:rsidRPr="000B0018">
          <w:rPr>
            <w:rStyle w:val="Hyperlink"/>
            <w:rFonts w:ascii="Garamond" w:hAnsi="Garamond"/>
            <w:noProof/>
            <w:sz w:val="24"/>
            <w:szCs w:val="24"/>
          </w:rPr>
          <w:t>Review of the literature</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_Toc389142046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25</w:t>
        </w:r>
        <w:r w:rsidR="00CE6213" w:rsidRPr="000B0018">
          <w:rPr>
            <w:rFonts w:ascii="Garamond" w:hAnsi="Garamond"/>
            <w:noProof/>
            <w:webHidden/>
            <w:sz w:val="24"/>
            <w:szCs w:val="24"/>
          </w:rPr>
          <w:fldChar w:fldCharType="end"/>
        </w:r>
      </w:hyperlink>
    </w:p>
    <w:p w14:paraId="53833176" w14:textId="77777777" w:rsidR="00CE6213" w:rsidRPr="000B0018" w:rsidRDefault="004C1C27">
      <w:pPr>
        <w:pStyle w:val="TOC3"/>
        <w:rPr>
          <w:rFonts w:ascii="Garamond" w:eastAsiaTheme="minorEastAsia" w:hAnsi="Garamond" w:cstheme="minorBidi"/>
          <w:noProof/>
          <w:sz w:val="24"/>
          <w:szCs w:val="24"/>
          <w:lang w:eastAsia="en-AU"/>
        </w:rPr>
      </w:pPr>
      <w:hyperlink w:anchor="_Toc389142047" w:history="1">
        <w:r w:rsidR="00CE6213" w:rsidRPr="000B0018">
          <w:rPr>
            <w:rStyle w:val="Hyperlink"/>
            <w:rFonts w:ascii="Garamond" w:hAnsi="Garamond"/>
            <w:noProof/>
            <w:sz w:val="24"/>
            <w:szCs w:val="24"/>
          </w:rPr>
          <w:t>Expert advice</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_Toc389142047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25</w:t>
        </w:r>
        <w:r w:rsidR="00CE6213" w:rsidRPr="000B0018">
          <w:rPr>
            <w:rFonts w:ascii="Garamond" w:hAnsi="Garamond"/>
            <w:noProof/>
            <w:webHidden/>
            <w:sz w:val="24"/>
            <w:szCs w:val="24"/>
          </w:rPr>
          <w:fldChar w:fldCharType="end"/>
        </w:r>
      </w:hyperlink>
    </w:p>
    <w:p w14:paraId="6B0D551B" w14:textId="77777777" w:rsidR="00CE6213" w:rsidRPr="000B0018" w:rsidRDefault="004C1C27" w:rsidP="00AB6AD4">
      <w:pPr>
        <w:pStyle w:val="TOC2"/>
        <w:rPr>
          <w:rFonts w:eastAsiaTheme="minorEastAsia" w:cstheme="minorBidi"/>
          <w:noProof/>
          <w:lang w:eastAsia="en-AU"/>
        </w:rPr>
      </w:pPr>
      <w:hyperlink w:anchor="_Toc389142048" w:history="1">
        <w:r w:rsidR="00CE6213" w:rsidRPr="000B0018">
          <w:rPr>
            <w:rStyle w:val="Hyperlink"/>
            <w:rFonts w:ascii="Garamond" w:hAnsi="Garamond"/>
            <w:noProof/>
            <w:sz w:val="24"/>
            <w:szCs w:val="24"/>
          </w:rPr>
          <w:t>Results of assessment</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_Toc389142048 \h </w:instrText>
        </w:r>
        <w:r w:rsidR="00CE6213" w:rsidRPr="000B0018">
          <w:rPr>
            <w:noProof/>
            <w:webHidden/>
          </w:rPr>
        </w:r>
        <w:r w:rsidR="00CE6213" w:rsidRPr="000B0018">
          <w:rPr>
            <w:noProof/>
            <w:webHidden/>
          </w:rPr>
          <w:fldChar w:fldCharType="separate"/>
        </w:r>
        <w:r>
          <w:rPr>
            <w:noProof/>
            <w:webHidden/>
          </w:rPr>
          <w:t>26</w:t>
        </w:r>
        <w:r w:rsidR="00CE6213" w:rsidRPr="000B0018">
          <w:rPr>
            <w:noProof/>
            <w:webHidden/>
          </w:rPr>
          <w:fldChar w:fldCharType="end"/>
        </w:r>
      </w:hyperlink>
    </w:p>
    <w:p w14:paraId="7986D375" w14:textId="77777777" w:rsidR="00CE6213" w:rsidRPr="000B0018" w:rsidRDefault="004C1C27">
      <w:pPr>
        <w:pStyle w:val="TOC3"/>
        <w:rPr>
          <w:rFonts w:ascii="Garamond" w:eastAsiaTheme="minorEastAsia" w:hAnsi="Garamond" w:cstheme="minorBidi"/>
          <w:noProof/>
          <w:sz w:val="24"/>
          <w:szCs w:val="24"/>
          <w:lang w:eastAsia="en-AU"/>
        </w:rPr>
      </w:pPr>
      <w:hyperlink w:anchor="_Toc389142049" w:history="1">
        <w:r w:rsidR="00CE6213" w:rsidRPr="000B0018">
          <w:rPr>
            <w:rStyle w:val="Hyperlink"/>
            <w:rFonts w:ascii="Garamond" w:hAnsi="Garamond"/>
            <w:noProof/>
            <w:sz w:val="24"/>
            <w:szCs w:val="24"/>
          </w:rPr>
          <w:t>Evidence for the effectiveness of rTMS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_Toc389142049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26</w:t>
        </w:r>
        <w:r w:rsidR="00CE6213" w:rsidRPr="000B0018">
          <w:rPr>
            <w:rFonts w:ascii="Garamond" w:hAnsi="Garamond"/>
            <w:noProof/>
            <w:webHidden/>
            <w:sz w:val="24"/>
            <w:szCs w:val="24"/>
          </w:rPr>
          <w:fldChar w:fldCharType="end"/>
        </w:r>
      </w:hyperlink>
    </w:p>
    <w:p w14:paraId="446B29DD" w14:textId="77777777" w:rsidR="00CE6213" w:rsidRPr="000B0018" w:rsidRDefault="004C1C27">
      <w:pPr>
        <w:pStyle w:val="TOC3"/>
        <w:rPr>
          <w:rFonts w:ascii="Garamond" w:eastAsiaTheme="minorEastAsia" w:hAnsi="Garamond" w:cstheme="minorBidi"/>
          <w:noProof/>
          <w:sz w:val="24"/>
          <w:szCs w:val="24"/>
          <w:lang w:eastAsia="en-AU"/>
        </w:rPr>
      </w:pPr>
      <w:hyperlink w:anchor="_Toc389142050" w:history="1">
        <w:r w:rsidR="00CE6213" w:rsidRPr="000B0018">
          <w:rPr>
            <w:rStyle w:val="Hyperlink"/>
            <w:rFonts w:ascii="Garamond" w:hAnsi="Garamond"/>
            <w:noProof/>
            <w:sz w:val="24"/>
            <w:szCs w:val="24"/>
          </w:rPr>
          <w:t>Is rTMS effective versus ECT?</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_Toc389142050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41</w:t>
        </w:r>
        <w:r w:rsidR="00CE6213" w:rsidRPr="000B0018">
          <w:rPr>
            <w:rFonts w:ascii="Garamond" w:hAnsi="Garamond"/>
            <w:noProof/>
            <w:webHidden/>
            <w:sz w:val="24"/>
            <w:szCs w:val="24"/>
          </w:rPr>
          <w:fldChar w:fldCharType="end"/>
        </w:r>
      </w:hyperlink>
    </w:p>
    <w:p w14:paraId="5E31CE96" w14:textId="77777777" w:rsidR="00CE6213" w:rsidRPr="000B0018" w:rsidRDefault="004C1C27">
      <w:pPr>
        <w:pStyle w:val="TOC3"/>
        <w:rPr>
          <w:rFonts w:ascii="Garamond" w:eastAsiaTheme="minorEastAsia" w:hAnsi="Garamond" w:cstheme="minorBidi"/>
          <w:noProof/>
          <w:sz w:val="24"/>
          <w:szCs w:val="24"/>
          <w:lang w:eastAsia="en-AU"/>
        </w:rPr>
      </w:pPr>
      <w:hyperlink w:anchor="_Toc389142051" w:history="1">
        <w:r w:rsidR="00CE6213" w:rsidRPr="000B0018">
          <w:rPr>
            <w:rStyle w:val="Hyperlink"/>
            <w:rFonts w:ascii="Garamond" w:hAnsi="Garamond"/>
            <w:noProof/>
            <w:sz w:val="24"/>
            <w:szCs w:val="24"/>
          </w:rPr>
          <w:t>Is rTMS effective versus psychotherapy?</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_Toc389142051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43</w:t>
        </w:r>
        <w:r w:rsidR="00CE6213" w:rsidRPr="000B0018">
          <w:rPr>
            <w:rFonts w:ascii="Garamond" w:hAnsi="Garamond"/>
            <w:noProof/>
            <w:webHidden/>
            <w:sz w:val="24"/>
            <w:szCs w:val="24"/>
          </w:rPr>
          <w:fldChar w:fldCharType="end"/>
        </w:r>
      </w:hyperlink>
    </w:p>
    <w:p w14:paraId="37CF3F63" w14:textId="77777777" w:rsidR="00CE6213" w:rsidRPr="000B0018" w:rsidRDefault="004C1C27">
      <w:pPr>
        <w:pStyle w:val="TOC3"/>
        <w:rPr>
          <w:rFonts w:ascii="Garamond" w:eastAsiaTheme="minorEastAsia" w:hAnsi="Garamond" w:cstheme="minorBidi"/>
          <w:noProof/>
          <w:sz w:val="24"/>
          <w:szCs w:val="24"/>
          <w:lang w:eastAsia="en-AU"/>
        </w:rPr>
      </w:pPr>
      <w:hyperlink w:anchor="_Toc389142052" w:history="1">
        <w:r w:rsidR="00CE6213" w:rsidRPr="000B0018">
          <w:rPr>
            <w:rStyle w:val="Hyperlink"/>
            <w:rFonts w:ascii="Garamond" w:hAnsi="Garamond"/>
            <w:noProof/>
            <w:sz w:val="24"/>
            <w:szCs w:val="24"/>
          </w:rPr>
          <w:t>Evidence for safety of rTMS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_Toc389142052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43</w:t>
        </w:r>
        <w:r w:rsidR="00CE6213" w:rsidRPr="000B0018">
          <w:rPr>
            <w:rFonts w:ascii="Garamond" w:hAnsi="Garamond"/>
            <w:noProof/>
            <w:webHidden/>
            <w:sz w:val="24"/>
            <w:szCs w:val="24"/>
          </w:rPr>
          <w:fldChar w:fldCharType="end"/>
        </w:r>
      </w:hyperlink>
    </w:p>
    <w:p w14:paraId="24BF8C36" w14:textId="77777777" w:rsidR="00CE6213" w:rsidRPr="000B0018" w:rsidRDefault="004C1C27">
      <w:pPr>
        <w:pStyle w:val="TOC3"/>
        <w:rPr>
          <w:rFonts w:ascii="Garamond" w:eastAsiaTheme="minorEastAsia" w:hAnsi="Garamond" w:cstheme="minorBidi"/>
          <w:noProof/>
          <w:sz w:val="24"/>
          <w:szCs w:val="24"/>
          <w:lang w:eastAsia="en-AU"/>
        </w:rPr>
      </w:pPr>
      <w:hyperlink w:anchor="_Toc389142053" w:history="1">
        <w:r w:rsidR="00CE6213" w:rsidRPr="000B0018">
          <w:rPr>
            <w:rStyle w:val="Hyperlink"/>
            <w:rFonts w:ascii="Garamond" w:hAnsi="Garamond"/>
            <w:noProof/>
            <w:sz w:val="24"/>
            <w:szCs w:val="24"/>
          </w:rPr>
          <w:t>Summary of evidence for rTMS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_Toc389142053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47</w:t>
        </w:r>
        <w:r w:rsidR="00CE6213" w:rsidRPr="000B0018">
          <w:rPr>
            <w:rFonts w:ascii="Garamond" w:hAnsi="Garamond"/>
            <w:noProof/>
            <w:webHidden/>
            <w:sz w:val="24"/>
            <w:szCs w:val="24"/>
          </w:rPr>
          <w:fldChar w:fldCharType="end"/>
        </w:r>
      </w:hyperlink>
    </w:p>
    <w:p w14:paraId="6372C5E3" w14:textId="77777777" w:rsidR="00CE6213" w:rsidRPr="000B0018" w:rsidRDefault="004C1C27" w:rsidP="00AB6AD4">
      <w:pPr>
        <w:pStyle w:val="TOC2"/>
        <w:rPr>
          <w:rFonts w:eastAsiaTheme="minorEastAsia" w:cstheme="minorBidi"/>
          <w:noProof/>
          <w:lang w:eastAsia="en-AU"/>
        </w:rPr>
      </w:pPr>
      <w:hyperlink w:anchor="_Toc389142054" w:history="1">
        <w:r w:rsidR="00CE6213" w:rsidRPr="000B0018">
          <w:rPr>
            <w:rStyle w:val="Hyperlink"/>
            <w:rFonts w:ascii="Garamond" w:hAnsi="Garamond"/>
            <w:noProof/>
            <w:sz w:val="24"/>
            <w:szCs w:val="24"/>
          </w:rPr>
          <w:t>What are the economic considerations?</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_Toc389142054 \h </w:instrText>
        </w:r>
        <w:r w:rsidR="00CE6213" w:rsidRPr="000B0018">
          <w:rPr>
            <w:noProof/>
            <w:webHidden/>
          </w:rPr>
        </w:r>
        <w:r w:rsidR="00CE6213" w:rsidRPr="000B0018">
          <w:rPr>
            <w:noProof/>
            <w:webHidden/>
          </w:rPr>
          <w:fldChar w:fldCharType="separate"/>
        </w:r>
        <w:r>
          <w:rPr>
            <w:noProof/>
            <w:webHidden/>
          </w:rPr>
          <w:t>49</w:t>
        </w:r>
        <w:r w:rsidR="00CE6213" w:rsidRPr="000B0018">
          <w:rPr>
            <w:noProof/>
            <w:webHidden/>
          </w:rPr>
          <w:fldChar w:fldCharType="end"/>
        </w:r>
      </w:hyperlink>
    </w:p>
    <w:p w14:paraId="451E803D" w14:textId="77777777" w:rsidR="00CE6213" w:rsidRPr="000B0018" w:rsidRDefault="004C1C27">
      <w:pPr>
        <w:pStyle w:val="TOC3"/>
        <w:rPr>
          <w:rFonts w:ascii="Garamond" w:eastAsiaTheme="minorEastAsia" w:hAnsi="Garamond" w:cstheme="minorBidi"/>
          <w:noProof/>
          <w:sz w:val="24"/>
          <w:szCs w:val="24"/>
          <w:lang w:eastAsia="en-AU"/>
        </w:rPr>
      </w:pPr>
      <w:hyperlink w:anchor="_Toc389142055" w:history="1">
        <w:r w:rsidR="00CE6213" w:rsidRPr="000B0018">
          <w:rPr>
            <w:rStyle w:val="Hyperlink"/>
            <w:rFonts w:ascii="Garamond" w:hAnsi="Garamond"/>
            <w:noProof/>
            <w:sz w:val="24"/>
            <w:szCs w:val="24"/>
          </w:rPr>
          <w:t>Overview of the economic considerations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_Toc389142055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49</w:t>
        </w:r>
        <w:r w:rsidR="00CE6213" w:rsidRPr="000B0018">
          <w:rPr>
            <w:rFonts w:ascii="Garamond" w:hAnsi="Garamond"/>
            <w:noProof/>
            <w:webHidden/>
            <w:sz w:val="24"/>
            <w:szCs w:val="24"/>
          </w:rPr>
          <w:fldChar w:fldCharType="end"/>
        </w:r>
      </w:hyperlink>
    </w:p>
    <w:p w14:paraId="3E2A77C8" w14:textId="77777777" w:rsidR="00CE6213" w:rsidRPr="000B0018" w:rsidRDefault="004C1C27">
      <w:pPr>
        <w:pStyle w:val="TOC3"/>
        <w:rPr>
          <w:rFonts w:ascii="Garamond" w:eastAsiaTheme="minorEastAsia" w:hAnsi="Garamond" w:cstheme="minorBidi"/>
          <w:noProof/>
          <w:sz w:val="24"/>
          <w:szCs w:val="24"/>
          <w:lang w:eastAsia="en-AU"/>
        </w:rPr>
      </w:pPr>
      <w:hyperlink w:anchor="_Toc389142056" w:history="1">
        <w:r w:rsidR="00CE6213" w:rsidRPr="000B0018">
          <w:rPr>
            <w:rStyle w:val="Hyperlink"/>
            <w:rFonts w:ascii="Garamond" w:hAnsi="Garamond"/>
            <w:noProof/>
            <w:sz w:val="24"/>
            <w:szCs w:val="24"/>
          </w:rPr>
          <w:t>Published economic literature</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_Toc389142056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49</w:t>
        </w:r>
        <w:r w:rsidR="00CE6213" w:rsidRPr="000B0018">
          <w:rPr>
            <w:rFonts w:ascii="Garamond" w:hAnsi="Garamond"/>
            <w:noProof/>
            <w:webHidden/>
            <w:sz w:val="24"/>
            <w:szCs w:val="24"/>
          </w:rPr>
          <w:fldChar w:fldCharType="end"/>
        </w:r>
      </w:hyperlink>
    </w:p>
    <w:p w14:paraId="7E420267" w14:textId="77777777" w:rsidR="00CE6213" w:rsidRPr="000B0018" w:rsidRDefault="004C1C27">
      <w:pPr>
        <w:pStyle w:val="TOC3"/>
        <w:rPr>
          <w:rFonts w:ascii="Garamond" w:eastAsiaTheme="minorEastAsia" w:hAnsi="Garamond" w:cstheme="minorBidi"/>
          <w:noProof/>
          <w:sz w:val="24"/>
          <w:szCs w:val="24"/>
          <w:lang w:eastAsia="en-AU"/>
        </w:rPr>
      </w:pPr>
      <w:hyperlink w:anchor="_Toc389142057" w:history="1">
        <w:r w:rsidR="00CE6213" w:rsidRPr="000B0018">
          <w:rPr>
            <w:rStyle w:val="Hyperlink"/>
            <w:rFonts w:ascii="Garamond" w:hAnsi="Garamond"/>
            <w:noProof/>
            <w:sz w:val="24"/>
            <w:szCs w:val="24"/>
          </w:rPr>
          <w:t>Economic evaluation</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_Toc389142057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51</w:t>
        </w:r>
        <w:r w:rsidR="00CE6213" w:rsidRPr="000B0018">
          <w:rPr>
            <w:rFonts w:ascii="Garamond" w:hAnsi="Garamond"/>
            <w:noProof/>
            <w:webHidden/>
            <w:sz w:val="24"/>
            <w:szCs w:val="24"/>
          </w:rPr>
          <w:fldChar w:fldCharType="end"/>
        </w:r>
      </w:hyperlink>
    </w:p>
    <w:p w14:paraId="456325F3" w14:textId="77777777" w:rsidR="00CE6213" w:rsidRPr="000B0018" w:rsidRDefault="004C1C27">
      <w:pPr>
        <w:pStyle w:val="TOC3"/>
        <w:rPr>
          <w:rFonts w:ascii="Garamond" w:eastAsiaTheme="minorEastAsia" w:hAnsi="Garamond" w:cstheme="minorBidi"/>
          <w:noProof/>
          <w:sz w:val="24"/>
          <w:szCs w:val="24"/>
          <w:lang w:eastAsia="en-AU"/>
        </w:rPr>
      </w:pPr>
      <w:hyperlink w:anchor="_Toc389142058" w:history="1">
        <w:r w:rsidR="00CE6213" w:rsidRPr="000B0018">
          <w:rPr>
            <w:rStyle w:val="Hyperlink"/>
            <w:rFonts w:ascii="Garamond" w:hAnsi="Garamond"/>
            <w:noProof/>
            <w:sz w:val="24"/>
            <w:szCs w:val="24"/>
          </w:rPr>
          <w:t>Estimated extent of use and financial implications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_Toc389142058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63</w:t>
        </w:r>
        <w:r w:rsidR="00CE6213" w:rsidRPr="000B0018">
          <w:rPr>
            <w:rFonts w:ascii="Garamond" w:hAnsi="Garamond"/>
            <w:noProof/>
            <w:webHidden/>
            <w:sz w:val="24"/>
            <w:szCs w:val="24"/>
          </w:rPr>
          <w:fldChar w:fldCharType="end"/>
        </w:r>
      </w:hyperlink>
    </w:p>
    <w:p w14:paraId="07B3B0C6" w14:textId="77777777" w:rsidR="00CE6213" w:rsidRPr="000B0018" w:rsidRDefault="004C1C27" w:rsidP="00AB6AD4">
      <w:pPr>
        <w:pStyle w:val="TOC2"/>
        <w:rPr>
          <w:rFonts w:eastAsiaTheme="minorEastAsia" w:cstheme="minorBidi"/>
          <w:noProof/>
          <w:lang w:eastAsia="en-AU"/>
        </w:rPr>
      </w:pPr>
      <w:hyperlink w:anchor="_Toc389142059" w:history="1">
        <w:r w:rsidR="00CE6213" w:rsidRPr="000B0018">
          <w:rPr>
            <w:rStyle w:val="Hyperlink"/>
            <w:rFonts w:ascii="Garamond" w:hAnsi="Garamond"/>
            <w:noProof/>
            <w:sz w:val="24"/>
            <w:szCs w:val="24"/>
          </w:rPr>
          <w:t>Discussion</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_Toc389142059 \h </w:instrText>
        </w:r>
        <w:r w:rsidR="00CE6213" w:rsidRPr="000B0018">
          <w:rPr>
            <w:noProof/>
            <w:webHidden/>
          </w:rPr>
        </w:r>
        <w:r w:rsidR="00CE6213" w:rsidRPr="000B0018">
          <w:rPr>
            <w:noProof/>
            <w:webHidden/>
          </w:rPr>
          <w:fldChar w:fldCharType="separate"/>
        </w:r>
        <w:r>
          <w:rPr>
            <w:noProof/>
            <w:webHidden/>
          </w:rPr>
          <w:t>76</w:t>
        </w:r>
        <w:r w:rsidR="00CE6213" w:rsidRPr="000B0018">
          <w:rPr>
            <w:noProof/>
            <w:webHidden/>
          </w:rPr>
          <w:fldChar w:fldCharType="end"/>
        </w:r>
      </w:hyperlink>
    </w:p>
    <w:p w14:paraId="13915913" w14:textId="77777777" w:rsidR="00CE6213" w:rsidRPr="000B0018" w:rsidRDefault="004C1C27">
      <w:pPr>
        <w:pStyle w:val="TOC3"/>
        <w:rPr>
          <w:rFonts w:ascii="Garamond" w:eastAsiaTheme="minorEastAsia" w:hAnsi="Garamond" w:cstheme="minorBidi"/>
          <w:noProof/>
          <w:sz w:val="24"/>
          <w:szCs w:val="24"/>
          <w:lang w:eastAsia="en-AU"/>
        </w:rPr>
      </w:pPr>
      <w:hyperlink w:anchor="_Toc389142060" w:history="1">
        <w:r w:rsidR="00CE6213" w:rsidRPr="000B0018">
          <w:rPr>
            <w:rStyle w:val="Hyperlink"/>
            <w:rFonts w:ascii="Garamond" w:hAnsi="Garamond"/>
            <w:noProof/>
            <w:sz w:val="24"/>
            <w:szCs w:val="24"/>
          </w:rPr>
          <w:t>Is it safe?</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_Toc389142060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76</w:t>
        </w:r>
        <w:r w:rsidR="00CE6213" w:rsidRPr="000B0018">
          <w:rPr>
            <w:rFonts w:ascii="Garamond" w:hAnsi="Garamond"/>
            <w:noProof/>
            <w:webHidden/>
            <w:sz w:val="24"/>
            <w:szCs w:val="24"/>
          </w:rPr>
          <w:fldChar w:fldCharType="end"/>
        </w:r>
      </w:hyperlink>
    </w:p>
    <w:p w14:paraId="4A12E9C5" w14:textId="77777777" w:rsidR="00CE6213" w:rsidRPr="000B0018" w:rsidRDefault="004C1C27">
      <w:pPr>
        <w:pStyle w:val="TOC3"/>
        <w:rPr>
          <w:rFonts w:ascii="Garamond" w:eastAsiaTheme="minorEastAsia" w:hAnsi="Garamond" w:cstheme="minorBidi"/>
          <w:noProof/>
          <w:sz w:val="24"/>
          <w:szCs w:val="24"/>
          <w:lang w:eastAsia="en-AU"/>
        </w:rPr>
      </w:pPr>
      <w:hyperlink w:anchor="_Toc389142061" w:history="1">
        <w:r w:rsidR="00CE6213" w:rsidRPr="000B0018">
          <w:rPr>
            <w:rStyle w:val="Hyperlink"/>
            <w:rFonts w:ascii="Garamond" w:hAnsi="Garamond"/>
            <w:noProof/>
            <w:sz w:val="24"/>
            <w:szCs w:val="24"/>
          </w:rPr>
          <w:t>Is it effective?</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_Toc389142061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76</w:t>
        </w:r>
        <w:r w:rsidR="00CE6213" w:rsidRPr="000B0018">
          <w:rPr>
            <w:rFonts w:ascii="Garamond" w:hAnsi="Garamond"/>
            <w:noProof/>
            <w:webHidden/>
            <w:sz w:val="24"/>
            <w:szCs w:val="24"/>
          </w:rPr>
          <w:fldChar w:fldCharType="end"/>
        </w:r>
      </w:hyperlink>
    </w:p>
    <w:p w14:paraId="529F096D" w14:textId="77777777" w:rsidR="00CE6213" w:rsidRPr="000B0018" w:rsidRDefault="004C1C27">
      <w:pPr>
        <w:pStyle w:val="TOC3"/>
        <w:rPr>
          <w:rFonts w:ascii="Garamond" w:eastAsiaTheme="minorEastAsia" w:hAnsi="Garamond" w:cstheme="minorBidi"/>
          <w:noProof/>
          <w:sz w:val="24"/>
          <w:szCs w:val="24"/>
          <w:lang w:eastAsia="en-AU"/>
        </w:rPr>
      </w:pPr>
      <w:hyperlink w:anchor="_Toc389142062" w:history="1">
        <w:r w:rsidR="00CE6213" w:rsidRPr="000B0018">
          <w:rPr>
            <w:rStyle w:val="Hyperlink"/>
            <w:rFonts w:ascii="Garamond" w:hAnsi="Garamond"/>
            <w:noProof/>
            <w:sz w:val="24"/>
            <w:szCs w:val="24"/>
          </w:rPr>
          <w:t>What are the economic considerations?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_Toc389142062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79</w:t>
        </w:r>
        <w:r w:rsidR="00CE6213" w:rsidRPr="000B0018">
          <w:rPr>
            <w:rFonts w:ascii="Garamond" w:hAnsi="Garamond"/>
            <w:noProof/>
            <w:webHidden/>
            <w:sz w:val="24"/>
            <w:szCs w:val="24"/>
          </w:rPr>
          <w:fldChar w:fldCharType="end"/>
        </w:r>
      </w:hyperlink>
    </w:p>
    <w:p w14:paraId="3A3972CA" w14:textId="77777777" w:rsidR="00CE6213" w:rsidRPr="000B0018" w:rsidRDefault="004C1C27" w:rsidP="00AB6AD4">
      <w:pPr>
        <w:pStyle w:val="TOC2"/>
        <w:rPr>
          <w:rFonts w:eastAsiaTheme="minorEastAsia" w:cstheme="minorBidi"/>
          <w:noProof/>
          <w:lang w:eastAsia="en-AU"/>
        </w:rPr>
      </w:pPr>
      <w:hyperlink w:anchor="_Toc389142063" w:history="1">
        <w:r w:rsidR="00CE6213" w:rsidRPr="000B0018">
          <w:rPr>
            <w:rStyle w:val="Hyperlink"/>
            <w:rFonts w:ascii="Garamond" w:hAnsi="Garamond"/>
            <w:noProof/>
            <w:sz w:val="24"/>
            <w:szCs w:val="24"/>
          </w:rPr>
          <w:t>Conclusions</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_Toc389142063 \h </w:instrText>
        </w:r>
        <w:r w:rsidR="00CE6213" w:rsidRPr="000B0018">
          <w:rPr>
            <w:noProof/>
            <w:webHidden/>
          </w:rPr>
        </w:r>
        <w:r w:rsidR="00CE6213" w:rsidRPr="000B0018">
          <w:rPr>
            <w:noProof/>
            <w:webHidden/>
          </w:rPr>
          <w:fldChar w:fldCharType="separate"/>
        </w:r>
        <w:r>
          <w:rPr>
            <w:noProof/>
            <w:webHidden/>
          </w:rPr>
          <w:t>81</w:t>
        </w:r>
        <w:r w:rsidR="00CE6213" w:rsidRPr="000B0018">
          <w:rPr>
            <w:noProof/>
            <w:webHidden/>
          </w:rPr>
          <w:fldChar w:fldCharType="end"/>
        </w:r>
      </w:hyperlink>
    </w:p>
    <w:p w14:paraId="48F58134" w14:textId="77777777" w:rsidR="00CE6213" w:rsidRPr="000B0018" w:rsidRDefault="004C1C27">
      <w:pPr>
        <w:pStyle w:val="TOC3"/>
        <w:rPr>
          <w:rFonts w:ascii="Garamond" w:eastAsiaTheme="minorEastAsia" w:hAnsi="Garamond" w:cstheme="minorBidi"/>
          <w:noProof/>
          <w:sz w:val="24"/>
          <w:szCs w:val="24"/>
          <w:lang w:eastAsia="en-AU"/>
        </w:rPr>
      </w:pPr>
      <w:hyperlink w:anchor="_Toc389142064" w:history="1">
        <w:r w:rsidR="00CE6213" w:rsidRPr="000B0018">
          <w:rPr>
            <w:rStyle w:val="Hyperlink"/>
            <w:rFonts w:ascii="Garamond" w:hAnsi="Garamond"/>
            <w:noProof/>
            <w:sz w:val="24"/>
            <w:szCs w:val="24"/>
          </w:rPr>
          <w:t>Safety</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_Toc389142064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81</w:t>
        </w:r>
        <w:r w:rsidR="00CE6213" w:rsidRPr="000B0018">
          <w:rPr>
            <w:rFonts w:ascii="Garamond" w:hAnsi="Garamond"/>
            <w:noProof/>
            <w:webHidden/>
            <w:sz w:val="24"/>
            <w:szCs w:val="24"/>
          </w:rPr>
          <w:fldChar w:fldCharType="end"/>
        </w:r>
      </w:hyperlink>
    </w:p>
    <w:p w14:paraId="0D6A8F38" w14:textId="77777777" w:rsidR="00CE6213" w:rsidRPr="000B0018" w:rsidRDefault="004C1C27">
      <w:pPr>
        <w:pStyle w:val="TOC3"/>
        <w:rPr>
          <w:rFonts w:ascii="Garamond" w:eastAsiaTheme="minorEastAsia" w:hAnsi="Garamond" w:cstheme="minorBidi"/>
          <w:noProof/>
          <w:sz w:val="24"/>
          <w:szCs w:val="24"/>
          <w:lang w:eastAsia="en-AU"/>
        </w:rPr>
      </w:pPr>
      <w:hyperlink w:anchor="_Toc389142065" w:history="1">
        <w:r w:rsidR="00CE6213" w:rsidRPr="000B0018">
          <w:rPr>
            <w:rStyle w:val="Hyperlink"/>
            <w:rFonts w:ascii="Garamond" w:hAnsi="Garamond"/>
            <w:noProof/>
            <w:sz w:val="24"/>
            <w:szCs w:val="24"/>
          </w:rPr>
          <w:t>Effectiveness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_Toc389142065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81</w:t>
        </w:r>
        <w:r w:rsidR="00CE6213" w:rsidRPr="000B0018">
          <w:rPr>
            <w:rFonts w:ascii="Garamond" w:hAnsi="Garamond"/>
            <w:noProof/>
            <w:webHidden/>
            <w:sz w:val="24"/>
            <w:szCs w:val="24"/>
          </w:rPr>
          <w:fldChar w:fldCharType="end"/>
        </w:r>
      </w:hyperlink>
    </w:p>
    <w:p w14:paraId="4C051D54" w14:textId="77777777" w:rsidR="00CE6213" w:rsidRPr="000B0018" w:rsidRDefault="004C1C27">
      <w:pPr>
        <w:pStyle w:val="TOC3"/>
        <w:rPr>
          <w:rFonts w:ascii="Garamond" w:eastAsiaTheme="minorEastAsia" w:hAnsi="Garamond" w:cstheme="minorBidi"/>
          <w:noProof/>
          <w:sz w:val="24"/>
          <w:szCs w:val="24"/>
          <w:lang w:eastAsia="en-AU"/>
        </w:rPr>
      </w:pPr>
      <w:hyperlink w:anchor="_Toc389142066" w:history="1">
        <w:r w:rsidR="00CE6213" w:rsidRPr="000B0018">
          <w:rPr>
            <w:rStyle w:val="Hyperlink"/>
            <w:rFonts w:ascii="Garamond" w:hAnsi="Garamond"/>
            <w:noProof/>
            <w:sz w:val="24"/>
            <w:szCs w:val="24"/>
          </w:rPr>
          <w:t>Economic considerations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_Toc389142066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81</w:t>
        </w:r>
        <w:r w:rsidR="00CE6213" w:rsidRPr="000B0018">
          <w:rPr>
            <w:rFonts w:ascii="Garamond" w:hAnsi="Garamond"/>
            <w:noProof/>
            <w:webHidden/>
            <w:sz w:val="24"/>
            <w:szCs w:val="24"/>
          </w:rPr>
          <w:fldChar w:fldCharType="end"/>
        </w:r>
      </w:hyperlink>
    </w:p>
    <w:p w14:paraId="7B42EC04" w14:textId="4573C42D" w:rsidR="00CE6213" w:rsidRPr="000B0018" w:rsidRDefault="004C1C27" w:rsidP="00AB6AD4">
      <w:pPr>
        <w:pStyle w:val="TOC2"/>
        <w:rPr>
          <w:rFonts w:eastAsiaTheme="minorEastAsia" w:cstheme="minorBidi"/>
          <w:noProof/>
          <w:lang w:eastAsia="en-AU"/>
        </w:rPr>
      </w:pPr>
      <w:hyperlink w:anchor="_Toc389142067" w:history="1">
        <w:r w:rsidR="00CE6213" w:rsidRPr="000B0018">
          <w:rPr>
            <w:rStyle w:val="Hyperlink"/>
            <w:rFonts w:ascii="Garamond" w:hAnsi="Garamond"/>
            <w:noProof/>
            <w:sz w:val="24"/>
            <w:szCs w:val="24"/>
          </w:rPr>
          <w:t>Appendix A</w:t>
        </w:r>
        <w:r w:rsidR="00AB6AD4">
          <w:rPr>
            <w:rFonts w:eastAsiaTheme="minorEastAsia" w:cstheme="minorBidi"/>
            <w:noProof/>
            <w:lang w:eastAsia="en-AU"/>
          </w:rPr>
          <w:t xml:space="preserve">  </w:t>
        </w:r>
        <w:r w:rsidR="00CE6213" w:rsidRPr="000B0018">
          <w:rPr>
            <w:rStyle w:val="Hyperlink"/>
            <w:rFonts w:ascii="Garamond" w:hAnsi="Garamond"/>
            <w:noProof/>
            <w:sz w:val="24"/>
            <w:szCs w:val="24"/>
          </w:rPr>
          <w:t>Health Expert Standing Panel Members and Evaluators</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_Toc389142067 \h </w:instrText>
        </w:r>
        <w:r w:rsidR="00CE6213" w:rsidRPr="000B0018">
          <w:rPr>
            <w:noProof/>
            <w:webHidden/>
          </w:rPr>
        </w:r>
        <w:r w:rsidR="00CE6213" w:rsidRPr="000B0018">
          <w:rPr>
            <w:noProof/>
            <w:webHidden/>
          </w:rPr>
          <w:fldChar w:fldCharType="separate"/>
        </w:r>
        <w:r>
          <w:rPr>
            <w:noProof/>
            <w:webHidden/>
          </w:rPr>
          <w:t>82</w:t>
        </w:r>
        <w:r w:rsidR="00CE6213" w:rsidRPr="000B0018">
          <w:rPr>
            <w:noProof/>
            <w:webHidden/>
          </w:rPr>
          <w:fldChar w:fldCharType="end"/>
        </w:r>
      </w:hyperlink>
    </w:p>
    <w:p w14:paraId="516540C0" w14:textId="77777777" w:rsidR="00CE6213" w:rsidRPr="000B0018" w:rsidRDefault="004C1C27">
      <w:pPr>
        <w:pStyle w:val="TOC3"/>
        <w:rPr>
          <w:rFonts w:ascii="Garamond" w:eastAsiaTheme="minorEastAsia" w:hAnsi="Garamond" w:cstheme="minorBidi"/>
          <w:noProof/>
          <w:sz w:val="24"/>
          <w:szCs w:val="24"/>
          <w:lang w:eastAsia="en-AU"/>
        </w:rPr>
      </w:pPr>
      <w:hyperlink w:anchor="_Toc389142068" w:history="1">
        <w:r w:rsidR="00CE6213" w:rsidRPr="000B0018">
          <w:rPr>
            <w:rStyle w:val="Hyperlink"/>
            <w:rFonts w:ascii="Garamond" w:hAnsi="Garamond"/>
            <w:noProof/>
            <w:sz w:val="24"/>
            <w:szCs w:val="24"/>
          </w:rPr>
          <w:t>Health Expert Standing Panel Members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_Toc389142068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82</w:t>
        </w:r>
        <w:r w:rsidR="00CE6213" w:rsidRPr="000B0018">
          <w:rPr>
            <w:rFonts w:ascii="Garamond" w:hAnsi="Garamond"/>
            <w:noProof/>
            <w:webHidden/>
            <w:sz w:val="24"/>
            <w:szCs w:val="24"/>
          </w:rPr>
          <w:fldChar w:fldCharType="end"/>
        </w:r>
      </w:hyperlink>
    </w:p>
    <w:p w14:paraId="3471E3C9" w14:textId="77777777" w:rsidR="00CE6213" w:rsidRPr="000B0018" w:rsidRDefault="004C1C27">
      <w:pPr>
        <w:pStyle w:val="TOC3"/>
        <w:rPr>
          <w:rFonts w:ascii="Garamond" w:eastAsiaTheme="minorEastAsia" w:hAnsi="Garamond" w:cstheme="minorBidi"/>
          <w:noProof/>
          <w:sz w:val="24"/>
          <w:szCs w:val="24"/>
          <w:lang w:eastAsia="en-AU"/>
        </w:rPr>
      </w:pPr>
      <w:hyperlink w:anchor="_Toc389142069" w:history="1">
        <w:r w:rsidR="00CE6213" w:rsidRPr="000B0018">
          <w:rPr>
            <w:rStyle w:val="Hyperlink"/>
            <w:rFonts w:ascii="Garamond" w:hAnsi="Garamond"/>
            <w:noProof/>
            <w:sz w:val="24"/>
            <w:szCs w:val="24"/>
          </w:rPr>
          <w:t>Evaluators</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_Toc389142069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82</w:t>
        </w:r>
        <w:r w:rsidR="00CE6213" w:rsidRPr="000B0018">
          <w:rPr>
            <w:rFonts w:ascii="Garamond" w:hAnsi="Garamond"/>
            <w:noProof/>
            <w:webHidden/>
            <w:sz w:val="24"/>
            <w:szCs w:val="24"/>
          </w:rPr>
          <w:fldChar w:fldCharType="end"/>
        </w:r>
      </w:hyperlink>
    </w:p>
    <w:p w14:paraId="103C6E4A" w14:textId="1563BEB9" w:rsidR="00CE6213" w:rsidRPr="000B0018" w:rsidRDefault="004C1C27" w:rsidP="00AB6AD4">
      <w:pPr>
        <w:pStyle w:val="TOC2"/>
        <w:rPr>
          <w:rFonts w:eastAsiaTheme="minorEastAsia" w:cstheme="minorBidi"/>
          <w:noProof/>
          <w:lang w:eastAsia="en-AU"/>
        </w:rPr>
      </w:pPr>
      <w:hyperlink w:anchor="_Toc389142070" w:history="1">
        <w:r w:rsidR="00CE6213" w:rsidRPr="000B0018">
          <w:rPr>
            <w:rStyle w:val="Hyperlink"/>
            <w:rFonts w:ascii="Garamond" w:hAnsi="Garamond"/>
            <w:noProof/>
            <w:sz w:val="24"/>
            <w:szCs w:val="24"/>
          </w:rPr>
          <w:t>Appendix B</w:t>
        </w:r>
        <w:r w:rsidR="00AB6AD4">
          <w:rPr>
            <w:rFonts w:eastAsiaTheme="minorEastAsia" w:cstheme="minorBidi"/>
            <w:noProof/>
            <w:lang w:eastAsia="en-AU"/>
          </w:rPr>
          <w:t xml:space="preserve">   </w:t>
        </w:r>
        <w:r w:rsidR="00CE6213" w:rsidRPr="000B0018">
          <w:rPr>
            <w:rStyle w:val="Hyperlink"/>
            <w:rFonts w:ascii="Garamond" w:hAnsi="Garamond"/>
            <w:noProof/>
            <w:sz w:val="24"/>
            <w:szCs w:val="24"/>
          </w:rPr>
          <w:t>Search strategies</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_Toc389142070 \h </w:instrText>
        </w:r>
        <w:r w:rsidR="00CE6213" w:rsidRPr="000B0018">
          <w:rPr>
            <w:noProof/>
            <w:webHidden/>
          </w:rPr>
        </w:r>
        <w:r w:rsidR="00CE6213" w:rsidRPr="000B0018">
          <w:rPr>
            <w:noProof/>
            <w:webHidden/>
          </w:rPr>
          <w:fldChar w:fldCharType="separate"/>
        </w:r>
        <w:r>
          <w:rPr>
            <w:noProof/>
            <w:webHidden/>
          </w:rPr>
          <w:t>83</w:t>
        </w:r>
        <w:r w:rsidR="00CE6213" w:rsidRPr="000B0018">
          <w:rPr>
            <w:noProof/>
            <w:webHidden/>
          </w:rPr>
          <w:fldChar w:fldCharType="end"/>
        </w:r>
      </w:hyperlink>
    </w:p>
    <w:p w14:paraId="795FBF4E" w14:textId="2D48A926" w:rsidR="00CE6213" w:rsidRPr="000B0018" w:rsidRDefault="004C1C27" w:rsidP="00AB6AD4">
      <w:pPr>
        <w:pStyle w:val="TOC2"/>
        <w:rPr>
          <w:rFonts w:eastAsiaTheme="minorEastAsia" w:cstheme="minorBidi"/>
          <w:noProof/>
          <w:lang w:eastAsia="en-AU"/>
        </w:rPr>
      </w:pPr>
      <w:hyperlink w:anchor="_Toc389142071" w:history="1">
        <w:r w:rsidR="00CE6213" w:rsidRPr="000B0018">
          <w:rPr>
            <w:rStyle w:val="Hyperlink"/>
            <w:rFonts w:ascii="Garamond" w:hAnsi="Garamond"/>
            <w:noProof/>
            <w:sz w:val="24"/>
            <w:szCs w:val="24"/>
          </w:rPr>
          <w:t>Appendix C</w:t>
        </w:r>
        <w:r w:rsidR="00AB6AD4">
          <w:rPr>
            <w:rFonts w:eastAsiaTheme="minorEastAsia" w:cstheme="minorBidi"/>
            <w:noProof/>
            <w:lang w:eastAsia="en-AU"/>
          </w:rPr>
          <w:t xml:space="preserve">   </w:t>
        </w:r>
        <w:r w:rsidR="00CE6213" w:rsidRPr="000B0018">
          <w:rPr>
            <w:rStyle w:val="Hyperlink"/>
            <w:rFonts w:ascii="Garamond" w:hAnsi="Garamond"/>
            <w:noProof/>
            <w:sz w:val="24"/>
            <w:szCs w:val="24"/>
          </w:rPr>
          <w:t>Existing Systematic Reviews and HTA reports</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_Toc389142071 \h </w:instrText>
        </w:r>
        <w:r w:rsidR="00CE6213" w:rsidRPr="000B0018">
          <w:rPr>
            <w:noProof/>
            <w:webHidden/>
          </w:rPr>
        </w:r>
        <w:r w:rsidR="00CE6213" w:rsidRPr="000B0018">
          <w:rPr>
            <w:noProof/>
            <w:webHidden/>
          </w:rPr>
          <w:fldChar w:fldCharType="separate"/>
        </w:r>
        <w:r>
          <w:rPr>
            <w:noProof/>
            <w:webHidden/>
          </w:rPr>
          <w:t>84</w:t>
        </w:r>
        <w:r w:rsidR="00CE6213" w:rsidRPr="000B0018">
          <w:rPr>
            <w:noProof/>
            <w:webHidden/>
          </w:rPr>
          <w:fldChar w:fldCharType="end"/>
        </w:r>
      </w:hyperlink>
    </w:p>
    <w:p w14:paraId="693B1CE7" w14:textId="578DD7FE" w:rsidR="00CE6213" w:rsidRPr="000B0018" w:rsidRDefault="004C1C27" w:rsidP="00AB6AD4">
      <w:pPr>
        <w:pStyle w:val="TOC2"/>
        <w:rPr>
          <w:rFonts w:eastAsiaTheme="minorEastAsia" w:cstheme="minorBidi"/>
          <w:noProof/>
          <w:lang w:eastAsia="en-AU"/>
        </w:rPr>
      </w:pPr>
      <w:hyperlink w:anchor="_Toc389142072" w:history="1">
        <w:r w:rsidR="00CE6213" w:rsidRPr="000B0018">
          <w:rPr>
            <w:rStyle w:val="Hyperlink"/>
            <w:rFonts w:ascii="Garamond" w:hAnsi="Garamond"/>
            <w:noProof/>
            <w:sz w:val="24"/>
            <w:szCs w:val="24"/>
          </w:rPr>
          <w:t xml:space="preserve">Appendix D </w:t>
        </w:r>
        <w:r w:rsidR="00AB6AD4">
          <w:rPr>
            <w:rStyle w:val="Hyperlink"/>
            <w:rFonts w:ascii="Garamond" w:hAnsi="Garamond"/>
            <w:noProof/>
            <w:sz w:val="24"/>
            <w:szCs w:val="24"/>
          </w:rPr>
          <w:t xml:space="preserve"> </w:t>
        </w:r>
        <w:r w:rsidR="00CE6213" w:rsidRPr="000B0018">
          <w:rPr>
            <w:rStyle w:val="Hyperlink"/>
            <w:rFonts w:ascii="Garamond" w:hAnsi="Garamond"/>
            <w:noProof/>
            <w:sz w:val="24"/>
            <w:szCs w:val="24"/>
          </w:rPr>
          <w:t>Additional tables for the economic evaluation</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_Toc389142072 \h </w:instrText>
        </w:r>
        <w:r w:rsidR="00CE6213" w:rsidRPr="000B0018">
          <w:rPr>
            <w:noProof/>
            <w:webHidden/>
          </w:rPr>
        </w:r>
        <w:r w:rsidR="00CE6213" w:rsidRPr="000B0018">
          <w:rPr>
            <w:noProof/>
            <w:webHidden/>
          </w:rPr>
          <w:fldChar w:fldCharType="separate"/>
        </w:r>
        <w:r>
          <w:rPr>
            <w:noProof/>
            <w:webHidden/>
          </w:rPr>
          <w:t>85</w:t>
        </w:r>
        <w:r w:rsidR="00CE6213" w:rsidRPr="000B0018">
          <w:rPr>
            <w:noProof/>
            <w:webHidden/>
          </w:rPr>
          <w:fldChar w:fldCharType="end"/>
        </w:r>
      </w:hyperlink>
    </w:p>
    <w:p w14:paraId="1BD0B6A4" w14:textId="77777777" w:rsidR="00CE6213" w:rsidRPr="000B0018" w:rsidRDefault="004C1C27">
      <w:pPr>
        <w:pStyle w:val="TOC3"/>
        <w:rPr>
          <w:rFonts w:ascii="Garamond" w:eastAsiaTheme="minorEastAsia" w:hAnsi="Garamond" w:cstheme="minorBidi"/>
          <w:noProof/>
          <w:sz w:val="24"/>
          <w:szCs w:val="24"/>
          <w:lang w:eastAsia="en-AU"/>
        </w:rPr>
      </w:pPr>
      <w:hyperlink w:anchor="_Toc389142073" w:history="1">
        <w:r w:rsidR="00CE6213" w:rsidRPr="000B0018">
          <w:rPr>
            <w:rStyle w:val="Hyperlink"/>
            <w:rFonts w:ascii="Garamond" w:hAnsi="Garamond"/>
            <w:noProof/>
            <w:sz w:val="24"/>
            <w:szCs w:val="24"/>
          </w:rPr>
          <w:t>Structure of the economic model</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_Toc389142073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85</w:t>
        </w:r>
        <w:r w:rsidR="00CE6213" w:rsidRPr="000B0018">
          <w:rPr>
            <w:rFonts w:ascii="Garamond" w:hAnsi="Garamond"/>
            <w:noProof/>
            <w:webHidden/>
            <w:sz w:val="24"/>
            <w:szCs w:val="24"/>
          </w:rPr>
          <w:fldChar w:fldCharType="end"/>
        </w:r>
      </w:hyperlink>
    </w:p>
    <w:p w14:paraId="30FB7A8F" w14:textId="77777777" w:rsidR="00CE6213" w:rsidRPr="000B0018" w:rsidRDefault="004C1C27">
      <w:pPr>
        <w:pStyle w:val="TOC3"/>
        <w:rPr>
          <w:rFonts w:ascii="Garamond" w:eastAsiaTheme="minorEastAsia" w:hAnsi="Garamond" w:cstheme="minorBidi"/>
          <w:noProof/>
          <w:sz w:val="24"/>
          <w:szCs w:val="24"/>
          <w:lang w:eastAsia="en-AU"/>
        </w:rPr>
      </w:pPr>
      <w:hyperlink w:anchor="_Toc389142074" w:history="1">
        <w:r w:rsidR="00CE6213" w:rsidRPr="000B0018">
          <w:rPr>
            <w:rStyle w:val="Hyperlink"/>
            <w:rFonts w:ascii="Garamond" w:hAnsi="Garamond"/>
            <w:noProof/>
            <w:sz w:val="24"/>
            <w:szCs w:val="24"/>
          </w:rPr>
          <w:t>Meta-analysis of the efficacy of rTMS and ECT</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_Toc389142074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86</w:t>
        </w:r>
        <w:r w:rsidR="00CE6213" w:rsidRPr="000B0018">
          <w:rPr>
            <w:rFonts w:ascii="Garamond" w:hAnsi="Garamond"/>
            <w:noProof/>
            <w:webHidden/>
            <w:sz w:val="24"/>
            <w:szCs w:val="24"/>
          </w:rPr>
          <w:fldChar w:fldCharType="end"/>
        </w:r>
      </w:hyperlink>
    </w:p>
    <w:p w14:paraId="3A9996A4" w14:textId="77777777" w:rsidR="00CE6213" w:rsidRPr="000B0018" w:rsidRDefault="004C1C27">
      <w:pPr>
        <w:pStyle w:val="TOC3"/>
        <w:rPr>
          <w:rFonts w:ascii="Garamond" w:eastAsiaTheme="minorEastAsia" w:hAnsi="Garamond" w:cstheme="minorBidi"/>
          <w:noProof/>
          <w:sz w:val="24"/>
          <w:szCs w:val="24"/>
          <w:lang w:eastAsia="en-AU"/>
        </w:rPr>
      </w:pPr>
      <w:hyperlink w:anchor="_Toc389142075" w:history="1">
        <w:r w:rsidR="00CE6213" w:rsidRPr="000B0018">
          <w:rPr>
            <w:rStyle w:val="Hyperlink"/>
            <w:rFonts w:ascii="Garamond" w:hAnsi="Garamond"/>
            <w:noProof/>
            <w:sz w:val="24"/>
            <w:szCs w:val="24"/>
          </w:rPr>
          <w:t>Quality of life measurement</w:t>
        </w:r>
        <w:r w:rsidR="00CE6213" w:rsidRPr="000B0018">
          <w:rPr>
            <w:rFonts w:ascii="Garamond" w:hAnsi="Garamond"/>
            <w:noProof/>
            <w:webHidden/>
            <w:sz w:val="24"/>
            <w:szCs w:val="24"/>
          </w:rPr>
          <w:tab/>
        </w:r>
        <w:r w:rsidR="00CE6213" w:rsidRPr="000B0018">
          <w:rPr>
            <w:rFonts w:ascii="Garamond" w:hAnsi="Garamond"/>
            <w:noProof/>
            <w:webHidden/>
            <w:sz w:val="24"/>
            <w:szCs w:val="24"/>
          </w:rPr>
          <w:fldChar w:fldCharType="begin"/>
        </w:r>
        <w:r w:rsidR="00CE6213" w:rsidRPr="000B0018">
          <w:rPr>
            <w:rFonts w:ascii="Garamond" w:hAnsi="Garamond"/>
            <w:noProof/>
            <w:webHidden/>
            <w:sz w:val="24"/>
            <w:szCs w:val="24"/>
          </w:rPr>
          <w:instrText xml:space="preserve"> PAGEREF _Toc389142075 \h </w:instrText>
        </w:r>
        <w:r w:rsidR="00CE6213" w:rsidRPr="000B0018">
          <w:rPr>
            <w:rFonts w:ascii="Garamond" w:hAnsi="Garamond"/>
            <w:noProof/>
            <w:webHidden/>
            <w:sz w:val="24"/>
            <w:szCs w:val="24"/>
          </w:rPr>
        </w:r>
        <w:r w:rsidR="00CE6213" w:rsidRPr="000B0018">
          <w:rPr>
            <w:rFonts w:ascii="Garamond" w:hAnsi="Garamond"/>
            <w:noProof/>
            <w:webHidden/>
            <w:sz w:val="24"/>
            <w:szCs w:val="24"/>
          </w:rPr>
          <w:fldChar w:fldCharType="separate"/>
        </w:r>
        <w:r>
          <w:rPr>
            <w:rFonts w:ascii="Garamond" w:hAnsi="Garamond"/>
            <w:noProof/>
            <w:webHidden/>
            <w:sz w:val="24"/>
            <w:szCs w:val="24"/>
          </w:rPr>
          <w:t>88</w:t>
        </w:r>
        <w:r w:rsidR="00CE6213" w:rsidRPr="000B0018">
          <w:rPr>
            <w:rFonts w:ascii="Garamond" w:hAnsi="Garamond"/>
            <w:noProof/>
            <w:webHidden/>
            <w:sz w:val="24"/>
            <w:szCs w:val="24"/>
          </w:rPr>
          <w:fldChar w:fldCharType="end"/>
        </w:r>
      </w:hyperlink>
    </w:p>
    <w:p w14:paraId="3134F17D" w14:textId="77777777" w:rsidR="00CE6213" w:rsidRPr="000B0018" w:rsidRDefault="004C1C27" w:rsidP="00AB6AD4">
      <w:pPr>
        <w:pStyle w:val="TOC2"/>
        <w:rPr>
          <w:rFonts w:eastAsiaTheme="minorEastAsia" w:cstheme="minorBidi"/>
          <w:noProof/>
          <w:lang w:eastAsia="en-AU"/>
        </w:rPr>
      </w:pPr>
      <w:hyperlink w:anchor="_Toc389142076" w:history="1">
        <w:r w:rsidR="00CE6213" w:rsidRPr="000B0018">
          <w:rPr>
            <w:rStyle w:val="Hyperlink"/>
            <w:rFonts w:ascii="Garamond" w:hAnsi="Garamond"/>
            <w:noProof/>
            <w:sz w:val="24"/>
            <w:szCs w:val="24"/>
          </w:rPr>
          <w:t>Glossary and abbreviations</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_Toc389142076 \h </w:instrText>
        </w:r>
        <w:r w:rsidR="00CE6213" w:rsidRPr="000B0018">
          <w:rPr>
            <w:noProof/>
            <w:webHidden/>
          </w:rPr>
        </w:r>
        <w:r w:rsidR="00CE6213" w:rsidRPr="000B0018">
          <w:rPr>
            <w:noProof/>
            <w:webHidden/>
          </w:rPr>
          <w:fldChar w:fldCharType="separate"/>
        </w:r>
        <w:r>
          <w:rPr>
            <w:noProof/>
            <w:webHidden/>
          </w:rPr>
          <w:t>91</w:t>
        </w:r>
        <w:r w:rsidR="00CE6213" w:rsidRPr="000B0018">
          <w:rPr>
            <w:noProof/>
            <w:webHidden/>
          </w:rPr>
          <w:fldChar w:fldCharType="end"/>
        </w:r>
      </w:hyperlink>
    </w:p>
    <w:p w14:paraId="57210F11" w14:textId="77777777" w:rsidR="00CE6213" w:rsidRDefault="004C1C27" w:rsidP="00AB6AD4">
      <w:pPr>
        <w:pStyle w:val="TOC2"/>
        <w:rPr>
          <w:rFonts w:eastAsiaTheme="minorEastAsia" w:cstheme="minorBidi"/>
          <w:noProof/>
          <w:lang w:eastAsia="en-AU"/>
        </w:rPr>
      </w:pPr>
      <w:hyperlink w:anchor="_Toc389142077" w:history="1">
        <w:r w:rsidR="00CE6213" w:rsidRPr="000B0018">
          <w:rPr>
            <w:rStyle w:val="Hyperlink"/>
            <w:rFonts w:ascii="Garamond" w:hAnsi="Garamond"/>
            <w:noProof/>
            <w:sz w:val="24"/>
            <w:szCs w:val="24"/>
          </w:rPr>
          <w:t>References</w:t>
        </w:r>
        <w:r w:rsidR="00CE6213" w:rsidRPr="000B0018">
          <w:rPr>
            <w:noProof/>
            <w:webHidden/>
          </w:rPr>
          <w:tab/>
        </w:r>
        <w:r w:rsidR="00CE6213" w:rsidRPr="000B0018">
          <w:rPr>
            <w:noProof/>
            <w:webHidden/>
          </w:rPr>
          <w:fldChar w:fldCharType="begin"/>
        </w:r>
        <w:r w:rsidR="00CE6213" w:rsidRPr="000B0018">
          <w:rPr>
            <w:noProof/>
            <w:webHidden/>
          </w:rPr>
          <w:instrText xml:space="preserve"> PAGEREF _Toc389142077 \h </w:instrText>
        </w:r>
        <w:r w:rsidR="00CE6213" w:rsidRPr="000B0018">
          <w:rPr>
            <w:noProof/>
            <w:webHidden/>
          </w:rPr>
        </w:r>
        <w:r w:rsidR="00CE6213" w:rsidRPr="000B0018">
          <w:rPr>
            <w:noProof/>
            <w:webHidden/>
          </w:rPr>
          <w:fldChar w:fldCharType="separate"/>
        </w:r>
        <w:r>
          <w:rPr>
            <w:noProof/>
            <w:webHidden/>
          </w:rPr>
          <w:t>92</w:t>
        </w:r>
        <w:r w:rsidR="00CE6213" w:rsidRPr="000B0018">
          <w:rPr>
            <w:noProof/>
            <w:webHidden/>
          </w:rPr>
          <w:fldChar w:fldCharType="end"/>
        </w:r>
      </w:hyperlink>
    </w:p>
    <w:p w14:paraId="507FE60F" w14:textId="77777777" w:rsidR="008F59A8" w:rsidRPr="00C9782D" w:rsidRDefault="00681C22" w:rsidP="00397B17">
      <w:pPr>
        <w:pStyle w:val="Heading2"/>
      </w:pPr>
      <w:r w:rsidRPr="00011DBC">
        <w:rPr>
          <w:rFonts w:ascii="Garamond" w:hAnsi="Garamond"/>
          <w:caps/>
          <w:sz w:val="24"/>
          <w:szCs w:val="24"/>
        </w:rPr>
        <w:lastRenderedPageBreak/>
        <w:fldChar w:fldCharType="end"/>
      </w:r>
      <w:r w:rsidR="008F59A8" w:rsidRPr="00A158A3">
        <w:t>Tables</w:t>
      </w:r>
    </w:p>
    <w:p w14:paraId="5CB782CD" w14:textId="77777777" w:rsidR="00397B17" w:rsidRDefault="00397B17">
      <w:pPr>
        <w:pStyle w:val="TableofFigures"/>
      </w:pPr>
    </w:p>
    <w:p w14:paraId="7B7E056D" w14:textId="77777777" w:rsidR="00C64C2D" w:rsidRDefault="006258B7">
      <w:pPr>
        <w:pStyle w:val="TableofFigures"/>
        <w:rPr>
          <w:rFonts w:asciiTheme="minorHAnsi" w:eastAsiaTheme="minorEastAsia" w:hAnsiTheme="minorHAnsi" w:cstheme="minorBidi"/>
          <w:sz w:val="22"/>
          <w:szCs w:val="22"/>
          <w:lang w:eastAsia="en-AU"/>
        </w:rPr>
      </w:pPr>
      <w:r>
        <w:fldChar w:fldCharType="begin"/>
      </w:r>
      <w:r>
        <w:instrText xml:space="preserve"> TOC \h \z \t "TableName" \c </w:instrText>
      </w:r>
      <w:r>
        <w:fldChar w:fldCharType="separate"/>
      </w:r>
      <w:hyperlink w:anchor="_Toc389143571" w:history="1">
        <w:r w:rsidR="00C64C2D" w:rsidRPr="00442F9D">
          <w:rPr>
            <w:rStyle w:val="Hyperlink"/>
          </w:rPr>
          <w:t>Table ES.1: Summary of common adverse events for rTMS, antidepressants and ECT</w:t>
        </w:r>
        <w:r w:rsidR="00C64C2D">
          <w:rPr>
            <w:webHidden/>
          </w:rPr>
          <w:tab/>
        </w:r>
        <w:r w:rsidR="00C64C2D">
          <w:rPr>
            <w:webHidden/>
          </w:rPr>
          <w:fldChar w:fldCharType="begin"/>
        </w:r>
        <w:r w:rsidR="00C64C2D">
          <w:rPr>
            <w:webHidden/>
          </w:rPr>
          <w:instrText xml:space="preserve"> PAGEREF _Toc389143571 \h </w:instrText>
        </w:r>
        <w:r w:rsidR="00C64C2D">
          <w:rPr>
            <w:webHidden/>
          </w:rPr>
        </w:r>
        <w:r w:rsidR="00C64C2D">
          <w:rPr>
            <w:webHidden/>
          </w:rPr>
          <w:fldChar w:fldCharType="separate"/>
        </w:r>
        <w:r w:rsidR="004C1C27">
          <w:rPr>
            <w:webHidden/>
          </w:rPr>
          <w:t>11</w:t>
        </w:r>
        <w:r w:rsidR="00C64C2D">
          <w:rPr>
            <w:webHidden/>
          </w:rPr>
          <w:fldChar w:fldCharType="end"/>
        </w:r>
      </w:hyperlink>
    </w:p>
    <w:p w14:paraId="2CA32322" w14:textId="77777777" w:rsidR="00C64C2D" w:rsidRDefault="004C1C27">
      <w:pPr>
        <w:pStyle w:val="TableofFigures"/>
        <w:rPr>
          <w:rFonts w:asciiTheme="minorHAnsi" w:eastAsiaTheme="minorEastAsia" w:hAnsiTheme="minorHAnsi" w:cstheme="minorBidi"/>
          <w:sz w:val="22"/>
          <w:szCs w:val="22"/>
          <w:lang w:eastAsia="en-AU"/>
        </w:rPr>
      </w:pPr>
      <w:hyperlink w:anchor="_Toc389143572" w:history="1">
        <w:r w:rsidR="00C64C2D" w:rsidRPr="00442F9D">
          <w:rPr>
            <w:rStyle w:val="Hyperlink"/>
          </w:rPr>
          <w:t>Table ES.2: Summary of studies/reports included in the assessment of effectiveness and safety of rTMS</w:t>
        </w:r>
        <w:r w:rsidR="00C64C2D">
          <w:rPr>
            <w:webHidden/>
          </w:rPr>
          <w:tab/>
        </w:r>
        <w:r w:rsidR="00C64C2D">
          <w:rPr>
            <w:webHidden/>
          </w:rPr>
          <w:fldChar w:fldCharType="begin"/>
        </w:r>
        <w:r w:rsidR="00C64C2D">
          <w:rPr>
            <w:webHidden/>
          </w:rPr>
          <w:instrText xml:space="preserve"> PAGEREF _Toc389143572 \h </w:instrText>
        </w:r>
        <w:r w:rsidR="00C64C2D">
          <w:rPr>
            <w:webHidden/>
          </w:rPr>
        </w:r>
        <w:r w:rsidR="00C64C2D">
          <w:rPr>
            <w:webHidden/>
          </w:rPr>
          <w:fldChar w:fldCharType="separate"/>
        </w:r>
        <w:r>
          <w:rPr>
            <w:webHidden/>
          </w:rPr>
          <w:t>11</w:t>
        </w:r>
        <w:r w:rsidR="00C64C2D">
          <w:rPr>
            <w:webHidden/>
          </w:rPr>
          <w:fldChar w:fldCharType="end"/>
        </w:r>
      </w:hyperlink>
    </w:p>
    <w:p w14:paraId="09878A06" w14:textId="77777777" w:rsidR="00C64C2D" w:rsidRDefault="004C1C27">
      <w:pPr>
        <w:pStyle w:val="TableofFigures"/>
        <w:rPr>
          <w:rFonts w:asciiTheme="minorHAnsi" w:eastAsiaTheme="minorEastAsia" w:hAnsiTheme="minorHAnsi" w:cstheme="minorBidi"/>
          <w:sz w:val="22"/>
          <w:szCs w:val="22"/>
          <w:lang w:eastAsia="en-AU"/>
        </w:rPr>
      </w:pPr>
      <w:hyperlink w:anchor="_Toc389143573" w:history="1">
        <w:r w:rsidR="00C64C2D" w:rsidRPr="00442F9D">
          <w:rPr>
            <w:rStyle w:val="Hyperlink"/>
          </w:rPr>
          <w:t>Table ES.3: Key economic evaluation findings (3 year duration)</w:t>
        </w:r>
        <w:r w:rsidR="00C64C2D">
          <w:rPr>
            <w:webHidden/>
          </w:rPr>
          <w:tab/>
        </w:r>
        <w:r w:rsidR="00C64C2D">
          <w:rPr>
            <w:webHidden/>
          </w:rPr>
          <w:fldChar w:fldCharType="begin"/>
        </w:r>
        <w:r w:rsidR="00C64C2D">
          <w:rPr>
            <w:webHidden/>
          </w:rPr>
          <w:instrText xml:space="preserve"> PAGEREF _Toc389143573 \h </w:instrText>
        </w:r>
        <w:r w:rsidR="00C64C2D">
          <w:rPr>
            <w:webHidden/>
          </w:rPr>
        </w:r>
        <w:r w:rsidR="00C64C2D">
          <w:rPr>
            <w:webHidden/>
          </w:rPr>
          <w:fldChar w:fldCharType="separate"/>
        </w:r>
        <w:r>
          <w:rPr>
            <w:webHidden/>
          </w:rPr>
          <w:t>13</w:t>
        </w:r>
        <w:r w:rsidR="00C64C2D">
          <w:rPr>
            <w:webHidden/>
          </w:rPr>
          <w:fldChar w:fldCharType="end"/>
        </w:r>
      </w:hyperlink>
    </w:p>
    <w:p w14:paraId="2FC6C446" w14:textId="77777777" w:rsidR="00C64C2D" w:rsidRDefault="004C1C27">
      <w:pPr>
        <w:pStyle w:val="TableofFigures"/>
        <w:rPr>
          <w:rFonts w:asciiTheme="minorHAnsi" w:eastAsiaTheme="minorEastAsia" w:hAnsiTheme="minorHAnsi" w:cstheme="minorBidi"/>
          <w:sz w:val="22"/>
          <w:szCs w:val="22"/>
          <w:lang w:eastAsia="en-AU"/>
        </w:rPr>
      </w:pPr>
      <w:hyperlink w:anchor="_Toc389143574" w:history="1">
        <w:r w:rsidR="00C64C2D" w:rsidRPr="00442F9D">
          <w:rPr>
            <w:rStyle w:val="Hyperlink"/>
          </w:rPr>
          <w:t>Table ES.4: Summary of financial estimates for rTMS funding</w:t>
        </w:r>
        <w:r w:rsidR="00C64C2D">
          <w:rPr>
            <w:webHidden/>
          </w:rPr>
          <w:tab/>
        </w:r>
        <w:r w:rsidR="00C64C2D">
          <w:rPr>
            <w:webHidden/>
          </w:rPr>
          <w:fldChar w:fldCharType="begin"/>
        </w:r>
        <w:r w:rsidR="00C64C2D">
          <w:rPr>
            <w:webHidden/>
          </w:rPr>
          <w:instrText xml:space="preserve"> PAGEREF _Toc389143574 \h </w:instrText>
        </w:r>
        <w:r w:rsidR="00C64C2D">
          <w:rPr>
            <w:webHidden/>
          </w:rPr>
        </w:r>
        <w:r w:rsidR="00C64C2D">
          <w:rPr>
            <w:webHidden/>
          </w:rPr>
          <w:fldChar w:fldCharType="separate"/>
        </w:r>
        <w:r>
          <w:rPr>
            <w:webHidden/>
          </w:rPr>
          <w:t>13</w:t>
        </w:r>
        <w:r w:rsidR="00C64C2D">
          <w:rPr>
            <w:webHidden/>
          </w:rPr>
          <w:fldChar w:fldCharType="end"/>
        </w:r>
      </w:hyperlink>
    </w:p>
    <w:p w14:paraId="77647ED4" w14:textId="77777777" w:rsidR="00C64C2D" w:rsidRDefault="004C1C27">
      <w:pPr>
        <w:pStyle w:val="TableofFigures"/>
        <w:rPr>
          <w:rFonts w:asciiTheme="minorHAnsi" w:eastAsiaTheme="minorEastAsia" w:hAnsiTheme="minorHAnsi" w:cstheme="minorBidi"/>
          <w:sz w:val="22"/>
          <w:szCs w:val="22"/>
          <w:lang w:eastAsia="en-AU"/>
        </w:rPr>
      </w:pPr>
      <w:hyperlink w:anchor="_Toc389143575" w:history="1">
        <w:r w:rsidR="00C64C2D" w:rsidRPr="00442F9D">
          <w:rPr>
            <w:rStyle w:val="Hyperlink"/>
          </w:rPr>
          <w:t>Table 1: Magnetic stimulators registered in Australia for rTMS</w:t>
        </w:r>
        <w:r w:rsidR="00C64C2D">
          <w:rPr>
            <w:webHidden/>
          </w:rPr>
          <w:tab/>
        </w:r>
        <w:r w:rsidR="00C64C2D">
          <w:rPr>
            <w:webHidden/>
          </w:rPr>
          <w:fldChar w:fldCharType="begin"/>
        </w:r>
        <w:r w:rsidR="00C64C2D">
          <w:rPr>
            <w:webHidden/>
          </w:rPr>
          <w:instrText xml:space="preserve"> PAGEREF _Toc389143575 \h </w:instrText>
        </w:r>
        <w:r w:rsidR="00C64C2D">
          <w:rPr>
            <w:webHidden/>
          </w:rPr>
        </w:r>
        <w:r w:rsidR="00C64C2D">
          <w:rPr>
            <w:webHidden/>
          </w:rPr>
          <w:fldChar w:fldCharType="separate"/>
        </w:r>
        <w:r>
          <w:rPr>
            <w:webHidden/>
          </w:rPr>
          <w:t>18</w:t>
        </w:r>
        <w:r w:rsidR="00C64C2D">
          <w:rPr>
            <w:webHidden/>
          </w:rPr>
          <w:fldChar w:fldCharType="end"/>
        </w:r>
      </w:hyperlink>
    </w:p>
    <w:p w14:paraId="65627D34" w14:textId="77777777" w:rsidR="00C64C2D" w:rsidRDefault="004C1C27">
      <w:pPr>
        <w:pStyle w:val="TableofFigures"/>
        <w:rPr>
          <w:rFonts w:asciiTheme="minorHAnsi" w:eastAsiaTheme="minorEastAsia" w:hAnsiTheme="minorHAnsi" w:cstheme="minorBidi"/>
          <w:sz w:val="22"/>
          <w:szCs w:val="22"/>
          <w:lang w:eastAsia="en-AU"/>
        </w:rPr>
      </w:pPr>
      <w:hyperlink w:anchor="_Toc389143576" w:history="1">
        <w:r w:rsidR="00C64C2D" w:rsidRPr="00442F9D">
          <w:rPr>
            <w:rStyle w:val="Hyperlink"/>
          </w:rPr>
          <w:t>Table 2: Summary of PICO</w:t>
        </w:r>
        <w:r w:rsidR="00C64C2D">
          <w:rPr>
            <w:webHidden/>
          </w:rPr>
          <w:tab/>
        </w:r>
        <w:r w:rsidR="00C64C2D">
          <w:rPr>
            <w:webHidden/>
          </w:rPr>
          <w:fldChar w:fldCharType="begin"/>
        </w:r>
        <w:r w:rsidR="00C64C2D">
          <w:rPr>
            <w:webHidden/>
          </w:rPr>
          <w:instrText xml:space="preserve"> PAGEREF _Toc389143576 \h </w:instrText>
        </w:r>
        <w:r w:rsidR="00C64C2D">
          <w:rPr>
            <w:webHidden/>
          </w:rPr>
        </w:r>
        <w:r w:rsidR="00C64C2D">
          <w:rPr>
            <w:webHidden/>
          </w:rPr>
          <w:fldChar w:fldCharType="separate"/>
        </w:r>
        <w:r>
          <w:rPr>
            <w:webHidden/>
          </w:rPr>
          <w:t>24</w:t>
        </w:r>
        <w:r w:rsidR="00C64C2D">
          <w:rPr>
            <w:webHidden/>
          </w:rPr>
          <w:fldChar w:fldCharType="end"/>
        </w:r>
      </w:hyperlink>
    </w:p>
    <w:p w14:paraId="0E6A2D34" w14:textId="77777777" w:rsidR="00C64C2D" w:rsidRDefault="004C1C27">
      <w:pPr>
        <w:pStyle w:val="TableofFigures"/>
        <w:rPr>
          <w:rFonts w:asciiTheme="minorHAnsi" w:eastAsiaTheme="minorEastAsia" w:hAnsiTheme="minorHAnsi" w:cstheme="minorBidi"/>
          <w:sz w:val="22"/>
          <w:szCs w:val="22"/>
          <w:lang w:eastAsia="en-AU"/>
        </w:rPr>
      </w:pPr>
      <w:hyperlink w:anchor="_Toc389143577" w:history="1">
        <w:r w:rsidR="00C64C2D" w:rsidRPr="00442F9D">
          <w:rPr>
            <w:rStyle w:val="Hyperlink"/>
          </w:rPr>
          <w:t>Table 3: Summary of studies/reports included in the assessment of effectiveness and safety of rTMS</w:t>
        </w:r>
        <w:r w:rsidR="00C64C2D">
          <w:rPr>
            <w:webHidden/>
          </w:rPr>
          <w:tab/>
        </w:r>
        <w:r w:rsidR="00C64C2D">
          <w:rPr>
            <w:webHidden/>
          </w:rPr>
          <w:fldChar w:fldCharType="begin"/>
        </w:r>
        <w:r w:rsidR="00C64C2D">
          <w:rPr>
            <w:webHidden/>
          </w:rPr>
          <w:instrText xml:space="preserve"> PAGEREF _Toc389143577 \h </w:instrText>
        </w:r>
        <w:r w:rsidR="00C64C2D">
          <w:rPr>
            <w:webHidden/>
          </w:rPr>
        </w:r>
        <w:r w:rsidR="00C64C2D">
          <w:rPr>
            <w:webHidden/>
          </w:rPr>
          <w:fldChar w:fldCharType="separate"/>
        </w:r>
        <w:r>
          <w:rPr>
            <w:webHidden/>
          </w:rPr>
          <w:t>26</w:t>
        </w:r>
        <w:r w:rsidR="00C64C2D">
          <w:rPr>
            <w:webHidden/>
          </w:rPr>
          <w:fldChar w:fldCharType="end"/>
        </w:r>
      </w:hyperlink>
    </w:p>
    <w:p w14:paraId="1A54DA4B" w14:textId="77777777" w:rsidR="00C64C2D" w:rsidRDefault="004C1C27">
      <w:pPr>
        <w:pStyle w:val="TableofFigures"/>
        <w:rPr>
          <w:rFonts w:asciiTheme="minorHAnsi" w:eastAsiaTheme="minorEastAsia" w:hAnsiTheme="minorHAnsi" w:cstheme="minorBidi"/>
          <w:sz w:val="22"/>
          <w:szCs w:val="22"/>
          <w:lang w:eastAsia="en-AU"/>
        </w:rPr>
      </w:pPr>
      <w:hyperlink w:anchor="_Toc389143578" w:history="1">
        <w:r w:rsidR="00C64C2D" w:rsidRPr="00442F9D">
          <w:rPr>
            <w:rStyle w:val="Hyperlink"/>
          </w:rPr>
          <w:t>Table 4: Overview of NeuroStar registration trial - a randomized controlled clinical trial evaluating the acute safety and effectiveness of the NeuroStar TMS Therapy system in patients with TRD</w:t>
        </w:r>
        <w:r w:rsidR="00C64C2D">
          <w:rPr>
            <w:webHidden/>
          </w:rPr>
          <w:tab/>
        </w:r>
        <w:r w:rsidR="00C64C2D">
          <w:rPr>
            <w:webHidden/>
          </w:rPr>
          <w:fldChar w:fldCharType="begin"/>
        </w:r>
        <w:r w:rsidR="00C64C2D">
          <w:rPr>
            <w:webHidden/>
          </w:rPr>
          <w:instrText xml:space="preserve"> PAGEREF _Toc389143578 \h </w:instrText>
        </w:r>
        <w:r w:rsidR="00C64C2D">
          <w:rPr>
            <w:webHidden/>
          </w:rPr>
        </w:r>
        <w:r w:rsidR="00C64C2D">
          <w:rPr>
            <w:webHidden/>
          </w:rPr>
          <w:fldChar w:fldCharType="separate"/>
        </w:r>
        <w:r>
          <w:rPr>
            <w:webHidden/>
          </w:rPr>
          <w:t>28</w:t>
        </w:r>
        <w:r w:rsidR="00C64C2D">
          <w:rPr>
            <w:webHidden/>
          </w:rPr>
          <w:fldChar w:fldCharType="end"/>
        </w:r>
      </w:hyperlink>
    </w:p>
    <w:p w14:paraId="44471DC7" w14:textId="77777777" w:rsidR="00C64C2D" w:rsidRDefault="004C1C27">
      <w:pPr>
        <w:pStyle w:val="TableofFigures"/>
        <w:rPr>
          <w:rFonts w:asciiTheme="minorHAnsi" w:eastAsiaTheme="minorEastAsia" w:hAnsiTheme="minorHAnsi" w:cstheme="minorBidi"/>
          <w:sz w:val="22"/>
          <w:szCs w:val="22"/>
          <w:lang w:eastAsia="en-AU"/>
        </w:rPr>
      </w:pPr>
      <w:hyperlink w:anchor="_Toc389143579" w:history="1">
        <w:r w:rsidR="00C64C2D" w:rsidRPr="00442F9D">
          <w:rPr>
            <w:rStyle w:val="Hyperlink"/>
          </w:rPr>
          <w:t>Table 5: Overview of OPT-TMS study - a randomized controlled clinical trial providing additional safety and effectiveness data for the NeuroStar TMS Therapy system in patients with TRD</w:t>
        </w:r>
        <w:r w:rsidR="00C64C2D">
          <w:rPr>
            <w:webHidden/>
          </w:rPr>
          <w:tab/>
        </w:r>
        <w:r w:rsidR="00C64C2D">
          <w:rPr>
            <w:webHidden/>
          </w:rPr>
          <w:fldChar w:fldCharType="begin"/>
        </w:r>
        <w:r w:rsidR="00C64C2D">
          <w:rPr>
            <w:webHidden/>
          </w:rPr>
          <w:instrText xml:space="preserve"> PAGEREF _Toc389143579 \h </w:instrText>
        </w:r>
        <w:r w:rsidR="00C64C2D">
          <w:rPr>
            <w:webHidden/>
          </w:rPr>
        </w:r>
        <w:r w:rsidR="00C64C2D">
          <w:rPr>
            <w:webHidden/>
          </w:rPr>
          <w:fldChar w:fldCharType="separate"/>
        </w:r>
        <w:r>
          <w:rPr>
            <w:webHidden/>
          </w:rPr>
          <w:t>29</w:t>
        </w:r>
        <w:r w:rsidR="00C64C2D">
          <w:rPr>
            <w:webHidden/>
          </w:rPr>
          <w:fldChar w:fldCharType="end"/>
        </w:r>
      </w:hyperlink>
    </w:p>
    <w:p w14:paraId="774E2D69" w14:textId="77777777" w:rsidR="00C64C2D" w:rsidRDefault="004C1C27">
      <w:pPr>
        <w:pStyle w:val="TableofFigures"/>
        <w:rPr>
          <w:rFonts w:asciiTheme="minorHAnsi" w:eastAsiaTheme="minorEastAsia" w:hAnsiTheme="minorHAnsi" w:cstheme="minorBidi"/>
          <w:sz w:val="22"/>
          <w:szCs w:val="22"/>
          <w:lang w:eastAsia="en-AU"/>
        </w:rPr>
      </w:pPr>
      <w:hyperlink w:anchor="_Toc389143580" w:history="1">
        <w:r w:rsidR="00C64C2D" w:rsidRPr="00442F9D">
          <w:rPr>
            <w:rStyle w:val="Hyperlink"/>
          </w:rPr>
          <w:t>Table 6: Meta-analyses and qualitative reviews of the efficacy of rTMS vs. Sham</w:t>
        </w:r>
        <w:r w:rsidR="00C64C2D">
          <w:rPr>
            <w:webHidden/>
          </w:rPr>
          <w:tab/>
        </w:r>
        <w:r w:rsidR="00C64C2D">
          <w:rPr>
            <w:webHidden/>
          </w:rPr>
          <w:fldChar w:fldCharType="begin"/>
        </w:r>
        <w:r w:rsidR="00C64C2D">
          <w:rPr>
            <w:webHidden/>
          </w:rPr>
          <w:instrText xml:space="preserve"> PAGEREF _Toc389143580 \h </w:instrText>
        </w:r>
        <w:r w:rsidR="00C64C2D">
          <w:rPr>
            <w:webHidden/>
          </w:rPr>
        </w:r>
        <w:r w:rsidR="00C64C2D">
          <w:rPr>
            <w:webHidden/>
          </w:rPr>
          <w:fldChar w:fldCharType="separate"/>
        </w:r>
        <w:r>
          <w:rPr>
            <w:webHidden/>
          </w:rPr>
          <w:t>30</w:t>
        </w:r>
        <w:r w:rsidR="00C64C2D">
          <w:rPr>
            <w:webHidden/>
          </w:rPr>
          <w:fldChar w:fldCharType="end"/>
        </w:r>
      </w:hyperlink>
    </w:p>
    <w:p w14:paraId="0D311859" w14:textId="77777777" w:rsidR="00C64C2D" w:rsidRDefault="004C1C27">
      <w:pPr>
        <w:pStyle w:val="TableofFigures"/>
        <w:rPr>
          <w:rFonts w:asciiTheme="minorHAnsi" w:eastAsiaTheme="minorEastAsia" w:hAnsiTheme="minorHAnsi" w:cstheme="minorBidi"/>
          <w:sz w:val="22"/>
          <w:szCs w:val="22"/>
          <w:lang w:eastAsia="en-AU"/>
        </w:rPr>
      </w:pPr>
      <w:hyperlink w:anchor="_Toc389143581" w:history="1">
        <w:r w:rsidR="00C64C2D" w:rsidRPr="00442F9D">
          <w:rPr>
            <w:rStyle w:val="Hyperlink"/>
          </w:rPr>
          <w:t>Table 7: Overview of open-label clinical trials evaluating the acute safety and effectiveness of the NeuroStar TMS Therapy system in patients with TRD</w:t>
        </w:r>
        <w:r w:rsidR="00C64C2D">
          <w:rPr>
            <w:webHidden/>
          </w:rPr>
          <w:tab/>
        </w:r>
        <w:r w:rsidR="00C64C2D">
          <w:rPr>
            <w:webHidden/>
          </w:rPr>
          <w:fldChar w:fldCharType="begin"/>
        </w:r>
        <w:r w:rsidR="00C64C2D">
          <w:rPr>
            <w:webHidden/>
          </w:rPr>
          <w:instrText xml:space="preserve"> PAGEREF _Toc389143581 \h </w:instrText>
        </w:r>
        <w:r w:rsidR="00C64C2D">
          <w:rPr>
            <w:webHidden/>
          </w:rPr>
        </w:r>
        <w:r w:rsidR="00C64C2D">
          <w:rPr>
            <w:webHidden/>
          </w:rPr>
          <w:fldChar w:fldCharType="separate"/>
        </w:r>
        <w:r>
          <w:rPr>
            <w:webHidden/>
          </w:rPr>
          <w:t>31</w:t>
        </w:r>
        <w:r w:rsidR="00C64C2D">
          <w:rPr>
            <w:webHidden/>
          </w:rPr>
          <w:fldChar w:fldCharType="end"/>
        </w:r>
      </w:hyperlink>
    </w:p>
    <w:p w14:paraId="2F7FC3E8" w14:textId="77777777" w:rsidR="00C64C2D" w:rsidRDefault="004C1C27">
      <w:pPr>
        <w:pStyle w:val="TableofFigures"/>
        <w:rPr>
          <w:rFonts w:asciiTheme="minorHAnsi" w:eastAsiaTheme="minorEastAsia" w:hAnsiTheme="minorHAnsi" w:cstheme="minorBidi"/>
          <w:sz w:val="22"/>
          <w:szCs w:val="22"/>
          <w:lang w:eastAsia="en-AU"/>
        </w:rPr>
      </w:pPr>
      <w:hyperlink w:anchor="_Toc389143582" w:history="1">
        <w:r w:rsidR="00C64C2D" w:rsidRPr="00442F9D">
          <w:rPr>
            <w:rStyle w:val="Hyperlink"/>
          </w:rPr>
          <w:t>Table 8: Overview of open-label clinical trials evaluating the long-term durability of effect of the NeuroStar TMS Therapy System in patients with TRD</w:t>
        </w:r>
        <w:r w:rsidR="00C64C2D">
          <w:rPr>
            <w:webHidden/>
          </w:rPr>
          <w:tab/>
        </w:r>
        <w:r w:rsidR="00C64C2D">
          <w:rPr>
            <w:webHidden/>
          </w:rPr>
          <w:fldChar w:fldCharType="begin"/>
        </w:r>
        <w:r w:rsidR="00C64C2D">
          <w:rPr>
            <w:webHidden/>
          </w:rPr>
          <w:instrText xml:space="preserve"> PAGEREF _Toc389143582 \h </w:instrText>
        </w:r>
        <w:r w:rsidR="00C64C2D">
          <w:rPr>
            <w:webHidden/>
          </w:rPr>
        </w:r>
        <w:r w:rsidR="00C64C2D">
          <w:rPr>
            <w:webHidden/>
          </w:rPr>
          <w:fldChar w:fldCharType="separate"/>
        </w:r>
        <w:r>
          <w:rPr>
            <w:webHidden/>
          </w:rPr>
          <w:t>33</w:t>
        </w:r>
        <w:r w:rsidR="00C64C2D">
          <w:rPr>
            <w:webHidden/>
          </w:rPr>
          <w:fldChar w:fldCharType="end"/>
        </w:r>
      </w:hyperlink>
    </w:p>
    <w:p w14:paraId="538B7040" w14:textId="77777777" w:rsidR="00C64C2D" w:rsidRDefault="004C1C27">
      <w:pPr>
        <w:pStyle w:val="TableofFigures"/>
        <w:rPr>
          <w:rFonts w:asciiTheme="minorHAnsi" w:eastAsiaTheme="minorEastAsia" w:hAnsiTheme="minorHAnsi" w:cstheme="minorBidi"/>
          <w:sz w:val="22"/>
          <w:szCs w:val="22"/>
          <w:lang w:eastAsia="en-AU"/>
        </w:rPr>
      </w:pPr>
      <w:hyperlink w:anchor="_Toc389143583" w:history="1">
        <w:r w:rsidR="00C64C2D" w:rsidRPr="00442F9D">
          <w:rPr>
            <w:rStyle w:val="Hyperlink"/>
          </w:rPr>
          <w:t>Table 9: Summary of clinical trials comparing TMS therapy and ECT in patients with major depressive disorder (Janicak, et al., 2007)</w:t>
        </w:r>
        <w:r w:rsidR="00C64C2D">
          <w:rPr>
            <w:webHidden/>
          </w:rPr>
          <w:tab/>
        </w:r>
        <w:r w:rsidR="00C64C2D">
          <w:rPr>
            <w:webHidden/>
          </w:rPr>
          <w:fldChar w:fldCharType="begin"/>
        </w:r>
        <w:r w:rsidR="00C64C2D">
          <w:rPr>
            <w:webHidden/>
          </w:rPr>
          <w:instrText xml:space="preserve"> PAGEREF _Toc389143583 \h </w:instrText>
        </w:r>
        <w:r w:rsidR="00C64C2D">
          <w:rPr>
            <w:webHidden/>
          </w:rPr>
        </w:r>
        <w:r w:rsidR="00C64C2D">
          <w:rPr>
            <w:webHidden/>
          </w:rPr>
          <w:fldChar w:fldCharType="separate"/>
        </w:r>
        <w:r>
          <w:rPr>
            <w:webHidden/>
          </w:rPr>
          <w:t>42</w:t>
        </w:r>
        <w:r w:rsidR="00C64C2D">
          <w:rPr>
            <w:webHidden/>
          </w:rPr>
          <w:fldChar w:fldCharType="end"/>
        </w:r>
      </w:hyperlink>
    </w:p>
    <w:p w14:paraId="275E2057" w14:textId="77777777" w:rsidR="00C64C2D" w:rsidRDefault="004C1C27">
      <w:pPr>
        <w:pStyle w:val="TableofFigures"/>
        <w:rPr>
          <w:rFonts w:asciiTheme="minorHAnsi" w:eastAsiaTheme="minorEastAsia" w:hAnsiTheme="minorHAnsi" w:cstheme="minorBidi"/>
          <w:sz w:val="22"/>
          <w:szCs w:val="22"/>
          <w:lang w:eastAsia="en-AU"/>
        </w:rPr>
      </w:pPr>
      <w:hyperlink w:anchor="_Toc389143584" w:history="1">
        <w:r w:rsidR="00C64C2D" w:rsidRPr="00442F9D">
          <w:rPr>
            <w:rStyle w:val="Hyperlink"/>
          </w:rPr>
          <w:t>Table 10: Summary of common adverse events for rTMS, antidepressants and ECT</w:t>
        </w:r>
        <w:r w:rsidR="00C64C2D">
          <w:rPr>
            <w:webHidden/>
          </w:rPr>
          <w:tab/>
        </w:r>
        <w:r w:rsidR="00C64C2D">
          <w:rPr>
            <w:webHidden/>
          </w:rPr>
          <w:fldChar w:fldCharType="begin"/>
        </w:r>
        <w:r w:rsidR="00C64C2D">
          <w:rPr>
            <w:webHidden/>
          </w:rPr>
          <w:instrText xml:space="preserve"> PAGEREF _Toc389143584 \h </w:instrText>
        </w:r>
        <w:r w:rsidR="00C64C2D">
          <w:rPr>
            <w:webHidden/>
          </w:rPr>
        </w:r>
        <w:r w:rsidR="00C64C2D">
          <w:rPr>
            <w:webHidden/>
          </w:rPr>
          <w:fldChar w:fldCharType="separate"/>
        </w:r>
        <w:r>
          <w:rPr>
            <w:webHidden/>
          </w:rPr>
          <w:t>43</w:t>
        </w:r>
        <w:r w:rsidR="00C64C2D">
          <w:rPr>
            <w:webHidden/>
          </w:rPr>
          <w:fldChar w:fldCharType="end"/>
        </w:r>
      </w:hyperlink>
    </w:p>
    <w:p w14:paraId="610B8252" w14:textId="77777777" w:rsidR="00C64C2D" w:rsidRDefault="004C1C27">
      <w:pPr>
        <w:pStyle w:val="TableofFigures"/>
        <w:rPr>
          <w:rFonts w:asciiTheme="minorHAnsi" w:eastAsiaTheme="minorEastAsia" w:hAnsiTheme="minorHAnsi" w:cstheme="minorBidi"/>
          <w:sz w:val="22"/>
          <w:szCs w:val="22"/>
          <w:lang w:eastAsia="en-AU"/>
        </w:rPr>
      </w:pPr>
      <w:hyperlink w:anchor="_Toc389143585" w:history="1">
        <w:r w:rsidR="00C64C2D" w:rsidRPr="00442F9D">
          <w:rPr>
            <w:rStyle w:val="Hyperlink"/>
          </w:rPr>
          <w:t>Table 11: NeuroStar rTMS Therapy: common adverse events (acute treatment phase)</w:t>
        </w:r>
        <w:r w:rsidR="00C64C2D">
          <w:rPr>
            <w:webHidden/>
          </w:rPr>
          <w:tab/>
        </w:r>
        <w:r w:rsidR="00C64C2D">
          <w:rPr>
            <w:webHidden/>
          </w:rPr>
          <w:fldChar w:fldCharType="begin"/>
        </w:r>
        <w:r w:rsidR="00C64C2D">
          <w:rPr>
            <w:webHidden/>
          </w:rPr>
          <w:instrText xml:space="preserve"> PAGEREF _Toc389143585 \h </w:instrText>
        </w:r>
        <w:r w:rsidR="00C64C2D">
          <w:rPr>
            <w:webHidden/>
          </w:rPr>
        </w:r>
        <w:r w:rsidR="00C64C2D">
          <w:rPr>
            <w:webHidden/>
          </w:rPr>
          <w:fldChar w:fldCharType="separate"/>
        </w:r>
        <w:r>
          <w:rPr>
            <w:webHidden/>
          </w:rPr>
          <w:t>44</w:t>
        </w:r>
        <w:r w:rsidR="00C64C2D">
          <w:rPr>
            <w:webHidden/>
          </w:rPr>
          <w:fldChar w:fldCharType="end"/>
        </w:r>
      </w:hyperlink>
    </w:p>
    <w:p w14:paraId="11936007" w14:textId="77777777" w:rsidR="00C64C2D" w:rsidRDefault="004C1C27">
      <w:pPr>
        <w:pStyle w:val="TableofFigures"/>
        <w:rPr>
          <w:rFonts w:asciiTheme="minorHAnsi" w:eastAsiaTheme="minorEastAsia" w:hAnsiTheme="minorHAnsi" w:cstheme="minorBidi"/>
          <w:sz w:val="22"/>
          <w:szCs w:val="22"/>
          <w:lang w:eastAsia="en-AU"/>
        </w:rPr>
      </w:pPr>
      <w:hyperlink w:anchor="_Toc389143586" w:history="1">
        <w:r w:rsidR="00C64C2D" w:rsidRPr="00442F9D">
          <w:rPr>
            <w:rStyle w:val="Hyperlink"/>
          </w:rPr>
          <w:t>Table 12: Summary of clinical evidence for rTMS versus comparator(s)</w:t>
        </w:r>
        <w:r w:rsidR="00C64C2D">
          <w:rPr>
            <w:webHidden/>
          </w:rPr>
          <w:tab/>
        </w:r>
        <w:r w:rsidR="00C64C2D">
          <w:rPr>
            <w:webHidden/>
          </w:rPr>
          <w:fldChar w:fldCharType="begin"/>
        </w:r>
        <w:r w:rsidR="00C64C2D">
          <w:rPr>
            <w:webHidden/>
          </w:rPr>
          <w:instrText xml:space="preserve"> PAGEREF _Toc389143586 \h </w:instrText>
        </w:r>
        <w:r w:rsidR="00C64C2D">
          <w:rPr>
            <w:webHidden/>
          </w:rPr>
        </w:r>
        <w:r w:rsidR="00C64C2D">
          <w:rPr>
            <w:webHidden/>
          </w:rPr>
          <w:fldChar w:fldCharType="separate"/>
        </w:r>
        <w:r>
          <w:rPr>
            <w:webHidden/>
          </w:rPr>
          <w:t>47</w:t>
        </w:r>
        <w:r w:rsidR="00C64C2D">
          <w:rPr>
            <w:webHidden/>
          </w:rPr>
          <w:fldChar w:fldCharType="end"/>
        </w:r>
      </w:hyperlink>
    </w:p>
    <w:p w14:paraId="5DD7B705" w14:textId="77777777" w:rsidR="00C64C2D" w:rsidRDefault="004C1C27">
      <w:pPr>
        <w:pStyle w:val="TableofFigures"/>
        <w:rPr>
          <w:rFonts w:asciiTheme="minorHAnsi" w:eastAsiaTheme="minorEastAsia" w:hAnsiTheme="minorHAnsi" w:cstheme="minorBidi"/>
          <w:sz w:val="22"/>
          <w:szCs w:val="22"/>
          <w:lang w:eastAsia="en-AU"/>
        </w:rPr>
      </w:pPr>
      <w:hyperlink w:anchor="_Toc389143587" w:history="1">
        <w:r w:rsidR="00C64C2D" w:rsidRPr="00442F9D">
          <w:rPr>
            <w:rStyle w:val="Hyperlink"/>
          </w:rPr>
          <w:t>Table 13: Summary of resources and costs used in the economic model</w:t>
        </w:r>
        <w:r w:rsidR="00C64C2D">
          <w:rPr>
            <w:webHidden/>
          </w:rPr>
          <w:tab/>
        </w:r>
        <w:r w:rsidR="00C64C2D">
          <w:rPr>
            <w:webHidden/>
          </w:rPr>
          <w:fldChar w:fldCharType="begin"/>
        </w:r>
        <w:r w:rsidR="00C64C2D">
          <w:rPr>
            <w:webHidden/>
          </w:rPr>
          <w:instrText xml:space="preserve"> PAGEREF _Toc389143587 \h </w:instrText>
        </w:r>
        <w:r w:rsidR="00C64C2D">
          <w:rPr>
            <w:webHidden/>
          </w:rPr>
        </w:r>
        <w:r w:rsidR="00C64C2D">
          <w:rPr>
            <w:webHidden/>
          </w:rPr>
          <w:fldChar w:fldCharType="separate"/>
        </w:r>
        <w:r>
          <w:rPr>
            <w:webHidden/>
          </w:rPr>
          <w:t>57</w:t>
        </w:r>
        <w:r w:rsidR="00C64C2D">
          <w:rPr>
            <w:webHidden/>
          </w:rPr>
          <w:fldChar w:fldCharType="end"/>
        </w:r>
      </w:hyperlink>
    </w:p>
    <w:p w14:paraId="379529C9" w14:textId="77777777" w:rsidR="00C64C2D" w:rsidRDefault="004C1C27">
      <w:pPr>
        <w:pStyle w:val="TableofFigures"/>
        <w:rPr>
          <w:rFonts w:asciiTheme="minorHAnsi" w:eastAsiaTheme="minorEastAsia" w:hAnsiTheme="minorHAnsi" w:cstheme="minorBidi"/>
          <w:sz w:val="22"/>
          <w:szCs w:val="22"/>
          <w:lang w:eastAsia="en-AU"/>
        </w:rPr>
      </w:pPr>
      <w:hyperlink w:anchor="_Toc389143588" w:history="1">
        <w:r w:rsidR="00C64C2D" w:rsidRPr="00442F9D">
          <w:rPr>
            <w:rStyle w:val="Hyperlink"/>
          </w:rPr>
          <w:t>Table 14: Parameters used in the economic model</w:t>
        </w:r>
        <w:r w:rsidR="00C64C2D">
          <w:rPr>
            <w:webHidden/>
          </w:rPr>
          <w:tab/>
        </w:r>
        <w:r w:rsidR="00C64C2D">
          <w:rPr>
            <w:webHidden/>
          </w:rPr>
          <w:fldChar w:fldCharType="begin"/>
        </w:r>
        <w:r w:rsidR="00C64C2D">
          <w:rPr>
            <w:webHidden/>
          </w:rPr>
          <w:instrText xml:space="preserve"> PAGEREF _Toc389143588 \h </w:instrText>
        </w:r>
        <w:r w:rsidR="00C64C2D">
          <w:rPr>
            <w:webHidden/>
          </w:rPr>
        </w:r>
        <w:r w:rsidR="00C64C2D">
          <w:rPr>
            <w:webHidden/>
          </w:rPr>
          <w:fldChar w:fldCharType="separate"/>
        </w:r>
        <w:r>
          <w:rPr>
            <w:webHidden/>
          </w:rPr>
          <w:t>58</w:t>
        </w:r>
        <w:r w:rsidR="00C64C2D">
          <w:rPr>
            <w:webHidden/>
          </w:rPr>
          <w:fldChar w:fldCharType="end"/>
        </w:r>
      </w:hyperlink>
    </w:p>
    <w:p w14:paraId="7070DE3B" w14:textId="77777777" w:rsidR="00C64C2D" w:rsidRDefault="004C1C27">
      <w:pPr>
        <w:pStyle w:val="TableofFigures"/>
        <w:rPr>
          <w:rFonts w:asciiTheme="minorHAnsi" w:eastAsiaTheme="minorEastAsia" w:hAnsiTheme="minorHAnsi" w:cstheme="minorBidi"/>
          <w:sz w:val="22"/>
          <w:szCs w:val="22"/>
          <w:lang w:eastAsia="en-AU"/>
        </w:rPr>
      </w:pPr>
      <w:hyperlink w:anchor="_Toc389143589" w:history="1">
        <w:r w:rsidR="00C64C2D" w:rsidRPr="00442F9D">
          <w:rPr>
            <w:rStyle w:val="Hyperlink"/>
          </w:rPr>
          <w:t>Table 15: Key economic evaluation findings (3 year duration)</w:t>
        </w:r>
        <w:r w:rsidR="00C64C2D">
          <w:rPr>
            <w:webHidden/>
          </w:rPr>
          <w:tab/>
        </w:r>
        <w:r w:rsidR="00C64C2D">
          <w:rPr>
            <w:webHidden/>
          </w:rPr>
          <w:fldChar w:fldCharType="begin"/>
        </w:r>
        <w:r w:rsidR="00C64C2D">
          <w:rPr>
            <w:webHidden/>
          </w:rPr>
          <w:instrText xml:space="preserve"> PAGEREF _Toc389143589 \h </w:instrText>
        </w:r>
        <w:r w:rsidR="00C64C2D">
          <w:rPr>
            <w:webHidden/>
          </w:rPr>
        </w:r>
        <w:r w:rsidR="00C64C2D">
          <w:rPr>
            <w:webHidden/>
          </w:rPr>
          <w:fldChar w:fldCharType="separate"/>
        </w:r>
        <w:r>
          <w:rPr>
            <w:webHidden/>
          </w:rPr>
          <w:t>60</w:t>
        </w:r>
        <w:r w:rsidR="00C64C2D">
          <w:rPr>
            <w:webHidden/>
          </w:rPr>
          <w:fldChar w:fldCharType="end"/>
        </w:r>
      </w:hyperlink>
    </w:p>
    <w:p w14:paraId="350A71F3" w14:textId="77777777" w:rsidR="00C64C2D" w:rsidRDefault="004C1C27">
      <w:pPr>
        <w:pStyle w:val="TableofFigures"/>
        <w:rPr>
          <w:rFonts w:asciiTheme="minorHAnsi" w:eastAsiaTheme="minorEastAsia" w:hAnsiTheme="minorHAnsi" w:cstheme="minorBidi"/>
          <w:sz w:val="22"/>
          <w:szCs w:val="22"/>
          <w:lang w:eastAsia="en-AU"/>
        </w:rPr>
      </w:pPr>
      <w:hyperlink w:anchor="_Toc389143590" w:history="1">
        <w:r w:rsidR="00C64C2D" w:rsidRPr="00442F9D">
          <w:rPr>
            <w:rStyle w:val="Hyperlink"/>
          </w:rPr>
          <w:t>Table 16: Results of the economic model – rTMS vs Antidepressants</w:t>
        </w:r>
        <w:r w:rsidR="00C64C2D">
          <w:rPr>
            <w:webHidden/>
          </w:rPr>
          <w:tab/>
        </w:r>
        <w:r w:rsidR="00C64C2D">
          <w:rPr>
            <w:webHidden/>
          </w:rPr>
          <w:fldChar w:fldCharType="begin"/>
        </w:r>
        <w:r w:rsidR="00C64C2D">
          <w:rPr>
            <w:webHidden/>
          </w:rPr>
          <w:instrText xml:space="preserve"> PAGEREF _Toc389143590 \h </w:instrText>
        </w:r>
        <w:r w:rsidR="00C64C2D">
          <w:rPr>
            <w:webHidden/>
          </w:rPr>
        </w:r>
        <w:r w:rsidR="00C64C2D">
          <w:rPr>
            <w:webHidden/>
          </w:rPr>
          <w:fldChar w:fldCharType="separate"/>
        </w:r>
        <w:r>
          <w:rPr>
            <w:webHidden/>
          </w:rPr>
          <w:t>60</w:t>
        </w:r>
        <w:r w:rsidR="00C64C2D">
          <w:rPr>
            <w:webHidden/>
          </w:rPr>
          <w:fldChar w:fldCharType="end"/>
        </w:r>
      </w:hyperlink>
    </w:p>
    <w:p w14:paraId="6CC23C22" w14:textId="77777777" w:rsidR="00C64C2D" w:rsidRDefault="004C1C27">
      <w:pPr>
        <w:pStyle w:val="TableofFigures"/>
        <w:rPr>
          <w:rFonts w:asciiTheme="minorHAnsi" w:eastAsiaTheme="minorEastAsia" w:hAnsiTheme="minorHAnsi" w:cstheme="minorBidi"/>
          <w:sz w:val="22"/>
          <w:szCs w:val="22"/>
          <w:lang w:eastAsia="en-AU"/>
        </w:rPr>
      </w:pPr>
      <w:hyperlink w:anchor="_Toc389143591" w:history="1">
        <w:r w:rsidR="00C64C2D" w:rsidRPr="00442F9D">
          <w:rPr>
            <w:rStyle w:val="Hyperlink"/>
          </w:rPr>
          <w:t>Table 17: Results of the economic model – rTMS vs ECT</w:t>
        </w:r>
        <w:r w:rsidR="00C64C2D">
          <w:rPr>
            <w:webHidden/>
          </w:rPr>
          <w:tab/>
        </w:r>
        <w:r w:rsidR="00C64C2D">
          <w:rPr>
            <w:webHidden/>
          </w:rPr>
          <w:fldChar w:fldCharType="begin"/>
        </w:r>
        <w:r w:rsidR="00C64C2D">
          <w:rPr>
            <w:webHidden/>
          </w:rPr>
          <w:instrText xml:space="preserve"> PAGEREF _Toc389143591 \h </w:instrText>
        </w:r>
        <w:r w:rsidR="00C64C2D">
          <w:rPr>
            <w:webHidden/>
          </w:rPr>
        </w:r>
        <w:r w:rsidR="00C64C2D">
          <w:rPr>
            <w:webHidden/>
          </w:rPr>
          <w:fldChar w:fldCharType="separate"/>
        </w:r>
        <w:r>
          <w:rPr>
            <w:webHidden/>
          </w:rPr>
          <w:t>61</w:t>
        </w:r>
        <w:r w:rsidR="00C64C2D">
          <w:rPr>
            <w:webHidden/>
          </w:rPr>
          <w:fldChar w:fldCharType="end"/>
        </w:r>
      </w:hyperlink>
    </w:p>
    <w:p w14:paraId="7289E1C7" w14:textId="77777777" w:rsidR="00C64C2D" w:rsidRDefault="004C1C27">
      <w:pPr>
        <w:pStyle w:val="TableofFigures"/>
        <w:rPr>
          <w:rFonts w:asciiTheme="minorHAnsi" w:eastAsiaTheme="minorEastAsia" w:hAnsiTheme="minorHAnsi" w:cstheme="minorBidi"/>
          <w:sz w:val="22"/>
          <w:szCs w:val="22"/>
          <w:lang w:eastAsia="en-AU"/>
        </w:rPr>
      </w:pPr>
      <w:hyperlink w:anchor="_Toc389143592" w:history="1">
        <w:r w:rsidR="00C64C2D" w:rsidRPr="00442F9D">
          <w:rPr>
            <w:rStyle w:val="Hyperlink"/>
          </w:rPr>
          <w:t>Table 18: Estimated number of ECT courses</w:t>
        </w:r>
        <w:r w:rsidR="00C64C2D">
          <w:rPr>
            <w:webHidden/>
          </w:rPr>
          <w:tab/>
        </w:r>
        <w:r w:rsidR="00C64C2D">
          <w:rPr>
            <w:webHidden/>
          </w:rPr>
          <w:fldChar w:fldCharType="begin"/>
        </w:r>
        <w:r w:rsidR="00C64C2D">
          <w:rPr>
            <w:webHidden/>
          </w:rPr>
          <w:instrText xml:space="preserve"> PAGEREF _Toc389143592 \h </w:instrText>
        </w:r>
        <w:r w:rsidR="00C64C2D">
          <w:rPr>
            <w:webHidden/>
          </w:rPr>
        </w:r>
        <w:r w:rsidR="00C64C2D">
          <w:rPr>
            <w:webHidden/>
          </w:rPr>
          <w:fldChar w:fldCharType="separate"/>
        </w:r>
        <w:r>
          <w:rPr>
            <w:webHidden/>
          </w:rPr>
          <w:t>65</w:t>
        </w:r>
        <w:r w:rsidR="00C64C2D">
          <w:rPr>
            <w:webHidden/>
          </w:rPr>
          <w:fldChar w:fldCharType="end"/>
        </w:r>
      </w:hyperlink>
    </w:p>
    <w:p w14:paraId="2EA7920B" w14:textId="77777777" w:rsidR="00C64C2D" w:rsidRDefault="004C1C27">
      <w:pPr>
        <w:pStyle w:val="TableofFigures"/>
        <w:rPr>
          <w:rFonts w:asciiTheme="minorHAnsi" w:eastAsiaTheme="minorEastAsia" w:hAnsiTheme="minorHAnsi" w:cstheme="minorBidi"/>
          <w:sz w:val="22"/>
          <w:szCs w:val="22"/>
          <w:lang w:eastAsia="en-AU"/>
        </w:rPr>
      </w:pPr>
      <w:hyperlink w:anchor="_Toc389143593" w:history="1">
        <w:r w:rsidR="00C64C2D" w:rsidRPr="00442F9D">
          <w:rPr>
            <w:rStyle w:val="Hyperlink"/>
          </w:rPr>
          <w:t>Table 19: Estimate of patients eligible for rTMS</w:t>
        </w:r>
        <w:r w:rsidR="00C64C2D">
          <w:rPr>
            <w:webHidden/>
          </w:rPr>
          <w:tab/>
        </w:r>
        <w:r w:rsidR="00C64C2D">
          <w:rPr>
            <w:webHidden/>
          </w:rPr>
          <w:fldChar w:fldCharType="begin"/>
        </w:r>
        <w:r w:rsidR="00C64C2D">
          <w:rPr>
            <w:webHidden/>
          </w:rPr>
          <w:instrText xml:space="preserve"> PAGEREF _Toc389143593 \h </w:instrText>
        </w:r>
        <w:r w:rsidR="00C64C2D">
          <w:rPr>
            <w:webHidden/>
          </w:rPr>
        </w:r>
        <w:r w:rsidR="00C64C2D">
          <w:rPr>
            <w:webHidden/>
          </w:rPr>
          <w:fldChar w:fldCharType="separate"/>
        </w:r>
        <w:r>
          <w:rPr>
            <w:webHidden/>
          </w:rPr>
          <w:t>65</w:t>
        </w:r>
        <w:r w:rsidR="00C64C2D">
          <w:rPr>
            <w:webHidden/>
          </w:rPr>
          <w:fldChar w:fldCharType="end"/>
        </w:r>
      </w:hyperlink>
    </w:p>
    <w:p w14:paraId="6D9A887C" w14:textId="77777777" w:rsidR="00C64C2D" w:rsidRDefault="004C1C27">
      <w:pPr>
        <w:pStyle w:val="TableofFigures"/>
        <w:rPr>
          <w:rFonts w:asciiTheme="minorHAnsi" w:eastAsiaTheme="minorEastAsia" w:hAnsiTheme="minorHAnsi" w:cstheme="minorBidi"/>
          <w:sz w:val="22"/>
          <w:szCs w:val="22"/>
          <w:lang w:eastAsia="en-AU"/>
        </w:rPr>
      </w:pPr>
      <w:hyperlink w:anchor="_Toc389143594" w:history="1">
        <w:r w:rsidR="00C64C2D" w:rsidRPr="00442F9D">
          <w:rPr>
            <w:rStyle w:val="Hyperlink"/>
          </w:rPr>
          <w:t>Table 20: Estimated use of rTMS among eligible patients</w:t>
        </w:r>
        <w:r w:rsidR="00C64C2D">
          <w:rPr>
            <w:webHidden/>
          </w:rPr>
          <w:tab/>
        </w:r>
        <w:r w:rsidR="00C64C2D">
          <w:rPr>
            <w:webHidden/>
          </w:rPr>
          <w:fldChar w:fldCharType="begin"/>
        </w:r>
        <w:r w:rsidR="00C64C2D">
          <w:rPr>
            <w:webHidden/>
          </w:rPr>
          <w:instrText xml:space="preserve"> PAGEREF _Toc389143594 \h </w:instrText>
        </w:r>
        <w:r w:rsidR="00C64C2D">
          <w:rPr>
            <w:webHidden/>
          </w:rPr>
        </w:r>
        <w:r w:rsidR="00C64C2D">
          <w:rPr>
            <w:webHidden/>
          </w:rPr>
          <w:fldChar w:fldCharType="separate"/>
        </w:r>
        <w:r>
          <w:rPr>
            <w:webHidden/>
          </w:rPr>
          <w:t>66</w:t>
        </w:r>
        <w:r w:rsidR="00C64C2D">
          <w:rPr>
            <w:webHidden/>
          </w:rPr>
          <w:fldChar w:fldCharType="end"/>
        </w:r>
      </w:hyperlink>
    </w:p>
    <w:p w14:paraId="5C72EABE" w14:textId="77777777" w:rsidR="00C64C2D" w:rsidRDefault="004C1C27">
      <w:pPr>
        <w:pStyle w:val="TableofFigures"/>
        <w:rPr>
          <w:rFonts w:asciiTheme="minorHAnsi" w:eastAsiaTheme="minorEastAsia" w:hAnsiTheme="minorHAnsi" w:cstheme="minorBidi"/>
          <w:sz w:val="22"/>
          <w:szCs w:val="22"/>
          <w:lang w:eastAsia="en-AU"/>
        </w:rPr>
      </w:pPr>
      <w:hyperlink w:anchor="_Toc389143595" w:history="1">
        <w:r w:rsidR="00C64C2D" w:rsidRPr="00442F9D">
          <w:rPr>
            <w:rStyle w:val="Hyperlink"/>
          </w:rPr>
          <w:t>Table 21: Estimated use of rTMS, adjusted for gradual increase in uptake rates</w:t>
        </w:r>
        <w:r w:rsidR="00C64C2D">
          <w:rPr>
            <w:webHidden/>
          </w:rPr>
          <w:tab/>
        </w:r>
        <w:r w:rsidR="00C64C2D">
          <w:rPr>
            <w:webHidden/>
          </w:rPr>
          <w:fldChar w:fldCharType="begin"/>
        </w:r>
        <w:r w:rsidR="00C64C2D">
          <w:rPr>
            <w:webHidden/>
          </w:rPr>
          <w:instrText xml:space="preserve"> PAGEREF _Toc389143595 \h </w:instrText>
        </w:r>
        <w:r w:rsidR="00C64C2D">
          <w:rPr>
            <w:webHidden/>
          </w:rPr>
        </w:r>
        <w:r w:rsidR="00C64C2D">
          <w:rPr>
            <w:webHidden/>
          </w:rPr>
          <w:fldChar w:fldCharType="separate"/>
        </w:r>
        <w:r>
          <w:rPr>
            <w:webHidden/>
          </w:rPr>
          <w:t>66</w:t>
        </w:r>
        <w:r w:rsidR="00C64C2D">
          <w:rPr>
            <w:webHidden/>
          </w:rPr>
          <w:fldChar w:fldCharType="end"/>
        </w:r>
      </w:hyperlink>
    </w:p>
    <w:p w14:paraId="3FA451DE" w14:textId="77777777" w:rsidR="00C64C2D" w:rsidRDefault="004C1C27">
      <w:pPr>
        <w:pStyle w:val="TableofFigures"/>
        <w:rPr>
          <w:rFonts w:asciiTheme="minorHAnsi" w:eastAsiaTheme="minorEastAsia" w:hAnsiTheme="minorHAnsi" w:cstheme="minorBidi"/>
          <w:sz w:val="22"/>
          <w:szCs w:val="22"/>
          <w:lang w:eastAsia="en-AU"/>
        </w:rPr>
      </w:pPr>
      <w:hyperlink w:anchor="_Toc389143596" w:history="1">
        <w:r w:rsidR="00C64C2D" w:rsidRPr="00442F9D">
          <w:rPr>
            <w:rStyle w:val="Hyperlink"/>
          </w:rPr>
          <w:t>Table 22: Total estimated use of rTMS, adjusted for outcome</w:t>
        </w:r>
        <w:r w:rsidR="00C64C2D">
          <w:rPr>
            <w:webHidden/>
          </w:rPr>
          <w:tab/>
        </w:r>
        <w:r w:rsidR="00C64C2D">
          <w:rPr>
            <w:webHidden/>
          </w:rPr>
          <w:fldChar w:fldCharType="begin"/>
        </w:r>
        <w:r w:rsidR="00C64C2D">
          <w:rPr>
            <w:webHidden/>
          </w:rPr>
          <w:instrText xml:space="preserve"> PAGEREF _Toc389143596 \h </w:instrText>
        </w:r>
        <w:r w:rsidR="00C64C2D">
          <w:rPr>
            <w:webHidden/>
          </w:rPr>
        </w:r>
        <w:r w:rsidR="00C64C2D">
          <w:rPr>
            <w:webHidden/>
          </w:rPr>
          <w:fldChar w:fldCharType="separate"/>
        </w:r>
        <w:r>
          <w:rPr>
            <w:webHidden/>
          </w:rPr>
          <w:t>67</w:t>
        </w:r>
        <w:r w:rsidR="00C64C2D">
          <w:rPr>
            <w:webHidden/>
          </w:rPr>
          <w:fldChar w:fldCharType="end"/>
        </w:r>
      </w:hyperlink>
    </w:p>
    <w:p w14:paraId="1DE57922" w14:textId="77777777" w:rsidR="00C64C2D" w:rsidRDefault="004C1C27">
      <w:pPr>
        <w:pStyle w:val="TableofFigures"/>
        <w:rPr>
          <w:rFonts w:asciiTheme="minorHAnsi" w:eastAsiaTheme="minorEastAsia" w:hAnsiTheme="minorHAnsi" w:cstheme="minorBidi"/>
          <w:sz w:val="22"/>
          <w:szCs w:val="22"/>
          <w:lang w:eastAsia="en-AU"/>
        </w:rPr>
      </w:pPr>
      <w:hyperlink w:anchor="_Toc389143597" w:history="1">
        <w:r w:rsidR="00C64C2D" w:rsidRPr="00442F9D">
          <w:rPr>
            <w:rStyle w:val="Hyperlink"/>
          </w:rPr>
          <w:t>Table 23: Estimated rTMS services provided on the MBS</w:t>
        </w:r>
        <w:r w:rsidR="00C64C2D">
          <w:rPr>
            <w:webHidden/>
          </w:rPr>
          <w:tab/>
        </w:r>
        <w:r w:rsidR="00C64C2D">
          <w:rPr>
            <w:webHidden/>
          </w:rPr>
          <w:fldChar w:fldCharType="begin"/>
        </w:r>
        <w:r w:rsidR="00C64C2D">
          <w:rPr>
            <w:webHidden/>
          </w:rPr>
          <w:instrText xml:space="preserve"> PAGEREF _Toc389143597 \h </w:instrText>
        </w:r>
        <w:r w:rsidR="00C64C2D">
          <w:rPr>
            <w:webHidden/>
          </w:rPr>
        </w:r>
        <w:r w:rsidR="00C64C2D">
          <w:rPr>
            <w:webHidden/>
          </w:rPr>
          <w:fldChar w:fldCharType="separate"/>
        </w:r>
        <w:r>
          <w:rPr>
            <w:webHidden/>
          </w:rPr>
          <w:t>67</w:t>
        </w:r>
        <w:r w:rsidR="00C64C2D">
          <w:rPr>
            <w:webHidden/>
          </w:rPr>
          <w:fldChar w:fldCharType="end"/>
        </w:r>
      </w:hyperlink>
    </w:p>
    <w:p w14:paraId="0764CBC5" w14:textId="77777777" w:rsidR="00C64C2D" w:rsidRDefault="004C1C27">
      <w:pPr>
        <w:pStyle w:val="TableofFigures"/>
        <w:rPr>
          <w:rFonts w:asciiTheme="minorHAnsi" w:eastAsiaTheme="minorEastAsia" w:hAnsiTheme="minorHAnsi" w:cstheme="minorBidi"/>
          <w:sz w:val="22"/>
          <w:szCs w:val="22"/>
          <w:lang w:eastAsia="en-AU"/>
        </w:rPr>
      </w:pPr>
      <w:hyperlink w:anchor="_Toc389143598" w:history="1">
        <w:r w:rsidR="00C64C2D" w:rsidRPr="00442F9D">
          <w:rPr>
            <w:rStyle w:val="Hyperlink"/>
          </w:rPr>
          <w:t>Table 24: Estimated psychiatrist services provided on the MBS</w:t>
        </w:r>
        <w:r w:rsidR="00C64C2D">
          <w:rPr>
            <w:webHidden/>
          </w:rPr>
          <w:tab/>
        </w:r>
        <w:r w:rsidR="00C64C2D">
          <w:rPr>
            <w:webHidden/>
          </w:rPr>
          <w:fldChar w:fldCharType="begin"/>
        </w:r>
        <w:r w:rsidR="00C64C2D">
          <w:rPr>
            <w:webHidden/>
          </w:rPr>
          <w:instrText xml:space="preserve"> PAGEREF _Toc389143598 \h </w:instrText>
        </w:r>
        <w:r w:rsidR="00C64C2D">
          <w:rPr>
            <w:webHidden/>
          </w:rPr>
        </w:r>
        <w:r w:rsidR="00C64C2D">
          <w:rPr>
            <w:webHidden/>
          </w:rPr>
          <w:fldChar w:fldCharType="separate"/>
        </w:r>
        <w:r>
          <w:rPr>
            <w:webHidden/>
          </w:rPr>
          <w:t>68</w:t>
        </w:r>
        <w:r w:rsidR="00C64C2D">
          <w:rPr>
            <w:webHidden/>
          </w:rPr>
          <w:fldChar w:fldCharType="end"/>
        </w:r>
      </w:hyperlink>
    </w:p>
    <w:p w14:paraId="40EA03CE" w14:textId="77777777" w:rsidR="00C64C2D" w:rsidRDefault="004C1C27">
      <w:pPr>
        <w:pStyle w:val="TableofFigures"/>
        <w:rPr>
          <w:rFonts w:asciiTheme="minorHAnsi" w:eastAsiaTheme="minorEastAsia" w:hAnsiTheme="minorHAnsi" w:cstheme="minorBidi"/>
          <w:sz w:val="22"/>
          <w:szCs w:val="22"/>
          <w:lang w:eastAsia="en-AU"/>
        </w:rPr>
      </w:pPr>
      <w:hyperlink w:anchor="_Toc389143599" w:history="1">
        <w:r w:rsidR="00C64C2D" w:rsidRPr="00442F9D">
          <w:rPr>
            <w:rStyle w:val="Hyperlink"/>
          </w:rPr>
          <w:t>Table 25: Expected rTMS use and associated costs to the MBS</w:t>
        </w:r>
        <w:r w:rsidR="00C64C2D">
          <w:rPr>
            <w:webHidden/>
          </w:rPr>
          <w:tab/>
        </w:r>
        <w:r w:rsidR="00C64C2D">
          <w:rPr>
            <w:webHidden/>
          </w:rPr>
          <w:fldChar w:fldCharType="begin"/>
        </w:r>
        <w:r w:rsidR="00C64C2D">
          <w:rPr>
            <w:webHidden/>
          </w:rPr>
          <w:instrText xml:space="preserve"> PAGEREF _Toc389143599 \h </w:instrText>
        </w:r>
        <w:r w:rsidR="00C64C2D">
          <w:rPr>
            <w:webHidden/>
          </w:rPr>
        </w:r>
        <w:r w:rsidR="00C64C2D">
          <w:rPr>
            <w:webHidden/>
          </w:rPr>
          <w:fldChar w:fldCharType="separate"/>
        </w:r>
        <w:r>
          <w:rPr>
            <w:webHidden/>
          </w:rPr>
          <w:t>68</w:t>
        </w:r>
        <w:r w:rsidR="00C64C2D">
          <w:rPr>
            <w:webHidden/>
          </w:rPr>
          <w:fldChar w:fldCharType="end"/>
        </w:r>
      </w:hyperlink>
    </w:p>
    <w:p w14:paraId="6CA0DB5D" w14:textId="77777777" w:rsidR="00C64C2D" w:rsidRDefault="004C1C27">
      <w:pPr>
        <w:pStyle w:val="TableofFigures"/>
        <w:rPr>
          <w:rFonts w:asciiTheme="minorHAnsi" w:eastAsiaTheme="minorEastAsia" w:hAnsiTheme="minorHAnsi" w:cstheme="minorBidi"/>
          <w:sz w:val="22"/>
          <w:szCs w:val="22"/>
          <w:lang w:eastAsia="en-AU"/>
        </w:rPr>
      </w:pPr>
      <w:hyperlink w:anchor="_Toc389143600" w:history="1">
        <w:r w:rsidR="00C64C2D" w:rsidRPr="00442F9D">
          <w:rPr>
            <w:rStyle w:val="Hyperlink"/>
          </w:rPr>
          <w:t>Table 26: Summary of antidepressant substitutions</w:t>
        </w:r>
        <w:r w:rsidR="00C64C2D">
          <w:rPr>
            <w:webHidden/>
          </w:rPr>
          <w:tab/>
        </w:r>
        <w:r w:rsidR="00C64C2D">
          <w:rPr>
            <w:webHidden/>
          </w:rPr>
          <w:fldChar w:fldCharType="begin"/>
        </w:r>
        <w:r w:rsidR="00C64C2D">
          <w:rPr>
            <w:webHidden/>
          </w:rPr>
          <w:instrText xml:space="preserve"> PAGEREF _Toc389143600 \h </w:instrText>
        </w:r>
        <w:r w:rsidR="00C64C2D">
          <w:rPr>
            <w:webHidden/>
          </w:rPr>
        </w:r>
        <w:r w:rsidR="00C64C2D">
          <w:rPr>
            <w:webHidden/>
          </w:rPr>
          <w:fldChar w:fldCharType="separate"/>
        </w:r>
        <w:r>
          <w:rPr>
            <w:webHidden/>
          </w:rPr>
          <w:t>70</w:t>
        </w:r>
        <w:r w:rsidR="00C64C2D">
          <w:rPr>
            <w:webHidden/>
          </w:rPr>
          <w:fldChar w:fldCharType="end"/>
        </w:r>
      </w:hyperlink>
    </w:p>
    <w:p w14:paraId="720C5D58" w14:textId="77777777" w:rsidR="00C64C2D" w:rsidRDefault="004C1C27">
      <w:pPr>
        <w:pStyle w:val="TableofFigures"/>
        <w:rPr>
          <w:rFonts w:asciiTheme="minorHAnsi" w:eastAsiaTheme="minorEastAsia" w:hAnsiTheme="minorHAnsi" w:cstheme="minorBidi"/>
          <w:sz w:val="22"/>
          <w:szCs w:val="22"/>
          <w:lang w:eastAsia="en-AU"/>
        </w:rPr>
      </w:pPr>
      <w:hyperlink w:anchor="_Toc389143601" w:history="1">
        <w:r w:rsidR="00C64C2D" w:rsidRPr="00442F9D">
          <w:rPr>
            <w:rStyle w:val="Hyperlink"/>
          </w:rPr>
          <w:t>Table 27: Summary of ECT substitutions</w:t>
        </w:r>
        <w:r w:rsidR="00C64C2D">
          <w:rPr>
            <w:webHidden/>
          </w:rPr>
          <w:tab/>
        </w:r>
        <w:r w:rsidR="00C64C2D">
          <w:rPr>
            <w:webHidden/>
          </w:rPr>
          <w:fldChar w:fldCharType="begin"/>
        </w:r>
        <w:r w:rsidR="00C64C2D">
          <w:rPr>
            <w:webHidden/>
          </w:rPr>
          <w:instrText xml:space="preserve"> PAGEREF _Toc389143601 \h </w:instrText>
        </w:r>
        <w:r w:rsidR="00C64C2D">
          <w:rPr>
            <w:webHidden/>
          </w:rPr>
        </w:r>
        <w:r w:rsidR="00C64C2D">
          <w:rPr>
            <w:webHidden/>
          </w:rPr>
          <w:fldChar w:fldCharType="separate"/>
        </w:r>
        <w:r>
          <w:rPr>
            <w:webHidden/>
          </w:rPr>
          <w:t>70</w:t>
        </w:r>
        <w:r w:rsidR="00C64C2D">
          <w:rPr>
            <w:webHidden/>
          </w:rPr>
          <w:fldChar w:fldCharType="end"/>
        </w:r>
      </w:hyperlink>
    </w:p>
    <w:p w14:paraId="5F65DBA6" w14:textId="77777777" w:rsidR="00C64C2D" w:rsidRDefault="004C1C27">
      <w:pPr>
        <w:pStyle w:val="TableofFigures"/>
        <w:rPr>
          <w:rFonts w:asciiTheme="minorHAnsi" w:eastAsiaTheme="minorEastAsia" w:hAnsiTheme="minorHAnsi" w:cstheme="minorBidi"/>
          <w:sz w:val="22"/>
          <w:szCs w:val="22"/>
          <w:lang w:eastAsia="en-AU"/>
        </w:rPr>
      </w:pPr>
      <w:hyperlink w:anchor="_Toc389143602" w:history="1">
        <w:r w:rsidR="00C64C2D" w:rsidRPr="00442F9D">
          <w:rPr>
            <w:rStyle w:val="Hyperlink"/>
          </w:rPr>
          <w:t>Table 28: Cost savings to the PBS due to reduced antidepressant use</w:t>
        </w:r>
        <w:r w:rsidR="00C64C2D">
          <w:rPr>
            <w:webHidden/>
          </w:rPr>
          <w:tab/>
        </w:r>
        <w:r w:rsidR="00C64C2D">
          <w:rPr>
            <w:webHidden/>
          </w:rPr>
          <w:fldChar w:fldCharType="begin"/>
        </w:r>
        <w:r w:rsidR="00C64C2D">
          <w:rPr>
            <w:webHidden/>
          </w:rPr>
          <w:instrText xml:space="preserve"> PAGEREF _Toc389143602 \h </w:instrText>
        </w:r>
        <w:r w:rsidR="00C64C2D">
          <w:rPr>
            <w:webHidden/>
          </w:rPr>
        </w:r>
        <w:r w:rsidR="00C64C2D">
          <w:rPr>
            <w:webHidden/>
          </w:rPr>
          <w:fldChar w:fldCharType="separate"/>
        </w:r>
        <w:r>
          <w:rPr>
            <w:webHidden/>
          </w:rPr>
          <w:t>71</w:t>
        </w:r>
        <w:r w:rsidR="00C64C2D">
          <w:rPr>
            <w:webHidden/>
          </w:rPr>
          <w:fldChar w:fldCharType="end"/>
        </w:r>
      </w:hyperlink>
    </w:p>
    <w:p w14:paraId="61A851AF" w14:textId="77777777" w:rsidR="00C64C2D" w:rsidRDefault="004C1C27">
      <w:pPr>
        <w:pStyle w:val="TableofFigures"/>
        <w:rPr>
          <w:rFonts w:asciiTheme="minorHAnsi" w:eastAsiaTheme="minorEastAsia" w:hAnsiTheme="minorHAnsi" w:cstheme="minorBidi"/>
          <w:sz w:val="22"/>
          <w:szCs w:val="22"/>
          <w:lang w:eastAsia="en-AU"/>
        </w:rPr>
      </w:pPr>
      <w:hyperlink w:anchor="_Toc389143603" w:history="1">
        <w:r w:rsidR="00C64C2D" w:rsidRPr="00442F9D">
          <w:rPr>
            <w:rStyle w:val="Hyperlink"/>
          </w:rPr>
          <w:t>Table 29: Cost savings to the MBS due to reduced ECT</w:t>
        </w:r>
        <w:r w:rsidR="00C64C2D">
          <w:rPr>
            <w:webHidden/>
          </w:rPr>
          <w:tab/>
        </w:r>
        <w:r w:rsidR="00C64C2D">
          <w:rPr>
            <w:webHidden/>
          </w:rPr>
          <w:fldChar w:fldCharType="begin"/>
        </w:r>
        <w:r w:rsidR="00C64C2D">
          <w:rPr>
            <w:webHidden/>
          </w:rPr>
          <w:instrText xml:space="preserve"> PAGEREF _Toc389143603 \h </w:instrText>
        </w:r>
        <w:r w:rsidR="00C64C2D">
          <w:rPr>
            <w:webHidden/>
          </w:rPr>
        </w:r>
        <w:r w:rsidR="00C64C2D">
          <w:rPr>
            <w:webHidden/>
          </w:rPr>
          <w:fldChar w:fldCharType="separate"/>
        </w:r>
        <w:r>
          <w:rPr>
            <w:webHidden/>
          </w:rPr>
          <w:t>72</w:t>
        </w:r>
        <w:r w:rsidR="00C64C2D">
          <w:rPr>
            <w:webHidden/>
          </w:rPr>
          <w:fldChar w:fldCharType="end"/>
        </w:r>
      </w:hyperlink>
    </w:p>
    <w:p w14:paraId="11529360" w14:textId="77777777" w:rsidR="00C64C2D" w:rsidRDefault="004C1C27">
      <w:pPr>
        <w:pStyle w:val="TableofFigures"/>
        <w:rPr>
          <w:rFonts w:asciiTheme="minorHAnsi" w:eastAsiaTheme="minorEastAsia" w:hAnsiTheme="minorHAnsi" w:cstheme="minorBidi"/>
          <w:sz w:val="22"/>
          <w:szCs w:val="22"/>
          <w:lang w:eastAsia="en-AU"/>
        </w:rPr>
      </w:pPr>
      <w:hyperlink w:anchor="_Toc389143604" w:history="1">
        <w:r w:rsidR="00C64C2D" w:rsidRPr="00442F9D">
          <w:rPr>
            <w:rStyle w:val="Hyperlink"/>
          </w:rPr>
          <w:t>Table 30: Overall cost to the health budget of listing rTMS on the MBS</w:t>
        </w:r>
        <w:r w:rsidR="00C64C2D">
          <w:rPr>
            <w:webHidden/>
          </w:rPr>
          <w:tab/>
        </w:r>
        <w:r w:rsidR="00C64C2D">
          <w:rPr>
            <w:webHidden/>
          </w:rPr>
          <w:fldChar w:fldCharType="begin"/>
        </w:r>
        <w:r w:rsidR="00C64C2D">
          <w:rPr>
            <w:webHidden/>
          </w:rPr>
          <w:instrText xml:space="preserve"> PAGEREF _Toc389143604 \h </w:instrText>
        </w:r>
        <w:r w:rsidR="00C64C2D">
          <w:rPr>
            <w:webHidden/>
          </w:rPr>
        </w:r>
        <w:r w:rsidR="00C64C2D">
          <w:rPr>
            <w:webHidden/>
          </w:rPr>
          <w:fldChar w:fldCharType="separate"/>
        </w:r>
        <w:r>
          <w:rPr>
            <w:webHidden/>
          </w:rPr>
          <w:t>72</w:t>
        </w:r>
        <w:r w:rsidR="00C64C2D">
          <w:rPr>
            <w:webHidden/>
          </w:rPr>
          <w:fldChar w:fldCharType="end"/>
        </w:r>
      </w:hyperlink>
    </w:p>
    <w:p w14:paraId="27EC7376" w14:textId="77777777" w:rsidR="00C64C2D" w:rsidRDefault="004C1C27">
      <w:pPr>
        <w:pStyle w:val="TableofFigures"/>
        <w:rPr>
          <w:rFonts w:asciiTheme="minorHAnsi" w:eastAsiaTheme="minorEastAsia" w:hAnsiTheme="minorHAnsi" w:cstheme="minorBidi"/>
          <w:sz w:val="22"/>
          <w:szCs w:val="22"/>
          <w:lang w:eastAsia="en-AU"/>
        </w:rPr>
      </w:pPr>
      <w:hyperlink w:anchor="_Toc389143605" w:history="1">
        <w:r w:rsidR="00C64C2D" w:rsidRPr="00442F9D">
          <w:rPr>
            <w:rStyle w:val="Hyperlink"/>
          </w:rPr>
          <w:t>Table 31: Sensitivity analysis – Prevalence of treatment-resistant depression</w:t>
        </w:r>
        <w:r w:rsidR="00C64C2D">
          <w:rPr>
            <w:webHidden/>
          </w:rPr>
          <w:tab/>
        </w:r>
        <w:r w:rsidR="00C64C2D">
          <w:rPr>
            <w:webHidden/>
          </w:rPr>
          <w:fldChar w:fldCharType="begin"/>
        </w:r>
        <w:r w:rsidR="00C64C2D">
          <w:rPr>
            <w:webHidden/>
          </w:rPr>
          <w:instrText xml:space="preserve"> PAGEREF _Toc389143605 \h </w:instrText>
        </w:r>
        <w:r w:rsidR="00C64C2D">
          <w:rPr>
            <w:webHidden/>
          </w:rPr>
        </w:r>
        <w:r w:rsidR="00C64C2D">
          <w:rPr>
            <w:webHidden/>
          </w:rPr>
          <w:fldChar w:fldCharType="separate"/>
        </w:r>
        <w:r>
          <w:rPr>
            <w:webHidden/>
          </w:rPr>
          <w:t>73</w:t>
        </w:r>
        <w:r w:rsidR="00C64C2D">
          <w:rPr>
            <w:webHidden/>
          </w:rPr>
          <w:fldChar w:fldCharType="end"/>
        </w:r>
      </w:hyperlink>
    </w:p>
    <w:p w14:paraId="35164870" w14:textId="77777777" w:rsidR="00C64C2D" w:rsidRDefault="004C1C27">
      <w:pPr>
        <w:pStyle w:val="TableofFigures"/>
        <w:rPr>
          <w:rFonts w:asciiTheme="minorHAnsi" w:eastAsiaTheme="minorEastAsia" w:hAnsiTheme="minorHAnsi" w:cstheme="minorBidi"/>
          <w:sz w:val="22"/>
          <w:szCs w:val="22"/>
          <w:lang w:eastAsia="en-AU"/>
        </w:rPr>
      </w:pPr>
      <w:hyperlink w:anchor="_Toc389143606" w:history="1">
        <w:r w:rsidR="00C64C2D" w:rsidRPr="00442F9D">
          <w:rPr>
            <w:rStyle w:val="Hyperlink"/>
          </w:rPr>
          <w:t>Table 32: Sensitivity analysis – Proportion of patients who opt for rTMS</w:t>
        </w:r>
        <w:r w:rsidR="00C64C2D">
          <w:rPr>
            <w:webHidden/>
          </w:rPr>
          <w:tab/>
        </w:r>
        <w:r w:rsidR="00C64C2D">
          <w:rPr>
            <w:webHidden/>
          </w:rPr>
          <w:fldChar w:fldCharType="begin"/>
        </w:r>
        <w:r w:rsidR="00C64C2D">
          <w:rPr>
            <w:webHidden/>
          </w:rPr>
          <w:instrText xml:space="preserve"> PAGEREF _Toc389143606 \h </w:instrText>
        </w:r>
        <w:r w:rsidR="00C64C2D">
          <w:rPr>
            <w:webHidden/>
          </w:rPr>
        </w:r>
        <w:r w:rsidR="00C64C2D">
          <w:rPr>
            <w:webHidden/>
          </w:rPr>
          <w:fldChar w:fldCharType="separate"/>
        </w:r>
        <w:r>
          <w:rPr>
            <w:webHidden/>
          </w:rPr>
          <w:t>73</w:t>
        </w:r>
        <w:r w:rsidR="00C64C2D">
          <w:rPr>
            <w:webHidden/>
          </w:rPr>
          <w:fldChar w:fldCharType="end"/>
        </w:r>
      </w:hyperlink>
    </w:p>
    <w:p w14:paraId="32E5D0F9" w14:textId="77777777" w:rsidR="00C64C2D" w:rsidRDefault="004C1C27">
      <w:pPr>
        <w:pStyle w:val="TableofFigures"/>
        <w:rPr>
          <w:rFonts w:asciiTheme="minorHAnsi" w:eastAsiaTheme="minorEastAsia" w:hAnsiTheme="minorHAnsi" w:cstheme="minorBidi"/>
          <w:sz w:val="22"/>
          <w:szCs w:val="22"/>
          <w:lang w:eastAsia="en-AU"/>
        </w:rPr>
      </w:pPr>
      <w:hyperlink w:anchor="_Toc389143607" w:history="1">
        <w:r w:rsidR="00C64C2D" w:rsidRPr="00442F9D">
          <w:rPr>
            <w:rStyle w:val="Hyperlink"/>
          </w:rPr>
          <w:t>Table 33: Sensitivity analysis – Gradual uptake rate of rTMS</w:t>
        </w:r>
        <w:r w:rsidR="00C64C2D">
          <w:rPr>
            <w:webHidden/>
          </w:rPr>
          <w:tab/>
        </w:r>
        <w:r w:rsidR="00C64C2D">
          <w:rPr>
            <w:webHidden/>
          </w:rPr>
          <w:fldChar w:fldCharType="begin"/>
        </w:r>
        <w:r w:rsidR="00C64C2D">
          <w:rPr>
            <w:webHidden/>
          </w:rPr>
          <w:instrText xml:space="preserve"> PAGEREF _Toc389143607 \h </w:instrText>
        </w:r>
        <w:r w:rsidR="00C64C2D">
          <w:rPr>
            <w:webHidden/>
          </w:rPr>
        </w:r>
        <w:r w:rsidR="00C64C2D">
          <w:rPr>
            <w:webHidden/>
          </w:rPr>
          <w:fldChar w:fldCharType="separate"/>
        </w:r>
        <w:r>
          <w:rPr>
            <w:webHidden/>
          </w:rPr>
          <w:t>74</w:t>
        </w:r>
        <w:r w:rsidR="00C64C2D">
          <w:rPr>
            <w:webHidden/>
          </w:rPr>
          <w:fldChar w:fldCharType="end"/>
        </w:r>
      </w:hyperlink>
    </w:p>
    <w:p w14:paraId="358EA398" w14:textId="77777777" w:rsidR="00C64C2D" w:rsidRDefault="004C1C27">
      <w:pPr>
        <w:pStyle w:val="TableofFigures"/>
        <w:rPr>
          <w:rFonts w:asciiTheme="minorHAnsi" w:eastAsiaTheme="minorEastAsia" w:hAnsiTheme="minorHAnsi" w:cstheme="minorBidi"/>
          <w:sz w:val="22"/>
          <w:szCs w:val="22"/>
          <w:lang w:eastAsia="en-AU"/>
        </w:rPr>
      </w:pPr>
      <w:hyperlink w:anchor="_Toc389143608" w:history="1">
        <w:r w:rsidR="00C64C2D" w:rsidRPr="00442F9D">
          <w:rPr>
            <w:rStyle w:val="Hyperlink"/>
          </w:rPr>
          <w:t>Table 34: Sensitivity analysis – Average number of rTMS treatments</w:t>
        </w:r>
        <w:r w:rsidR="00C64C2D">
          <w:rPr>
            <w:webHidden/>
          </w:rPr>
          <w:tab/>
        </w:r>
        <w:r w:rsidR="00C64C2D">
          <w:rPr>
            <w:webHidden/>
          </w:rPr>
          <w:fldChar w:fldCharType="begin"/>
        </w:r>
        <w:r w:rsidR="00C64C2D">
          <w:rPr>
            <w:webHidden/>
          </w:rPr>
          <w:instrText xml:space="preserve"> PAGEREF _Toc389143608 \h </w:instrText>
        </w:r>
        <w:r w:rsidR="00C64C2D">
          <w:rPr>
            <w:webHidden/>
          </w:rPr>
        </w:r>
        <w:r w:rsidR="00C64C2D">
          <w:rPr>
            <w:webHidden/>
          </w:rPr>
          <w:fldChar w:fldCharType="separate"/>
        </w:r>
        <w:r>
          <w:rPr>
            <w:webHidden/>
          </w:rPr>
          <w:t>74</w:t>
        </w:r>
        <w:r w:rsidR="00C64C2D">
          <w:rPr>
            <w:webHidden/>
          </w:rPr>
          <w:fldChar w:fldCharType="end"/>
        </w:r>
      </w:hyperlink>
    </w:p>
    <w:p w14:paraId="3C26CE78" w14:textId="77777777" w:rsidR="00C64C2D" w:rsidRDefault="004C1C27">
      <w:pPr>
        <w:pStyle w:val="TableofFigures"/>
        <w:rPr>
          <w:rFonts w:asciiTheme="minorHAnsi" w:eastAsiaTheme="minorEastAsia" w:hAnsiTheme="minorHAnsi" w:cstheme="minorBidi"/>
          <w:sz w:val="22"/>
          <w:szCs w:val="22"/>
          <w:lang w:eastAsia="en-AU"/>
        </w:rPr>
      </w:pPr>
      <w:hyperlink w:anchor="_Toc389143609" w:history="1">
        <w:r w:rsidR="00C64C2D" w:rsidRPr="00442F9D">
          <w:rPr>
            <w:rStyle w:val="Hyperlink"/>
          </w:rPr>
          <w:t>Table 35: Sensitivity analysis – Rate of reduction in antidepressant use following rTMS therapy</w:t>
        </w:r>
        <w:r w:rsidR="00C64C2D">
          <w:rPr>
            <w:webHidden/>
          </w:rPr>
          <w:tab/>
        </w:r>
        <w:r w:rsidR="00C64C2D">
          <w:rPr>
            <w:webHidden/>
          </w:rPr>
          <w:fldChar w:fldCharType="begin"/>
        </w:r>
        <w:r w:rsidR="00C64C2D">
          <w:rPr>
            <w:webHidden/>
          </w:rPr>
          <w:instrText xml:space="preserve"> PAGEREF _Toc389143609 \h </w:instrText>
        </w:r>
        <w:r w:rsidR="00C64C2D">
          <w:rPr>
            <w:webHidden/>
          </w:rPr>
        </w:r>
        <w:r w:rsidR="00C64C2D">
          <w:rPr>
            <w:webHidden/>
          </w:rPr>
          <w:fldChar w:fldCharType="separate"/>
        </w:r>
        <w:r>
          <w:rPr>
            <w:webHidden/>
          </w:rPr>
          <w:t>75</w:t>
        </w:r>
        <w:r w:rsidR="00C64C2D">
          <w:rPr>
            <w:webHidden/>
          </w:rPr>
          <w:fldChar w:fldCharType="end"/>
        </w:r>
      </w:hyperlink>
    </w:p>
    <w:p w14:paraId="37CB99AD" w14:textId="77777777" w:rsidR="00C64C2D" w:rsidRDefault="004C1C27">
      <w:pPr>
        <w:pStyle w:val="TableofFigures"/>
        <w:rPr>
          <w:rFonts w:asciiTheme="minorHAnsi" w:eastAsiaTheme="minorEastAsia" w:hAnsiTheme="minorHAnsi" w:cstheme="minorBidi"/>
          <w:sz w:val="22"/>
          <w:szCs w:val="22"/>
          <w:lang w:eastAsia="en-AU"/>
        </w:rPr>
      </w:pPr>
      <w:hyperlink w:anchor="_Toc389143610" w:history="1">
        <w:r w:rsidR="00C64C2D" w:rsidRPr="00442F9D">
          <w:rPr>
            <w:rStyle w:val="Hyperlink"/>
          </w:rPr>
          <w:t>Table 36: Sensitivity analysis – Rate of reduction in ECT use following rTMS therapy</w:t>
        </w:r>
        <w:r w:rsidR="00C64C2D">
          <w:rPr>
            <w:webHidden/>
          </w:rPr>
          <w:tab/>
        </w:r>
        <w:r w:rsidR="00C64C2D">
          <w:rPr>
            <w:webHidden/>
          </w:rPr>
          <w:fldChar w:fldCharType="begin"/>
        </w:r>
        <w:r w:rsidR="00C64C2D">
          <w:rPr>
            <w:webHidden/>
          </w:rPr>
          <w:instrText xml:space="preserve"> PAGEREF _Toc389143610 \h </w:instrText>
        </w:r>
        <w:r w:rsidR="00C64C2D">
          <w:rPr>
            <w:webHidden/>
          </w:rPr>
        </w:r>
        <w:r w:rsidR="00C64C2D">
          <w:rPr>
            <w:webHidden/>
          </w:rPr>
          <w:fldChar w:fldCharType="separate"/>
        </w:r>
        <w:r>
          <w:rPr>
            <w:webHidden/>
          </w:rPr>
          <w:t>75</w:t>
        </w:r>
        <w:r w:rsidR="00C64C2D">
          <w:rPr>
            <w:webHidden/>
          </w:rPr>
          <w:fldChar w:fldCharType="end"/>
        </w:r>
      </w:hyperlink>
    </w:p>
    <w:p w14:paraId="18D351A6" w14:textId="77777777" w:rsidR="00C64C2D" w:rsidRDefault="004C1C27">
      <w:pPr>
        <w:pStyle w:val="TableofFigures"/>
        <w:rPr>
          <w:rFonts w:asciiTheme="minorHAnsi" w:eastAsiaTheme="minorEastAsia" w:hAnsiTheme="minorHAnsi" w:cstheme="minorBidi"/>
          <w:sz w:val="22"/>
          <w:szCs w:val="22"/>
          <w:lang w:eastAsia="en-AU"/>
        </w:rPr>
      </w:pPr>
      <w:hyperlink w:anchor="_Toc389143611" w:history="1">
        <w:r w:rsidR="00C64C2D" w:rsidRPr="00442F9D">
          <w:rPr>
            <w:rStyle w:val="Hyperlink"/>
          </w:rPr>
          <w:t>Table 37: Utility weights for MDD reported in the literature</w:t>
        </w:r>
        <w:r w:rsidR="00C64C2D">
          <w:rPr>
            <w:webHidden/>
          </w:rPr>
          <w:tab/>
        </w:r>
        <w:r w:rsidR="00C64C2D">
          <w:rPr>
            <w:webHidden/>
          </w:rPr>
          <w:fldChar w:fldCharType="begin"/>
        </w:r>
        <w:r w:rsidR="00C64C2D">
          <w:rPr>
            <w:webHidden/>
          </w:rPr>
          <w:instrText xml:space="preserve"> PAGEREF _Toc389143611 \h </w:instrText>
        </w:r>
        <w:r w:rsidR="00C64C2D">
          <w:rPr>
            <w:webHidden/>
          </w:rPr>
        </w:r>
        <w:r w:rsidR="00C64C2D">
          <w:rPr>
            <w:webHidden/>
          </w:rPr>
          <w:fldChar w:fldCharType="separate"/>
        </w:r>
        <w:r>
          <w:rPr>
            <w:webHidden/>
          </w:rPr>
          <w:t>88</w:t>
        </w:r>
        <w:r w:rsidR="00C64C2D">
          <w:rPr>
            <w:webHidden/>
          </w:rPr>
          <w:fldChar w:fldCharType="end"/>
        </w:r>
      </w:hyperlink>
    </w:p>
    <w:p w14:paraId="7DF011F0" w14:textId="77777777" w:rsidR="00C64C2D" w:rsidRDefault="004C1C27">
      <w:pPr>
        <w:pStyle w:val="TableofFigures"/>
        <w:rPr>
          <w:rFonts w:asciiTheme="minorHAnsi" w:eastAsiaTheme="minorEastAsia" w:hAnsiTheme="minorHAnsi" w:cstheme="minorBidi"/>
          <w:sz w:val="22"/>
          <w:szCs w:val="22"/>
          <w:lang w:eastAsia="en-AU"/>
        </w:rPr>
      </w:pPr>
      <w:hyperlink w:anchor="_Toc389143612" w:history="1">
        <w:r w:rsidR="00C64C2D" w:rsidRPr="00442F9D">
          <w:rPr>
            <w:rStyle w:val="Hyperlink"/>
          </w:rPr>
          <w:t>Table 38: Disutility and cost associated with adverse events</w:t>
        </w:r>
        <w:r w:rsidR="00C64C2D">
          <w:rPr>
            <w:webHidden/>
          </w:rPr>
          <w:tab/>
        </w:r>
        <w:r w:rsidR="00C64C2D">
          <w:rPr>
            <w:webHidden/>
          </w:rPr>
          <w:fldChar w:fldCharType="begin"/>
        </w:r>
        <w:r w:rsidR="00C64C2D">
          <w:rPr>
            <w:webHidden/>
          </w:rPr>
          <w:instrText xml:space="preserve"> PAGEREF _Toc389143612 \h </w:instrText>
        </w:r>
        <w:r w:rsidR="00C64C2D">
          <w:rPr>
            <w:webHidden/>
          </w:rPr>
        </w:r>
        <w:r w:rsidR="00C64C2D">
          <w:rPr>
            <w:webHidden/>
          </w:rPr>
          <w:fldChar w:fldCharType="separate"/>
        </w:r>
        <w:r>
          <w:rPr>
            <w:webHidden/>
          </w:rPr>
          <w:t>89</w:t>
        </w:r>
        <w:r w:rsidR="00C64C2D">
          <w:rPr>
            <w:webHidden/>
          </w:rPr>
          <w:fldChar w:fldCharType="end"/>
        </w:r>
      </w:hyperlink>
    </w:p>
    <w:p w14:paraId="7DED0CB6" w14:textId="77777777" w:rsidR="00C64C2D" w:rsidRDefault="004C1C27">
      <w:pPr>
        <w:pStyle w:val="TableofFigures"/>
        <w:rPr>
          <w:rFonts w:asciiTheme="minorHAnsi" w:eastAsiaTheme="minorEastAsia" w:hAnsiTheme="minorHAnsi" w:cstheme="minorBidi"/>
          <w:sz w:val="22"/>
          <w:szCs w:val="22"/>
          <w:lang w:eastAsia="en-AU"/>
        </w:rPr>
      </w:pPr>
      <w:hyperlink w:anchor="_Toc389143613" w:history="1">
        <w:r w:rsidR="00C64C2D" w:rsidRPr="00442F9D">
          <w:rPr>
            <w:rStyle w:val="Hyperlink"/>
          </w:rPr>
          <w:t>Table 39: Summary of utility weights used in the economic model</w:t>
        </w:r>
        <w:r w:rsidR="00C64C2D">
          <w:rPr>
            <w:webHidden/>
          </w:rPr>
          <w:tab/>
        </w:r>
        <w:r w:rsidR="00C64C2D">
          <w:rPr>
            <w:webHidden/>
          </w:rPr>
          <w:fldChar w:fldCharType="begin"/>
        </w:r>
        <w:r w:rsidR="00C64C2D">
          <w:rPr>
            <w:webHidden/>
          </w:rPr>
          <w:instrText xml:space="preserve"> PAGEREF _Toc389143613 \h </w:instrText>
        </w:r>
        <w:r w:rsidR="00C64C2D">
          <w:rPr>
            <w:webHidden/>
          </w:rPr>
        </w:r>
        <w:r w:rsidR="00C64C2D">
          <w:rPr>
            <w:webHidden/>
          </w:rPr>
          <w:fldChar w:fldCharType="separate"/>
        </w:r>
        <w:r>
          <w:rPr>
            <w:webHidden/>
          </w:rPr>
          <w:t>90</w:t>
        </w:r>
        <w:r w:rsidR="00C64C2D">
          <w:rPr>
            <w:webHidden/>
          </w:rPr>
          <w:fldChar w:fldCharType="end"/>
        </w:r>
      </w:hyperlink>
    </w:p>
    <w:p w14:paraId="66A86A73" w14:textId="46C4C276" w:rsidR="005353DF" w:rsidRDefault="006258B7">
      <w:pPr>
        <w:spacing w:after="0"/>
        <w:ind w:left="0"/>
      </w:pPr>
      <w:r>
        <w:rPr>
          <w:noProof/>
        </w:rPr>
        <w:fldChar w:fldCharType="end"/>
      </w:r>
      <w:r w:rsidR="005353DF">
        <w:br w:type="page"/>
      </w:r>
    </w:p>
    <w:p w14:paraId="5E31A237" w14:textId="77777777" w:rsidR="00C9782D" w:rsidRPr="00A158A3" w:rsidRDefault="008F59A8" w:rsidP="00397B17">
      <w:pPr>
        <w:pStyle w:val="Heading2"/>
      </w:pPr>
      <w:r w:rsidRPr="00A158A3">
        <w:lastRenderedPageBreak/>
        <w:t>Figures</w:t>
      </w:r>
    </w:p>
    <w:p w14:paraId="6A26EFAE" w14:textId="77777777" w:rsidR="003F17D5" w:rsidRDefault="003F17D5" w:rsidP="00C9782D"/>
    <w:p w14:paraId="759938C1" w14:textId="77777777" w:rsidR="008474A0" w:rsidRDefault="008474A0">
      <w:pPr>
        <w:pStyle w:val="TableofFigures"/>
        <w:rPr>
          <w:rFonts w:asciiTheme="minorHAnsi" w:eastAsiaTheme="minorEastAsia" w:hAnsiTheme="minorHAnsi" w:cstheme="minorBidi"/>
          <w:sz w:val="22"/>
          <w:szCs w:val="22"/>
          <w:lang w:eastAsia="en-AU"/>
        </w:rPr>
      </w:pPr>
      <w:r>
        <w:fldChar w:fldCharType="begin"/>
      </w:r>
      <w:r>
        <w:instrText xml:space="preserve"> TOC \h \z \t "Heading 6" \c </w:instrText>
      </w:r>
      <w:r>
        <w:fldChar w:fldCharType="separate"/>
      </w:r>
      <w:hyperlink w:anchor="_Toc389154648" w:history="1">
        <w:r w:rsidRPr="00C30F87">
          <w:rPr>
            <w:rStyle w:val="Hyperlink"/>
            <w:bCs/>
          </w:rPr>
          <w:t>Figure 1: Illustration of rTMS</w:t>
        </w:r>
        <w:r>
          <w:rPr>
            <w:webHidden/>
          </w:rPr>
          <w:tab/>
        </w:r>
        <w:r>
          <w:rPr>
            <w:webHidden/>
          </w:rPr>
          <w:fldChar w:fldCharType="begin"/>
        </w:r>
        <w:r>
          <w:rPr>
            <w:webHidden/>
          </w:rPr>
          <w:instrText xml:space="preserve"> PAGEREF _Toc389154648 \h </w:instrText>
        </w:r>
        <w:r>
          <w:rPr>
            <w:webHidden/>
          </w:rPr>
        </w:r>
        <w:r>
          <w:rPr>
            <w:webHidden/>
          </w:rPr>
          <w:fldChar w:fldCharType="separate"/>
        </w:r>
        <w:r w:rsidR="004C1C27">
          <w:rPr>
            <w:webHidden/>
          </w:rPr>
          <w:t>16</w:t>
        </w:r>
        <w:r>
          <w:rPr>
            <w:webHidden/>
          </w:rPr>
          <w:fldChar w:fldCharType="end"/>
        </w:r>
      </w:hyperlink>
    </w:p>
    <w:p w14:paraId="12234A33" w14:textId="77777777" w:rsidR="008474A0" w:rsidRDefault="004C1C27">
      <w:pPr>
        <w:pStyle w:val="TableofFigures"/>
        <w:rPr>
          <w:rFonts w:asciiTheme="minorHAnsi" w:eastAsiaTheme="minorEastAsia" w:hAnsiTheme="minorHAnsi" w:cstheme="minorBidi"/>
          <w:sz w:val="22"/>
          <w:szCs w:val="22"/>
          <w:lang w:eastAsia="en-AU"/>
        </w:rPr>
      </w:pPr>
      <w:hyperlink w:anchor="_Toc389154649" w:history="1">
        <w:r w:rsidR="008474A0" w:rsidRPr="00C30F87">
          <w:rPr>
            <w:rStyle w:val="Hyperlink"/>
          </w:rPr>
          <w:t>Figure 2: Clinical decision pathway for rTMS treatment</w:t>
        </w:r>
        <w:r w:rsidR="008474A0">
          <w:rPr>
            <w:webHidden/>
          </w:rPr>
          <w:tab/>
        </w:r>
        <w:r w:rsidR="008474A0">
          <w:rPr>
            <w:webHidden/>
          </w:rPr>
          <w:fldChar w:fldCharType="begin"/>
        </w:r>
        <w:r w:rsidR="008474A0">
          <w:rPr>
            <w:webHidden/>
          </w:rPr>
          <w:instrText xml:space="preserve"> PAGEREF _Toc389154649 \h </w:instrText>
        </w:r>
        <w:r w:rsidR="008474A0">
          <w:rPr>
            <w:webHidden/>
          </w:rPr>
        </w:r>
        <w:r w:rsidR="008474A0">
          <w:rPr>
            <w:webHidden/>
          </w:rPr>
          <w:fldChar w:fldCharType="separate"/>
        </w:r>
        <w:r>
          <w:rPr>
            <w:webHidden/>
          </w:rPr>
          <w:t>20</w:t>
        </w:r>
        <w:r w:rsidR="008474A0">
          <w:rPr>
            <w:webHidden/>
          </w:rPr>
          <w:fldChar w:fldCharType="end"/>
        </w:r>
      </w:hyperlink>
    </w:p>
    <w:p w14:paraId="6EE24EFB" w14:textId="77777777" w:rsidR="008474A0" w:rsidRDefault="004C1C27">
      <w:pPr>
        <w:pStyle w:val="TableofFigures"/>
        <w:rPr>
          <w:rFonts w:asciiTheme="minorHAnsi" w:eastAsiaTheme="minorEastAsia" w:hAnsiTheme="minorHAnsi" w:cstheme="minorBidi"/>
          <w:sz w:val="22"/>
          <w:szCs w:val="22"/>
          <w:lang w:eastAsia="en-AU"/>
        </w:rPr>
      </w:pPr>
      <w:hyperlink w:anchor="_Toc389154650" w:history="1">
        <w:r w:rsidR="008474A0" w:rsidRPr="00C30F87">
          <w:rPr>
            <w:rStyle w:val="Hyperlink"/>
          </w:rPr>
          <w:t>Figure 3: Comparison of relapse rate over 12 months of naturalistic, long-term follow-up:  NeuroStar Outcomes Study versus STAR*D Study levels 1 through 4</w:t>
        </w:r>
        <w:r w:rsidR="008474A0">
          <w:rPr>
            <w:webHidden/>
          </w:rPr>
          <w:tab/>
        </w:r>
        <w:r w:rsidR="008474A0">
          <w:rPr>
            <w:webHidden/>
          </w:rPr>
          <w:fldChar w:fldCharType="begin"/>
        </w:r>
        <w:r w:rsidR="008474A0">
          <w:rPr>
            <w:webHidden/>
          </w:rPr>
          <w:instrText xml:space="preserve"> PAGEREF _Toc389154650 \h </w:instrText>
        </w:r>
        <w:r w:rsidR="008474A0">
          <w:rPr>
            <w:webHidden/>
          </w:rPr>
        </w:r>
        <w:r w:rsidR="008474A0">
          <w:rPr>
            <w:webHidden/>
          </w:rPr>
          <w:fldChar w:fldCharType="separate"/>
        </w:r>
        <w:r>
          <w:rPr>
            <w:webHidden/>
          </w:rPr>
          <w:t>35</w:t>
        </w:r>
        <w:r w:rsidR="008474A0">
          <w:rPr>
            <w:webHidden/>
          </w:rPr>
          <w:fldChar w:fldCharType="end"/>
        </w:r>
      </w:hyperlink>
    </w:p>
    <w:p w14:paraId="7AFCE5D2" w14:textId="77777777" w:rsidR="008474A0" w:rsidRDefault="004C1C27">
      <w:pPr>
        <w:pStyle w:val="TableofFigures"/>
        <w:rPr>
          <w:rFonts w:asciiTheme="minorHAnsi" w:eastAsiaTheme="minorEastAsia" w:hAnsiTheme="minorHAnsi" w:cstheme="minorBidi"/>
          <w:sz w:val="22"/>
          <w:szCs w:val="22"/>
          <w:lang w:eastAsia="en-AU"/>
        </w:rPr>
      </w:pPr>
      <w:hyperlink w:anchor="_Toc389154651" w:history="1">
        <w:r w:rsidR="008474A0" w:rsidRPr="00C30F87">
          <w:rPr>
            <w:rStyle w:val="Hyperlink"/>
          </w:rPr>
          <w:t>Figure 4: Treatment effects in randomised controlled trials - Change from baseline in HAMD17 total score (mean difference active vs. placebo)</w:t>
        </w:r>
        <w:r w:rsidR="008474A0">
          <w:rPr>
            <w:webHidden/>
          </w:rPr>
          <w:tab/>
        </w:r>
        <w:r w:rsidR="008474A0">
          <w:rPr>
            <w:webHidden/>
          </w:rPr>
          <w:fldChar w:fldCharType="begin"/>
        </w:r>
        <w:r w:rsidR="008474A0">
          <w:rPr>
            <w:webHidden/>
          </w:rPr>
          <w:instrText xml:space="preserve"> PAGEREF _Toc389154651 \h </w:instrText>
        </w:r>
        <w:r w:rsidR="008474A0">
          <w:rPr>
            <w:webHidden/>
          </w:rPr>
        </w:r>
        <w:r w:rsidR="008474A0">
          <w:rPr>
            <w:webHidden/>
          </w:rPr>
          <w:fldChar w:fldCharType="separate"/>
        </w:r>
        <w:r>
          <w:rPr>
            <w:webHidden/>
          </w:rPr>
          <w:t>39</w:t>
        </w:r>
        <w:r w:rsidR="008474A0">
          <w:rPr>
            <w:webHidden/>
          </w:rPr>
          <w:fldChar w:fldCharType="end"/>
        </w:r>
      </w:hyperlink>
    </w:p>
    <w:p w14:paraId="5309A60B" w14:textId="77777777" w:rsidR="008474A0" w:rsidRDefault="004C1C27">
      <w:pPr>
        <w:pStyle w:val="TableofFigures"/>
        <w:rPr>
          <w:rFonts w:asciiTheme="minorHAnsi" w:eastAsiaTheme="minorEastAsia" w:hAnsiTheme="minorHAnsi" w:cstheme="minorBidi"/>
          <w:sz w:val="22"/>
          <w:szCs w:val="22"/>
          <w:lang w:eastAsia="en-AU"/>
        </w:rPr>
      </w:pPr>
      <w:hyperlink w:anchor="_Toc389154652" w:history="1">
        <w:r w:rsidR="008474A0" w:rsidRPr="00C30F87">
          <w:rPr>
            <w:rStyle w:val="Hyperlink"/>
          </w:rPr>
          <w:t>Figure 5: Treatment effects in randomised controlled trials: Change from baseline in MADRS total score (mean difference active vs. placebo [treatment-resistant study population])</w:t>
        </w:r>
        <w:r w:rsidR="008474A0">
          <w:rPr>
            <w:webHidden/>
          </w:rPr>
          <w:tab/>
        </w:r>
        <w:r w:rsidR="008474A0">
          <w:rPr>
            <w:webHidden/>
          </w:rPr>
          <w:fldChar w:fldCharType="begin"/>
        </w:r>
        <w:r w:rsidR="008474A0">
          <w:rPr>
            <w:webHidden/>
          </w:rPr>
          <w:instrText xml:space="preserve"> PAGEREF _Toc389154652 \h </w:instrText>
        </w:r>
        <w:r w:rsidR="008474A0">
          <w:rPr>
            <w:webHidden/>
          </w:rPr>
        </w:r>
        <w:r w:rsidR="008474A0">
          <w:rPr>
            <w:webHidden/>
          </w:rPr>
          <w:fldChar w:fldCharType="separate"/>
        </w:r>
        <w:r>
          <w:rPr>
            <w:webHidden/>
          </w:rPr>
          <w:t>39</w:t>
        </w:r>
        <w:r w:rsidR="008474A0">
          <w:rPr>
            <w:webHidden/>
          </w:rPr>
          <w:fldChar w:fldCharType="end"/>
        </w:r>
      </w:hyperlink>
    </w:p>
    <w:p w14:paraId="3433DE78" w14:textId="77777777" w:rsidR="008474A0" w:rsidRDefault="004C1C27">
      <w:pPr>
        <w:pStyle w:val="TableofFigures"/>
        <w:rPr>
          <w:rFonts w:asciiTheme="minorHAnsi" w:eastAsiaTheme="minorEastAsia" w:hAnsiTheme="minorHAnsi" w:cstheme="minorBidi"/>
          <w:sz w:val="22"/>
          <w:szCs w:val="22"/>
          <w:lang w:eastAsia="en-AU"/>
        </w:rPr>
      </w:pPr>
      <w:hyperlink w:anchor="_Toc389154653" w:history="1">
        <w:r w:rsidR="008474A0" w:rsidRPr="00C30F87">
          <w:rPr>
            <w:rStyle w:val="Hyperlink"/>
          </w:rPr>
          <w:t>Figure 6: Summary of effect sizes (Hedge’s g) in randomised controlled trials of antidepressant medications and for NeuroStar TMS Therapy (treatment-resistant study populations)</w:t>
        </w:r>
        <w:r w:rsidR="008474A0">
          <w:rPr>
            <w:webHidden/>
          </w:rPr>
          <w:tab/>
        </w:r>
        <w:r w:rsidR="008474A0">
          <w:rPr>
            <w:webHidden/>
          </w:rPr>
          <w:fldChar w:fldCharType="begin"/>
        </w:r>
        <w:r w:rsidR="008474A0">
          <w:rPr>
            <w:webHidden/>
          </w:rPr>
          <w:instrText xml:space="preserve"> PAGEREF _Toc389154653 \h </w:instrText>
        </w:r>
        <w:r w:rsidR="008474A0">
          <w:rPr>
            <w:webHidden/>
          </w:rPr>
        </w:r>
        <w:r w:rsidR="008474A0">
          <w:rPr>
            <w:webHidden/>
          </w:rPr>
          <w:fldChar w:fldCharType="separate"/>
        </w:r>
        <w:r>
          <w:rPr>
            <w:webHidden/>
          </w:rPr>
          <w:t>40</w:t>
        </w:r>
        <w:r w:rsidR="008474A0">
          <w:rPr>
            <w:webHidden/>
          </w:rPr>
          <w:fldChar w:fldCharType="end"/>
        </w:r>
      </w:hyperlink>
    </w:p>
    <w:p w14:paraId="44EA7FB4" w14:textId="77777777" w:rsidR="008474A0" w:rsidRDefault="004C1C27">
      <w:pPr>
        <w:pStyle w:val="TableofFigures"/>
        <w:rPr>
          <w:rFonts w:asciiTheme="minorHAnsi" w:eastAsiaTheme="minorEastAsia" w:hAnsiTheme="minorHAnsi" w:cstheme="minorBidi"/>
          <w:sz w:val="22"/>
          <w:szCs w:val="22"/>
          <w:lang w:eastAsia="en-AU"/>
        </w:rPr>
      </w:pPr>
      <w:hyperlink w:anchor="_Toc389154654" w:history="1">
        <w:r w:rsidR="008474A0" w:rsidRPr="00C30F87">
          <w:rPr>
            <w:rStyle w:val="Hyperlink"/>
          </w:rPr>
          <w:t>Figure 7: Absence of emergent suicidal ideation during acute treatment with the NeuroStar TMS Therapy</w:t>
        </w:r>
        <w:r w:rsidR="008474A0">
          <w:rPr>
            <w:webHidden/>
          </w:rPr>
          <w:tab/>
        </w:r>
        <w:r w:rsidR="008474A0">
          <w:rPr>
            <w:webHidden/>
          </w:rPr>
          <w:fldChar w:fldCharType="begin"/>
        </w:r>
        <w:r w:rsidR="008474A0">
          <w:rPr>
            <w:webHidden/>
          </w:rPr>
          <w:instrText xml:space="preserve"> PAGEREF _Toc389154654 \h </w:instrText>
        </w:r>
        <w:r w:rsidR="008474A0">
          <w:rPr>
            <w:webHidden/>
          </w:rPr>
        </w:r>
        <w:r w:rsidR="008474A0">
          <w:rPr>
            <w:webHidden/>
          </w:rPr>
          <w:fldChar w:fldCharType="separate"/>
        </w:r>
        <w:r>
          <w:rPr>
            <w:webHidden/>
          </w:rPr>
          <w:t>45</w:t>
        </w:r>
        <w:r w:rsidR="008474A0">
          <w:rPr>
            <w:webHidden/>
          </w:rPr>
          <w:fldChar w:fldCharType="end"/>
        </w:r>
      </w:hyperlink>
    </w:p>
    <w:p w14:paraId="7331FB9F" w14:textId="77777777" w:rsidR="008474A0" w:rsidRDefault="004C1C27">
      <w:pPr>
        <w:pStyle w:val="TableofFigures"/>
        <w:rPr>
          <w:rFonts w:asciiTheme="minorHAnsi" w:eastAsiaTheme="minorEastAsia" w:hAnsiTheme="minorHAnsi" w:cstheme="minorBidi"/>
          <w:sz w:val="22"/>
          <w:szCs w:val="22"/>
          <w:lang w:eastAsia="en-AU"/>
        </w:rPr>
      </w:pPr>
      <w:hyperlink w:anchor="_Toc389154655" w:history="1">
        <w:r w:rsidR="008474A0" w:rsidRPr="00C30F87">
          <w:rPr>
            <w:rStyle w:val="Hyperlink"/>
          </w:rPr>
          <w:t>Figure 8: State transition diagram of the economic model</w:t>
        </w:r>
        <w:r w:rsidR="008474A0">
          <w:rPr>
            <w:webHidden/>
          </w:rPr>
          <w:tab/>
        </w:r>
        <w:r w:rsidR="008474A0">
          <w:rPr>
            <w:webHidden/>
          </w:rPr>
          <w:fldChar w:fldCharType="begin"/>
        </w:r>
        <w:r w:rsidR="008474A0">
          <w:rPr>
            <w:webHidden/>
          </w:rPr>
          <w:instrText xml:space="preserve"> PAGEREF _Toc389154655 \h </w:instrText>
        </w:r>
        <w:r w:rsidR="008474A0">
          <w:rPr>
            <w:webHidden/>
          </w:rPr>
        </w:r>
        <w:r w:rsidR="008474A0">
          <w:rPr>
            <w:webHidden/>
          </w:rPr>
          <w:fldChar w:fldCharType="separate"/>
        </w:r>
        <w:r>
          <w:rPr>
            <w:webHidden/>
          </w:rPr>
          <w:t>54</w:t>
        </w:r>
        <w:r w:rsidR="008474A0">
          <w:rPr>
            <w:webHidden/>
          </w:rPr>
          <w:fldChar w:fldCharType="end"/>
        </w:r>
      </w:hyperlink>
    </w:p>
    <w:p w14:paraId="5F8EFDCB" w14:textId="77777777" w:rsidR="008474A0" w:rsidRDefault="004C1C27">
      <w:pPr>
        <w:pStyle w:val="TableofFigures"/>
        <w:rPr>
          <w:rFonts w:asciiTheme="minorHAnsi" w:eastAsiaTheme="minorEastAsia" w:hAnsiTheme="minorHAnsi" w:cstheme="minorBidi"/>
          <w:sz w:val="22"/>
          <w:szCs w:val="22"/>
          <w:lang w:eastAsia="en-AU"/>
        </w:rPr>
      </w:pPr>
      <w:hyperlink w:anchor="_Toc389154656" w:history="1">
        <w:r w:rsidR="008474A0" w:rsidRPr="00C30F87">
          <w:rPr>
            <w:rStyle w:val="Hyperlink"/>
          </w:rPr>
          <w:t>Figure 9: Structure of the Markov model (3-year duration 1-month cycle)</w:t>
        </w:r>
        <w:r w:rsidR="008474A0">
          <w:rPr>
            <w:webHidden/>
          </w:rPr>
          <w:tab/>
        </w:r>
        <w:r w:rsidR="008474A0">
          <w:rPr>
            <w:webHidden/>
          </w:rPr>
          <w:fldChar w:fldCharType="begin"/>
        </w:r>
        <w:r w:rsidR="008474A0">
          <w:rPr>
            <w:webHidden/>
          </w:rPr>
          <w:instrText xml:space="preserve"> PAGEREF _Toc389154656 \h </w:instrText>
        </w:r>
        <w:r w:rsidR="008474A0">
          <w:rPr>
            <w:webHidden/>
          </w:rPr>
        </w:r>
        <w:r w:rsidR="008474A0">
          <w:rPr>
            <w:webHidden/>
          </w:rPr>
          <w:fldChar w:fldCharType="separate"/>
        </w:r>
        <w:r>
          <w:rPr>
            <w:webHidden/>
          </w:rPr>
          <w:t>85</w:t>
        </w:r>
        <w:r w:rsidR="008474A0">
          <w:rPr>
            <w:webHidden/>
          </w:rPr>
          <w:fldChar w:fldCharType="end"/>
        </w:r>
      </w:hyperlink>
    </w:p>
    <w:p w14:paraId="0BAB3854" w14:textId="77777777" w:rsidR="008474A0" w:rsidRDefault="004C1C27">
      <w:pPr>
        <w:pStyle w:val="TableofFigures"/>
        <w:rPr>
          <w:rFonts w:asciiTheme="minorHAnsi" w:eastAsiaTheme="minorEastAsia" w:hAnsiTheme="minorHAnsi" w:cstheme="minorBidi"/>
          <w:sz w:val="22"/>
          <w:szCs w:val="22"/>
          <w:lang w:eastAsia="en-AU"/>
        </w:rPr>
      </w:pPr>
      <w:hyperlink w:anchor="_Toc389154657" w:history="1">
        <w:r w:rsidR="008474A0" w:rsidRPr="00C30F87">
          <w:rPr>
            <w:rStyle w:val="Hyperlink"/>
          </w:rPr>
          <w:t>Figure 10: Remission rate rTMS vs. Sham</w:t>
        </w:r>
        <w:r w:rsidR="008474A0">
          <w:rPr>
            <w:webHidden/>
          </w:rPr>
          <w:tab/>
        </w:r>
        <w:r w:rsidR="008474A0">
          <w:rPr>
            <w:webHidden/>
          </w:rPr>
          <w:fldChar w:fldCharType="begin"/>
        </w:r>
        <w:r w:rsidR="008474A0">
          <w:rPr>
            <w:webHidden/>
          </w:rPr>
          <w:instrText xml:space="preserve"> PAGEREF _Toc389154657 \h </w:instrText>
        </w:r>
        <w:r w:rsidR="008474A0">
          <w:rPr>
            <w:webHidden/>
          </w:rPr>
        </w:r>
        <w:r w:rsidR="008474A0">
          <w:rPr>
            <w:webHidden/>
          </w:rPr>
          <w:fldChar w:fldCharType="separate"/>
        </w:r>
        <w:r>
          <w:rPr>
            <w:webHidden/>
          </w:rPr>
          <w:t>86</w:t>
        </w:r>
        <w:r w:rsidR="008474A0">
          <w:rPr>
            <w:webHidden/>
          </w:rPr>
          <w:fldChar w:fldCharType="end"/>
        </w:r>
      </w:hyperlink>
    </w:p>
    <w:p w14:paraId="429CB15A" w14:textId="77777777" w:rsidR="008474A0" w:rsidRDefault="004C1C27">
      <w:pPr>
        <w:pStyle w:val="TableofFigures"/>
        <w:rPr>
          <w:rFonts w:asciiTheme="minorHAnsi" w:eastAsiaTheme="minorEastAsia" w:hAnsiTheme="minorHAnsi" w:cstheme="minorBidi"/>
          <w:sz w:val="22"/>
          <w:szCs w:val="22"/>
          <w:lang w:eastAsia="en-AU"/>
        </w:rPr>
      </w:pPr>
      <w:hyperlink w:anchor="_Toc389154658" w:history="1">
        <w:r w:rsidR="008474A0" w:rsidRPr="00C30F87">
          <w:rPr>
            <w:rStyle w:val="Hyperlink"/>
          </w:rPr>
          <w:t>Figure 11: Remission rate rTMS vs. ECT</w:t>
        </w:r>
        <w:r w:rsidR="008474A0">
          <w:rPr>
            <w:webHidden/>
          </w:rPr>
          <w:tab/>
        </w:r>
        <w:r w:rsidR="008474A0">
          <w:rPr>
            <w:webHidden/>
          </w:rPr>
          <w:fldChar w:fldCharType="begin"/>
        </w:r>
        <w:r w:rsidR="008474A0">
          <w:rPr>
            <w:webHidden/>
          </w:rPr>
          <w:instrText xml:space="preserve"> PAGEREF _Toc389154658 \h </w:instrText>
        </w:r>
        <w:r w:rsidR="008474A0">
          <w:rPr>
            <w:webHidden/>
          </w:rPr>
        </w:r>
        <w:r w:rsidR="008474A0">
          <w:rPr>
            <w:webHidden/>
          </w:rPr>
          <w:fldChar w:fldCharType="separate"/>
        </w:r>
        <w:r>
          <w:rPr>
            <w:webHidden/>
          </w:rPr>
          <w:t>86</w:t>
        </w:r>
        <w:r w:rsidR="008474A0">
          <w:rPr>
            <w:webHidden/>
          </w:rPr>
          <w:fldChar w:fldCharType="end"/>
        </w:r>
      </w:hyperlink>
    </w:p>
    <w:p w14:paraId="104CA470" w14:textId="77777777" w:rsidR="008474A0" w:rsidRDefault="004C1C27">
      <w:pPr>
        <w:pStyle w:val="TableofFigures"/>
        <w:rPr>
          <w:rFonts w:asciiTheme="minorHAnsi" w:eastAsiaTheme="minorEastAsia" w:hAnsiTheme="minorHAnsi" w:cstheme="minorBidi"/>
          <w:sz w:val="22"/>
          <w:szCs w:val="22"/>
          <w:lang w:eastAsia="en-AU"/>
        </w:rPr>
      </w:pPr>
      <w:hyperlink w:anchor="_Toc389154659" w:history="1">
        <w:r w:rsidR="008474A0" w:rsidRPr="00C30F87">
          <w:rPr>
            <w:rStyle w:val="Hyperlink"/>
          </w:rPr>
          <w:t>Figure 12: Response rate rTMS vs. Sham</w:t>
        </w:r>
        <w:r w:rsidR="008474A0">
          <w:rPr>
            <w:webHidden/>
          </w:rPr>
          <w:tab/>
        </w:r>
        <w:r w:rsidR="008474A0">
          <w:rPr>
            <w:webHidden/>
          </w:rPr>
          <w:fldChar w:fldCharType="begin"/>
        </w:r>
        <w:r w:rsidR="008474A0">
          <w:rPr>
            <w:webHidden/>
          </w:rPr>
          <w:instrText xml:space="preserve"> PAGEREF _Toc389154659 \h </w:instrText>
        </w:r>
        <w:r w:rsidR="008474A0">
          <w:rPr>
            <w:webHidden/>
          </w:rPr>
        </w:r>
        <w:r w:rsidR="008474A0">
          <w:rPr>
            <w:webHidden/>
          </w:rPr>
          <w:fldChar w:fldCharType="separate"/>
        </w:r>
        <w:r>
          <w:rPr>
            <w:webHidden/>
          </w:rPr>
          <w:t>87</w:t>
        </w:r>
        <w:r w:rsidR="008474A0">
          <w:rPr>
            <w:webHidden/>
          </w:rPr>
          <w:fldChar w:fldCharType="end"/>
        </w:r>
      </w:hyperlink>
    </w:p>
    <w:p w14:paraId="674D0EE3" w14:textId="77777777" w:rsidR="008474A0" w:rsidRDefault="004C1C27">
      <w:pPr>
        <w:pStyle w:val="TableofFigures"/>
        <w:rPr>
          <w:rFonts w:asciiTheme="minorHAnsi" w:eastAsiaTheme="minorEastAsia" w:hAnsiTheme="minorHAnsi" w:cstheme="minorBidi"/>
          <w:sz w:val="22"/>
          <w:szCs w:val="22"/>
          <w:lang w:eastAsia="en-AU"/>
        </w:rPr>
      </w:pPr>
      <w:hyperlink w:anchor="_Toc389154660" w:history="1">
        <w:r w:rsidR="008474A0" w:rsidRPr="00C30F87">
          <w:rPr>
            <w:rStyle w:val="Hyperlink"/>
          </w:rPr>
          <w:t>Figure 13: Response rate rTMS vs. ECT</w:t>
        </w:r>
        <w:r w:rsidR="008474A0">
          <w:rPr>
            <w:webHidden/>
          </w:rPr>
          <w:tab/>
        </w:r>
        <w:r w:rsidR="008474A0">
          <w:rPr>
            <w:webHidden/>
          </w:rPr>
          <w:fldChar w:fldCharType="begin"/>
        </w:r>
        <w:r w:rsidR="008474A0">
          <w:rPr>
            <w:webHidden/>
          </w:rPr>
          <w:instrText xml:space="preserve"> PAGEREF _Toc389154660 \h </w:instrText>
        </w:r>
        <w:r w:rsidR="008474A0">
          <w:rPr>
            <w:webHidden/>
          </w:rPr>
        </w:r>
        <w:r w:rsidR="008474A0">
          <w:rPr>
            <w:webHidden/>
          </w:rPr>
          <w:fldChar w:fldCharType="separate"/>
        </w:r>
        <w:r>
          <w:rPr>
            <w:webHidden/>
          </w:rPr>
          <w:t>87</w:t>
        </w:r>
        <w:r w:rsidR="008474A0">
          <w:rPr>
            <w:webHidden/>
          </w:rPr>
          <w:fldChar w:fldCharType="end"/>
        </w:r>
      </w:hyperlink>
    </w:p>
    <w:p w14:paraId="73FFE58E" w14:textId="77777777" w:rsidR="008474A0" w:rsidRDefault="008474A0" w:rsidP="00C9782D">
      <w:r>
        <w:fldChar w:fldCharType="end"/>
      </w:r>
    </w:p>
    <w:p w14:paraId="287F37B9" w14:textId="77777777" w:rsidR="008F59A8" w:rsidRPr="00C9782D" w:rsidRDefault="008F59A8" w:rsidP="00AB6AD4">
      <w:pPr>
        <w:pStyle w:val="Heading2"/>
      </w:pPr>
      <w:bookmarkStart w:id="13" w:name="_Toc451749498"/>
      <w:bookmarkStart w:id="14" w:name="_Ref169423921"/>
      <w:bookmarkStart w:id="15" w:name="_Ref169423925"/>
      <w:bookmarkStart w:id="16" w:name="_Toc386093972"/>
      <w:bookmarkStart w:id="17" w:name="_Toc386094211"/>
      <w:bookmarkStart w:id="18" w:name="_Toc389142027"/>
      <w:r w:rsidRPr="00C9782D">
        <w:lastRenderedPageBreak/>
        <w:t>Executive summary</w:t>
      </w:r>
      <w:bookmarkEnd w:id="13"/>
      <w:bookmarkEnd w:id="14"/>
      <w:bookmarkEnd w:id="15"/>
      <w:bookmarkEnd w:id="16"/>
      <w:bookmarkEnd w:id="17"/>
      <w:bookmarkEnd w:id="18"/>
    </w:p>
    <w:p w14:paraId="3389795E" w14:textId="77777777" w:rsidR="008F59A8" w:rsidRDefault="008F59A8" w:rsidP="00D22942">
      <w:pPr>
        <w:pStyle w:val="Heading3"/>
      </w:pPr>
      <w:bookmarkStart w:id="19" w:name="_Toc389142028"/>
      <w:r w:rsidRPr="00C33B0E">
        <w:t>The procedure</w:t>
      </w:r>
      <w:bookmarkEnd w:id="19"/>
      <w:r w:rsidRPr="00C33B0E">
        <w:t xml:space="preserve"> </w:t>
      </w:r>
    </w:p>
    <w:p w14:paraId="3C01D7BA" w14:textId="77777777" w:rsidR="00073A0A" w:rsidRPr="00073A0A" w:rsidRDefault="00073A0A" w:rsidP="003F17D5">
      <w:pPr>
        <w:jc w:val="both"/>
      </w:pPr>
      <w:r>
        <w:t xml:space="preserve">Repetitive Transcranial Magnetic Stimulation (rTMS) is a non-invasive procedure intended to stimulate the dorsolateral prefrontal region of the cerebral cortex. It does </w:t>
      </w:r>
      <w:r w:rsidR="00CD71D8">
        <w:t xml:space="preserve">this </w:t>
      </w:r>
      <w:r>
        <w:t xml:space="preserve">with a targeted application of a powerful (1.5T) but brief magnetic field. </w:t>
      </w:r>
      <w:proofErr w:type="gramStart"/>
      <w:r>
        <w:t>rTMS</w:t>
      </w:r>
      <w:proofErr w:type="gramEnd"/>
      <w:r>
        <w:t xml:space="preserve"> is proposed as treatment for adult patients with moderate to severe treatment-resistant depression. Therapy usually occurs </w:t>
      </w:r>
      <w:r w:rsidR="0035738A">
        <w:t xml:space="preserve">three to </w:t>
      </w:r>
      <w:r>
        <w:t>five times per week over a four to six week period.</w:t>
      </w:r>
    </w:p>
    <w:p w14:paraId="2DBDC679" w14:textId="77777777" w:rsidR="008F59A8" w:rsidRPr="00C33B0E" w:rsidRDefault="008F59A8" w:rsidP="00D22942">
      <w:pPr>
        <w:pStyle w:val="Heading3"/>
      </w:pPr>
      <w:bookmarkStart w:id="20" w:name="_Toc389142029"/>
      <w:r w:rsidRPr="00C33B0E">
        <w:t>Medical Services Advisory Committee – role and approach</w:t>
      </w:r>
      <w:bookmarkEnd w:id="20"/>
      <w:r w:rsidRPr="00C33B0E">
        <w:t xml:space="preserve"> </w:t>
      </w:r>
    </w:p>
    <w:p w14:paraId="6473E9DE" w14:textId="77777777" w:rsidR="00E772E6" w:rsidRPr="00C9782D" w:rsidRDefault="00E772E6" w:rsidP="003F17D5">
      <w:pPr>
        <w:jc w:val="both"/>
      </w:pPr>
      <w:r w:rsidRPr="00C9782D">
        <w:t xml:space="preserve">The Medical Services Advisory Committee (MSAC) was established by the Australian Government to strengthen the role of evidence in health financing decisions in Australia. MSAC advises the Minister for Health on the evidence relating to the safety, effectiveness and cost-effectiveness of new and existing medical technologies and </w:t>
      </w:r>
      <w:proofErr w:type="gramStart"/>
      <w:r w:rsidRPr="00C9782D">
        <w:t>procedures,</w:t>
      </w:r>
      <w:proofErr w:type="gramEnd"/>
      <w:r w:rsidRPr="00C9782D">
        <w:t xml:space="preserve"> and under what circumstances public funding should be supported.</w:t>
      </w:r>
    </w:p>
    <w:p w14:paraId="4DDFE8A7" w14:textId="77777777" w:rsidR="00E772E6" w:rsidRPr="00C9782D" w:rsidRDefault="00E772E6" w:rsidP="003F17D5">
      <w:pPr>
        <w:jc w:val="both"/>
      </w:pPr>
      <w:r w:rsidRPr="00C9782D">
        <w:t xml:space="preserve">A rigorous assessment of evidence is thus the basis of decision making when funding is sought under Medicare. </w:t>
      </w:r>
      <w:r w:rsidR="00626F99">
        <w:t>In this report, a team from the Royal Australian and New Zealand College of Psychiatrists (RANZCP) have provided a review of the clinical evidence for rTMS and a</w:t>
      </w:r>
      <w:r w:rsidRPr="00C9782D">
        <w:t xml:space="preserve"> team from </w:t>
      </w:r>
      <w:r w:rsidR="00626F99">
        <w:t>Griffith University</w:t>
      </w:r>
      <w:r w:rsidRPr="00C9782D">
        <w:t xml:space="preserve"> was engaged to conduct an economic evaluation</w:t>
      </w:r>
      <w:r w:rsidR="00CD71D8">
        <w:t xml:space="preserve"> and financial analysis</w:t>
      </w:r>
      <w:r w:rsidRPr="00C9782D">
        <w:t xml:space="preserve">. </w:t>
      </w:r>
    </w:p>
    <w:p w14:paraId="21ED23F0" w14:textId="43BF34AE" w:rsidR="00E772E6" w:rsidRPr="00C9782D" w:rsidRDefault="00073A0A" w:rsidP="003F17D5">
      <w:pPr>
        <w:jc w:val="both"/>
        <w:rPr>
          <w:rFonts w:cs="Tahoma"/>
          <w:color w:val="0A0905"/>
        </w:rPr>
      </w:pPr>
      <w:r>
        <w:rPr>
          <w:rFonts w:cs="Tahoma"/>
          <w:b/>
          <w:color w:val="0A0905"/>
        </w:rPr>
        <w:t>Research question</w:t>
      </w:r>
      <w:r w:rsidR="00E772E6" w:rsidRPr="00C9782D">
        <w:rPr>
          <w:rFonts w:cs="Tahoma"/>
          <w:b/>
          <w:color w:val="0A0905"/>
        </w:rPr>
        <w:t>:</w:t>
      </w:r>
      <w:r w:rsidR="00E772E6" w:rsidRPr="00C9782D">
        <w:rPr>
          <w:rFonts w:cs="Tahoma"/>
          <w:color w:val="0A0905"/>
        </w:rPr>
        <w:t xml:space="preserve"> What is the safety, effectiven</w:t>
      </w:r>
      <w:r>
        <w:rPr>
          <w:rFonts w:cs="Tahoma"/>
          <w:color w:val="0A0905"/>
        </w:rPr>
        <w:t>ess, and cost-effectiveness</w:t>
      </w:r>
      <w:r w:rsidR="00DE1B19">
        <w:rPr>
          <w:rFonts w:cs="Tahoma"/>
          <w:color w:val="0A0905"/>
        </w:rPr>
        <w:t xml:space="preserve"> </w:t>
      </w:r>
      <w:r>
        <w:rPr>
          <w:rFonts w:cs="Tahoma"/>
          <w:color w:val="0A0905"/>
        </w:rPr>
        <w:t xml:space="preserve">of rTMS </w:t>
      </w:r>
      <w:r w:rsidRPr="00073A0A">
        <w:t xml:space="preserve">compared to </w:t>
      </w:r>
      <w:r w:rsidR="00E45AF4">
        <w:t>third</w:t>
      </w:r>
      <w:r w:rsidRPr="00073A0A">
        <w:t>-line antidepressants or electroconvulsive therapy</w:t>
      </w:r>
      <w:r w:rsidR="00DE1B19">
        <w:t xml:space="preserve"> (ECT)</w:t>
      </w:r>
      <w:r w:rsidR="00CD71D8">
        <w:t xml:space="preserve"> for patients with treatment-</w:t>
      </w:r>
      <w:r w:rsidRPr="00073A0A">
        <w:t>resistant depression</w:t>
      </w:r>
      <w:r w:rsidR="00DE1B19">
        <w:t>?</w:t>
      </w:r>
      <w:r w:rsidRPr="00073A0A">
        <w:t xml:space="preserve"> </w:t>
      </w:r>
    </w:p>
    <w:p w14:paraId="21887CCA" w14:textId="77777777" w:rsidR="008F59A8" w:rsidRPr="00C9782D" w:rsidRDefault="00E315A4" w:rsidP="00D22942">
      <w:pPr>
        <w:pStyle w:val="Heading3"/>
      </w:pPr>
      <w:bookmarkStart w:id="21" w:name="_Toc389142030"/>
      <w:r w:rsidRPr="00C9782D">
        <w:t>A</w:t>
      </w:r>
      <w:r w:rsidR="008F59A8" w:rsidRPr="00C9782D">
        <w:t xml:space="preserve">ssessment of </w:t>
      </w:r>
      <w:r w:rsidR="008E55B9">
        <w:t>rTMS</w:t>
      </w:r>
      <w:bookmarkEnd w:id="21"/>
    </w:p>
    <w:p w14:paraId="0C28199E" w14:textId="77777777" w:rsidR="00E45A4B" w:rsidRPr="008E55B9" w:rsidRDefault="00E45A4B" w:rsidP="00610C87">
      <w:pPr>
        <w:pStyle w:val="Heading4"/>
        <w:rPr>
          <w:bCs/>
        </w:rPr>
      </w:pPr>
      <w:r w:rsidRPr="00C9782D">
        <w:t>Purpose of application</w:t>
      </w:r>
    </w:p>
    <w:p w14:paraId="796B79C4" w14:textId="7124AD18" w:rsidR="00E45A4B" w:rsidRPr="008E55B9" w:rsidRDefault="00DE1B19" w:rsidP="003F17D5">
      <w:pPr>
        <w:jc w:val="both"/>
        <w:rPr>
          <w:rFonts w:ascii="Arial" w:hAnsi="Arial" w:cs="Arial"/>
          <w:color w:val="3366FF"/>
          <w:szCs w:val="24"/>
        </w:rPr>
      </w:pPr>
      <w:r w:rsidRPr="008E55B9">
        <w:t xml:space="preserve">An application to MSAC was submitted in February 2012 by the </w:t>
      </w:r>
      <w:r w:rsidR="00E45AF4">
        <w:t>RANZC</w:t>
      </w:r>
      <w:r w:rsidR="00CD71D8">
        <w:t>P</w:t>
      </w:r>
      <w:r w:rsidRPr="008E55B9">
        <w:t>.</w:t>
      </w:r>
      <w:r w:rsidR="00AE7EC0">
        <w:t xml:space="preserve"> </w:t>
      </w:r>
      <w:r w:rsidR="005778D5">
        <w:t>R</w:t>
      </w:r>
      <w:r w:rsidR="008E55B9">
        <w:t>TMS</w:t>
      </w:r>
      <w:r w:rsidRPr="008E55B9">
        <w:t xml:space="preserve"> currently receives no public reimbursement and the costs are not reimbursed by private health insurance. It is currently available in a small number of hospitals as an inpatient procedure </w:t>
      </w:r>
      <w:r w:rsidR="00E45AF4" w:rsidRPr="008E55B9">
        <w:t>with estimated 10-15 magnetic stimulator devices</w:t>
      </w:r>
      <w:r w:rsidRPr="008E55B9">
        <w:t xml:space="preserve"> available throughout Australia. </w:t>
      </w:r>
      <w:r w:rsidR="008E55B9" w:rsidRPr="008E55B9">
        <w:t>The proposed intervention is rTMS for th</w:t>
      </w:r>
      <w:r w:rsidR="008E55B9">
        <w:t>e treatment of major depressio</w:t>
      </w:r>
      <w:r w:rsidR="00F3508E">
        <w:t>n (currently determined by DSM-5</w:t>
      </w:r>
      <w:r w:rsidR="008E55B9">
        <w:t xml:space="preserve"> rating).  Specifically patients will only be eligible for rTMS after they have failed </w:t>
      </w:r>
      <w:r w:rsidR="008E55B9" w:rsidRPr="00073A0A">
        <w:t xml:space="preserve">two trials of </w:t>
      </w:r>
      <w:r w:rsidR="008E55B9">
        <w:t xml:space="preserve">different classes of </w:t>
      </w:r>
      <w:r w:rsidR="008E55B9" w:rsidRPr="00073A0A">
        <w:t>antidepressants at adequat</w:t>
      </w:r>
      <w:r w:rsidR="008E55B9">
        <w:t xml:space="preserve">e dose, duration and compliance. </w:t>
      </w:r>
    </w:p>
    <w:p w14:paraId="2B2B5D53" w14:textId="77777777" w:rsidR="00E45A4B" w:rsidRPr="007416C0" w:rsidRDefault="00E45A4B" w:rsidP="00610C87">
      <w:pPr>
        <w:pStyle w:val="Heading4"/>
      </w:pPr>
      <w:r w:rsidRPr="007416C0">
        <w:t>Background</w:t>
      </w:r>
    </w:p>
    <w:p w14:paraId="39A7FC37" w14:textId="77777777" w:rsidR="0025622E" w:rsidRPr="008E55B9" w:rsidRDefault="008E55B9" w:rsidP="003F17D5">
      <w:pPr>
        <w:spacing w:after="0"/>
        <w:jc w:val="both"/>
      </w:pPr>
      <w:r w:rsidRPr="008E55B9">
        <w:t>An MSAC assessment of rTMS for major depression was performed in 2007 (MSAC 1101) where it was compared to ECT. The application was rejected due to insufficient evidence of effectiveness. MSAC found evidence that rTMS was safe and less invasive than ECT.</w:t>
      </w:r>
    </w:p>
    <w:p w14:paraId="7C839342" w14:textId="77777777" w:rsidR="00E45A4B" w:rsidRPr="007416C0" w:rsidRDefault="00E45A4B" w:rsidP="00610C87">
      <w:pPr>
        <w:pStyle w:val="Heading4"/>
      </w:pPr>
      <w:r w:rsidRPr="00610C87">
        <w:lastRenderedPageBreak/>
        <w:t>Prerequisites</w:t>
      </w:r>
      <w:r w:rsidRPr="007416C0">
        <w:t xml:space="preserve"> to implementation of any funding advice</w:t>
      </w:r>
    </w:p>
    <w:p w14:paraId="5EB53D8A" w14:textId="6399D8EA" w:rsidR="00E45A4B" w:rsidRPr="00C9782D" w:rsidRDefault="005778D5" w:rsidP="003F17D5">
      <w:pPr>
        <w:jc w:val="both"/>
      </w:pPr>
      <w:r>
        <w:t>R</w:t>
      </w:r>
      <w:r w:rsidR="00334B0F">
        <w:t xml:space="preserve">TMS has been </w:t>
      </w:r>
      <w:r w:rsidR="00E45A4B" w:rsidRPr="00C9782D">
        <w:t>TGA approved</w:t>
      </w:r>
      <w:r w:rsidR="00AE7EC0">
        <w:t xml:space="preserve"> for at least one device</w:t>
      </w:r>
      <w:r w:rsidR="00334B0F">
        <w:t>. The ARTG item 148142 for the magnetic stimulator manufactured by MagVenture and sponsored by Sonoray Pty Ltd.  The purpose</w:t>
      </w:r>
      <w:r w:rsidR="00AE7EC0">
        <w:t xml:space="preserve"> aligns to the intended use of the rTMS in this application. </w:t>
      </w:r>
    </w:p>
    <w:p w14:paraId="6A06CCFE" w14:textId="77777777" w:rsidR="00E45A4B" w:rsidRPr="00610C87" w:rsidRDefault="00E45A4B" w:rsidP="00610C87">
      <w:pPr>
        <w:pStyle w:val="Heading4"/>
      </w:pPr>
      <w:r w:rsidRPr="00610C87">
        <w:t>Proposal for public funding</w:t>
      </w:r>
    </w:p>
    <w:p w14:paraId="21F321C3" w14:textId="77777777" w:rsidR="007416C0" w:rsidRDefault="00CD71D8" w:rsidP="003F17D5">
      <w:pPr>
        <w:jc w:val="both"/>
        <w:rPr>
          <w:lang w:val="en-US"/>
        </w:rPr>
      </w:pPr>
      <w:r w:rsidRPr="008E55B9">
        <w:t xml:space="preserve">The application of rTMS proposes two new MBS items; one for initial mapping requiring psychiatrist expertise and the remaining procedures to be undertaken by </w:t>
      </w:r>
      <w:r w:rsidRPr="00851C44">
        <w:rPr>
          <w:lang w:val="en-US"/>
        </w:rPr>
        <w:t>a physician, nurse or allied health professional</w:t>
      </w:r>
      <w:r w:rsidRPr="008E55B9">
        <w:t xml:space="preserve"> in an outpatient clinic</w:t>
      </w:r>
      <w:r w:rsidR="00260CD5">
        <w:t xml:space="preserve"> under medical supervision</w:t>
      </w:r>
      <w:r w:rsidRPr="008E55B9">
        <w:t>.</w:t>
      </w:r>
      <w:r>
        <w:t xml:space="preserve"> </w:t>
      </w:r>
      <w:r w:rsidR="004B32D4" w:rsidRPr="00851C44">
        <w:rPr>
          <w:lang w:val="en-US"/>
        </w:rPr>
        <w:t xml:space="preserve">It is proposed that rTMS treatment would be provided predominantly in a public or private hospital outpatient clinic. </w:t>
      </w:r>
      <w:r>
        <w:rPr>
          <w:lang w:val="en-US"/>
        </w:rPr>
        <w:t>The psychiatrist would need to have specific training in rTMS.</w:t>
      </w:r>
      <w:r w:rsidR="004B32D4" w:rsidRPr="00851C44">
        <w:rPr>
          <w:lang w:val="en-US"/>
        </w:rPr>
        <w:t xml:space="preserve"> </w:t>
      </w:r>
    </w:p>
    <w:p w14:paraId="0763087D" w14:textId="77777777" w:rsidR="008E55B9" w:rsidRPr="00851C44" w:rsidRDefault="008E55B9" w:rsidP="00AE7EC0">
      <w:r>
        <w:t>The</w:t>
      </w:r>
      <w:r w:rsidRPr="00851C44">
        <w:t xml:space="preserve"> </w:t>
      </w:r>
      <w:r w:rsidR="00524E8F">
        <w:t xml:space="preserve">proposed </w:t>
      </w:r>
      <w:r w:rsidRPr="00851C44">
        <w:t>MBS items</w:t>
      </w:r>
      <w:r>
        <w:t xml:space="preserve"> include</w:t>
      </w:r>
      <w:r w:rsidRPr="00851C44">
        <w:t>:</w:t>
      </w:r>
    </w:p>
    <w:tbl>
      <w:tblPr>
        <w:tblStyle w:val="TableGrid"/>
        <w:tblW w:w="0" w:type="auto"/>
        <w:tblInd w:w="817" w:type="dxa"/>
        <w:tblLook w:val="04A0" w:firstRow="1" w:lastRow="0" w:firstColumn="1" w:lastColumn="0" w:noHBand="0" w:noVBand="1"/>
        <w:tblCaption w:val="The proposed MBS items"/>
      </w:tblPr>
      <w:tblGrid>
        <w:gridCol w:w="8363"/>
      </w:tblGrid>
      <w:tr w:rsidR="008E55B9" w:rsidRPr="007416C0" w14:paraId="03999CFE" w14:textId="77777777" w:rsidTr="00194AED">
        <w:trPr>
          <w:cantSplit/>
          <w:tblHeader/>
        </w:trPr>
        <w:tc>
          <w:tcPr>
            <w:tcW w:w="8363" w:type="dxa"/>
          </w:tcPr>
          <w:p w14:paraId="7D49644B" w14:textId="77777777" w:rsidR="008E55B9" w:rsidRPr="007416C0" w:rsidRDefault="008E55B9" w:rsidP="005F1AC4">
            <w:pPr>
              <w:pStyle w:val="NoSpacing"/>
              <w:jc w:val="right"/>
              <w:rPr>
                <w:rFonts w:ascii="Arial Narrow" w:hAnsi="Arial Narrow" w:cs="Arial"/>
                <w:sz w:val="20"/>
              </w:rPr>
            </w:pPr>
            <w:r w:rsidRPr="007416C0">
              <w:rPr>
                <w:rFonts w:ascii="Arial Narrow" w:hAnsi="Arial Narrow" w:cs="Arial"/>
                <w:sz w:val="20"/>
              </w:rPr>
              <w:t>Category 3 – Therapeutic procedures</w:t>
            </w:r>
          </w:p>
        </w:tc>
      </w:tr>
      <w:tr w:rsidR="008E55B9" w:rsidRPr="007416C0" w14:paraId="35452F8A" w14:textId="77777777" w:rsidTr="00194AED">
        <w:trPr>
          <w:cantSplit/>
          <w:tblHeader/>
        </w:trPr>
        <w:tc>
          <w:tcPr>
            <w:tcW w:w="8363" w:type="dxa"/>
          </w:tcPr>
          <w:p w14:paraId="3728669C" w14:textId="77777777" w:rsidR="008E55B9" w:rsidRPr="007416C0" w:rsidRDefault="008E55B9" w:rsidP="005F1AC4">
            <w:pPr>
              <w:pStyle w:val="NoSpacing"/>
              <w:rPr>
                <w:rFonts w:ascii="Arial Narrow" w:hAnsi="Arial Narrow" w:cs="Arial"/>
                <w:sz w:val="20"/>
              </w:rPr>
            </w:pPr>
            <w:r w:rsidRPr="007416C0">
              <w:rPr>
                <w:rFonts w:ascii="Arial Narrow" w:hAnsi="Arial Narrow" w:cs="Arial"/>
                <w:sz w:val="20"/>
              </w:rPr>
              <w:t>MBS xxxxx</w:t>
            </w:r>
          </w:p>
          <w:p w14:paraId="23F53A34" w14:textId="77777777" w:rsidR="008E55B9" w:rsidRPr="007416C0" w:rsidRDefault="008E55B9" w:rsidP="005F1AC4">
            <w:pPr>
              <w:pStyle w:val="NoSpacing"/>
              <w:rPr>
                <w:rFonts w:ascii="Arial Narrow" w:hAnsi="Arial Narrow" w:cs="Arial"/>
                <w:sz w:val="20"/>
              </w:rPr>
            </w:pPr>
          </w:p>
          <w:p w14:paraId="11C693F7" w14:textId="77777777" w:rsidR="008E55B9" w:rsidRPr="007416C0" w:rsidRDefault="008E55B9" w:rsidP="005F1AC4">
            <w:pPr>
              <w:pStyle w:val="NoSpacing"/>
              <w:rPr>
                <w:rFonts w:ascii="Arial Narrow" w:hAnsi="Arial Narrow" w:cs="Arial"/>
                <w:sz w:val="20"/>
              </w:rPr>
            </w:pPr>
            <w:r w:rsidRPr="007416C0">
              <w:rPr>
                <w:rFonts w:ascii="Arial Narrow" w:hAnsi="Arial Narrow" w:cs="Arial"/>
                <w:sz w:val="20"/>
              </w:rPr>
              <w:t>REPETITIVE TRANSCRANIAL MAGNETIC STIMULATION treatment prescription by a psychiatrist</w:t>
            </w:r>
          </w:p>
          <w:p w14:paraId="0A27319E" w14:textId="77777777" w:rsidR="008E55B9" w:rsidRPr="007416C0" w:rsidRDefault="008E55B9" w:rsidP="005F1AC4">
            <w:pPr>
              <w:pStyle w:val="NoSpacing"/>
              <w:rPr>
                <w:rFonts w:ascii="Arial Narrow" w:hAnsi="Arial Narrow" w:cs="Arial"/>
                <w:sz w:val="20"/>
              </w:rPr>
            </w:pPr>
          </w:p>
          <w:p w14:paraId="1CA7276F" w14:textId="77777777" w:rsidR="008E55B9" w:rsidRPr="007416C0" w:rsidRDefault="008E55B9" w:rsidP="005F1AC4">
            <w:pPr>
              <w:pStyle w:val="NoSpacing"/>
              <w:rPr>
                <w:rFonts w:ascii="Arial Narrow" w:hAnsi="Arial Narrow" w:cs="Arial"/>
                <w:sz w:val="20"/>
              </w:rPr>
            </w:pPr>
            <w:r w:rsidRPr="007416C0">
              <w:rPr>
                <w:rFonts w:ascii="Arial Narrow" w:hAnsi="Arial Narrow" w:cs="Arial"/>
                <w:sz w:val="20"/>
              </w:rPr>
              <w:t>Fee: $350</w:t>
            </w:r>
          </w:p>
          <w:p w14:paraId="53A0872B" w14:textId="77777777" w:rsidR="008E55B9" w:rsidRPr="007416C0" w:rsidRDefault="008E55B9" w:rsidP="005F1AC4">
            <w:pPr>
              <w:pStyle w:val="NoSpacing"/>
              <w:rPr>
                <w:rFonts w:ascii="Arial Narrow" w:hAnsi="Arial Narrow" w:cs="Arial"/>
                <w:sz w:val="20"/>
              </w:rPr>
            </w:pPr>
          </w:p>
          <w:p w14:paraId="506E5F27" w14:textId="77777777" w:rsidR="008E55B9" w:rsidRPr="007416C0" w:rsidRDefault="008E55B9" w:rsidP="005F1AC4">
            <w:pPr>
              <w:pStyle w:val="NoSpacing"/>
              <w:rPr>
                <w:rFonts w:ascii="Arial Narrow" w:hAnsi="Arial Narrow" w:cs="Arial"/>
                <w:sz w:val="20"/>
              </w:rPr>
            </w:pPr>
            <w:r w:rsidRPr="007416C0">
              <w:rPr>
                <w:rFonts w:ascii="Arial Narrow" w:hAnsi="Arial Narrow" w:cs="Arial"/>
                <w:sz w:val="20"/>
              </w:rPr>
              <w:t>This item enables a psychiatrist to prescribe rTMS; to determine if the patient meets diagnostic criteria for major depressive disorder and is eligible to have the treatment; to undertake the ‘mapping’ procedure whereby the location of the motor cortex on the patients scalp is determined (enabling measurement forward to the treatment site over the dorsolateral prefrontal cortex); and to prescribe the dose of rTMS as a proportion of the motor threshold. The psychiatrist would require training and experience in rTMS.</w:t>
            </w:r>
          </w:p>
        </w:tc>
      </w:tr>
    </w:tbl>
    <w:p w14:paraId="3A3D88D7" w14:textId="77777777" w:rsidR="008E55B9" w:rsidRDefault="008E55B9" w:rsidP="008E55B9">
      <w:pPr>
        <w:pStyle w:val="NoSpacing"/>
      </w:pPr>
    </w:p>
    <w:tbl>
      <w:tblPr>
        <w:tblStyle w:val="TableGrid"/>
        <w:tblW w:w="0" w:type="auto"/>
        <w:tblInd w:w="817" w:type="dxa"/>
        <w:tblLook w:val="04A0" w:firstRow="1" w:lastRow="0" w:firstColumn="1" w:lastColumn="0" w:noHBand="0" w:noVBand="1"/>
        <w:tblCaption w:val="The proposed MBS items"/>
      </w:tblPr>
      <w:tblGrid>
        <w:gridCol w:w="8363"/>
      </w:tblGrid>
      <w:tr w:rsidR="008E55B9" w:rsidRPr="007416C0" w14:paraId="49D3F5D6" w14:textId="77777777" w:rsidTr="00194AED">
        <w:trPr>
          <w:cantSplit/>
          <w:tblHeader/>
        </w:trPr>
        <w:tc>
          <w:tcPr>
            <w:tcW w:w="8363" w:type="dxa"/>
          </w:tcPr>
          <w:p w14:paraId="65B7736C" w14:textId="77777777" w:rsidR="008E55B9" w:rsidRPr="007416C0" w:rsidRDefault="008E55B9" w:rsidP="005F1AC4">
            <w:pPr>
              <w:pStyle w:val="NoSpacing"/>
              <w:jc w:val="right"/>
              <w:rPr>
                <w:rFonts w:ascii="Arial Narrow" w:hAnsi="Arial Narrow" w:cs="Arial"/>
                <w:sz w:val="20"/>
              </w:rPr>
            </w:pPr>
            <w:r w:rsidRPr="007416C0">
              <w:rPr>
                <w:rFonts w:ascii="Arial Narrow" w:hAnsi="Arial Narrow" w:cs="Arial"/>
                <w:sz w:val="20"/>
              </w:rPr>
              <w:t>Category 3 – Therapeutic procedures</w:t>
            </w:r>
          </w:p>
        </w:tc>
      </w:tr>
      <w:tr w:rsidR="008E55B9" w:rsidRPr="007416C0" w14:paraId="577A65F7" w14:textId="77777777" w:rsidTr="00194AED">
        <w:trPr>
          <w:cantSplit/>
          <w:tblHeader/>
        </w:trPr>
        <w:tc>
          <w:tcPr>
            <w:tcW w:w="8363" w:type="dxa"/>
          </w:tcPr>
          <w:p w14:paraId="638AF964" w14:textId="77777777" w:rsidR="008E55B9" w:rsidRPr="007416C0" w:rsidRDefault="008E55B9" w:rsidP="005F1AC4">
            <w:pPr>
              <w:pStyle w:val="NoSpacing"/>
              <w:rPr>
                <w:rFonts w:ascii="Arial Narrow" w:hAnsi="Arial Narrow" w:cs="Arial"/>
                <w:sz w:val="20"/>
              </w:rPr>
            </w:pPr>
            <w:r w:rsidRPr="007416C0">
              <w:rPr>
                <w:rFonts w:ascii="Arial Narrow" w:hAnsi="Arial Narrow" w:cs="Arial"/>
                <w:sz w:val="20"/>
              </w:rPr>
              <w:t>MBS xxxxx</w:t>
            </w:r>
          </w:p>
          <w:p w14:paraId="658E6BAF" w14:textId="77777777" w:rsidR="008E55B9" w:rsidRPr="007416C0" w:rsidRDefault="008E55B9" w:rsidP="005F1AC4">
            <w:pPr>
              <w:pStyle w:val="NoSpacing"/>
              <w:rPr>
                <w:rFonts w:ascii="Arial Narrow" w:hAnsi="Arial Narrow" w:cs="Arial"/>
                <w:sz w:val="20"/>
              </w:rPr>
            </w:pPr>
          </w:p>
          <w:p w14:paraId="23C60A2B" w14:textId="02F19D26" w:rsidR="008E55B9" w:rsidRPr="007416C0" w:rsidRDefault="008E55B9" w:rsidP="005F1AC4">
            <w:pPr>
              <w:pStyle w:val="NoSpacing"/>
              <w:rPr>
                <w:rFonts w:ascii="Arial Narrow" w:hAnsi="Arial Narrow" w:cs="Arial"/>
                <w:sz w:val="20"/>
              </w:rPr>
            </w:pPr>
            <w:r w:rsidRPr="007416C0">
              <w:rPr>
                <w:rFonts w:ascii="Arial Narrow" w:hAnsi="Arial Narrow" w:cs="Arial"/>
                <w:sz w:val="20"/>
              </w:rPr>
              <w:t xml:space="preserve">REPETITIVE TRANSCRANIAL MAGNETIC STIMULATION treatment provided by a nurse </w:t>
            </w:r>
            <w:r w:rsidR="0035738A">
              <w:rPr>
                <w:rFonts w:ascii="Arial Narrow" w:hAnsi="Arial Narrow" w:cs="Arial"/>
                <w:sz w:val="20"/>
              </w:rPr>
              <w:t>or</w:t>
            </w:r>
            <w:r w:rsidR="0035738A" w:rsidRPr="007416C0">
              <w:rPr>
                <w:rFonts w:ascii="Arial Narrow" w:hAnsi="Arial Narrow" w:cs="Arial"/>
                <w:sz w:val="20"/>
              </w:rPr>
              <w:t xml:space="preserve"> </w:t>
            </w:r>
            <w:r w:rsidRPr="007416C0">
              <w:rPr>
                <w:rFonts w:ascii="Arial Narrow" w:hAnsi="Arial Narrow" w:cs="Arial"/>
                <w:sz w:val="20"/>
              </w:rPr>
              <w:t>allied health professional.</w:t>
            </w:r>
          </w:p>
          <w:p w14:paraId="7F80D52E" w14:textId="77777777" w:rsidR="008E55B9" w:rsidRPr="007416C0" w:rsidRDefault="008E55B9" w:rsidP="005F1AC4">
            <w:pPr>
              <w:pStyle w:val="NoSpacing"/>
              <w:rPr>
                <w:rFonts w:ascii="Arial Narrow" w:hAnsi="Arial Narrow" w:cs="Arial"/>
                <w:sz w:val="20"/>
              </w:rPr>
            </w:pPr>
          </w:p>
          <w:p w14:paraId="0C7F4372" w14:textId="77777777" w:rsidR="008E55B9" w:rsidRPr="007416C0" w:rsidRDefault="008E55B9" w:rsidP="005F1AC4">
            <w:pPr>
              <w:pStyle w:val="NoSpacing"/>
              <w:rPr>
                <w:rFonts w:ascii="Arial Narrow" w:hAnsi="Arial Narrow" w:cs="Arial"/>
                <w:sz w:val="20"/>
              </w:rPr>
            </w:pPr>
            <w:r w:rsidRPr="007416C0">
              <w:rPr>
                <w:rFonts w:ascii="Arial Narrow" w:hAnsi="Arial Narrow" w:cs="Arial"/>
                <w:sz w:val="20"/>
              </w:rPr>
              <w:t>Fee: $150</w:t>
            </w:r>
          </w:p>
          <w:p w14:paraId="094B181A" w14:textId="77777777" w:rsidR="008E55B9" w:rsidRPr="007416C0" w:rsidRDefault="008E55B9" w:rsidP="005F1AC4">
            <w:pPr>
              <w:pStyle w:val="NoSpacing"/>
              <w:rPr>
                <w:rFonts w:ascii="Arial Narrow" w:hAnsi="Arial Narrow" w:cs="Arial"/>
                <w:sz w:val="20"/>
              </w:rPr>
            </w:pPr>
          </w:p>
          <w:p w14:paraId="20E84CF4" w14:textId="77777777" w:rsidR="008E55B9" w:rsidRPr="007416C0" w:rsidRDefault="008E55B9" w:rsidP="005F1AC4">
            <w:pPr>
              <w:pStyle w:val="NoSpacing"/>
              <w:rPr>
                <w:rFonts w:ascii="Arial Narrow" w:hAnsi="Arial Narrow" w:cs="Arial"/>
                <w:sz w:val="20"/>
              </w:rPr>
            </w:pPr>
            <w:r w:rsidRPr="007416C0">
              <w:rPr>
                <w:rFonts w:ascii="Arial Narrow" w:hAnsi="Arial Narrow" w:cs="Arial"/>
                <w:sz w:val="20"/>
              </w:rPr>
              <w:t>This item enables a nurse or allied health professional, trained in the administration of rTMS,  to provide rTMS treatment to a patient, under medical supervision, within an approved hospital*. The rTMS treatment must be prescribed by psychiatrist (as described above) and be given in a setting where immediate medical assistance is available if required. An approved hospital item number must be provided.</w:t>
            </w:r>
          </w:p>
          <w:p w14:paraId="0ADCE644" w14:textId="77777777" w:rsidR="008E55B9" w:rsidRPr="007416C0" w:rsidRDefault="008E55B9" w:rsidP="005F1AC4">
            <w:pPr>
              <w:pStyle w:val="NoSpacing"/>
              <w:rPr>
                <w:rFonts w:ascii="Arial Narrow" w:hAnsi="Arial Narrow" w:cs="Arial"/>
                <w:sz w:val="20"/>
              </w:rPr>
            </w:pPr>
            <w:r w:rsidRPr="007416C0">
              <w:rPr>
                <w:rFonts w:ascii="Arial Narrow" w:hAnsi="Arial Narrow" w:cs="Arial"/>
                <w:sz w:val="20"/>
              </w:rPr>
              <w:t xml:space="preserve">*We propose an approved hospital to be one already approved for other neurostimulation services, most commonly ECT. </w:t>
            </w:r>
          </w:p>
        </w:tc>
      </w:tr>
    </w:tbl>
    <w:p w14:paraId="0DA69577" w14:textId="77777777" w:rsidR="008E55B9" w:rsidRPr="00906FAE" w:rsidRDefault="008E55B9" w:rsidP="008E55B9">
      <w:pPr>
        <w:pStyle w:val="NoSpacing"/>
        <w:rPr>
          <w:rFonts w:ascii="Arial" w:hAnsi="Arial" w:cs="Arial"/>
          <w:sz w:val="20"/>
        </w:rPr>
      </w:pPr>
    </w:p>
    <w:p w14:paraId="4AC0BCD0" w14:textId="07C09A71" w:rsidR="004B32D4" w:rsidRDefault="004B32D4" w:rsidP="003F17D5">
      <w:pPr>
        <w:jc w:val="both"/>
      </w:pPr>
      <w:r>
        <w:t>The proposed listing of rTMS limits use to adults with major depression (DSM</w:t>
      </w:r>
      <w:r w:rsidR="00F3508E">
        <w:t>-</w:t>
      </w:r>
      <w:r w:rsidR="0035738A">
        <w:t>5</w:t>
      </w:r>
      <w:r>
        <w:t xml:space="preserve"> rating) with </w:t>
      </w:r>
      <w:r w:rsidR="00CD71D8">
        <w:t>treatment-resistan</w:t>
      </w:r>
      <w:r w:rsidR="00524E8F">
        <w:t>ce</w:t>
      </w:r>
      <w:r>
        <w:t>. Antidepressant medication resistance is defined as depression that has not remitted after at least two trials with antidepressants from different pharmacologic classes with adequate dose, duration and compliance. Patients must also be 18 years of age or older and satisfy the following safety requirements: no metal plates or other implants in the skull; no risk of epileptic seizures; not withdrawing from drugs or alcohol, or have a primary diagnosis of drug or alcohol dependence; and not be pregnant or planning on becoming pregnant during the treatment course.</w:t>
      </w:r>
    </w:p>
    <w:p w14:paraId="5F185572" w14:textId="77777777" w:rsidR="00DB63BC" w:rsidRDefault="00DB63BC" w:rsidP="003F17D5">
      <w:pPr>
        <w:jc w:val="both"/>
      </w:pPr>
      <w:r>
        <w:lastRenderedPageBreak/>
        <w:t>PASC has advised that the restriction of rTMS to approved hospitals is unnecessary and rTMS could be provided in a day clinic. This is because of the high safety record of rTMS. Facilities providing rTMS would be credentialed by the Australian Council of Healthcare Standards. Wording of the MBS descriptor needs to be altered in this case.</w:t>
      </w:r>
    </w:p>
    <w:p w14:paraId="4392E71B" w14:textId="77777777" w:rsidR="00E45A4B" w:rsidRPr="00610C87" w:rsidRDefault="00E45A4B" w:rsidP="00610C87">
      <w:pPr>
        <w:pStyle w:val="Heading4"/>
      </w:pPr>
      <w:r w:rsidRPr="00610C87">
        <w:t>Consumer Impact Statement</w:t>
      </w:r>
    </w:p>
    <w:p w14:paraId="75B8D7D6" w14:textId="51A11B2B" w:rsidR="00E45A4B" w:rsidRPr="00610C87" w:rsidRDefault="004B32D4" w:rsidP="003F17D5">
      <w:pPr>
        <w:spacing w:after="0"/>
        <w:jc w:val="both"/>
      </w:pPr>
      <w:r>
        <w:t>No consumer f</w:t>
      </w:r>
      <w:r w:rsidR="00E45A4B" w:rsidRPr="00C9782D">
        <w:t xml:space="preserve">eedback </w:t>
      </w:r>
      <w:r>
        <w:t xml:space="preserve">was received </w:t>
      </w:r>
      <w:r w:rsidR="00E45A4B" w:rsidRPr="00C9782D">
        <w:t xml:space="preserve">from </w:t>
      </w:r>
      <w:r>
        <w:t xml:space="preserve">the </w:t>
      </w:r>
      <w:r w:rsidR="00E45A4B" w:rsidRPr="00C9782D">
        <w:t xml:space="preserve">consultation </w:t>
      </w:r>
      <w:r w:rsidR="00E45AF4">
        <w:t>Protocol</w:t>
      </w:r>
      <w:r w:rsidR="00E45A4B" w:rsidRPr="00C9782D">
        <w:t xml:space="preserve"> and/or PASC about </w:t>
      </w:r>
      <w:r>
        <w:t xml:space="preserve">the </w:t>
      </w:r>
      <w:r w:rsidR="00E45A4B" w:rsidRPr="00C9782D">
        <w:t>impact on consumers</w:t>
      </w:r>
      <w:r>
        <w:t xml:space="preserve">. Given that rTMS is non-invasive and avoids the serious side effects </w:t>
      </w:r>
      <w:r w:rsidR="00ED1312">
        <w:t>associated with</w:t>
      </w:r>
      <w:r>
        <w:t xml:space="preserve"> ECT (i.e., impaired cognition, seizures), consumers are likely to be highly </w:t>
      </w:r>
      <w:r w:rsidR="0035738A">
        <w:t xml:space="preserve">accepting </w:t>
      </w:r>
      <w:r>
        <w:t xml:space="preserve">of this technology. </w:t>
      </w:r>
      <w:r w:rsidR="00524E8F">
        <w:t xml:space="preserve">This is confirmed in large trials </w:t>
      </w:r>
      <w:r w:rsidR="00E45AF4">
        <w:t xml:space="preserve">presented </w:t>
      </w:r>
      <w:r w:rsidR="00524E8F">
        <w:t xml:space="preserve">in this </w:t>
      </w:r>
      <w:r w:rsidR="00E45AF4">
        <w:t>report</w:t>
      </w:r>
      <w:r w:rsidR="00524E8F">
        <w:t xml:space="preserve"> where less than 5% discontinued treatment. </w:t>
      </w:r>
      <w:r>
        <w:t xml:space="preserve">Furthermore, the </w:t>
      </w:r>
      <w:r w:rsidR="00334B0F">
        <w:t>procedure takes between 45-60 minutes and patients can be expected to continue wi</w:t>
      </w:r>
      <w:r w:rsidR="00CD71D8">
        <w:t>th their daily activities with otherwise</w:t>
      </w:r>
      <w:r w:rsidR="00334B0F">
        <w:t xml:space="preserve"> minimal interruption.</w:t>
      </w:r>
    </w:p>
    <w:p w14:paraId="4F3D3590" w14:textId="77777777" w:rsidR="00E45A4B" w:rsidRPr="00610C87" w:rsidRDefault="00E45A4B" w:rsidP="00610C87">
      <w:pPr>
        <w:pStyle w:val="Heading4"/>
      </w:pPr>
      <w:r w:rsidRPr="00610C87">
        <w:t>Proposed intervention’s place in clinical management</w:t>
      </w:r>
    </w:p>
    <w:p w14:paraId="7A3CA2DC" w14:textId="555CCAF6" w:rsidR="00E45A4B" w:rsidRPr="00610C87" w:rsidRDefault="005778D5" w:rsidP="003F17D5">
      <w:pPr>
        <w:spacing w:after="0"/>
        <w:jc w:val="both"/>
      </w:pPr>
      <w:r>
        <w:t>R</w:t>
      </w:r>
      <w:r w:rsidR="00AE7EC0" w:rsidRPr="00AE7EC0">
        <w:t xml:space="preserve">TMS is intended to be used </w:t>
      </w:r>
      <w:r w:rsidR="00E45A4B" w:rsidRPr="00AE7EC0">
        <w:t xml:space="preserve">in place of </w:t>
      </w:r>
      <w:r w:rsidR="00AE7EC0">
        <w:t>two</w:t>
      </w:r>
      <w:r w:rsidR="00E45A4B" w:rsidRPr="00AE7EC0">
        <w:t xml:space="preserve"> cur</w:t>
      </w:r>
      <w:r w:rsidR="00AE7EC0">
        <w:t xml:space="preserve">rent (alternative) interventions; </w:t>
      </w:r>
      <w:r w:rsidR="00E45AF4">
        <w:t>third</w:t>
      </w:r>
      <w:r w:rsidR="00CD71D8">
        <w:t xml:space="preserve">-line antidepressants </w:t>
      </w:r>
      <w:r w:rsidR="00524E8F">
        <w:t>or</w:t>
      </w:r>
      <w:r w:rsidR="00CD71D8">
        <w:t xml:space="preserve"> </w:t>
      </w:r>
      <w:r w:rsidR="00AE7EC0">
        <w:t xml:space="preserve">ECT. </w:t>
      </w:r>
      <w:r>
        <w:t>R</w:t>
      </w:r>
      <w:r w:rsidR="00DB63BC">
        <w:t>TMS may also be used in conjunction with antidepressants</w:t>
      </w:r>
      <w:r w:rsidR="00C108F1">
        <w:t xml:space="preserve">. </w:t>
      </w:r>
      <w:r w:rsidR="00AE7EC0">
        <w:t xml:space="preserve">It will </w:t>
      </w:r>
      <w:r w:rsidR="00C108F1">
        <w:t xml:space="preserve">also </w:t>
      </w:r>
      <w:r w:rsidR="00AE7EC0">
        <w:t>be performed with or without any concurrent psychological therapies such as cognitive behavioural therapies. The clinical management algorithm is clear in the proposed place in clinical treatment. The</w:t>
      </w:r>
      <w:r w:rsidR="00E45A4B" w:rsidRPr="00C9782D">
        <w:t xml:space="preserve"> clinical evidence addressed the requirements of the agreed </w:t>
      </w:r>
      <w:r w:rsidR="00E45AF4">
        <w:t>Protocol</w:t>
      </w:r>
      <w:r w:rsidR="00E45A4B" w:rsidRPr="00C9782D">
        <w:t>.</w:t>
      </w:r>
    </w:p>
    <w:p w14:paraId="367A7DDA" w14:textId="77777777" w:rsidR="00E45A4B" w:rsidRPr="007416C0" w:rsidRDefault="00E45A4B" w:rsidP="00610C87">
      <w:pPr>
        <w:pStyle w:val="Heading4"/>
      </w:pPr>
      <w:r w:rsidRPr="00610C87">
        <w:t>Comparator</w:t>
      </w:r>
      <w:r w:rsidRPr="007416C0">
        <w:t xml:space="preserve"> to the proposed intervention</w:t>
      </w:r>
    </w:p>
    <w:p w14:paraId="143AF0CF" w14:textId="3F85D0EE" w:rsidR="00E45A4B" w:rsidRPr="00DB63BC" w:rsidRDefault="00DB63BC" w:rsidP="003F17D5">
      <w:pPr>
        <w:jc w:val="both"/>
        <w:rPr>
          <w:szCs w:val="24"/>
        </w:rPr>
      </w:pPr>
      <w:r w:rsidRPr="00C108F1">
        <w:t>The main comparator is antidepressant therapy but PASC has advised that ECT should also be a comparator in this assessment.</w:t>
      </w:r>
      <w:r w:rsidR="00CD71D8">
        <w:t xml:space="preserve"> ECT is used as a comparator in the literature and is another</w:t>
      </w:r>
      <w:r w:rsidR="000C7789">
        <w:t xml:space="preserve"> form of</w:t>
      </w:r>
      <w:r w:rsidR="00CD71D8">
        <w:t xml:space="preserve"> neurostimulation therapy.</w:t>
      </w:r>
      <w:r w:rsidRPr="00DB63BC">
        <w:rPr>
          <w:rFonts w:ascii="Arial" w:hAnsi="Arial" w:cs="Arial"/>
          <w:color w:val="3366FF"/>
          <w:szCs w:val="24"/>
        </w:rPr>
        <w:t xml:space="preserve"> </w:t>
      </w:r>
      <w:r w:rsidR="00C108F1">
        <w:t xml:space="preserve">ECT is currently listed on the MBS as item 14224 and 20104 (see Table 4 of </w:t>
      </w:r>
      <w:r w:rsidR="00E45AF4">
        <w:t>Protocol</w:t>
      </w:r>
      <w:r w:rsidR="00C108F1">
        <w:t xml:space="preserve"> 1196).</w:t>
      </w:r>
      <w:r w:rsidR="00CD71D8">
        <w:t xml:space="preserve"> </w:t>
      </w:r>
      <w:r w:rsidR="000C7789">
        <w:t xml:space="preserve">However, ECT may not be a suitable comparator because it primarily targets a different population than proposed here for rTMS. </w:t>
      </w:r>
      <w:r>
        <w:t xml:space="preserve">ECT </w:t>
      </w:r>
      <w:r w:rsidR="000C7789">
        <w:t xml:space="preserve">is </w:t>
      </w:r>
      <w:r>
        <w:t>often used for serious acute episodes</w:t>
      </w:r>
      <w:r w:rsidR="0035738A">
        <w:t>, where the patient may be suicidal or psychotic,</w:t>
      </w:r>
      <w:r w:rsidR="000C7789">
        <w:t xml:space="preserve"> requiring a rapid response</w:t>
      </w:r>
      <w:r>
        <w:t xml:space="preserve"> whereas rTMS is indicated for </w:t>
      </w:r>
      <w:r w:rsidR="0035738A">
        <w:t xml:space="preserve">less acute, </w:t>
      </w:r>
      <w:r>
        <w:t>non-psychotic patients.</w:t>
      </w:r>
      <w:r w:rsidR="00524E8F">
        <w:t xml:space="preserve"> Therefore,</w:t>
      </w:r>
      <w:r w:rsidR="00C108F1">
        <w:t xml:space="preserve"> </w:t>
      </w:r>
      <w:r w:rsidR="00524E8F">
        <w:t xml:space="preserve">the potential replacement of rTMS for ECT </w:t>
      </w:r>
      <w:r w:rsidR="00E45AF4">
        <w:t>is expected to</w:t>
      </w:r>
      <w:r w:rsidR="00524E8F">
        <w:t xml:space="preserve"> small. </w:t>
      </w:r>
      <w:r w:rsidR="00C108F1">
        <w:t xml:space="preserve">However both rTMS and ECT can be offered for </w:t>
      </w:r>
      <w:r w:rsidR="000C7789">
        <w:t>patients with treatment-resistant depression</w:t>
      </w:r>
      <w:r w:rsidR="00C108F1">
        <w:t>.</w:t>
      </w:r>
      <w:r>
        <w:t xml:space="preserve"> </w:t>
      </w:r>
    </w:p>
    <w:p w14:paraId="3434FC28" w14:textId="77777777" w:rsidR="00C108F1" w:rsidRPr="007416C0" w:rsidRDefault="00E45A4B" w:rsidP="00610C87">
      <w:pPr>
        <w:pStyle w:val="Heading5"/>
      </w:pPr>
      <w:r w:rsidRPr="00610C87">
        <w:t>Comparative</w:t>
      </w:r>
      <w:r w:rsidRPr="007416C0">
        <w:t xml:space="preserve"> safety</w:t>
      </w:r>
    </w:p>
    <w:p w14:paraId="6FBA64E4" w14:textId="271BF93A" w:rsidR="00315BF6" w:rsidRDefault="00524E8F" w:rsidP="003F17D5">
      <w:pPr>
        <w:jc w:val="both"/>
      </w:pPr>
      <w:r>
        <w:t>The primary sources</w:t>
      </w:r>
      <w:r w:rsidR="000C7789">
        <w:t xml:space="preserve"> of evidence for safety are US-based</w:t>
      </w:r>
      <w:r w:rsidR="004D5FF2">
        <w:t>, randomised controlled</w:t>
      </w:r>
      <w:proofErr w:type="gramStart"/>
      <w:r w:rsidR="004D5FF2">
        <w:t xml:space="preserve">, </w:t>
      </w:r>
      <w:r w:rsidR="000C7789">
        <w:t xml:space="preserve"> open</w:t>
      </w:r>
      <w:proofErr w:type="gramEnd"/>
      <w:r w:rsidR="000C7789">
        <w:t>-label extension trials and post-market reviews.</w:t>
      </w:r>
      <w:r w:rsidR="0055050D">
        <w:t xml:space="preserve"> </w:t>
      </w:r>
      <w:r w:rsidR="00315BF6">
        <w:t xml:space="preserve">There is no direct comparative evidence of safety outcomes from trial evidence </w:t>
      </w:r>
      <w:r w:rsidR="00DB7DC9">
        <w:t xml:space="preserve">for </w:t>
      </w:r>
      <w:r w:rsidR="00E45AF4">
        <w:t xml:space="preserve">rTMS compared with </w:t>
      </w:r>
      <w:r w:rsidR="00DB7DC9">
        <w:t>either antidepressants or</w:t>
      </w:r>
      <w:r w:rsidR="00315BF6">
        <w:t xml:space="preserve"> ECT.  The available evidence shows </w:t>
      </w:r>
      <w:r w:rsidR="00E45AF4">
        <w:t>for</w:t>
      </w:r>
      <w:r w:rsidR="00315BF6">
        <w:t xml:space="preserve"> all three treatments, there are diffe</w:t>
      </w:r>
      <w:r w:rsidR="007416C0">
        <w:t>rent toxicity profiles (Table ES.1</w:t>
      </w:r>
      <w:r w:rsidR="00315BF6">
        <w:t>).  Comparatively, rTMS has the least serious effects of all three options.</w:t>
      </w:r>
    </w:p>
    <w:p w14:paraId="5CBD8147" w14:textId="77777777" w:rsidR="00315BF6" w:rsidRPr="00CE6213" w:rsidRDefault="007416C0" w:rsidP="00CE6213">
      <w:pPr>
        <w:pStyle w:val="TableName"/>
      </w:pPr>
      <w:bookmarkStart w:id="22" w:name="_Toc389143571"/>
      <w:r w:rsidRPr="00CE6213">
        <w:lastRenderedPageBreak/>
        <w:t>Table ES.1</w:t>
      </w:r>
      <w:r w:rsidR="00DB7DC9" w:rsidRPr="00CE6213">
        <w:t xml:space="preserve">: </w:t>
      </w:r>
      <w:r w:rsidR="00315BF6" w:rsidRPr="00CE6213">
        <w:t>Summary of common adverse events for rTMS, antidepressants and ECT</w:t>
      </w:r>
      <w:bookmarkEnd w:id="22"/>
    </w:p>
    <w:tbl>
      <w:tblPr>
        <w:tblStyle w:val="TableGrid"/>
        <w:tblW w:w="0" w:type="auto"/>
        <w:tblInd w:w="840" w:type="dxa"/>
        <w:tblLook w:val="04A0" w:firstRow="1" w:lastRow="0" w:firstColumn="1" w:lastColumn="0" w:noHBand="0" w:noVBand="1"/>
        <w:tblCaption w:val="Ex Sum table: Adverse events for rTMS, AntiDep and ECT"/>
      </w:tblPr>
      <w:tblGrid>
        <w:gridCol w:w="2148"/>
        <w:gridCol w:w="6254"/>
      </w:tblGrid>
      <w:tr w:rsidR="00315BF6" w:rsidRPr="007416C0" w14:paraId="15EEC6BC" w14:textId="77777777" w:rsidTr="003F17D5">
        <w:trPr>
          <w:tblHeader/>
        </w:trPr>
        <w:tc>
          <w:tcPr>
            <w:tcW w:w="2148" w:type="dxa"/>
          </w:tcPr>
          <w:p w14:paraId="6D1563C5" w14:textId="77777777" w:rsidR="00315BF6" w:rsidRPr="007416C0" w:rsidRDefault="00315BF6" w:rsidP="00315BF6">
            <w:pPr>
              <w:pStyle w:val="TableText"/>
              <w:rPr>
                <w:b/>
                <w:szCs w:val="18"/>
              </w:rPr>
            </w:pPr>
            <w:r w:rsidRPr="007416C0">
              <w:rPr>
                <w:b/>
                <w:szCs w:val="18"/>
              </w:rPr>
              <w:t>Treatment</w:t>
            </w:r>
          </w:p>
        </w:tc>
        <w:tc>
          <w:tcPr>
            <w:tcW w:w="6254" w:type="dxa"/>
          </w:tcPr>
          <w:p w14:paraId="68A17ABE" w14:textId="77777777" w:rsidR="00315BF6" w:rsidRPr="007416C0" w:rsidRDefault="00315BF6" w:rsidP="00315BF6">
            <w:pPr>
              <w:pStyle w:val="TableText"/>
              <w:rPr>
                <w:b/>
                <w:szCs w:val="18"/>
              </w:rPr>
            </w:pPr>
            <w:r w:rsidRPr="007416C0">
              <w:rPr>
                <w:b/>
                <w:szCs w:val="18"/>
              </w:rPr>
              <w:t>Common adverse events</w:t>
            </w:r>
          </w:p>
        </w:tc>
      </w:tr>
      <w:tr w:rsidR="00315BF6" w:rsidRPr="007416C0" w14:paraId="4587B791" w14:textId="77777777" w:rsidTr="003F17D5">
        <w:tc>
          <w:tcPr>
            <w:tcW w:w="2148" w:type="dxa"/>
            <w:tcBorders>
              <w:bottom w:val="single" w:sz="4" w:space="0" w:color="auto"/>
            </w:tcBorders>
          </w:tcPr>
          <w:p w14:paraId="044AC981" w14:textId="77777777" w:rsidR="00315BF6" w:rsidRPr="007416C0" w:rsidRDefault="00315BF6" w:rsidP="00315BF6">
            <w:pPr>
              <w:pStyle w:val="TableText"/>
              <w:rPr>
                <w:b/>
                <w:szCs w:val="18"/>
              </w:rPr>
            </w:pPr>
            <w:r w:rsidRPr="007416C0">
              <w:rPr>
                <w:b/>
                <w:szCs w:val="18"/>
              </w:rPr>
              <w:t>rTMS</w:t>
            </w:r>
          </w:p>
        </w:tc>
        <w:tc>
          <w:tcPr>
            <w:tcW w:w="6254" w:type="dxa"/>
            <w:tcBorders>
              <w:bottom w:val="single" w:sz="4" w:space="0" w:color="auto"/>
            </w:tcBorders>
          </w:tcPr>
          <w:p w14:paraId="44211DF9" w14:textId="595E4A9D" w:rsidR="00315BF6" w:rsidRPr="007416C0" w:rsidRDefault="00315BF6" w:rsidP="00A27D2D">
            <w:pPr>
              <w:pStyle w:val="TableText"/>
              <w:rPr>
                <w:szCs w:val="18"/>
              </w:rPr>
            </w:pPr>
            <w:r w:rsidRPr="007416C0">
              <w:rPr>
                <w:szCs w:val="18"/>
              </w:rPr>
              <w:t xml:space="preserve">Pain at </w:t>
            </w:r>
            <w:r w:rsidR="0035738A">
              <w:rPr>
                <w:szCs w:val="18"/>
              </w:rPr>
              <w:t>site</w:t>
            </w:r>
            <w:r w:rsidR="00A27D2D">
              <w:rPr>
                <w:szCs w:val="18"/>
              </w:rPr>
              <w:t xml:space="preserve"> during stimulation</w:t>
            </w:r>
            <w:r w:rsidR="00E45AF4">
              <w:rPr>
                <w:szCs w:val="18"/>
              </w:rPr>
              <w:t xml:space="preserve">, headaches, </w:t>
            </w:r>
            <w:r w:rsidRPr="007416C0">
              <w:rPr>
                <w:szCs w:val="18"/>
              </w:rPr>
              <w:t>eye pain, muscle twitching,</w:t>
            </w:r>
          </w:p>
        </w:tc>
      </w:tr>
      <w:tr w:rsidR="00315BF6" w:rsidRPr="007416C0" w14:paraId="4988F7A5" w14:textId="77777777" w:rsidTr="003F17D5">
        <w:tc>
          <w:tcPr>
            <w:tcW w:w="2148" w:type="dxa"/>
            <w:tcBorders>
              <w:bottom w:val="nil"/>
            </w:tcBorders>
          </w:tcPr>
          <w:p w14:paraId="029A14EA" w14:textId="77777777" w:rsidR="00315BF6" w:rsidRPr="007416C0" w:rsidRDefault="00315BF6" w:rsidP="00315BF6">
            <w:pPr>
              <w:pStyle w:val="TableText"/>
              <w:rPr>
                <w:b/>
                <w:szCs w:val="18"/>
              </w:rPr>
            </w:pPr>
            <w:r w:rsidRPr="007416C0">
              <w:rPr>
                <w:b/>
                <w:szCs w:val="18"/>
              </w:rPr>
              <w:t>Antidepressant therapies:</w:t>
            </w:r>
          </w:p>
        </w:tc>
        <w:tc>
          <w:tcPr>
            <w:tcW w:w="6254" w:type="dxa"/>
            <w:tcBorders>
              <w:bottom w:val="nil"/>
            </w:tcBorders>
          </w:tcPr>
          <w:p w14:paraId="6C210350" w14:textId="77777777" w:rsidR="00315BF6" w:rsidRPr="007416C0" w:rsidRDefault="00315BF6" w:rsidP="00315BF6">
            <w:pPr>
              <w:pStyle w:val="TableText"/>
              <w:rPr>
                <w:szCs w:val="18"/>
              </w:rPr>
            </w:pPr>
          </w:p>
        </w:tc>
      </w:tr>
      <w:tr w:rsidR="00315BF6" w:rsidRPr="007416C0" w14:paraId="144D0FE8" w14:textId="77777777" w:rsidTr="003F17D5">
        <w:tc>
          <w:tcPr>
            <w:tcW w:w="2148" w:type="dxa"/>
            <w:tcBorders>
              <w:top w:val="nil"/>
              <w:bottom w:val="nil"/>
            </w:tcBorders>
          </w:tcPr>
          <w:p w14:paraId="26914EC8" w14:textId="77777777" w:rsidR="00315BF6" w:rsidRPr="007416C0" w:rsidRDefault="00315BF6" w:rsidP="00315BF6">
            <w:pPr>
              <w:pStyle w:val="TableText"/>
              <w:rPr>
                <w:szCs w:val="18"/>
              </w:rPr>
            </w:pPr>
            <w:r w:rsidRPr="007416C0">
              <w:rPr>
                <w:szCs w:val="18"/>
              </w:rPr>
              <w:t xml:space="preserve">  SSRI </w:t>
            </w:r>
          </w:p>
        </w:tc>
        <w:tc>
          <w:tcPr>
            <w:tcW w:w="6254" w:type="dxa"/>
            <w:tcBorders>
              <w:top w:val="nil"/>
              <w:bottom w:val="nil"/>
            </w:tcBorders>
          </w:tcPr>
          <w:p w14:paraId="2F882054" w14:textId="77777777" w:rsidR="00315BF6" w:rsidRPr="007416C0" w:rsidRDefault="00315BF6" w:rsidP="00315BF6">
            <w:pPr>
              <w:pStyle w:val="TableText"/>
              <w:rPr>
                <w:szCs w:val="18"/>
              </w:rPr>
            </w:pPr>
            <w:r w:rsidRPr="007416C0">
              <w:rPr>
                <w:szCs w:val="18"/>
              </w:rPr>
              <w:t>Nausea, agitation, sleep disturbance, sexual dysfunction, headaches</w:t>
            </w:r>
          </w:p>
        </w:tc>
      </w:tr>
      <w:tr w:rsidR="00315BF6" w:rsidRPr="007416C0" w14:paraId="1BACC43D" w14:textId="77777777" w:rsidTr="003F17D5">
        <w:tc>
          <w:tcPr>
            <w:tcW w:w="2148" w:type="dxa"/>
            <w:tcBorders>
              <w:top w:val="nil"/>
              <w:bottom w:val="nil"/>
            </w:tcBorders>
          </w:tcPr>
          <w:p w14:paraId="6B680581" w14:textId="77777777" w:rsidR="00315BF6" w:rsidRPr="007416C0" w:rsidRDefault="00315BF6" w:rsidP="00315BF6">
            <w:pPr>
              <w:pStyle w:val="TableText"/>
              <w:rPr>
                <w:szCs w:val="18"/>
              </w:rPr>
            </w:pPr>
            <w:r w:rsidRPr="007416C0">
              <w:rPr>
                <w:szCs w:val="18"/>
              </w:rPr>
              <w:t xml:space="preserve">  SNRI </w:t>
            </w:r>
          </w:p>
        </w:tc>
        <w:tc>
          <w:tcPr>
            <w:tcW w:w="6254" w:type="dxa"/>
            <w:tcBorders>
              <w:top w:val="nil"/>
              <w:bottom w:val="nil"/>
            </w:tcBorders>
          </w:tcPr>
          <w:p w14:paraId="10A817FB" w14:textId="77777777" w:rsidR="00315BF6" w:rsidRPr="007416C0" w:rsidRDefault="00315BF6" w:rsidP="00315BF6">
            <w:pPr>
              <w:pStyle w:val="TableText"/>
              <w:rPr>
                <w:szCs w:val="18"/>
              </w:rPr>
            </w:pPr>
            <w:r w:rsidRPr="007416C0">
              <w:rPr>
                <w:szCs w:val="18"/>
              </w:rPr>
              <w:t>Nausea, anxiety, fatigue, sexual dysfunction, headaches</w:t>
            </w:r>
          </w:p>
        </w:tc>
      </w:tr>
      <w:tr w:rsidR="00315BF6" w:rsidRPr="007416C0" w14:paraId="68BA6068" w14:textId="77777777" w:rsidTr="003F17D5">
        <w:tc>
          <w:tcPr>
            <w:tcW w:w="2148" w:type="dxa"/>
            <w:tcBorders>
              <w:top w:val="nil"/>
              <w:bottom w:val="nil"/>
            </w:tcBorders>
          </w:tcPr>
          <w:p w14:paraId="4DF119A6" w14:textId="77777777" w:rsidR="00315BF6" w:rsidRPr="007416C0" w:rsidRDefault="00315BF6" w:rsidP="00315BF6">
            <w:pPr>
              <w:pStyle w:val="TableText"/>
              <w:rPr>
                <w:szCs w:val="18"/>
              </w:rPr>
            </w:pPr>
            <w:r w:rsidRPr="007416C0">
              <w:rPr>
                <w:szCs w:val="18"/>
              </w:rPr>
              <w:t xml:space="preserve">  RIMA</w:t>
            </w:r>
          </w:p>
        </w:tc>
        <w:tc>
          <w:tcPr>
            <w:tcW w:w="6254" w:type="dxa"/>
            <w:tcBorders>
              <w:top w:val="nil"/>
              <w:bottom w:val="nil"/>
            </w:tcBorders>
          </w:tcPr>
          <w:p w14:paraId="3571C5B4" w14:textId="77777777" w:rsidR="00315BF6" w:rsidRPr="007416C0" w:rsidRDefault="00315BF6" w:rsidP="00315BF6">
            <w:pPr>
              <w:pStyle w:val="TableText"/>
              <w:rPr>
                <w:szCs w:val="18"/>
              </w:rPr>
            </w:pPr>
            <w:r w:rsidRPr="007416C0">
              <w:rPr>
                <w:szCs w:val="18"/>
              </w:rPr>
              <w:t>Headaches, nausea or heartburn, dizziness, increased sweating</w:t>
            </w:r>
          </w:p>
        </w:tc>
      </w:tr>
      <w:tr w:rsidR="00315BF6" w:rsidRPr="007416C0" w14:paraId="388C4E6A" w14:textId="77777777" w:rsidTr="003F17D5">
        <w:tc>
          <w:tcPr>
            <w:tcW w:w="2148" w:type="dxa"/>
            <w:tcBorders>
              <w:top w:val="nil"/>
              <w:bottom w:val="nil"/>
            </w:tcBorders>
          </w:tcPr>
          <w:p w14:paraId="511163B3" w14:textId="77777777" w:rsidR="00315BF6" w:rsidRPr="007416C0" w:rsidRDefault="00315BF6" w:rsidP="00315BF6">
            <w:pPr>
              <w:pStyle w:val="TableText"/>
              <w:rPr>
                <w:szCs w:val="18"/>
              </w:rPr>
            </w:pPr>
            <w:r w:rsidRPr="007416C0">
              <w:rPr>
                <w:szCs w:val="18"/>
              </w:rPr>
              <w:t xml:space="preserve">  TCA </w:t>
            </w:r>
          </w:p>
        </w:tc>
        <w:tc>
          <w:tcPr>
            <w:tcW w:w="6254" w:type="dxa"/>
            <w:tcBorders>
              <w:top w:val="nil"/>
              <w:bottom w:val="nil"/>
            </w:tcBorders>
          </w:tcPr>
          <w:p w14:paraId="232AB5C7" w14:textId="77777777" w:rsidR="00315BF6" w:rsidRPr="007416C0" w:rsidRDefault="00315BF6" w:rsidP="00315BF6">
            <w:pPr>
              <w:pStyle w:val="TableText"/>
              <w:rPr>
                <w:szCs w:val="18"/>
              </w:rPr>
            </w:pPr>
            <w:r w:rsidRPr="007416C0">
              <w:rPr>
                <w:szCs w:val="18"/>
              </w:rPr>
              <w:t>Sedation, sleepiness, dry mouth, constipation, low blood pressure, falls</w:t>
            </w:r>
          </w:p>
        </w:tc>
      </w:tr>
      <w:tr w:rsidR="00315BF6" w:rsidRPr="007416C0" w14:paraId="68FB7A34" w14:textId="77777777" w:rsidTr="003F17D5">
        <w:tc>
          <w:tcPr>
            <w:tcW w:w="2148" w:type="dxa"/>
            <w:tcBorders>
              <w:top w:val="nil"/>
              <w:bottom w:val="nil"/>
            </w:tcBorders>
          </w:tcPr>
          <w:p w14:paraId="79A8F80B" w14:textId="77777777" w:rsidR="00315BF6" w:rsidRPr="007416C0" w:rsidRDefault="00315BF6" w:rsidP="00315BF6">
            <w:pPr>
              <w:pStyle w:val="TableText"/>
              <w:rPr>
                <w:szCs w:val="18"/>
              </w:rPr>
            </w:pPr>
            <w:r w:rsidRPr="007416C0">
              <w:rPr>
                <w:szCs w:val="18"/>
              </w:rPr>
              <w:t xml:space="preserve">  NaSSA </w:t>
            </w:r>
          </w:p>
        </w:tc>
        <w:tc>
          <w:tcPr>
            <w:tcW w:w="6254" w:type="dxa"/>
            <w:tcBorders>
              <w:top w:val="nil"/>
              <w:bottom w:val="nil"/>
            </w:tcBorders>
          </w:tcPr>
          <w:p w14:paraId="6240BF65" w14:textId="77777777" w:rsidR="00315BF6" w:rsidRPr="007416C0" w:rsidRDefault="00315BF6" w:rsidP="00315BF6">
            <w:pPr>
              <w:pStyle w:val="TableText"/>
              <w:rPr>
                <w:szCs w:val="18"/>
              </w:rPr>
            </w:pPr>
            <w:r w:rsidRPr="007416C0">
              <w:rPr>
                <w:szCs w:val="18"/>
              </w:rPr>
              <w:t>Sedation, dizziness, increased appetite, and weight gain</w:t>
            </w:r>
          </w:p>
        </w:tc>
      </w:tr>
      <w:tr w:rsidR="00315BF6" w:rsidRPr="007416C0" w14:paraId="78EFE170" w14:textId="77777777" w:rsidTr="003F17D5">
        <w:tc>
          <w:tcPr>
            <w:tcW w:w="2148" w:type="dxa"/>
            <w:tcBorders>
              <w:top w:val="nil"/>
              <w:bottom w:val="nil"/>
            </w:tcBorders>
          </w:tcPr>
          <w:p w14:paraId="128C080B" w14:textId="77777777" w:rsidR="00315BF6" w:rsidRPr="007416C0" w:rsidRDefault="00315BF6" w:rsidP="00315BF6">
            <w:pPr>
              <w:pStyle w:val="TableText"/>
              <w:rPr>
                <w:szCs w:val="18"/>
              </w:rPr>
            </w:pPr>
            <w:r w:rsidRPr="007416C0">
              <w:rPr>
                <w:szCs w:val="18"/>
              </w:rPr>
              <w:t xml:space="preserve">  NARI </w:t>
            </w:r>
          </w:p>
        </w:tc>
        <w:tc>
          <w:tcPr>
            <w:tcW w:w="6254" w:type="dxa"/>
            <w:tcBorders>
              <w:top w:val="nil"/>
              <w:bottom w:val="nil"/>
            </w:tcBorders>
          </w:tcPr>
          <w:p w14:paraId="211D37BC" w14:textId="77777777" w:rsidR="00315BF6" w:rsidRPr="007416C0" w:rsidRDefault="00315BF6" w:rsidP="00315BF6">
            <w:pPr>
              <w:pStyle w:val="TableText"/>
              <w:rPr>
                <w:szCs w:val="18"/>
              </w:rPr>
            </w:pPr>
            <w:r w:rsidRPr="007416C0">
              <w:rPr>
                <w:szCs w:val="18"/>
              </w:rPr>
              <w:t>Dry mouth, constipation, agitation, dizziness, headache, sexual difficulties, difficulty urinating increased heart rate, increased sweating</w:t>
            </w:r>
          </w:p>
        </w:tc>
      </w:tr>
      <w:tr w:rsidR="00315BF6" w:rsidRPr="007416C0" w14:paraId="5483F362" w14:textId="77777777" w:rsidTr="003F17D5">
        <w:tc>
          <w:tcPr>
            <w:tcW w:w="2148" w:type="dxa"/>
            <w:tcBorders>
              <w:top w:val="nil"/>
            </w:tcBorders>
          </w:tcPr>
          <w:p w14:paraId="25A88418" w14:textId="77777777" w:rsidR="00315BF6" w:rsidRPr="007416C0" w:rsidRDefault="00315BF6" w:rsidP="00315BF6">
            <w:pPr>
              <w:pStyle w:val="TableText"/>
              <w:rPr>
                <w:szCs w:val="18"/>
              </w:rPr>
            </w:pPr>
            <w:r w:rsidRPr="007416C0">
              <w:rPr>
                <w:szCs w:val="18"/>
              </w:rPr>
              <w:t xml:space="preserve">  MAOI </w:t>
            </w:r>
          </w:p>
        </w:tc>
        <w:tc>
          <w:tcPr>
            <w:tcW w:w="6254" w:type="dxa"/>
            <w:tcBorders>
              <w:top w:val="nil"/>
            </w:tcBorders>
          </w:tcPr>
          <w:p w14:paraId="4CE050AE" w14:textId="77777777" w:rsidR="00315BF6" w:rsidRPr="007416C0" w:rsidRDefault="00315BF6" w:rsidP="00315BF6">
            <w:pPr>
              <w:pStyle w:val="TableText"/>
              <w:rPr>
                <w:szCs w:val="18"/>
              </w:rPr>
            </w:pPr>
            <w:r w:rsidRPr="007416C0">
              <w:rPr>
                <w:szCs w:val="18"/>
              </w:rPr>
              <w:t>Drowsiness, lethargy, insomnia, headache, dizziness, nausea or heartburn, dry mouth, blurred vision, constipation, increased sweating, muscle tremor, loss of appetite</w:t>
            </w:r>
          </w:p>
        </w:tc>
      </w:tr>
      <w:tr w:rsidR="00315BF6" w:rsidRPr="007416C0" w14:paraId="1EB5EAB3" w14:textId="77777777" w:rsidTr="003F17D5">
        <w:tc>
          <w:tcPr>
            <w:tcW w:w="2148" w:type="dxa"/>
          </w:tcPr>
          <w:p w14:paraId="651CDE13" w14:textId="77777777" w:rsidR="00315BF6" w:rsidRPr="007416C0" w:rsidRDefault="00315BF6" w:rsidP="003F17D5">
            <w:pPr>
              <w:pStyle w:val="TableText"/>
              <w:rPr>
                <w:b/>
                <w:szCs w:val="18"/>
              </w:rPr>
            </w:pPr>
            <w:r w:rsidRPr="007416C0">
              <w:rPr>
                <w:b/>
                <w:szCs w:val="18"/>
              </w:rPr>
              <w:t>ECT</w:t>
            </w:r>
          </w:p>
        </w:tc>
        <w:tc>
          <w:tcPr>
            <w:tcW w:w="6254" w:type="dxa"/>
          </w:tcPr>
          <w:p w14:paraId="1F807930" w14:textId="5EBC159A" w:rsidR="00315BF6" w:rsidRPr="007416C0" w:rsidRDefault="00315BF6" w:rsidP="00E45AF4">
            <w:pPr>
              <w:pStyle w:val="TableText"/>
              <w:rPr>
                <w:szCs w:val="18"/>
              </w:rPr>
            </w:pPr>
            <w:r w:rsidRPr="007416C0">
              <w:rPr>
                <w:szCs w:val="18"/>
              </w:rPr>
              <w:t xml:space="preserve">Cognitive problems, retrograde and anterograde amnesia, post-ictal delirium, </w:t>
            </w:r>
            <w:r w:rsidR="0035738A">
              <w:rPr>
                <w:szCs w:val="18"/>
              </w:rPr>
              <w:t xml:space="preserve">falls, headaches, </w:t>
            </w:r>
            <w:r w:rsidRPr="007416C0">
              <w:rPr>
                <w:szCs w:val="18"/>
              </w:rPr>
              <w:t>myalgia, cardiovascular, pulmonary and dental complications</w:t>
            </w:r>
          </w:p>
        </w:tc>
      </w:tr>
    </w:tbl>
    <w:p w14:paraId="43F99AB6" w14:textId="77777777" w:rsidR="007416C0" w:rsidRPr="007416C0" w:rsidRDefault="007416C0" w:rsidP="003F17D5">
      <w:pPr>
        <w:keepNext/>
        <w:autoSpaceDE w:val="0"/>
        <w:autoSpaceDN w:val="0"/>
        <w:adjustRightInd w:val="0"/>
        <w:spacing w:after="0"/>
        <w:ind w:left="709"/>
        <w:rPr>
          <w:rFonts w:ascii="Arial Narrow" w:hAnsi="Arial Narrow" w:cs="ArialNarrow"/>
          <w:sz w:val="18"/>
          <w:szCs w:val="18"/>
        </w:rPr>
      </w:pPr>
      <w:r w:rsidRPr="007416C0">
        <w:rPr>
          <w:rFonts w:ascii="Arial Narrow" w:hAnsi="Arial Narrow" w:cs="ArialNarrow"/>
          <w:sz w:val="18"/>
          <w:szCs w:val="18"/>
        </w:rPr>
        <w:t>Source: MSAC 1101, 2007</w:t>
      </w:r>
    </w:p>
    <w:p w14:paraId="59B10F1C" w14:textId="77777777" w:rsidR="007416C0" w:rsidRDefault="00315BF6" w:rsidP="003F17D5">
      <w:pPr>
        <w:keepNext/>
        <w:autoSpaceDE w:val="0"/>
        <w:autoSpaceDN w:val="0"/>
        <w:adjustRightInd w:val="0"/>
        <w:spacing w:after="0"/>
        <w:ind w:left="709"/>
        <w:rPr>
          <w:rFonts w:ascii="Arial Narrow" w:hAnsi="Arial Narrow" w:cs="ArialNarrow"/>
          <w:sz w:val="18"/>
          <w:szCs w:val="18"/>
        </w:rPr>
      </w:pPr>
      <w:r w:rsidRPr="007416C0">
        <w:rPr>
          <w:rFonts w:ascii="Arial Narrow" w:hAnsi="Arial Narrow" w:cs="ArialNarrow"/>
          <w:sz w:val="18"/>
          <w:szCs w:val="18"/>
        </w:rPr>
        <w:t>ECT = electro convulsive therapy; MAOI=Monoamine Oxidase Inhibitors; TCA= Tricyclic Anti-depressants; SSRI= Selective Serotonin Reuptake Inhibitors; NARI= Noradrenaline Reuptake Inhibitors; SNRI= Serotonin and Noradrenaline Reuptake Inhibitors; RIMA=Reversible Inhibitors of Monoamine Oxidase– A; rTMS = repetitive Transcranial Magnetic Stimulation; NaSSA=Noradrenaline Serotonin Specific Anti-depressants</w:t>
      </w:r>
    </w:p>
    <w:p w14:paraId="789D7A96" w14:textId="77777777" w:rsidR="003F17D5" w:rsidRPr="003F17D5" w:rsidRDefault="003F17D5" w:rsidP="003F17D5">
      <w:pPr>
        <w:keepNext/>
        <w:autoSpaceDE w:val="0"/>
        <w:autoSpaceDN w:val="0"/>
        <w:adjustRightInd w:val="0"/>
        <w:spacing w:after="0"/>
        <w:ind w:left="709"/>
        <w:rPr>
          <w:rFonts w:ascii="Arial Narrow" w:hAnsi="Arial Narrow" w:cs="ArialNarrow"/>
          <w:sz w:val="18"/>
          <w:szCs w:val="18"/>
        </w:rPr>
      </w:pPr>
    </w:p>
    <w:p w14:paraId="4C74CF64" w14:textId="6300B769" w:rsidR="00315BF6" w:rsidRDefault="00315BF6" w:rsidP="003F17D5">
      <w:pPr>
        <w:jc w:val="both"/>
      </w:pPr>
      <w:r>
        <w:t xml:space="preserve">The strength of the evidence for the NeuroStar </w:t>
      </w:r>
      <w:r w:rsidR="00DB7DC9">
        <w:t>trial</w:t>
      </w:r>
      <w:r>
        <w:t xml:space="preserve"> and post-market review trials indicates that rTMS is safe with few harmful effects (e.g. 7 seizures reported for 14,000 patients </w:t>
      </w:r>
      <w:r w:rsidR="00000D58">
        <w:t xml:space="preserve">undergoing over 300,000 treatments since 2008). </w:t>
      </w:r>
      <w:r>
        <w:t>The sham tri</w:t>
      </w:r>
      <w:r w:rsidR="004D5FF2">
        <w:t xml:space="preserve">als consistently support this. </w:t>
      </w:r>
      <w:r>
        <w:t xml:space="preserve">There were no seizures or deaths and </w:t>
      </w:r>
      <w:r w:rsidR="004D5FF2">
        <w:t>an absence of</w:t>
      </w:r>
      <w:r>
        <w:t xml:space="preserve"> suicidal ideation </w:t>
      </w:r>
      <w:r w:rsidR="004D5FF2">
        <w:t xml:space="preserve">during acute treatment in the NeuroStar trials. </w:t>
      </w:r>
      <w:r>
        <w:t xml:space="preserve">The most notable adverse events in </w:t>
      </w:r>
      <w:r w:rsidR="004D5FF2">
        <w:t xml:space="preserve">the </w:t>
      </w:r>
      <w:r>
        <w:t>NeuroStar TMS trial</w:t>
      </w:r>
      <w:r w:rsidR="004D5FF2">
        <w:t>s</w:t>
      </w:r>
      <w:r>
        <w:t xml:space="preserve"> were application site discomfort (11%), site pain (36%), muscle twitching (21%) but these were considered mild </w:t>
      </w:r>
      <w:r w:rsidR="00DB7DC9">
        <w:t>and transient</w:t>
      </w:r>
      <w:r>
        <w:t>.</w:t>
      </w:r>
    </w:p>
    <w:p w14:paraId="384515C2" w14:textId="77777777" w:rsidR="00E45A4B" w:rsidRPr="007416C0" w:rsidRDefault="00E45A4B" w:rsidP="00610C87">
      <w:pPr>
        <w:pStyle w:val="Heading5"/>
      </w:pPr>
      <w:r w:rsidRPr="007416C0">
        <w:t>Comparative effectiveness</w:t>
      </w:r>
    </w:p>
    <w:p w14:paraId="4D607291" w14:textId="0B871F9C" w:rsidR="00524E8F" w:rsidRDefault="00524E8F" w:rsidP="00524E8F">
      <w:r>
        <w:t xml:space="preserve">For the primary comparator of antidepressants, no direct </w:t>
      </w:r>
      <w:r w:rsidR="00DB7DC9">
        <w:t>head-to-head trial was identified that</w:t>
      </w:r>
      <w:r>
        <w:t xml:space="preserve"> </w:t>
      </w:r>
      <w:r w:rsidR="00E45AF4">
        <w:t>compared</w:t>
      </w:r>
      <w:r>
        <w:t xml:space="preserve"> rTMS </w:t>
      </w:r>
      <w:r w:rsidR="00315BF6">
        <w:t>and</w:t>
      </w:r>
      <w:r>
        <w:t xml:space="preserve"> antidepressants. </w:t>
      </w:r>
      <w:r w:rsidR="00DB7DC9">
        <w:t xml:space="preserve">The trials used in this </w:t>
      </w:r>
      <w:r w:rsidR="00E45AF4">
        <w:t>report</w:t>
      </w:r>
      <w:r w:rsidR="007416C0">
        <w:t xml:space="preserve"> are listed in Table ES</w:t>
      </w:r>
      <w:r w:rsidR="00DB7DC9">
        <w:t>.</w:t>
      </w:r>
      <w:r w:rsidR="007416C0">
        <w:t xml:space="preserve">2 below. </w:t>
      </w:r>
    </w:p>
    <w:p w14:paraId="0817FC45" w14:textId="77777777" w:rsidR="00524E8F" w:rsidRPr="00CE6213" w:rsidRDefault="00524E8F" w:rsidP="00CE6213">
      <w:pPr>
        <w:pStyle w:val="TableName"/>
      </w:pPr>
      <w:bookmarkStart w:id="23" w:name="_Toc389143572"/>
      <w:r w:rsidRPr="00CE6213">
        <w:t xml:space="preserve">Table </w:t>
      </w:r>
      <w:r w:rsidR="007416C0" w:rsidRPr="00CE6213">
        <w:t>ES.2</w:t>
      </w:r>
      <w:r w:rsidRPr="00CE6213">
        <w:t>: Summary of studies/reports included in the assessment of effectiveness and safety of rTMS</w:t>
      </w:r>
      <w:bookmarkEnd w:id="23"/>
    </w:p>
    <w:tbl>
      <w:tblPr>
        <w:tblStyle w:val="TableGrid"/>
        <w:tblW w:w="8363" w:type="dxa"/>
        <w:tblInd w:w="760" w:type="dxa"/>
        <w:tblLook w:val="04A0" w:firstRow="1" w:lastRow="0" w:firstColumn="1" w:lastColumn="0" w:noHBand="0" w:noVBand="1"/>
        <w:tblCaption w:val="Ex Sum table: Studies included in the efficacy and safety assessment for rTMS"/>
      </w:tblPr>
      <w:tblGrid>
        <w:gridCol w:w="2380"/>
        <w:gridCol w:w="1873"/>
        <w:gridCol w:w="2693"/>
        <w:gridCol w:w="1417"/>
      </w:tblGrid>
      <w:tr w:rsidR="00524E8F" w:rsidRPr="007416C0" w14:paraId="003D6DC3" w14:textId="77777777" w:rsidTr="003F17D5">
        <w:trPr>
          <w:trHeight w:val="228"/>
          <w:tblHeader/>
        </w:trPr>
        <w:tc>
          <w:tcPr>
            <w:tcW w:w="2380" w:type="dxa"/>
            <w:tcMar>
              <w:left w:w="28" w:type="dxa"/>
              <w:right w:w="28" w:type="dxa"/>
            </w:tcMar>
          </w:tcPr>
          <w:p w14:paraId="1B35A382" w14:textId="77777777" w:rsidR="00524E8F" w:rsidRPr="007416C0" w:rsidRDefault="00524E8F" w:rsidP="00C61A18">
            <w:pPr>
              <w:pStyle w:val="TableText"/>
              <w:rPr>
                <w:b/>
                <w:szCs w:val="18"/>
              </w:rPr>
            </w:pPr>
            <w:r w:rsidRPr="007416C0">
              <w:rPr>
                <w:b/>
                <w:szCs w:val="18"/>
              </w:rPr>
              <w:t>Study</w:t>
            </w:r>
          </w:p>
        </w:tc>
        <w:tc>
          <w:tcPr>
            <w:tcW w:w="1873" w:type="dxa"/>
            <w:tcMar>
              <w:left w:w="28" w:type="dxa"/>
              <w:right w:w="28" w:type="dxa"/>
            </w:tcMar>
          </w:tcPr>
          <w:p w14:paraId="73CE6DCB" w14:textId="77777777" w:rsidR="00524E8F" w:rsidRPr="007416C0" w:rsidRDefault="00524E8F" w:rsidP="00C61A18">
            <w:pPr>
              <w:pStyle w:val="TableText"/>
              <w:rPr>
                <w:b/>
                <w:szCs w:val="18"/>
              </w:rPr>
            </w:pPr>
            <w:r w:rsidRPr="007416C0">
              <w:rPr>
                <w:b/>
                <w:szCs w:val="18"/>
              </w:rPr>
              <w:t>Comparison groups</w:t>
            </w:r>
          </w:p>
        </w:tc>
        <w:tc>
          <w:tcPr>
            <w:tcW w:w="2693" w:type="dxa"/>
            <w:tcMar>
              <w:left w:w="28" w:type="dxa"/>
              <w:right w:w="28" w:type="dxa"/>
            </w:tcMar>
          </w:tcPr>
          <w:p w14:paraId="5156EE18" w14:textId="77777777" w:rsidR="00524E8F" w:rsidRPr="007416C0" w:rsidRDefault="00524E8F" w:rsidP="00C61A18">
            <w:pPr>
              <w:pStyle w:val="TableText"/>
              <w:rPr>
                <w:b/>
                <w:szCs w:val="18"/>
              </w:rPr>
            </w:pPr>
            <w:r w:rsidRPr="007416C0">
              <w:rPr>
                <w:b/>
                <w:szCs w:val="18"/>
              </w:rPr>
              <w:t>Study design</w:t>
            </w:r>
          </w:p>
        </w:tc>
        <w:tc>
          <w:tcPr>
            <w:tcW w:w="1417" w:type="dxa"/>
            <w:tcMar>
              <w:left w:w="28" w:type="dxa"/>
              <w:right w:w="28" w:type="dxa"/>
            </w:tcMar>
          </w:tcPr>
          <w:p w14:paraId="0EF8F78C" w14:textId="2D8925D1" w:rsidR="00524E8F" w:rsidRPr="007416C0" w:rsidRDefault="003F17D5" w:rsidP="00C61A18">
            <w:pPr>
              <w:pStyle w:val="TableText"/>
              <w:rPr>
                <w:b/>
                <w:szCs w:val="18"/>
              </w:rPr>
            </w:pPr>
            <w:r>
              <w:rPr>
                <w:b/>
                <w:szCs w:val="18"/>
              </w:rPr>
              <w:t>Assess</w:t>
            </w:r>
            <w:r w:rsidR="004D5FF2">
              <w:rPr>
                <w:b/>
                <w:szCs w:val="18"/>
              </w:rPr>
              <w:t>ed:</w:t>
            </w:r>
          </w:p>
        </w:tc>
      </w:tr>
      <w:tr w:rsidR="00524E8F" w:rsidRPr="007416C0" w14:paraId="02667843" w14:textId="77777777" w:rsidTr="003F17D5">
        <w:trPr>
          <w:trHeight w:val="239"/>
        </w:trPr>
        <w:tc>
          <w:tcPr>
            <w:tcW w:w="2380" w:type="dxa"/>
            <w:tcMar>
              <w:left w:w="28" w:type="dxa"/>
              <w:right w:w="28" w:type="dxa"/>
            </w:tcMar>
          </w:tcPr>
          <w:p w14:paraId="4FA87248" w14:textId="77777777" w:rsidR="00524E8F" w:rsidRPr="007416C0" w:rsidRDefault="00524E8F" w:rsidP="00C61A18">
            <w:pPr>
              <w:pStyle w:val="TableText"/>
              <w:rPr>
                <w:szCs w:val="18"/>
              </w:rPr>
            </w:pPr>
            <w:r w:rsidRPr="007416C0">
              <w:rPr>
                <w:szCs w:val="18"/>
              </w:rPr>
              <w:t>NeuroStar TMS 2007</w:t>
            </w:r>
          </w:p>
        </w:tc>
        <w:tc>
          <w:tcPr>
            <w:tcW w:w="1873" w:type="dxa"/>
            <w:tcMar>
              <w:left w:w="28" w:type="dxa"/>
              <w:right w:w="28" w:type="dxa"/>
            </w:tcMar>
          </w:tcPr>
          <w:p w14:paraId="0C3526F4" w14:textId="77777777" w:rsidR="00524E8F" w:rsidRPr="007416C0" w:rsidRDefault="00524E8F" w:rsidP="00C61A18">
            <w:pPr>
              <w:pStyle w:val="TableText"/>
              <w:rPr>
                <w:szCs w:val="18"/>
              </w:rPr>
            </w:pPr>
            <w:r w:rsidRPr="007416C0">
              <w:rPr>
                <w:szCs w:val="18"/>
              </w:rPr>
              <w:t xml:space="preserve">rTMS vs sham </w:t>
            </w:r>
          </w:p>
        </w:tc>
        <w:tc>
          <w:tcPr>
            <w:tcW w:w="2693" w:type="dxa"/>
            <w:tcMar>
              <w:left w:w="28" w:type="dxa"/>
              <w:right w:w="28" w:type="dxa"/>
            </w:tcMar>
          </w:tcPr>
          <w:p w14:paraId="6E2404A0" w14:textId="77777777" w:rsidR="00524E8F" w:rsidRPr="007416C0" w:rsidRDefault="00524E8F" w:rsidP="00C61A18">
            <w:pPr>
              <w:pStyle w:val="TableText"/>
              <w:rPr>
                <w:szCs w:val="18"/>
              </w:rPr>
            </w:pPr>
            <w:r w:rsidRPr="007416C0">
              <w:rPr>
                <w:szCs w:val="18"/>
              </w:rPr>
              <w:t>RCT (multicentre)</w:t>
            </w:r>
          </w:p>
        </w:tc>
        <w:tc>
          <w:tcPr>
            <w:tcW w:w="1417" w:type="dxa"/>
            <w:tcMar>
              <w:left w:w="28" w:type="dxa"/>
              <w:right w:w="28" w:type="dxa"/>
            </w:tcMar>
          </w:tcPr>
          <w:p w14:paraId="76D271D9" w14:textId="77777777" w:rsidR="00524E8F" w:rsidRPr="007416C0" w:rsidRDefault="00524E8F" w:rsidP="00C61A18">
            <w:pPr>
              <w:pStyle w:val="TableText"/>
              <w:rPr>
                <w:szCs w:val="18"/>
              </w:rPr>
            </w:pPr>
            <w:r w:rsidRPr="007416C0">
              <w:rPr>
                <w:szCs w:val="18"/>
              </w:rPr>
              <w:t>Efficacy and safety</w:t>
            </w:r>
          </w:p>
        </w:tc>
      </w:tr>
      <w:tr w:rsidR="00524E8F" w:rsidRPr="007416C0" w14:paraId="7055AF52" w14:textId="77777777" w:rsidTr="003F17D5">
        <w:trPr>
          <w:trHeight w:val="228"/>
        </w:trPr>
        <w:tc>
          <w:tcPr>
            <w:tcW w:w="2380" w:type="dxa"/>
            <w:tcMar>
              <w:left w:w="28" w:type="dxa"/>
              <w:right w:w="28" w:type="dxa"/>
            </w:tcMar>
          </w:tcPr>
          <w:p w14:paraId="30206181" w14:textId="77777777" w:rsidR="00524E8F" w:rsidRPr="007416C0" w:rsidRDefault="00524E8F" w:rsidP="007416C0">
            <w:pPr>
              <w:pStyle w:val="TableText"/>
              <w:keepNext w:val="0"/>
              <w:widowControl w:val="0"/>
              <w:rPr>
                <w:szCs w:val="18"/>
              </w:rPr>
            </w:pPr>
            <w:r w:rsidRPr="007416C0">
              <w:rPr>
                <w:szCs w:val="18"/>
              </w:rPr>
              <w:t>OPT-TMS 2010</w:t>
            </w:r>
          </w:p>
        </w:tc>
        <w:tc>
          <w:tcPr>
            <w:tcW w:w="1873" w:type="dxa"/>
            <w:tcMar>
              <w:left w:w="28" w:type="dxa"/>
              <w:right w:w="28" w:type="dxa"/>
            </w:tcMar>
          </w:tcPr>
          <w:p w14:paraId="6549706C" w14:textId="77777777" w:rsidR="00524E8F" w:rsidRPr="007416C0" w:rsidRDefault="00524E8F" w:rsidP="007416C0">
            <w:pPr>
              <w:pStyle w:val="TableText"/>
              <w:keepNext w:val="0"/>
              <w:widowControl w:val="0"/>
              <w:rPr>
                <w:szCs w:val="18"/>
              </w:rPr>
            </w:pPr>
            <w:r w:rsidRPr="007416C0">
              <w:rPr>
                <w:szCs w:val="18"/>
              </w:rPr>
              <w:t xml:space="preserve">rTMS vs sham </w:t>
            </w:r>
          </w:p>
        </w:tc>
        <w:tc>
          <w:tcPr>
            <w:tcW w:w="2693" w:type="dxa"/>
            <w:tcMar>
              <w:left w:w="28" w:type="dxa"/>
              <w:right w:w="28" w:type="dxa"/>
            </w:tcMar>
          </w:tcPr>
          <w:p w14:paraId="4D6AD8EB" w14:textId="77777777" w:rsidR="00524E8F" w:rsidRPr="007416C0" w:rsidRDefault="00524E8F" w:rsidP="007416C0">
            <w:pPr>
              <w:pStyle w:val="TableText"/>
              <w:keepNext w:val="0"/>
              <w:widowControl w:val="0"/>
              <w:rPr>
                <w:szCs w:val="18"/>
              </w:rPr>
            </w:pPr>
            <w:r w:rsidRPr="007416C0">
              <w:rPr>
                <w:szCs w:val="18"/>
              </w:rPr>
              <w:t>RCT (multicentre)</w:t>
            </w:r>
          </w:p>
        </w:tc>
        <w:tc>
          <w:tcPr>
            <w:tcW w:w="1417" w:type="dxa"/>
            <w:tcMar>
              <w:left w:w="28" w:type="dxa"/>
              <w:right w:w="28" w:type="dxa"/>
            </w:tcMar>
          </w:tcPr>
          <w:p w14:paraId="1710889D" w14:textId="77777777" w:rsidR="00524E8F" w:rsidRPr="007416C0" w:rsidRDefault="00524E8F" w:rsidP="007416C0">
            <w:pPr>
              <w:pStyle w:val="TableText"/>
              <w:keepNext w:val="0"/>
              <w:widowControl w:val="0"/>
              <w:rPr>
                <w:szCs w:val="18"/>
              </w:rPr>
            </w:pPr>
            <w:r w:rsidRPr="007416C0">
              <w:rPr>
                <w:szCs w:val="18"/>
              </w:rPr>
              <w:t>Efficacy and safety</w:t>
            </w:r>
          </w:p>
        </w:tc>
      </w:tr>
      <w:tr w:rsidR="00524E8F" w:rsidRPr="007416C0" w14:paraId="57A09D7C" w14:textId="77777777" w:rsidTr="003F17D5">
        <w:trPr>
          <w:trHeight w:val="228"/>
        </w:trPr>
        <w:tc>
          <w:tcPr>
            <w:tcW w:w="2380" w:type="dxa"/>
            <w:tcMar>
              <w:left w:w="28" w:type="dxa"/>
              <w:right w:w="28" w:type="dxa"/>
            </w:tcMar>
          </w:tcPr>
          <w:p w14:paraId="2233D726" w14:textId="77777777" w:rsidR="00524E8F" w:rsidRPr="007416C0" w:rsidRDefault="00524E8F" w:rsidP="007416C0">
            <w:pPr>
              <w:pStyle w:val="TableText"/>
              <w:keepNext w:val="0"/>
              <w:widowControl w:val="0"/>
              <w:rPr>
                <w:szCs w:val="18"/>
              </w:rPr>
            </w:pPr>
            <w:r w:rsidRPr="007416C0">
              <w:rPr>
                <w:szCs w:val="18"/>
              </w:rPr>
              <w:t>15 x meta-analyses 2001-2013</w:t>
            </w:r>
          </w:p>
        </w:tc>
        <w:tc>
          <w:tcPr>
            <w:tcW w:w="1873" w:type="dxa"/>
            <w:tcMar>
              <w:left w:w="28" w:type="dxa"/>
              <w:right w:w="28" w:type="dxa"/>
            </w:tcMar>
          </w:tcPr>
          <w:p w14:paraId="39D1981C" w14:textId="77777777" w:rsidR="00524E8F" w:rsidRPr="007416C0" w:rsidRDefault="00524E8F" w:rsidP="007416C0">
            <w:pPr>
              <w:pStyle w:val="TableText"/>
              <w:keepNext w:val="0"/>
              <w:widowControl w:val="0"/>
              <w:rPr>
                <w:szCs w:val="18"/>
              </w:rPr>
            </w:pPr>
            <w:r w:rsidRPr="007416C0">
              <w:rPr>
                <w:szCs w:val="18"/>
              </w:rPr>
              <w:t>rTMS vs sham</w:t>
            </w:r>
          </w:p>
        </w:tc>
        <w:tc>
          <w:tcPr>
            <w:tcW w:w="2693" w:type="dxa"/>
            <w:tcMar>
              <w:left w:w="28" w:type="dxa"/>
              <w:right w:w="28" w:type="dxa"/>
            </w:tcMar>
          </w:tcPr>
          <w:p w14:paraId="38C532B4" w14:textId="77777777" w:rsidR="00524E8F" w:rsidRPr="007416C0" w:rsidRDefault="00524E8F" w:rsidP="007416C0">
            <w:pPr>
              <w:pStyle w:val="TableText"/>
              <w:keepNext w:val="0"/>
              <w:widowControl w:val="0"/>
              <w:rPr>
                <w:szCs w:val="18"/>
              </w:rPr>
            </w:pPr>
            <w:r w:rsidRPr="007416C0">
              <w:rPr>
                <w:szCs w:val="18"/>
              </w:rPr>
              <w:t xml:space="preserve">Meta-analysis </w:t>
            </w:r>
          </w:p>
        </w:tc>
        <w:tc>
          <w:tcPr>
            <w:tcW w:w="1417" w:type="dxa"/>
            <w:tcMar>
              <w:left w:w="28" w:type="dxa"/>
              <w:right w:w="28" w:type="dxa"/>
            </w:tcMar>
          </w:tcPr>
          <w:p w14:paraId="0036F6A4" w14:textId="77777777" w:rsidR="00524E8F" w:rsidRPr="007416C0" w:rsidRDefault="00524E8F" w:rsidP="007416C0">
            <w:pPr>
              <w:pStyle w:val="TableText"/>
              <w:keepNext w:val="0"/>
              <w:widowControl w:val="0"/>
              <w:rPr>
                <w:szCs w:val="18"/>
              </w:rPr>
            </w:pPr>
            <w:r w:rsidRPr="007416C0">
              <w:rPr>
                <w:szCs w:val="18"/>
              </w:rPr>
              <w:t>Efficacy</w:t>
            </w:r>
          </w:p>
        </w:tc>
      </w:tr>
      <w:tr w:rsidR="00524E8F" w:rsidRPr="007416C0" w14:paraId="1CB2CC80" w14:textId="77777777" w:rsidTr="003F17D5">
        <w:trPr>
          <w:trHeight w:val="228"/>
        </w:trPr>
        <w:tc>
          <w:tcPr>
            <w:tcW w:w="2380" w:type="dxa"/>
            <w:tcMar>
              <w:left w:w="28" w:type="dxa"/>
              <w:right w:w="28" w:type="dxa"/>
            </w:tcMar>
          </w:tcPr>
          <w:p w14:paraId="47C688D2" w14:textId="77777777" w:rsidR="00524E8F" w:rsidRPr="007416C0" w:rsidRDefault="00524E8F" w:rsidP="007416C0">
            <w:pPr>
              <w:pStyle w:val="TableText"/>
              <w:keepNext w:val="0"/>
              <w:widowControl w:val="0"/>
              <w:rPr>
                <w:szCs w:val="18"/>
              </w:rPr>
            </w:pPr>
            <w:r w:rsidRPr="007416C0">
              <w:rPr>
                <w:szCs w:val="18"/>
              </w:rPr>
              <w:t>Avery 2008, Demitrack 2009</w:t>
            </w:r>
          </w:p>
        </w:tc>
        <w:tc>
          <w:tcPr>
            <w:tcW w:w="1873" w:type="dxa"/>
            <w:tcMar>
              <w:left w:w="28" w:type="dxa"/>
              <w:right w:w="28" w:type="dxa"/>
            </w:tcMar>
          </w:tcPr>
          <w:p w14:paraId="267BC24C" w14:textId="77777777" w:rsidR="00524E8F" w:rsidRPr="007416C0" w:rsidRDefault="00524E8F" w:rsidP="007416C0">
            <w:pPr>
              <w:pStyle w:val="TableText"/>
              <w:keepNext w:val="0"/>
              <w:widowControl w:val="0"/>
              <w:rPr>
                <w:szCs w:val="18"/>
              </w:rPr>
            </w:pPr>
            <w:r w:rsidRPr="007416C0">
              <w:rPr>
                <w:szCs w:val="18"/>
              </w:rPr>
              <w:t>rTMS vs sham</w:t>
            </w:r>
          </w:p>
        </w:tc>
        <w:tc>
          <w:tcPr>
            <w:tcW w:w="2693" w:type="dxa"/>
            <w:tcMar>
              <w:left w:w="28" w:type="dxa"/>
              <w:right w:w="28" w:type="dxa"/>
            </w:tcMar>
          </w:tcPr>
          <w:p w14:paraId="74D9A790" w14:textId="77777777" w:rsidR="00524E8F" w:rsidRPr="007416C0" w:rsidRDefault="00524E8F" w:rsidP="007416C0">
            <w:pPr>
              <w:pStyle w:val="TableText"/>
              <w:keepNext w:val="0"/>
              <w:widowControl w:val="0"/>
              <w:rPr>
                <w:szCs w:val="18"/>
              </w:rPr>
            </w:pPr>
            <w:r w:rsidRPr="007416C0">
              <w:rPr>
                <w:szCs w:val="18"/>
              </w:rPr>
              <w:t>Open label (multicentre)</w:t>
            </w:r>
          </w:p>
        </w:tc>
        <w:tc>
          <w:tcPr>
            <w:tcW w:w="1417" w:type="dxa"/>
            <w:tcMar>
              <w:left w:w="28" w:type="dxa"/>
              <w:right w:w="28" w:type="dxa"/>
            </w:tcMar>
          </w:tcPr>
          <w:p w14:paraId="5CFE23DD" w14:textId="77777777" w:rsidR="00524E8F" w:rsidRPr="007416C0" w:rsidRDefault="00524E8F" w:rsidP="007416C0">
            <w:pPr>
              <w:pStyle w:val="TableText"/>
              <w:keepNext w:val="0"/>
              <w:widowControl w:val="0"/>
              <w:rPr>
                <w:szCs w:val="18"/>
              </w:rPr>
            </w:pPr>
            <w:r w:rsidRPr="007416C0">
              <w:rPr>
                <w:szCs w:val="18"/>
              </w:rPr>
              <w:t>Efficacy</w:t>
            </w:r>
          </w:p>
        </w:tc>
      </w:tr>
      <w:tr w:rsidR="00524E8F" w:rsidRPr="007416C0" w14:paraId="2BBA08F5" w14:textId="77777777" w:rsidTr="003F17D5">
        <w:trPr>
          <w:trHeight w:val="239"/>
        </w:trPr>
        <w:tc>
          <w:tcPr>
            <w:tcW w:w="2380" w:type="dxa"/>
            <w:tcMar>
              <w:left w:w="28" w:type="dxa"/>
              <w:right w:w="28" w:type="dxa"/>
            </w:tcMar>
          </w:tcPr>
          <w:p w14:paraId="125BFD9B" w14:textId="77777777" w:rsidR="00524E8F" w:rsidRPr="007416C0" w:rsidRDefault="00524E8F" w:rsidP="007416C0">
            <w:pPr>
              <w:pStyle w:val="TableText"/>
              <w:keepNext w:val="0"/>
              <w:widowControl w:val="0"/>
              <w:rPr>
                <w:szCs w:val="18"/>
              </w:rPr>
            </w:pPr>
            <w:r w:rsidRPr="007416C0">
              <w:rPr>
                <w:szCs w:val="18"/>
              </w:rPr>
              <w:t>OPT-TMS (McDonald 2011)</w:t>
            </w:r>
          </w:p>
        </w:tc>
        <w:tc>
          <w:tcPr>
            <w:tcW w:w="1873" w:type="dxa"/>
            <w:tcMar>
              <w:left w:w="28" w:type="dxa"/>
              <w:right w:w="28" w:type="dxa"/>
            </w:tcMar>
          </w:tcPr>
          <w:p w14:paraId="6E1CD223" w14:textId="77777777" w:rsidR="00524E8F" w:rsidRPr="007416C0" w:rsidRDefault="00524E8F" w:rsidP="007416C0">
            <w:pPr>
              <w:pStyle w:val="TableText"/>
              <w:keepNext w:val="0"/>
              <w:widowControl w:val="0"/>
              <w:rPr>
                <w:szCs w:val="18"/>
              </w:rPr>
            </w:pPr>
            <w:r w:rsidRPr="007416C0">
              <w:rPr>
                <w:szCs w:val="18"/>
              </w:rPr>
              <w:t>rTMS vs sham</w:t>
            </w:r>
          </w:p>
        </w:tc>
        <w:tc>
          <w:tcPr>
            <w:tcW w:w="2693" w:type="dxa"/>
            <w:tcMar>
              <w:left w:w="28" w:type="dxa"/>
              <w:right w:w="28" w:type="dxa"/>
            </w:tcMar>
          </w:tcPr>
          <w:p w14:paraId="62B676B5" w14:textId="77777777" w:rsidR="00524E8F" w:rsidRPr="007416C0" w:rsidRDefault="00524E8F" w:rsidP="007416C0">
            <w:pPr>
              <w:pStyle w:val="TableText"/>
              <w:keepNext w:val="0"/>
              <w:widowControl w:val="0"/>
              <w:rPr>
                <w:szCs w:val="18"/>
              </w:rPr>
            </w:pPr>
            <w:r w:rsidRPr="007416C0">
              <w:rPr>
                <w:szCs w:val="18"/>
              </w:rPr>
              <w:t>Open label (multicentre)</w:t>
            </w:r>
          </w:p>
        </w:tc>
        <w:tc>
          <w:tcPr>
            <w:tcW w:w="1417" w:type="dxa"/>
            <w:tcMar>
              <w:left w:w="28" w:type="dxa"/>
              <w:right w:w="28" w:type="dxa"/>
            </w:tcMar>
          </w:tcPr>
          <w:p w14:paraId="0CF4F079" w14:textId="77777777" w:rsidR="00524E8F" w:rsidRPr="007416C0" w:rsidRDefault="00524E8F" w:rsidP="007416C0">
            <w:pPr>
              <w:pStyle w:val="TableText"/>
              <w:keepNext w:val="0"/>
              <w:widowControl w:val="0"/>
              <w:rPr>
                <w:szCs w:val="18"/>
              </w:rPr>
            </w:pPr>
            <w:r w:rsidRPr="007416C0">
              <w:rPr>
                <w:szCs w:val="18"/>
              </w:rPr>
              <w:t>Efficacy</w:t>
            </w:r>
          </w:p>
        </w:tc>
      </w:tr>
      <w:tr w:rsidR="00524E8F" w:rsidRPr="007416C0" w14:paraId="1FCBA93E" w14:textId="77777777" w:rsidTr="003F17D5">
        <w:trPr>
          <w:trHeight w:val="228"/>
        </w:trPr>
        <w:tc>
          <w:tcPr>
            <w:tcW w:w="2380" w:type="dxa"/>
            <w:tcMar>
              <w:left w:w="28" w:type="dxa"/>
              <w:right w:w="28" w:type="dxa"/>
            </w:tcMar>
          </w:tcPr>
          <w:p w14:paraId="1AF65EEC" w14:textId="77777777" w:rsidR="00524E8F" w:rsidRPr="007416C0" w:rsidRDefault="00524E8F" w:rsidP="007416C0">
            <w:pPr>
              <w:pStyle w:val="TableText"/>
              <w:keepNext w:val="0"/>
              <w:widowControl w:val="0"/>
              <w:rPr>
                <w:szCs w:val="18"/>
              </w:rPr>
            </w:pPr>
            <w:r w:rsidRPr="007416C0">
              <w:rPr>
                <w:szCs w:val="18"/>
              </w:rPr>
              <w:t>Carpenter 2012, Janicak (2013)</w:t>
            </w:r>
          </w:p>
        </w:tc>
        <w:tc>
          <w:tcPr>
            <w:tcW w:w="1873" w:type="dxa"/>
            <w:tcMar>
              <w:left w:w="28" w:type="dxa"/>
              <w:right w:w="28" w:type="dxa"/>
            </w:tcMar>
          </w:tcPr>
          <w:p w14:paraId="78A434E2" w14:textId="77777777" w:rsidR="00524E8F" w:rsidRPr="007416C0" w:rsidRDefault="00524E8F" w:rsidP="007416C0">
            <w:pPr>
              <w:pStyle w:val="TableText"/>
              <w:keepNext w:val="0"/>
              <w:widowControl w:val="0"/>
              <w:rPr>
                <w:szCs w:val="18"/>
              </w:rPr>
            </w:pPr>
            <w:r w:rsidRPr="007416C0">
              <w:rPr>
                <w:szCs w:val="18"/>
              </w:rPr>
              <w:t>rTMS vs sham</w:t>
            </w:r>
          </w:p>
        </w:tc>
        <w:tc>
          <w:tcPr>
            <w:tcW w:w="2693" w:type="dxa"/>
            <w:tcMar>
              <w:left w:w="28" w:type="dxa"/>
              <w:right w:w="28" w:type="dxa"/>
            </w:tcMar>
          </w:tcPr>
          <w:p w14:paraId="4E8DC84C" w14:textId="77777777" w:rsidR="00524E8F" w:rsidRPr="007416C0" w:rsidRDefault="00524E8F" w:rsidP="007416C0">
            <w:pPr>
              <w:pStyle w:val="TableText"/>
              <w:keepNext w:val="0"/>
              <w:widowControl w:val="0"/>
              <w:rPr>
                <w:szCs w:val="18"/>
              </w:rPr>
            </w:pPr>
            <w:r w:rsidRPr="007416C0">
              <w:rPr>
                <w:szCs w:val="18"/>
              </w:rPr>
              <w:t>Observational, naturalistic</w:t>
            </w:r>
          </w:p>
        </w:tc>
        <w:tc>
          <w:tcPr>
            <w:tcW w:w="1417" w:type="dxa"/>
            <w:tcMar>
              <w:left w:w="28" w:type="dxa"/>
              <w:right w:w="28" w:type="dxa"/>
            </w:tcMar>
          </w:tcPr>
          <w:p w14:paraId="3049F1BD" w14:textId="77777777" w:rsidR="00524E8F" w:rsidRPr="007416C0" w:rsidRDefault="00524E8F" w:rsidP="007416C0">
            <w:pPr>
              <w:pStyle w:val="TableText"/>
              <w:keepNext w:val="0"/>
              <w:widowControl w:val="0"/>
              <w:rPr>
                <w:szCs w:val="18"/>
              </w:rPr>
            </w:pPr>
            <w:r w:rsidRPr="007416C0">
              <w:rPr>
                <w:szCs w:val="18"/>
              </w:rPr>
              <w:t>Efficacy</w:t>
            </w:r>
          </w:p>
        </w:tc>
      </w:tr>
      <w:tr w:rsidR="00524E8F" w:rsidRPr="007416C0" w14:paraId="1F81F9CF" w14:textId="77777777" w:rsidTr="003F17D5">
        <w:trPr>
          <w:trHeight w:val="228"/>
        </w:trPr>
        <w:tc>
          <w:tcPr>
            <w:tcW w:w="2380" w:type="dxa"/>
            <w:tcMar>
              <w:left w:w="28" w:type="dxa"/>
              <w:right w:w="28" w:type="dxa"/>
            </w:tcMar>
          </w:tcPr>
          <w:p w14:paraId="6328713C" w14:textId="77777777" w:rsidR="00524E8F" w:rsidRPr="007416C0" w:rsidRDefault="00524E8F" w:rsidP="007416C0">
            <w:pPr>
              <w:pStyle w:val="TableText"/>
              <w:keepNext w:val="0"/>
              <w:widowControl w:val="0"/>
              <w:rPr>
                <w:szCs w:val="18"/>
              </w:rPr>
            </w:pPr>
            <w:r w:rsidRPr="007416C0">
              <w:rPr>
                <w:szCs w:val="18"/>
              </w:rPr>
              <w:t>Mantovani 2012</w:t>
            </w:r>
          </w:p>
        </w:tc>
        <w:tc>
          <w:tcPr>
            <w:tcW w:w="1873" w:type="dxa"/>
            <w:tcMar>
              <w:left w:w="28" w:type="dxa"/>
              <w:right w:w="28" w:type="dxa"/>
            </w:tcMar>
          </w:tcPr>
          <w:p w14:paraId="218CF01A" w14:textId="77777777" w:rsidR="00524E8F" w:rsidRPr="007416C0" w:rsidRDefault="00524E8F" w:rsidP="007416C0">
            <w:pPr>
              <w:pStyle w:val="TableText"/>
              <w:keepNext w:val="0"/>
              <w:widowControl w:val="0"/>
              <w:rPr>
                <w:szCs w:val="18"/>
              </w:rPr>
            </w:pPr>
            <w:r w:rsidRPr="007416C0">
              <w:rPr>
                <w:szCs w:val="18"/>
              </w:rPr>
              <w:t>rTMS vs sham (long term)</w:t>
            </w:r>
          </w:p>
        </w:tc>
        <w:tc>
          <w:tcPr>
            <w:tcW w:w="2693" w:type="dxa"/>
            <w:tcMar>
              <w:left w:w="28" w:type="dxa"/>
              <w:right w:w="28" w:type="dxa"/>
            </w:tcMar>
          </w:tcPr>
          <w:p w14:paraId="36E3DF1A" w14:textId="77777777" w:rsidR="00524E8F" w:rsidRPr="007416C0" w:rsidRDefault="00524E8F" w:rsidP="007416C0">
            <w:pPr>
              <w:pStyle w:val="TableText"/>
              <w:keepNext w:val="0"/>
              <w:widowControl w:val="0"/>
              <w:rPr>
                <w:szCs w:val="18"/>
              </w:rPr>
            </w:pPr>
            <w:r w:rsidRPr="007416C0">
              <w:rPr>
                <w:szCs w:val="18"/>
              </w:rPr>
              <w:t>Open label (multicentre)</w:t>
            </w:r>
          </w:p>
        </w:tc>
        <w:tc>
          <w:tcPr>
            <w:tcW w:w="1417" w:type="dxa"/>
            <w:tcMar>
              <w:left w:w="28" w:type="dxa"/>
              <w:right w:w="28" w:type="dxa"/>
            </w:tcMar>
          </w:tcPr>
          <w:p w14:paraId="5EF2B120" w14:textId="77777777" w:rsidR="00524E8F" w:rsidRPr="007416C0" w:rsidRDefault="00524E8F" w:rsidP="007416C0">
            <w:pPr>
              <w:pStyle w:val="TableText"/>
              <w:keepNext w:val="0"/>
              <w:widowControl w:val="0"/>
              <w:rPr>
                <w:szCs w:val="18"/>
              </w:rPr>
            </w:pPr>
            <w:r w:rsidRPr="007416C0">
              <w:rPr>
                <w:szCs w:val="18"/>
              </w:rPr>
              <w:t>Efficacy</w:t>
            </w:r>
          </w:p>
        </w:tc>
      </w:tr>
      <w:tr w:rsidR="00524E8F" w:rsidRPr="007416C0" w14:paraId="31C62DBF" w14:textId="77777777" w:rsidTr="003F17D5">
        <w:trPr>
          <w:trHeight w:val="239"/>
        </w:trPr>
        <w:tc>
          <w:tcPr>
            <w:tcW w:w="2380" w:type="dxa"/>
            <w:tcMar>
              <w:left w:w="28" w:type="dxa"/>
              <w:right w:w="28" w:type="dxa"/>
            </w:tcMar>
          </w:tcPr>
          <w:p w14:paraId="5859443A" w14:textId="77777777" w:rsidR="00524E8F" w:rsidRPr="007416C0" w:rsidRDefault="00524E8F" w:rsidP="007416C0">
            <w:pPr>
              <w:pStyle w:val="TableText"/>
              <w:keepNext w:val="0"/>
              <w:widowControl w:val="0"/>
              <w:rPr>
                <w:szCs w:val="18"/>
              </w:rPr>
            </w:pPr>
            <w:r w:rsidRPr="007416C0">
              <w:rPr>
                <w:szCs w:val="18"/>
              </w:rPr>
              <w:t>Janicak 2010</w:t>
            </w:r>
          </w:p>
        </w:tc>
        <w:tc>
          <w:tcPr>
            <w:tcW w:w="1873" w:type="dxa"/>
            <w:tcMar>
              <w:left w:w="28" w:type="dxa"/>
              <w:right w:w="28" w:type="dxa"/>
            </w:tcMar>
          </w:tcPr>
          <w:p w14:paraId="739B5097" w14:textId="77777777" w:rsidR="00524E8F" w:rsidRPr="007416C0" w:rsidRDefault="00524E8F" w:rsidP="007416C0">
            <w:pPr>
              <w:pStyle w:val="TableText"/>
              <w:keepNext w:val="0"/>
              <w:widowControl w:val="0"/>
              <w:rPr>
                <w:szCs w:val="18"/>
              </w:rPr>
            </w:pPr>
            <w:r w:rsidRPr="007416C0">
              <w:rPr>
                <w:szCs w:val="18"/>
              </w:rPr>
              <w:t>rTMS vs sham (long term)</w:t>
            </w:r>
          </w:p>
        </w:tc>
        <w:tc>
          <w:tcPr>
            <w:tcW w:w="2693" w:type="dxa"/>
            <w:tcMar>
              <w:left w:w="28" w:type="dxa"/>
              <w:right w:w="28" w:type="dxa"/>
            </w:tcMar>
          </w:tcPr>
          <w:p w14:paraId="286FA3CC" w14:textId="77777777" w:rsidR="00524E8F" w:rsidRPr="007416C0" w:rsidRDefault="00524E8F" w:rsidP="007416C0">
            <w:pPr>
              <w:pStyle w:val="TableText"/>
              <w:keepNext w:val="0"/>
              <w:widowControl w:val="0"/>
              <w:rPr>
                <w:szCs w:val="18"/>
              </w:rPr>
            </w:pPr>
            <w:r w:rsidRPr="007416C0">
              <w:rPr>
                <w:szCs w:val="18"/>
              </w:rPr>
              <w:t>Open label (multicentre)</w:t>
            </w:r>
          </w:p>
        </w:tc>
        <w:tc>
          <w:tcPr>
            <w:tcW w:w="1417" w:type="dxa"/>
            <w:tcMar>
              <w:left w:w="28" w:type="dxa"/>
              <w:right w:w="28" w:type="dxa"/>
            </w:tcMar>
          </w:tcPr>
          <w:p w14:paraId="5DEB9529" w14:textId="77777777" w:rsidR="00524E8F" w:rsidRPr="007416C0" w:rsidRDefault="00524E8F" w:rsidP="007416C0">
            <w:pPr>
              <w:pStyle w:val="TableText"/>
              <w:keepNext w:val="0"/>
              <w:widowControl w:val="0"/>
              <w:rPr>
                <w:szCs w:val="18"/>
              </w:rPr>
            </w:pPr>
            <w:r w:rsidRPr="007416C0">
              <w:rPr>
                <w:szCs w:val="18"/>
              </w:rPr>
              <w:t>Efficacy</w:t>
            </w:r>
          </w:p>
        </w:tc>
      </w:tr>
      <w:tr w:rsidR="00524E8F" w:rsidRPr="007416C0" w14:paraId="219045B5" w14:textId="77777777" w:rsidTr="003F17D5">
        <w:trPr>
          <w:trHeight w:val="228"/>
        </w:trPr>
        <w:tc>
          <w:tcPr>
            <w:tcW w:w="2380" w:type="dxa"/>
            <w:tcMar>
              <w:left w:w="28" w:type="dxa"/>
              <w:right w:w="28" w:type="dxa"/>
            </w:tcMar>
          </w:tcPr>
          <w:p w14:paraId="1AD5C8CA" w14:textId="77777777" w:rsidR="00524E8F" w:rsidRPr="007416C0" w:rsidRDefault="00524E8F" w:rsidP="007416C0">
            <w:pPr>
              <w:pStyle w:val="TableText"/>
              <w:keepNext w:val="0"/>
              <w:widowControl w:val="0"/>
              <w:rPr>
                <w:szCs w:val="18"/>
              </w:rPr>
            </w:pPr>
            <w:r w:rsidRPr="007416C0">
              <w:rPr>
                <w:szCs w:val="18"/>
              </w:rPr>
              <w:t>Neuronetics 2013 (data on file)</w:t>
            </w:r>
          </w:p>
        </w:tc>
        <w:tc>
          <w:tcPr>
            <w:tcW w:w="1873" w:type="dxa"/>
            <w:tcMar>
              <w:left w:w="28" w:type="dxa"/>
              <w:right w:w="28" w:type="dxa"/>
            </w:tcMar>
          </w:tcPr>
          <w:p w14:paraId="16849D0A" w14:textId="77777777" w:rsidR="00524E8F" w:rsidRPr="007416C0" w:rsidRDefault="00524E8F" w:rsidP="007416C0">
            <w:pPr>
              <w:pStyle w:val="TableText"/>
              <w:keepNext w:val="0"/>
              <w:widowControl w:val="0"/>
              <w:rPr>
                <w:szCs w:val="18"/>
              </w:rPr>
            </w:pPr>
            <w:r w:rsidRPr="007416C0">
              <w:rPr>
                <w:szCs w:val="18"/>
              </w:rPr>
              <w:t>rTMS vs sham (long term)</w:t>
            </w:r>
          </w:p>
        </w:tc>
        <w:tc>
          <w:tcPr>
            <w:tcW w:w="2693" w:type="dxa"/>
            <w:tcMar>
              <w:left w:w="28" w:type="dxa"/>
              <w:right w:w="28" w:type="dxa"/>
            </w:tcMar>
          </w:tcPr>
          <w:p w14:paraId="78895030" w14:textId="77777777" w:rsidR="00524E8F" w:rsidRPr="007416C0" w:rsidRDefault="00524E8F" w:rsidP="007416C0">
            <w:pPr>
              <w:pStyle w:val="TableText"/>
              <w:keepNext w:val="0"/>
              <w:widowControl w:val="0"/>
              <w:rPr>
                <w:szCs w:val="18"/>
              </w:rPr>
            </w:pPr>
            <w:r w:rsidRPr="007416C0">
              <w:rPr>
                <w:szCs w:val="18"/>
              </w:rPr>
              <w:t>Observational, naturalistic</w:t>
            </w:r>
          </w:p>
        </w:tc>
        <w:tc>
          <w:tcPr>
            <w:tcW w:w="1417" w:type="dxa"/>
            <w:tcMar>
              <w:left w:w="28" w:type="dxa"/>
              <w:right w:w="28" w:type="dxa"/>
            </w:tcMar>
          </w:tcPr>
          <w:p w14:paraId="46D62D2F" w14:textId="77777777" w:rsidR="00524E8F" w:rsidRPr="007416C0" w:rsidRDefault="00524E8F" w:rsidP="007416C0">
            <w:pPr>
              <w:pStyle w:val="TableText"/>
              <w:keepNext w:val="0"/>
              <w:widowControl w:val="0"/>
              <w:rPr>
                <w:szCs w:val="18"/>
              </w:rPr>
            </w:pPr>
            <w:r w:rsidRPr="007416C0">
              <w:rPr>
                <w:szCs w:val="18"/>
              </w:rPr>
              <w:t>Efficacy</w:t>
            </w:r>
          </w:p>
        </w:tc>
      </w:tr>
      <w:tr w:rsidR="00524E8F" w:rsidRPr="007416C0" w14:paraId="45F44CE8" w14:textId="77777777" w:rsidTr="003F17D5">
        <w:trPr>
          <w:trHeight w:val="228"/>
        </w:trPr>
        <w:tc>
          <w:tcPr>
            <w:tcW w:w="2380" w:type="dxa"/>
            <w:tcMar>
              <w:left w:w="28" w:type="dxa"/>
              <w:right w:w="28" w:type="dxa"/>
            </w:tcMar>
          </w:tcPr>
          <w:p w14:paraId="36CEFE3B" w14:textId="77777777" w:rsidR="00524E8F" w:rsidRPr="007416C0" w:rsidRDefault="00524E8F" w:rsidP="007416C0">
            <w:pPr>
              <w:pStyle w:val="TableText"/>
              <w:keepNext w:val="0"/>
              <w:widowControl w:val="0"/>
              <w:rPr>
                <w:szCs w:val="18"/>
              </w:rPr>
            </w:pPr>
            <w:r w:rsidRPr="007416C0">
              <w:rPr>
                <w:szCs w:val="18"/>
              </w:rPr>
              <w:t>STAR*D</w:t>
            </w:r>
          </w:p>
        </w:tc>
        <w:tc>
          <w:tcPr>
            <w:tcW w:w="1873" w:type="dxa"/>
            <w:tcMar>
              <w:left w:w="28" w:type="dxa"/>
              <w:right w:w="28" w:type="dxa"/>
            </w:tcMar>
          </w:tcPr>
          <w:p w14:paraId="3DFBF03B" w14:textId="77777777" w:rsidR="00524E8F" w:rsidRPr="007416C0" w:rsidRDefault="00524E8F" w:rsidP="007416C0">
            <w:pPr>
              <w:pStyle w:val="TableText"/>
              <w:keepNext w:val="0"/>
              <w:widowControl w:val="0"/>
              <w:rPr>
                <w:szCs w:val="18"/>
              </w:rPr>
            </w:pPr>
            <w:r w:rsidRPr="007416C0">
              <w:rPr>
                <w:szCs w:val="18"/>
              </w:rPr>
              <w:t>Antidepressant vs placebo</w:t>
            </w:r>
          </w:p>
        </w:tc>
        <w:tc>
          <w:tcPr>
            <w:tcW w:w="2693" w:type="dxa"/>
            <w:tcMar>
              <w:left w:w="28" w:type="dxa"/>
              <w:right w:w="28" w:type="dxa"/>
            </w:tcMar>
          </w:tcPr>
          <w:p w14:paraId="053BD643" w14:textId="77777777" w:rsidR="00524E8F" w:rsidRPr="007416C0" w:rsidRDefault="00524E8F" w:rsidP="007416C0">
            <w:pPr>
              <w:pStyle w:val="TableText"/>
              <w:keepNext w:val="0"/>
              <w:widowControl w:val="0"/>
              <w:rPr>
                <w:szCs w:val="18"/>
              </w:rPr>
            </w:pPr>
            <w:r w:rsidRPr="007416C0">
              <w:rPr>
                <w:szCs w:val="18"/>
              </w:rPr>
              <w:t>RCT</w:t>
            </w:r>
          </w:p>
        </w:tc>
        <w:tc>
          <w:tcPr>
            <w:tcW w:w="1417" w:type="dxa"/>
            <w:tcMar>
              <w:left w:w="28" w:type="dxa"/>
              <w:right w:w="28" w:type="dxa"/>
            </w:tcMar>
          </w:tcPr>
          <w:p w14:paraId="63977F1C" w14:textId="77777777" w:rsidR="00524E8F" w:rsidRPr="007416C0" w:rsidRDefault="00524E8F" w:rsidP="007416C0">
            <w:pPr>
              <w:pStyle w:val="TableText"/>
              <w:keepNext w:val="0"/>
              <w:widowControl w:val="0"/>
              <w:rPr>
                <w:szCs w:val="18"/>
              </w:rPr>
            </w:pPr>
            <w:r w:rsidRPr="007416C0">
              <w:rPr>
                <w:szCs w:val="18"/>
              </w:rPr>
              <w:t>Efficacy</w:t>
            </w:r>
          </w:p>
        </w:tc>
      </w:tr>
      <w:tr w:rsidR="00524E8F" w:rsidRPr="007416C0" w14:paraId="015DF675" w14:textId="77777777" w:rsidTr="003F17D5">
        <w:trPr>
          <w:trHeight w:val="478"/>
        </w:trPr>
        <w:tc>
          <w:tcPr>
            <w:tcW w:w="2380" w:type="dxa"/>
            <w:tcMar>
              <w:left w:w="28" w:type="dxa"/>
              <w:right w:w="28" w:type="dxa"/>
            </w:tcMar>
          </w:tcPr>
          <w:p w14:paraId="48374429" w14:textId="77777777" w:rsidR="00524E8F" w:rsidRPr="007416C0" w:rsidRDefault="00524E8F" w:rsidP="007416C0">
            <w:pPr>
              <w:pStyle w:val="TableText"/>
              <w:keepNext w:val="0"/>
              <w:widowControl w:val="0"/>
              <w:spacing w:after="0"/>
              <w:rPr>
                <w:szCs w:val="18"/>
              </w:rPr>
            </w:pPr>
            <w:r w:rsidRPr="007416C0">
              <w:rPr>
                <w:szCs w:val="18"/>
              </w:rPr>
              <w:t>Bonneh-Barkay 2014</w:t>
            </w:r>
          </w:p>
        </w:tc>
        <w:tc>
          <w:tcPr>
            <w:tcW w:w="1873" w:type="dxa"/>
            <w:tcMar>
              <w:left w:w="28" w:type="dxa"/>
              <w:right w:w="28" w:type="dxa"/>
            </w:tcMar>
          </w:tcPr>
          <w:p w14:paraId="0B3EB79C" w14:textId="77777777" w:rsidR="00524E8F" w:rsidRPr="007416C0" w:rsidRDefault="00524E8F" w:rsidP="007416C0">
            <w:pPr>
              <w:pStyle w:val="TableText"/>
              <w:keepNext w:val="0"/>
              <w:widowControl w:val="0"/>
              <w:spacing w:after="0"/>
              <w:rPr>
                <w:szCs w:val="18"/>
              </w:rPr>
            </w:pPr>
            <w:r w:rsidRPr="007416C0">
              <w:rPr>
                <w:szCs w:val="18"/>
              </w:rPr>
              <w:t>rTMS vs sham</w:t>
            </w:r>
          </w:p>
        </w:tc>
        <w:tc>
          <w:tcPr>
            <w:tcW w:w="2693" w:type="dxa"/>
            <w:tcMar>
              <w:left w:w="28" w:type="dxa"/>
              <w:right w:w="28" w:type="dxa"/>
            </w:tcMar>
          </w:tcPr>
          <w:p w14:paraId="00167F91" w14:textId="77777777" w:rsidR="00524E8F" w:rsidRPr="007416C0" w:rsidRDefault="00524E8F" w:rsidP="007416C0">
            <w:pPr>
              <w:pStyle w:val="TableText"/>
              <w:keepNext w:val="0"/>
              <w:widowControl w:val="0"/>
              <w:spacing w:after="0"/>
              <w:rPr>
                <w:szCs w:val="18"/>
              </w:rPr>
            </w:pPr>
            <w:r w:rsidRPr="007416C0">
              <w:rPr>
                <w:szCs w:val="18"/>
              </w:rPr>
              <w:t>Conf abstract (pooled analysis) Open label studies</w:t>
            </w:r>
          </w:p>
        </w:tc>
        <w:tc>
          <w:tcPr>
            <w:tcW w:w="1417" w:type="dxa"/>
            <w:tcMar>
              <w:left w:w="28" w:type="dxa"/>
              <w:right w:w="28" w:type="dxa"/>
            </w:tcMar>
          </w:tcPr>
          <w:p w14:paraId="7A289160" w14:textId="77777777" w:rsidR="00524E8F" w:rsidRPr="007416C0" w:rsidRDefault="00524E8F" w:rsidP="007416C0">
            <w:pPr>
              <w:pStyle w:val="TableText"/>
              <w:keepNext w:val="0"/>
              <w:widowControl w:val="0"/>
              <w:spacing w:after="0"/>
              <w:rPr>
                <w:szCs w:val="18"/>
              </w:rPr>
            </w:pPr>
            <w:r w:rsidRPr="007416C0">
              <w:rPr>
                <w:szCs w:val="18"/>
              </w:rPr>
              <w:t>Efficacy</w:t>
            </w:r>
          </w:p>
        </w:tc>
      </w:tr>
      <w:tr w:rsidR="00524E8F" w:rsidRPr="007416C0" w14:paraId="5A70E824" w14:textId="77777777" w:rsidTr="003F17D5">
        <w:trPr>
          <w:trHeight w:val="478"/>
        </w:trPr>
        <w:tc>
          <w:tcPr>
            <w:tcW w:w="2380" w:type="dxa"/>
            <w:tcMar>
              <w:left w:w="28" w:type="dxa"/>
              <w:right w:w="28" w:type="dxa"/>
            </w:tcMar>
          </w:tcPr>
          <w:p w14:paraId="0CC49AE2" w14:textId="77777777" w:rsidR="00524E8F" w:rsidRPr="007416C0" w:rsidRDefault="00524E8F" w:rsidP="007416C0">
            <w:pPr>
              <w:pStyle w:val="TableText"/>
              <w:keepNext w:val="0"/>
              <w:widowControl w:val="0"/>
              <w:spacing w:after="0"/>
              <w:rPr>
                <w:szCs w:val="18"/>
              </w:rPr>
            </w:pPr>
            <w:r w:rsidRPr="007416C0">
              <w:rPr>
                <w:szCs w:val="18"/>
              </w:rPr>
              <w:t>Turner 2008, Shelton 2005, Corya 2006, Thase 2007, Berman 2007, Marcus 2008</w:t>
            </w:r>
          </w:p>
        </w:tc>
        <w:tc>
          <w:tcPr>
            <w:tcW w:w="1873" w:type="dxa"/>
            <w:tcMar>
              <w:left w:w="28" w:type="dxa"/>
              <w:right w:w="28" w:type="dxa"/>
            </w:tcMar>
          </w:tcPr>
          <w:p w14:paraId="6D76824D" w14:textId="77777777" w:rsidR="00524E8F" w:rsidRPr="007416C0" w:rsidRDefault="00524E8F" w:rsidP="007416C0">
            <w:pPr>
              <w:pStyle w:val="TableText"/>
              <w:keepNext w:val="0"/>
              <w:widowControl w:val="0"/>
              <w:spacing w:after="0"/>
              <w:rPr>
                <w:szCs w:val="18"/>
              </w:rPr>
            </w:pPr>
            <w:r w:rsidRPr="007416C0">
              <w:rPr>
                <w:szCs w:val="18"/>
              </w:rPr>
              <w:t>Antidepressant vs placebo</w:t>
            </w:r>
          </w:p>
        </w:tc>
        <w:tc>
          <w:tcPr>
            <w:tcW w:w="2693" w:type="dxa"/>
            <w:tcMar>
              <w:left w:w="28" w:type="dxa"/>
              <w:right w:w="28" w:type="dxa"/>
            </w:tcMar>
          </w:tcPr>
          <w:p w14:paraId="7671C422" w14:textId="77777777" w:rsidR="00524E8F" w:rsidRPr="007416C0" w:rsidRDefault="00524E8F" w:rsidP="007416C0">
            <w:pPr>
              <w:pStyle w:val="TableText"/>
              <w:keepNext w:val="0"/>
              <w:widowControl w:val="0"/>
              <w:spacing w:after="0"/>
              <w:rPr>
                <w:szCs w:val="18"/>
              </w:rPr>
            </w:pPr>
            <w:r w:rsidRPr="007416C0">
              <w:rPr>
                <w:szCs w:val="18"/>
              </w:rPr>
              <w:t>RCTs</w:t>
            </w:r>
            <w:r w:rsidRPr="007416C0">
              <w:rPr>
                <w:szCs w:val="18"/>
                <w:vertAlign w:val="superscript"/>
              </w:rPr>
              <w:t>1</w:t>
            </w:r>
            <w:r w:rsidRPr="007416C0">
              <w:rPr>
                <w:szCs w:val="18"/>
              </w:rPr>
              <w:t xml:space="preserve"> </w:t>
            </w:r>
          </w:p>
        </w:tc>
        <w:tc>
          <w:tcPr>
            <w:tcW w:w="1417" w:type="dxa"/>
            <w:tcMar>
              <w:left w:w="28" w:type="dxa"/>
              <w:right w:w="28" w:type="dxa"/>
            </w:tcMar>
          </w:tcPr>
          <w:p w14:paraId="057E5433" w14:textId="77777777" w:rsidR="00524E8F" w:rsidRPr="007416C0" w:rsidRDefault="00524E8F" w:rsidP="007416C0">
            <w:pPr>
              <w:pStyle w:val="TableText"/>
              <w:keepNext w:val="0"/>
              <w:widowControl w:val="0"/>
              <w:spacing w:after="0"/>
              <w:rPr>
                <w:szCs w:val="18"/>
              </w:rPr>
            </w:pPr>
            <w:r w:rsidRPr="007416C0">
              <w:rPr>
                <w:szCs w:val="18"/>
              </w:rPr>
              <w:t>Efficacy</w:t>
            </w:r>
          </w:p>
        </w:tc>
      </w:tr>
      <w:tr w:rsidR="00524E8F" w:rsidRPr="007416C0" w14:paraId="13CCB4C7" w14:textId="77777777" w:rsidTr="003F17D5">
        <w:trPr>
          <w:trHeight w:val="227"/>
        </w:trPr>
        <w:tc>
          <w:tcPr>
            <w:tcW w:w="2380" w:type="dxa"/>
            <w:tcMar>
              <w:left w:w="28" w:type="dxa"/>
              <w:right w:w="28" w:type="dxa"/>
            </w:tcMar>
          </w:tcPr>
          <w:p w14:paraId="38868F16" w14:textId="77777777" w:rsidR="00524E8F" w:rsidRPr="007416C0" w:rsidRDefault="00524E8F" w:rsidP="007416C0">
            <w:pPr>
              <w:pStyle w:val="TableText"/>
              <w:keepNext w:val="0"/>
              <w:widowControl w:val="0"/>
              <w:spacing w:after="0"/>
              <w:rPr>
                <w:szCs w:val="18"/>
              </w:rPr>
            </w:pPr>
            <w:r w:rsidRPr="007416C0">
              <w:rPr>
                <w:szCs w:val="18"/>
              </w:rPr>
              <w:lastRenderedPageBreak/>
              <w:t>Janicak 2007</w:t>
            </w:r>
          </w:p>
        </w:tc>
        <w:tc>
          <w:tcPr>
            <w:tcW w:w="1873" w:type="dxa"/>
            <w:tcMar>
              <w:left w:w="28" w:type="dxa"/>
              <w:right w:w="28" w:type="dxa"/>
            </w:tcMar>
          </w:tcPr>
          <w:p w14:paraId="1D2C08F3" w14:textId="77777777" w:rsidR="00524E8F" w:rsidRPr="007416C0" w:rsidRDefault="00524E8F" w:rsidP="007416C0">
            <w:pPr>
              <w:pStyle w:val="TableText"/>
              <w:keepNext w:val="0"/>
              <w:widowControl w:val="0"/>
              <w:spacing w:after="0"/>
              <w:rPr>
                <w:szCs w:val="18"/>
              </w:rPr>
            </w:pPr>
            <w:r w:rsidRPr="007416C0">
              <w:rPr>
                <w:szCs w:val="18"/>
              </w:rPr>
              <w:t>rTMS vs ECT</w:t>
            </w:r>
          </w:p>
        </w:tc>
        <w:tc>
          <w:tcPr>
            <w:tcW w:w="2693" w:type="dxa"/>
            <w:tcMar>
              <w:left w:w="28" w:type="dxa"/>
              <w:right w:w="28" w:type="dxa"/>
            </w:tcMar>
          </w:tcPr>
          <w:p w14:paraId="3D601078" w14:textId="77777777" w:rsidR="00524E8F" w:rsidRPr="007416C0" w:rsidRDefault="00524E8F" w:rsidP="007416C0">
            <w:pPr>
              <w:pStyle w:val="TableText"/>
              <w:keepNext w:val="0"/>
              <w:widowControl w:val="0"/>
              <w:spacing w:after="0"/>
              <w:rPr>
                <w:szCs w:val="18"/>
              </w:rPr>
            </w:pPr>
            <w:r w:rsidRPr="007416C0">
              <w:rPr>
                <w:szCs w:val="18"/>
              </w:rPr>
              <w:t>Meta-analysis (open-label studies)</w:t>
            </w:r>
          </w:p>
        </w:tc>
        <w:tc>
          <w:tcPr>
            <w:tcW w:w="1417" w:type="dxa"/>
            <w:tcMar>
              <w:left w:w="28" w:type="dxa"/>
              <w:right w:w="28" w:type="dxa"/>
            </w:tcMar>
          </w:tcPr>
          <w:p w14:paraId="29649C4B" w14:textId="77777777" w:rsidR="00524E8F" w:rsidRPr="007416C0" w:rsidRDefault="00524E8F" w:rsidP="007416C0">
            <w:pPr>
              <w:pStyle w:val="TableText"/>
              <w:keepNext w:val="0"/>
              <w:widowControl w:val="0"/>
              <w:spacing w:after="0"/>
              <w:rPr>
                <w:szCs w:val="18"/>
              </w:rPr>
            </w:pPr>
            <w:r w:rsidRPr="007416C0">
              <w:rPr>
                <w:szCs w:val="18"/>
              </w:rPr>
              <w:t>Efficacy</w:t>
            </w:r>
          </w:p>
        </w:tc>
      </w:tr>
      <w:tr w:rsidR="00524E8F" w:rsidRPr="007416C0" w14:paraId="3BD8CD3E" w14:textId="77777777" w:rsidTr="003F17D5">
        <w:trPr>
          <w:trHeight w:val="261"/>
        </w:trPr>
        <w:tc>
          <w:tcPr>
            <w:tcW w:w="2380" w:type="dxa"/>
            <w:tcMar>
              <w:left w:w="28" w:type="dxa"/>
              <w:right w:w="28" w:type="dxa"/>
            </w:tcMar>
          </w:tcPr>
          <w:p w14:paraId="2F3FED5E" w14:textId="77777777" w:rsidR="00524E8F" w:rsidRPr="007416C0" w:rsidRDefault="00524E8F" w:rsidP="00C61A18">
            <w:pPr>
              <w:pStyle w:val="TableText"/>
              <w:spacing w:after="0"/>
              <w:rPr>
                <w:szCs w:val="18"/>
              </w:rPr>
            </w:pPr>
            <w:r w:rsidRPr="007416C0">
              <w:rPr>
                <w:szCs w:val="18"/>
              </w:rPr>
              <w:t>Berlim 2013</w:t>
            </w:r>
          </w:p>
        </w:tc>
        <w:tc>
          <w:tcPr>
            <w:tcW w:w="1873" w:type="dxa"/>
            <w:tcMar>
              <w:left w:w="28" w:type="dxa"/>
              <w:right w:w="28" w:type="dxa"/>
            </w:tcMar>
          </w:tcPr>
          <w:p w14:paraId="4281F608" w14:textId="77777777" w:rsidR="00524E8F" w:rsidRPr="007416C0" w:rsidRDefault="00524E8F" w:rsidP="00C61A18">
            <w:pPr>
              <w:pStyle w:val="TableText"/>
              <w:spacing w:after="0"/>
              <w:rPr>
                <w:szCs w:val="18"/>
              </w:rPr>
            </w:pPr>
            <w:r w:rsidRPr="007416C0">
              <w:rPr>
                <w:szCs w:val="18"/>
              </w:rPr>
              <w:t>rTMS vs ECT</w:t>
            </w:r>
          </w:p>
        </w:tc>
        <w:tc>
          <w:tcPr>
            <w:tcW w:w="2693" w:type="dxa"/>
            <w:tcMar>
              <w:left w:w="28" w:type="dxa"/>
              <w:right w:w="28" w:type="dxa"/>
            </w:tcMar>
          </w:tcPr>
          <w:p w14:paraId="0EC8644E" w14:textId="77777777" w:rsidR="00524E8F" w:rsidRPr="007416C0" w:rsidRDefault="00524E8F" w:rsidP="00C61A18">
            <w:pPr>
              <w:pStyle w:val="TableText"/>
              <w:spacing w:after="0"/>
              <w:rPr>
                <w:szCs w:val="18"/>
              </w:rPr>
            </w:pPr>
            <w:r w:rsidRPr="007416C0">
              <w:rPr>
                <w:szCs w:val="18"/>
              </w:rPr>
              <w:t>Meta-analysis (open-label studies)</w:t>
            </w:r>
          </w:p>
        </w:tc>
        <w:tc>
          <w:tcPr>
            <w:tcW w:w="1417" w:type="dxa"/>
            <w:tcMar>
              <w:left w:w="28" w:type="dxa"/>
              <w:right w:w="28" w:type="dxa"/>
            </w:tcMar>
          </w:tcPr>
          <w:p w14:paraId="38BCBE2E" w14:textId="77777777" w:rsidR="00524E8F" w:rsidRPr="007416C0" w:rsidRDefault="00524E8F" w:rsidP="00C61A18">
            <w:pPr>
              <w:pStyle w:val="TableText"/>
              <w:spacing w:after="0"/>
              <w:rPr>
                <w:szCs w:val="18"/>
              </w:rPr>
            </w:pPr>
            <w:r w:rsidRPr="007416C0">
              <w:rPr>
                <w:szCs w:val="18"/>
              </w:rPr>
              <w:t>Efficacy</w:t>
            </w:r>
          </w:p>
        </w:tc>
      </w:tr>
    </w:tbl>
    <w:p w14:paraId="074697E5" w14:textId="77777777" w:rsidR="006C4C2A" w:rsidRDefault="007416C0" w:rsidP="00C61A18">
      <w:pPr>
        <w:pStyle w:val="TableText"/>
        <w:ind w:left="153" w:firstLine="567"/>
        <w:rPr>
          <w:szCs w:val="18"/>
        </w:rPr>
      </w:pPr>
      <w:r w:rsidRPr="007416C0">
        <w:rPr>
          <w:szCs w:val="18"/>
          <w:vertAlign w:val="superscript"/>
        </w:rPr>
        <w:t>1</w:t>
      </w:r>
      <w:r w:rsidRPr="007416C0">
        <w:rPr>
          <w:szCs w:val="18"/>
        </w:rPr>
        <w:t xml:space="preserve"> </w:t>
      </w:r>
      <w:r w:rsidR="00524E8F" w:rsidRPr="007416C0">
        <w:rPr>
          <w:szCs w:val="18"/>
        </w:rPr>
        <w:t>Used in a pooled analysis with NeuroStar TMS data in a comparison of treatment vs placebo/sham.</w:t>
      </w:r>
    </w:p>
    <w:p w14:paraId="3A3DF3E6" w14:textId="77777777" w:rsidR="00C61A18" w:rsidRPr="00C61A18" w:rsidRDefault="00C61A18" w:rsidP="00C61A18">
      <w:pPr>
        <w:pStyle w:val="TableText"/>
        <w:ind w:left="153" w:firstLine="567"/>
        <w:rPr>
          <w:szCs w:val="18"/>
        </w:rPr>
      </w:pPr>
    </w:p>
    <w:p w14:paraId="75C291DF" w14:textId="7EA70337" w:rsidR="006C4C2A" w:rsidRDefault="00E45AF4" w:rsidP="006C4C2A">
      <w:r>
        <w:t>A comparison of antidepressants and rTMS each with placebo as a common comparator is presented in Figure ES.1. This shows t</w:t>
      </w:r>
      <w:r w:rsidR="006C4C2A">
        <w:t xml:space="preserve">he </w:t>
      </w:r>
      <w:r w:rsidR="00346A9D">
        <w:t>reduction in HAMD17 score indicates</w:t>
      </w:r>
      <w:r w:rsidR="00315BF6">
        <w:t xml:space="preserve"> rTMS treatment </w:t>
      </w:r>
      <w:r w:rsidR="00FD1997">
        <w:t>is equal</w:t>
      </w:r>
      <w:r w:rsidR="00315BF6">
        <w:t xml:space="preserve"> </w:t>
      </w:r>
      <w:r w:rsidR="006C4C2A">
        <w:t xml:space="preserve">or superior to known studies reporting </w:t>
      </w:r>
      <w:r w:rsidR="00346A9D">
        <w:t>improved</w:t>
      </w:r>
      <w:r w:rsidR="006C4C2A">
        <w:t xml:space="preserve"> </w:t>
      </w:r>
      <w:r>
        <w:t>depression levels</w:t>
      </w:r>
      <w:r w:rsidR="006C4C2A">
        <w:t xml:space="preserve"> for </w:t>
      </w:r>
      <w:r w:rsidR="00354FAD">
        <w:t xml:space="preserve">common </w:t>
      </w:r>
      <w:r w:rsidR="00346A9D">
        <w:t>antidepressants</w:t>
      </w:r>
      <w:r w:rsidR="006C4C2A">
        <w:t>.</w:t>
      </w:r>
      <w:r w:rsidR="00346A9D">
        <w:t xml:space="preserve"> These studies do not involve treatment-resistant populations.</w:t>
      </w:r>
    </w:p>
    <w:p w14:paraId="4A62B1DA" w14:textId="22BEA736" w:rsidR="00346A9D" w:rsidRPr="00AB6AD4" w:rsidRDefault="00346A9D" w:rsidP="00AB6AD4">
      <w:pPr>
        <w:pStyle w:val="TOC2"/>
        <w:rPr>
          <w:rStyle w:val="Strong"/>
        </w:rPr>
      </w:pPr>
      <w:r w:rsidRPr="00AB6AD4">
        <w:rPr>
          <w:rStyle w:val="Strong"/>
        </w:rPr>
        <w:t>Figure ES.1: Treatment effects in randomised controlled trials - Change from baseline in HAM</w:t>
      </w:r>
      <w:r w:rsidR="00CE6213" w:rsidRPr="00AB6AD4">
        <w:rPr>
          <w:rStyle w:val="Strong"/>
        </w:rPr>
        <w:t>-</w:t>
      </w:r>
      <w:r w:rsidRPr="00AB6AD4">
        <w:rPr>
          <w:rStyle w:val="Strong"/>
        </w:rPr>
        <w:t>D17 total score (mean difference active vs. placebo)</w:t>
      </w:r>
    </w:p>
    <w:p w14:paraId="474DDA93" w14:textId="77777777" w:rsidR="00346A9D" w:rsidRDefault="00346A9D" w:rsidP="00346A9D">
      <w:pPr>
        <w:keepNext/>
        <w:spacing w:before="40" w:after="40"/>
        <w:jc w:val="center"/>
      </w:pPr>
      <w:r>
        <w:rPr>
          <w:noProof/>
          <w:lang w:eastAsia="en-AU"/>
        </w:rPr>
        <w:drawing>
          <wp:inline distT="0" distB="0" distL="0" distR="0" wp14:anchorId="083014E5" wp14:editId="379E4F1D">
            <wp:extent cx="4086664" cy="3065224"/>
            <wp:effectExtent l="0" t="0" r="9525" b="1905"/>
            <wp:docPr id="2" name="Picture 2" title="Change from baseline HAMD17 NeuroStar 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7872" cy="3066130"/>
                    </a:xfrm>
                    <a:prstGeom prst="rect">
                      <a:avLst/>
                    </a:prstGeom>
                  </pic:spPr>
                </pic:pic>
              </a:graphicData>
            </a:graphic>
          </wp:inline>
        </w:drawing>
      </w:r>
    </w:p>
    <w:p w14:paraId="10C72634" w14:textId="77777777" w:rsidR="00346A9D" w:rsidRPr="00F30B5F" w:rsidRDefault="00346A9D" w:rsidP="00346A9D">
      <w:pPr>
        <w:keepNext/>
        <w:spacing w:before="40" w:after="40"/>
        <w:jc w:val="both"/>
        <w:rPr>
          <w:sz w:val="18"/>
          <w:szCs w:val="18"/>
        </w:rPr>
      </w:pPr>
      <w:r w:rsidRPr="00F30B5F">
        <w:rPr>
          <w:rFonts w:ascii="Arial Narrow" w:hAnsi="Arial Narrow" w:cs="Arial"/>
          <w:sz w:val="18"/>
          <w:szCs w:val="18"/>
        </w:rPr>
        <w:t xml:space="preserve">NOTE: Data in figure from the following sources: Khan, et al. </w:t>
      </w:r>
      <w:r w:rsidRPr="00F30B5F">
        <w:rPr>
          <w:rFonts w:ascii="Arial Narrow" w:hAnsi="Arial Narrow" w:cs="Arial"/>
          <w:sz w:val="18"/>
          <w:szCs w:val="18"/>
          <w:lang w:val="fr-FR"/>
        </w:rPr>
        <w:t xml:space="preserve">(2000, 2001, and 2007); Detke, et al. (2002a, 2002b); Goldstein, et al. </w:t>
      </w:r>
      <w:r w:rsidRPr="00F30B5F">
        <w:rPr>
          <w:rFonts w:ascii="Arial Narrow" w:hAnsi="Arial Narrow" w:cs="Arial"/>
          <w:sz w:val="18"/>
          <w:szCs w:val="18"/>
        </w:rPr>
        <w:t>(2002, 2004); Perahia, et al. (2006); Feiger, et al. (2006); Bodkin, et al. (2002). Each antidepressant medication shown represents the average of all available registration studies.</w:t>
      </w:r>
    </w:p>
    <w:p w14:paraId="4311427A" w14:textId="77777777" w:rsidR="00346A9D" w:rsidRDefault="00346A9D" w:rsidP="00346A9D">
      <w:pPr>
        <w:keepNext/>
        <w:spacing w:before="40" w:after="40"/>
        <w:rPr>
          <w:rFonts w:ascii="Arial Narrow" w:hAnsi="Arial Narrow" w:cs="Arial"/>
          <w:sz w:val="18"/>
          <w:szCs w:val="18"/>
        </w:rPr>
      </w:pPr>
      <w:r w:rsidRPr="00F30B5F">
        <w:rPr>
          <w:rFonts w:ascii="Arial Narrow" w:hAnsi="Arial Narrow" w:cs="Arial"/>
          <w:sz w:val="18"/>
          <w:szCs w:val="18"/>
        </w:rPr>
        <w:t>HAMD = Hamilton depression rating score; TMS = Transcranial Magnetic Stimulation</w:t>
      </w:r>
    </w:p>
    <w:p w14:paraId="5DCE320B" w14:textId="77777777" w:rsidR="00346A9D" w:rsidRDefault="00346A9D" w:rsidP="006C4C2A"/>
    <w:p w14:paraId="3580575D" w14:textId="0F990ADA" w:rsidR="00E45A4B" w:rsidRPr="00610C87" w:rsidRDefault="00FD1997" w:rsidP="003F17D5">
      <w:pPr>
        <w:jc w:val="both"/>
      </w:pPr>
      <w:r>
        <w:t xml:space="preserve">Evidence for rTMS efficacy versus ECT is determined by two meta-analyses where </w:t>
      </w:r>
      <w:r w:rsidR="00A27D2D">
        <w:t>ECT was found to be more effective in the overall sample, but this difference was much less when considering only non-psychotic depression, the patient sample for which rTMS is proposed.</w:t>
      </w:r>
    </w:p>
    <w:p w14:paraId="17A45B90" w14:textId="41F20E42" w:rsidR="00E45A4B" w:rsidRPr="00610C87" w:rsidRDefault="00E45A4B" w:rsidP="00610C87">
      <w:pPr>
        <w:pStyle w:val="Heading4"/>
      </w:pPr>
      <w:r w:rsidRPr="00715C7F">
        <w:t>Economic evaluation</w:t>
      </w:r>
    </w:p>
    <w:p w14:paraId="17594F73" w14:textId="7E9B967C" w:rsidR="0025622E" w:rsidRDefault="0025622E" w:rsidP="003F17D5">
      <w:pPr>
        <w:jc w:val="both"/>
      </w:pPr>
      <w:r>
        <w:t xml:space="preserve">A cost-utility analysis was undertaken using a Markov microsimulation model </w:t>
      </w:r>
      <w:r w:rsidR="00354FAD">
        <w:t xml:space="preserve">with </w:t>
      </w:r>
      <w:r w:rsidR="003A3FF5">
        <w:t>t</w:t>
      </w:r>
      <w:r w:rsidR="000C7789">
        <w:t>hree-year duration</w:t>
      </w:r>
      <w:r>
        <w:t xml:space="preserve"> </w:t>
      </w:r>
      <w:r w:rsidR="000C7789">
        <w:t>and</w:t>
      </w:r>
      <w:r>
        <w:t xml:space="preserve"> </w:t>
      </w:r>
      <w:r w:rsidR="009E57CE">
        <w:t>two-</w:t>
      </w:r>
      <w:r>
        <w:t xml:space="preserve">monthly cycles. This provided a structure where </w:t>
      </w:r>
      <w:r w:rsidR="000C7789">
        <w:t>sufficient</w:t>
      </w:r>
      <w:r>
        <w:t xml:space="preserve"> time </w:t>
      </w:r>
      <w:r w:rsidR="000C7789">
        <w:t xml:space="preserve">could </w:t>
      </w:r>
      <w:r>
        <w:t xml:space="preserve">elapse to capture </w:t>
      </w:r>
      <w:r w:rsidR="000C7789">
        <w:t xml:space="preserve">the </w:t>
      </w:r>
      <w:r>
        <w:t xml:space="preserve">treatment consequences of remission, relapse, maintenance, hospitalisations and re-treatment with rTMS or </w:t>
      </w:r>
      <w:r w:rsidR="000C7789">
        <w:t>an alternative</w:t>
      </w:r>
      <w:r>
        <w:t xml:space="preserve">. The model inputs were based on reviews of the literature, Australian cost estimates and </w:t>
      </w:r>
      <w:r w:rsidR="00354FAD">
        <w:t>Health Expert Standing Panel (</w:t>
      </w:r>
      <w:r>
        <w:t>HESP</w:t>
      </w:r>
      <w:r w:rsidR="00354FAD">
        <w:t>)</w:t>
      </w:r>
      <w:r>
        <w:t xml:space="preserve"> advice where assumptions were necessary.  </w:t>
      </w:r>
      <w:r w:rsidR="00C86093">
        <w:t xml:space="preserve">In the model, the total cost for one course of rTMS treatment </w:t>
      </w:r>
      <w:r w:rsidR="00DB7DC9">
        <w:t>was</w:t>
      </w:r>
      <w:r w:rsidR="00C86093">
        <w:t xml:space="preserve"> $4,595 compared with $8,490 for ECT and $505</w:t>
      </w:r>
      <w:r w:rsidR="00354FAD">
        <w:t xml:space="preserve"> </w:t>
      </w:r>
      <w:r w:rsidR="00C86093">
        <w:t xml:space="preserve">for antidepressants. </w:t>
      </w:r>
      <w:r>
        <w:t xml:space="preserve">The key results of the cost-utility analyses are presented </w:t>
      </w:r>
      <w:r w:rsidR="003A3FF5">
        <w:t xml:space="preserve">in Table ES.3 </w:t>
      </w:r>
      <w:r>
        <w:t>below.</w:t>
      </w:r>
    </w:p>
    <w:p w14:paraId="5849A1BA" w14:textId="77777777" w:rsidR="0025622E" w:rsidRDefault="003A3FF5" w:rsidP="003F17D5">
      <w:pPr>
        <w:pStyle w:val="TableName"/>
      </w:pPr>
      <w:bookmarkStart w:id="24" w:name="_Toc389143573"/>
      <w:r>
        <w:lastRenderedPageBreak/>
        <w:t>Table ES.3:</w:t>
      </w:r>
      <w:r w:rsidR="001D6431">
        <w:t xml:space="preserve"> </w:t>
      </w:r>
      <w:r w:rsidR="00D90155">
        <w:t>Key economic evaluation findings (3 year duration)</w:t>
      </w:r>
      <w:bookmarkEnd w:id="24"/>
    </w:p>
    <w:tbl>
      <w:tblPr>
        <w:tblStyle w:val="TableGrid"/>
        <w:tblW w:w="0" w:type="auto"/>
        <w:tblInd w:w="840" w:type="dxa"/>
        <w:tblLook w:val="04A0" w:firstRow="1" w:lastRow="0" w:firstColumn="1" w:lastColumn="0" w:noHBand="0" w:noVBand="1"/>
        <w:tblCaption w:val="Ex Sum table: Key economic findings "/>
      </w:tblPr>
      <w:tblGrid>
        <w:gridCol w:w="1300"/>
        <w:gridCol w:w="1420"/>
        <w:gridCol w:w="1420"/>
        <w:gridCol w:w="1420"/>
        <w:gridCol w:w="1421"/>
        <w:gridCol w:w="1421"/>
      </w:tblGrid>
      <w:tr w:rsidR="001D6431" w14:paraId="4D1ED16D" w14:textId="77777777" w:rsidTr="003F17D5">
        <w:trPr>
          <w:tblHeader/>
        </w:trPr>
        <w:tc>
          <w:tcPr>
            <w:tcW w:w="1300" w:type="dxa"/>
          </w:tcPr>
          <w:p w14:paraId="1BCE4A31" w14:textId="77777777" w:rsidR="001D6431" w:rsidRPr="001D6431" w:rsidRDefault="001D6431" w:rsidP="003F17D5">
            <w:pPr>
              <w:pStyle w:val="TableText"/>
              <w:rPr>
                <w:b/>
              </w:rPr>
            </w:pPr>
            <w:r w:rsidRPr="001D6431">
              <w:rPr>
                <w:b/>
              </w:rPr>
              <w:t>Strategy</w:t>
            </w:r>
          </w:p>
        </w:tc>
        <w:tc>
          <w:tcPr>
            <w:tcW w:w="1420" w:type="dxa"/>
          </w:tcPr>
          <w:p w14:paraId="540109AC" w14:textId="77777777" w:rsidR="001D6431" w:rsidRPr="001D6431" w:rsidRDefault="009E57CE" w:rsidP="003F17D5">
            <w:pPr>
              <w:pStyle w:val="TableText"/>
              <w:jc w:val="center"/>
              <w:rPr>
                <w:b/>
              </w:rPr>
            </w:pPr>
            <w:r>
              <w:rPr>
                <w:b/>
              </w:rPr>
              <w:t xml:space="preserve">Mean </w:t>
            </w:r>
            <w:r w:rsidR="001D6431" w:rsidRPr="001D6431">
              <w:rPr>
                <w:b/>
              </w:rPr>
              <w:t>Costs</w:t>
            </w:r>
          </w:p>
        </w:tc>
        <w:tc>
          <w:tcPr>
            <w:tcW w:w="1420" w:type="dxa"/>
          </w:tcPr>
          <w:p w14:paraId="46DCFD73" w14:textId="77777777" w:rsidR="001D6431" w:rsidRPr="001D6431" w:rsidRDefault="009E57CE" w:rsidP="003F17D5">
            <w:pPr>
              <w:pStyle w:val="TableText"/>
              <w:jc w:val="center"/>
              <w:rPr>
                <w:b/>
              </w:rPr>
            </w:pPr>
            <w:r>
              <w:rPr>
                <w:b/>
              </w:rPr>
              <w:t xml:space="preserve">Mean </w:t>
            </w:r>
            <w:r w:rsidR="001D6431" w:rsidRPr="001D6431">
              <w:rPr>
                <w:b/>
              </w:rPr>
              <w:t>QALYs</w:t>
            </w:r>
          </w:p>
        </w:tc>
        <w:tc>
          <w:tcPr>
            <w:tcW w:w="1420" w:type="dxa"/>
            <w:vAlign w:val="center"/>
          </w:tcPr>
          <w:p w14:paraId="26F4092F" w14:textId="77777777" w:rsidR="001D6431" w:rsidRPr="00112D81" w:rsidRDefault="001D6431" w:rsidP="003F17D5">
            <w:pPr>
              <w:pStyle w:val="TableText"/>
              <w:jc w:val="center"/>
              <w:rPr>
                <w:rFonts w:eastAsiaTheme="minorHAnsi" w:cs="Arial Narrow"/>
                <w:b/>
                <w:bCs/>
                <w:szCs w:val="18"/>
              </w:rPr>
            </w:pPr>
            <w:r w:rsidRPr="00112D81">
              <w:rPr>
                <w:rFonts w:eastAsiaTheme="minorHAnsi" w:cs="Arial Narrow"/>
                <w:b/>
                <w:bCs/>
                <w:szCs w:val="18"/>
              </w:rPr>
              <w:sym w:font="Symbol" w:char="F044"/>
            </w:r>
            <w:r w:rsidRPr="00112D81">
              <w:rPr>
                <w:rFonts w:eastAsiaTheme="minorHAnsi" w:cs="Arial Narrow"/>
                <w:b/>
                <w:bCs/>
                <w:szCs w:val="18"/>
              </w:rPr>
              <w:t>Cost</w:t>
            </w:r>
          </w:p>
        </w:tc>
        <w:tc>
          <w:tcPr>
            <w:tcW w:w="1421" w:type="dxa"/>
            <w:vAlign w:val="center"/>
          </w:tcPr>
          <w:p w14:paraId="7B1112D5" w14:textId="77777777" w:rsidR="001D6431" w:rsidRPr="00112D81" w:rsidRDefault="001D6431" w:rsidP="003F17D5">
            <w:pPr>
              <w:pStyle w:val="TableText"/>
              <w:jc w:val="center"/>
              <w:rPr>
                <w:rFonts w:eastAsiaTheme="minorHAnsi" w:cs="Arial Narrow"/>
                <w:b/>
                <w:bCs/>
                <w:szCs w:val="18"/>
              </w:rPr>
            </w:pPr>
            <w:r w:rsidRPr="00112D81">
              <w:rPr>
                <w:rFonts w:eastAsiaTheme="minorHAnsi" w:cs="Arial Narrow"/>
                <w:b/>
                <w:bCs/>
                <w:szCs w:val="18"/>
              </w:rPr>
              <w:sym w:font="Symbol" w:char="F044"/>
            </w:r>
            <w:r w:rsidRPr="00112D81">
              <w:rPr>
                <w:rFonts w:eastAsiaTheme="minorHAnsi" w:cs="Arial Narrow"/>
                <w:b/>
                <w:bCs/>
                <w:szCs w:val="18"/>
              </w:rPr>
              <w:t>QALY</w:t>
            </w:r>
          </w:p>
        </w:tc>
        <w:tc>
          <w:tcPr>
            <w:tcW w:w="1421" w:type="dxa"/>
            <w:vAlign w:val="center"/>
          </w:tcPr>
          <w:p w14:paraId="590C6F83" w14:textId="77777777" w:rsidR="001D6431" w:rsidRPr="00112D81" w:rsidRDefault="001D6431" w:rsidP="003F17D5">
            <w:pPr>
              <w:pStyle w:val="TableText"/>
              <w:jc w:val="center"/>
              <w:rPr>
                <w:rFonts w:eastAsiaTheme="minorHAnsi" w:cs="Arial Narrow"/>
                <w:b/>
                <w:bCs/>
                <w:szCs w:val="18"/>
              </w:rPr>
            </w:pPr>
            <w:r w:rsidRPr="00112D81">
              <w:rPr>
                <w:rFonts w:eastAsiaTheme="minorHAnsi" w:cs="Arial Narrow"/>
                <w:b/>
                <w:bCs/>
                <w:szCs w:val="18"/>
              </w:rPr>
              <w:t>ICER</w:t>
            </w:r>
          </w:p>
        </w:tc>
      </w:tr>
      <w:tr w:rsidR="001D6431" w14:paraId="3E9E136E" w14:textId="77777777" w:rsidTr="003F17D5">
        <w:tc>
          <w:tcPr>
            <w:tcW w:w="1300" w:type="dxa"/>
          </w:tcPr>
          <w:p w14:paraId="32551E76" w14:textId="77777777" w:rsidR="001D6431" w:rsidRDefault="001D6431" w:rsidP="003F17D5">
            <w:pPr>
              <w:pStyle w:val="TableText"/>
            </w:pPr>
            <w:r>
              <w:t>rTMS</w:t>
            </w:r>
          </w:p>
        </w:tc>
        <w:tc>
          <w:tcPr>
            <w:tcW w:w="1420" w:type="dxa"/>
          </w:tcPr>
          <w:p w14:paraId="067E62DF" w14:textId="77777777" w:rsidR="001D6431" w:rsidRDefault="009E57CE" w:rsidP="003F17D5">
            <w:pPr>
              <w:pStyle w:val="TableText"/>
              <w:jc w:val="center"/>
            </w:pPr>
            <w:r>
              <w:t>$</w:t>
            </w:r>
            <w:r w:rsidR="004A3CD4">
              <w:t>29</w:t>
            </w:r>
            <w:r>
              <w:t>,</w:t>
            </w:r>
            <w:r w:rsidR="004A3CD4">
              <w:t>670</w:t>
            </w:r>
          </w:p>
        </w:tc>
        <w:tc>
          <w:tcPr>
            <w:tcW w:w="1420" w:type="dxa"/>
          </w:tcPr>
          <w:p w14:paraId="39A3BBDC" w14:textId="77777777" w:rsidR="001D6431" w:rsidRDefault="004A3CD4" w:rsidP="003F17D5">
            <w:pPr>
              <w:pStyle w:val="TableText"/>
              <w:jc w:val="center"/>
            </w:pPr>
            <w:r>
              <w:t>1.250</w:t>
            </w:r>
          </w:p>
        </w:tc>
        <w:tc>
          <w:tcPr>
            <w:tcW w:w="1420" w:type="dxa"/>
          </w:tcPr>
          <w:p w14:paraId="596ABF43" w14:textId="77777777" w:rsidR="001D6431" w:rsidRDefault="002A5B23" w:rsidP="003F17D5">
            <w:pPr>
              <w:pStyle w:val="TableText"/>
              <w:jc w:val="center"/>
            </w:pPr>
            <w:r>
              <w:t>referent</w:t>
            </w:r>
          </w:p>
        </w:tc>
        <w:tc>
          <w:tcPr>
            <w:tcW w:w="1421" w:type="dxa"/>
          </w:tcPr>
          <w:p w14:paraId="6F384D18" w14:textId="77777777" w:rsidR="001D6431" w:rsidRDefault="002A5B23" w:rsidP="003F17D5">
            <w:pPr>
              <w:pStyle w:val="TableText"/>
              <w:jc w:val="center"/>
            </w:pPr>
            <w:r>
              <w:t>referent</w:t>
            </w:r>
          </w:p>
        </w:tc>
        <w:tc>
          <w:tcPr>
            <w:tcW w:w="1421" w:type="dxa"/>
          </w:tcPr>
          <w:p w14:paraId="5DF2972A" w14:textId="77777777" w:rsidR="001D6431" w:rsidRDefault="002A5B23" w:rsidP="003F17D5">
            <w:pPr>
              <w:pStyle w:val="TableText"/>
              <w:jc w:val="center"/>
            </w:pPr>
            <w:r>
              <w:t>referent</w:t>
            </w:r>
          </w:p>
        </w:tc>
      </w:tr>
      <w:tr w:rsidR="001D6431" w14:paraId="723A2C9D" w14:textId="77777777" w:rsidTr="003F17D5">
        <w:tc>
          <w:tcPr>
            <w:tcW w:w="1300" w:type="dxa"/>
          </w:tcPr>
          <w:p w14:paraId="515C2F63" w14:textId="77777777" w:rsidR="001D6431" w:rsidRDefault="001D6431" w:rsidP="001D6431">
            <w:pPr>
              <w:pStyle w:val="TableText"/>
            </w:pPr>
            <w:r>
              <w:t>Antidepressants</w:t>
            </w:r>
          </w:p>
        </w:tc>
        <w:tc>
          <w:tcPr>
            <w:tcW w:w="1420" w:type="dxa"/>
          </w:tcPr>
          <w:p w14:paraId="5892CD4B" w14:textId="77777777" w:rsidR="001D6431" w:rsidRDefault="009E57CE" w:rsidP="009E57CE">
            <w:pPr>
              <w:pStyle w:val="TableText"/>
              <w:jc w:val="center"/>
            </w:pPr>
            <w:r>
              <w:t>$</w:t>
            </w:r>
            <w:r w:rsidR="004A3CD4">
              <w:t>31</w:t>
            </w:r>
            <w:r>
              <w:t>,</w:t>
            </w:r>
            <w:r w:rsidR="004A3CD4">
              <w:t>330</w:t>
            </w:r>
          </w:p>
        </w:tc>
        <w:tc>
          <w:tcPr>
            <w:tcW w:w="1420" w:type="dxa"/>
          </w:tcPr>
          <w:p w14:paraId="12DA9868" w14:textId="77777777" w:rsidR="001D6431" w:rsidRDefault="004A3CD4" w:rsidP="009E57CE">
            <w:pPr>
              <w:pStyle w:val="TableText"/>
              <w:jc w:val="center"/>
            </w:pPr>
            <w:r>
              <w:t>1.180</w:t>
            </w:r>
          </w:p>
        </w:tc>
        <w:tc>
          <w:tcPr>
            <w:tcW w:w="1420" w:type="dxa"/>
          </w:tcPr>
          <w:p w14:paraId="67157F4F" w14:textId="77777777" w:rsidR="001D6431" w:rsidRDefault="004A3CD4" w:rsidP="009E57CE">
            <w:pPr>
              <w:pStyle w:val="TableText"/>
              <w:jc w:val="center"/>
            </w:pPr>
            <w:r>
              <w:t>-</w:t>
            </w:r>
            <w:r w:rsidR="009E57CE">
              <w:t>$</w:t>
            </w:r>
            <w:r>
              <w:t>1</w:t>
            </w:r>
            <w:r w:rsidR="009E57CE">
              <w:t>,</w:t>
            </w:r>
            <w:r>
              <w:t>660</w:t>
            </w:r>
          </w:p>
        </w:tc>
        <w:tc>
          <w:tcPr>
            <w:tcW w:w="1421" w:type="dxa"/>
          </w:tcPr>
          <w:p w14:paraId="3EC1D603" w14:textId="77777777" w:rsidR="001D6431" w:rsidRDefault="004A3CD4" w:rsidP="009E57CE">
            <w:pPr>
              <w:pStyle w:val="TableText"/>
              <w:jc w:val="center"/>
            </w:pPr>
            <w:r>
              <w:t>0.070</w:t>
            </w:r>
          </w:p>
        </w:tc>
        <w:tc>
          <w:tcPr>
            <w:tcW w:w="1421" w:type="dxa"/>
          </w:tcPr>
          <w:p w14:paraId="2D3C028A" w14:textId="77777777" w:rsidR="001D6431" w:rsidRDefault="009E57CE" w:rsidP="009E57CE">
            <w:pPr>
              <w:pStyle w:val="TableText"/>
              <w:jc w:val="center"/>
            </w:pPr>
            <w:r>
              <w:t>rTMS dominant</w:t>
            </w:r>
          </w:p>
        </w:tc>
      </w:tr>
      <w:tr w:rsidR="002A5B23" w14:paraId="36CF776A" w14:textId="77777777" w:rsidTr="003F17D5">
        <w:tc>
          <w:tcPr>
            <w:tcW w:w="1300" w:type="dxa"/>
          </w:tcPr>
          <w:p w14:paraId="3CCE83FD" w14:textId="77777777" w:rsidR="002A5B23" w:rsidRDefault="002A5B23" w:rsidP="003A3FF5">
            <w:pPr>
              <w:pStyle w:val="TableText"/>
            </w:pPr>
            <w:r>
              <w:t>ECT</w:t>
            </w:r>
          </w:p>
        </w:tc>
        <w:tc>
          <w:tcPr>
            <w:tcW w:w="1420" w:type="dxa"/>
          </w:tcPr>
          <w:p w14:paraId="59AA4B9D" w14:textId="77777777" w:rsidR="002A5B23" w:rsidRDefault="009E57CE" w:rsidP="003A3FF5">
            <w:pPr>
              <w:pStyle w:val="TableText"/>
              <w:jc w:val="center"/>
            </w:pPr>
            <w:r>
              <w:t>$31,260</w:t>
            </w:r>
          </w:p>
        </w:tc>
        <w:tc>
          <w:tcPr>
            <w:tcW w:w="1420" w:type="dxa"/>
          </w:tcPr>
          <w:p w14:paraId="7523A38B" w14:textId="77777777" w:rsidR="002A5B23" w:rsidRDefault="009E57CE" w:rsidP="003A3FF5">
            <w:pPr>
              <w:pStyle w:val="TableText"/>
              <w:jc w:val="center"/>
            </w:pPr>
            <w:r>
              <w:t>1.280</w:t>
            </w:r>
          </w:p>
        </w:tc>
        <w:tc>
          <w:tcPr>
            <w:tcW w:w="1420" w:type="dxa"/>
          </w:tcPr>
          <w:p w14:paraId="7345FFB5" w14:textId="77777777" w:rsidR="002A5B23" w:rsidRDefault="009E57CE" w:rsidP="003A3FF5">
            <w:pPr>
              <w:pStyle w:val="TableText"/>
              <w:jc w:val="center"/>
            </w:pPr>
            <w:r>
              <w:t>-$1,591</w:t>
            </w:r>
          </w:p>
        </w:tc>
        <w:tc>
          <w:tcPr>
            <w:tcW w:w="1421" w:type="dxa"/>
          </w:tcPr>
          <w:p w14:paraId="5F6FB877" w14:textId="77777777" w:rsidR="002A5B23" w:rsidRDefault="009E57CE" w:rsidP="003A3FF5">
            <w:pPr>
              <w:pStyle w:val="TableText"/>
              <w:jc w:val="center"/>
            </w:pPr>
            <w:r>
              <w:t>-0.030</w:t>
            </w:r>
          </w:p>
        </w:tc>
        <w:tc>
          <w:tcPr>
            <w:tcW w:w="1421" w:type="dxa"/>
          </w:tcPr>
          <w:p w14:paraId="5C0494DB" w14:textId="77777777" w:rsidR="002A5B23" w:rsidRDefault="009E57CE" w:rsidP="003A3FF5">
            <w:pPr>
              <w:pStyle w:val="TableText"/>
              <w:jc w:val="center"/>
            </w:pPr>
            <w:r>
              <w:t>$75,844</w:t>
            </w:r>
          </w:p>
        </w:tc>
      </w:tr>
    </w:tbl>
    <w:p w14:paraId="5024FFE3" w14:textId="77777777" w:rsidR="0025622E" w:rsidRDefault="009E57CE" w:rsidP="003A3FF5">
      <w:pPr>
        <w:keepNext/>
      </w:pPr>
      <w:r>
        <w:rPr>
          <w:rFonts w:ascii="Arial Narrow" w:hAnsi="Arial Narrow"/>
          <w:sz w:val="18"/>
          <w:szCs w:val="18"/>
        </w:rPr>
        <w:t>ECT = Electroconvulsive therapy; rTMS = repetitive Transcranial Magnetic Stimulation; QALY = quality-adjusted life years; ICER = incremental cost effectiveness ratio</w:t>
      </w:r>
    </w:p>
    <w:p w14:paraId="36799443" w14:textId="31E91247" w:rsidR="00D90155" w:rsidRDefault="00D90155" w:rsidP="003F17D5">
      <w:pPr>
        <w:jc w:val="both"/>
      </w:pPr>
      <w:r>
        <w:t xml:space="preserve">The economic model predicted that rTMS is cost-effective compared with a strategy of antidepressants but not cost-effective compared with ECT. </w:t>
      </w:r>
      <w:r w:rsidR="00603AD0">
        <w:t xml:space="preserve">Compared with ECT, rTMS produced </w:t>
      </w:r>
      <w:r w:rsidR="005E78B7">
        <w:t>fewer</w:t>
      </w:r>
      <w:r w:rsidR="00603AD0">
        <w:t xml:space="preserve"> costs but also </w:t>
      </w:r>
      <w:r w:rsidR="00354FAD">
        <w:t xml:space="preserve">slightly </w:t>
      </w:r>
      <w:r w:rsidR="00260CD5">
        <w:t>fewer QALYs.</w:t>
      </w:r>
      <w:r>
        <w:t xml:space="preserve"> Further details of the </w:t>
      </w:r>
      <w:r w:rsidR="00DB7DC9">
        <w:t>sensitivity</w:t>
      </w:r>
      <w:r>
        <w:t xml:space="preserve"> analyses are provided in this report. In </w:t>
      </w:r>
      <w:r w:rsidR="00603AD0">
        <w:t>50,000 iterations,</w:t>
      </w:r>
      <w:r>
        <w:t xml:space="preserve"> there was a </w:t>
      </w:r>
      <w:r w:rsidR="009E57CE">
        <w:t>7</w:t>
      </w:r>
      <w:r w:rsidR="00603AD0">
        <w:t>0.5</w:t>
      </w:r>
      <w:r>
        <w:t xml:space="preserve">% likelihood that rTMS was cost-effective against antidepressants and </w:t>
      </w:r>
      <w:r w:rsidR="00603AD0">
        <w:t>38.8</w:t>
      </w:r>
      <w:r>
        <w:t>% against ECT</w:t>
      </w:r>
      <w:r w:rsidR="00603AD0">
        <w:t xml:space="preserve"> at the willingness-to-pay threshold of $50,000 per QALY</w:t>
      </w:r>
      <w:r>
        <w:t xml:space="preserve">.  </w:t>
      </w:r>
    </w:p>
    <w:p w14:paraId="71399E49" w14:textId="77777777" w:rsidR="00E45A4B" w:rsidRPr="003A3FF5" w:rsidRDefault="00E45A4B" w:rsidP="00610C87">
      <w:pPr>
        <w:pStyle w:val="Heading4"/>
      </w:pPr>
      <w:r w:rsidRPr="003A3FF5">
        <w:t>Financial/</w:t>
      </w:r>
      <w:r w:rsidRPr="00610C87">
        <w:t>budgetary</w:t>
      </w:r>
      <w:r w:rsidRPr="003A3FF5">
        <w:t xml:space="preserve"> impacts</w:t>
      </w:r>
    </w:p>
    <w:p w14:paraId="4A7A4F74" w14:textId="556EF19A" w:rsidR="00C86093" w:rsidRDefault="00C86093" w:rsidP="003F17D5">
      <w:pPr>
        <w:jc w:val="both"/>
      </w:pPr>
      <w:r>
        <w:t xml:space="preserve">A summary of the overall expected uptake and costs of </w:t>
      </w:r>
      <w:r w:rsidR="000F135E">
        <w:t xml:space="preserve">rTMS </w:t>
      </w:r>
      <w:r w:rsidR="00D90155">
        <w:t>is</w:t>
      </w:r>
      <w:r w:rsidR="003A3FF5">
        <w:t xml:space="preserve"> provided in Table ES</w:t>
      </w:r>
      <w:r w:rsidR="000F135E">
        <w:t>.</w:t>
      </w:r>
      <w:r w:rsidR="003F17D5">
        <w:t>4.</w:t>
      </w:r>
      <w:r w:rsidR="003A3FF5">
        <w:t xml:space="preserve"> </w:t>
      </w:r>
      <w:r w:rsidR="000F135E">
        <w:t xml:space="preserve"> </w:t>
      </w:r>
    </w:p>
    <w:p w14:paraId="5146F593" w14:textId="77777777" w:rsidR="00251BA6" w:rsidRDefault="003A3FF5" w:rsidP="003F17D5">
      <w:pPr>
        <w:pStyle w:val="TableName"/>
      </w:pPr>
      <w:bookmarkStart w:id="25" w:name="_Toc389143574"/>
      <w:r>
        <w:t>Table ES.4</w:t>
      </w:r>
      <w:r w:rsidR="00251BA6">
        <w:t>: Summary of financial estimates for rTMS funding</w:t>
      </w:r>
      <w:bookmarkEnd w:id="25"/>
      <w:r w:rsidR="00251BA6">
        <w:t xml:space="preserve"> </w:t>
      </w:r>
    </w:p>
    <w:tbl>
      <w:tblPr>
        <w:tblStyle w:val="TableGrid"/>
        <w:tblW w:w="8444" w:type="dxa"/>
        <w:tblInd w:w="840" w:type="dxa"/>
        <w:tblLook w:val="04A0" w:firstRow="1" w:lastRow="0" w:firstColumn="1" w:lastColumn="0" w:noHBand="0" w:noVBand="1"/>
        <w:tblCaption w:val="Ex Sum table: Financial estimates for rTMS funding"/>
      </w:tblPr>
      <w:tblGrid>
        <w:gridCol w:w="3259"/>
        <w:gridCol w:w="1037"/>
        <w:gridCol w:w="1037"/>
        <w:gridCol w:w="1037"/>
        <w:gridCol w:w="1037"/>
        <w:gridCol w:w="1037"/>
      </w:tblGrid>
      <w:tr w:rsidR="000F135E" w:rsidRPr="00FF7CE4" w14:paraId="6664AE3A" w14:textId="77777777" w:rsidTr="003F17D5">
        <w:trPr>
          <w:cantSplit/>
          <w:tblHeader/>
        </w:trPr>
        <w:tc>
          <w:tcPr>
            <w:tcW w:w="3259" w:type="dxa"/>
            <w:vAlign w:val="center"/>
          </w:tcPr>
          <w:p w14:paraId="2A47D97A" w14:textId="77777777" w:rsidR="000F135E" w:rsidRPr="00FF7CE4" w:rsidRDefault="000F135E" w:rsidP="003F17D5">
            <w:pPr>
              <w:pStyle w:val="TableText"/>
              <w:rPr>
                <w:b/>
                <w:szCs w:val="18"/>
              </w:rPr>
            </w:pPr>
          </w:p>
        </w:tc>
        <w:tc>
          <w:tcPr>
            <w:tcW w:w="0" w:type="auto"/>
            <w:vAlign w:val="center"/>
          </w:tcPr>
          <w:p w14:paraId="216EE554" w14:textId="77777777" w:rsidR="000F135E" w:rsidRPr="00FF7CE4" w:rsidRDefault="000F135E" w:rsidP="003F17D5">
            <w:pPr>
              <w:pStyle w:val="TableText"/>
              <w:jc w:val="right"/>
              <w:rPr>
                <w:b/>
                <w:szCs w:val="18"/>
              </w:rPr>
            </w:pPr>
            <w:r w:rsidRPr="00FF7CE4">
              <w:rPr>
                <w:b/>
                <w:szCs w:val="18"/>
              </w:rPr>
              <w:t>2015</w:t>
            </w:r>
          </w:p>
        </w:tc>
        <w:tc>
          <w:tcPr>
            <w:tcW w:w="0" w:type="auto"/>
            <w:vAlign w:val="center"/>
          </w:tcPr>
          <w:p w14:paraId="36609059" w14:textId="77777777" w:rsidR="000F135E" w:rsidRPr="00FF7CE4" w:rsidRDefault="000F135E" w:rsidP="003F17D5">
            <w:pPr>
              <w:pStyle w:val="TableText"/>
              <w:jc w:val="right"/>
              <w:rPr>
                <w:b/>
                <w:szCs w:val="18"/>
              </w:rPr>
            </w:pPr>
            <w:r w:rsidRPr="00FF7CE4">
              <w:rPr>
                <w:b/>
                <w:szCs w:val="18"/>
              </w:rPr>
              <w:t>2016</w:t>
            </w:r>
          </w:p>
        </w:tc>
        <w:tc>
          <w:tcPr>
            <w:tcW w:w="0" w:type="auto"/>
            <w:vAlign w:val="center"/>
          </w:tcPr>
          <w:p w14:paraId="318E6F17" w14:textId="77777777" w:rsidR="000F135E" w:rsidRPr="00FF7CE4" w:rsidRDefault="000F135E" w:rsidP="003F17D5">
            <w:pPr>
              <w:pStyle w:val="TableText"/>
              <w:jc w:val="right"/>
              <w:rPr>
                <w:b/>
                <w:szCs w:val="18"/>
              </w:rPr>
            </w:pPr>
            <w:r w:rsidRPr="00FF7CE4">
              <w:rPr>
                <w:b/>
                <w:szCs w:val="18"/>
              </w:rPr>
              <w:t>2017</w:t>
            </w:r>
          </w:p>
        </w:tc>
        <w:tc>
          <w:tcPr>
            <w:tcW w:w="0" w:type="auto"/>
            <w:vAlign w:val="center"/>
          </w:tcPr>
          <w:p w14:paraId="40488725" w14:textId="77777777" w:rsidR="000F135E" w:rsidRPr="00FF7CE4" w:rsidRDefault="000F135E" w:rsidP="003F17D5">
            <w:pPr>
              <w:pStyle w:val="TableText"/>
              <w:jc w:val="right"/>
              <w:rPr>
                <w:b/>
                <w:szCs w:val="18"/>
              </w:rPr>
            </w:pPr>
            <w:r w:rsidRPr="00FF7CE4">
              <w:rPr>
                <w:b/>
                <w:szCs w:val="18"/>
              </w:rPr>
              <w:t>2018</w:t>
            </w:r>
          </w:p>
        </w:tc>
        <w:tc>
          <w:tcPr>
            <w:tcW w:w="0" w:type="auto"/>
            <w:vAlign w:val="center"/>
          </w:tcPr>
          <w:p w14:paraId="39755C5A" w14:textId="77777777" w:rsidR="000F135E" w:rsidRPr="00FF7CE4" w:rsidRDefault="000F135E" w:rsidP="003F17D5">
            <w:pPr>
              <w:pStyle w:val="TableText"/>
              <w:jc w:val="right"/>
              <w:rPr>
                <w:b/>
                <w:szCs w:val="18"/>
              </w:rPr>
            </w:pPr>
            <w:r w:rsidRPr="00FF7CE4">
              <w:rPr>
                <w:b/>
                <w:szCs w:val="18"/>
              </w:rPr>
              <w:t>2019</w:t>
            </w:r>
          </w:p>
        </w:tc>
      </w:tr>
      <w:tr w:rsidR="000F135E" w:rsidRPr="00FF7CE4" w14:paraId="18245B7C" w14:textId="77777777" w:rsidTr="003F17D5">
        <w:tc>
          <w:tcPr>
            <w:tcW w:w="3259" w:type="dxa"/>
            <w:vAlign w:val="center"/>
          </w:tcPr>
          <w:p w14:paraId="3F7CD67D" w14:textId="77777777" w:rsidR="000F135E" w:rsidRPr="00FF7CE4" w:rsidRDefault="000F135E" w:rsidP="003F17D5">
            <w:pPr>
              <w:pStyle w:val="TableText"/>
              <w:rPr>
                <w:szCs w:val="18"/>
              </w:rPr>
            </w:pPr>
            <w:r w:rsidRPr="00FF7CE4">
              <w:rPr>
                <w:szCs w:val="18"/>
              </w:rPr>
              <w:t>Expected number of rTMS patients</w:t>
            </w:r>
          </w:p>
        </w:tc>
        <w:tc>
          <w:tcPr>
            <w:tcW w:w="0" w:type="auto"/>
            <w:vAlign w:val="center"/>
          </w:tcPr>
          <w:p w14:paraId="333D5712" w14:textId="77777777" w:rsidR="000F135E" w:rsidRPr="00FF7CE4" w:rsidRDefault="000F135E" w:rsidP="003F17D5">
            <w:pPr>
              <w:pStyle w:val="TableText"/>
              <w:jc w:val="right"/>
              <w:rPr>
                <w:rFonts w:cs="Arial"/>
                <w:szCs w:val="18"/>
              </w:rPr>
            </w:pPr>
            <w:r w:rsidRPr="00FF7CE4">
              <w:rPr>
                <w:rFonts w:cs="Arial"/>
                <w:szCs w:val="18"/>
              </w:rPr>
              <w:t>2,012</w:t>
            </w:r>
          </w:p>
        </w:tc>
        <w:tc>
          <w:tcPr>
            <w:tcW w:w="0" w:type="auto"/>
            <w:vAlign w:val="center"/>
          </w:tcPr>
          <w:p w14:paraId="53422953" w14:textId="77777777" w:rsidR="000F135E" w:rsidRPr="00FF7CE4" w:rsidRDefault="000F135E" w:rsidP="003F17D5">
            <w:pPr>
              <w:pStyle w:val="TableText"/>
              <w:jc w:val="right"/>
              <w:rPr>
                <w:rFonts w:cs="Arial"/>
                <w:szCs w:val="18"/>
              </w:rPr>
            </w:pPr>
            <w:r w:rsidRPr="00FF7CE4">
              <w:rPr>
                <w:rFonts w:cs="Arial"/>
                <w:szCs w:val="18"/>
              </w:rPr>
              <w:t>2,233</w:t>
            </w:r>
          </w:p>
        </w:tc>
        <w:tc>
          <w:tcPr>
            <w:tcW w:w="0" w:type="auto"/>
            <w:vAlign w:val="center"/>
          </w:tcPr>
          <w:p w14:paraId="2C38428D" w14:textId="77777777" w:rsidR="000F135E" w:rsidRPr="00FF7CE4" w:rsidRDefault="000F135E" w:rsidP="003F17D5">
            <w:pPr>
              <w:pStyle w:val="TableText"/>
              <w:jc w:val="right"/>
              <w:rPr>
                <w:rFonts w:cs="Arial"/>
                <w:szCs w:val="18"/>
              </w:rPr>
            </w:pPr>
            <w:r w:rsidRPr="00FF7CE4">
              <w:rPr>
                <w:rFonts w:cs="Arial"/>
                <w:szCs w:val="18"/>
              </w:rPr>
              <w:t>2,460</w:t>
            </w:r>
          </w:p>
        </w:tc>
        <w:tc>
          <w:tcPr>
            <w:tcW w:w="0" w:type="auto"/>
            <w:vAlign w:val="center"/>
          </w:tcPr>
          <w:p w14:paraId="055DD632" w14:textId="77777777" w:rsidR="000F135E" w:rsidRPr="00FF7CE4" w:rsidRDefault="000F135E" w:rsidP="003F17D5">
            <w:pPr>
              <w:pStyle w:val="TableText"/>
              <w:jc w:val="right"/>
              <w:rPr>
                <w:rFonts w:cs="Arial"/>
                <w:szCs w:val="18"/>
              </w:rPr>
            </w:pPr>
            <w:r w:rsidRPr="00FF7CE4">
              <w:rPr>
                <w:rFonts w:cs="Arial"/>
                <w:szCs w:val="18"/>
              </w:rPr>
              <w:t>2,695</w:t>
            </w:r>
          </w:p>
        </w:tc>
        <w:tc>
          <w:tcPr>
            <w:tcW w:w="0" w:type="auto"/>
            <w:vAlign w:val="center"/>
          </w:tcPr>
          <w:p w14:paraId="7BEEEDC3" w14:textId="77777777" w:rsidR="000F135E" w:rsidRPr="00FF7CE4" w:rsidRDefault="000F135E" w:rsidP="003F17D5">
            <w:pPr>
              <w:pStyle w:val="TableText"/>
              <w:jc w:val="right"/>
              <w:rPr>
                <w:rFonts w:cs="Arial"/>
                <w:szCs w:val="18"/>
              </w:rPr>
            </w:pPr>
            <w:r w:rsidRPr="00FF7CE4">
              <w:rPr>
                <w:rFonts w:cs="Arial"/>
                <w:szCs w:val="18"/>
              </w:rPr>
              <w:t>2,935</w:t>
            </w:r>
          </w:p>
        </w:tc>
      </w:tr>
      <w:tr w:rsidR="000F135E" w:rsidRPr="00FF7CE4" w14:paraId="3F8829C6" w14:textId="77777777" w:rsidTr="003F17D5">
        <w:tc>
          <w:tcPr>
            <w:tcW w:w="3259" w:type="dxa"/>
            <w:vAlign w:val="center"/>
          </w:tcPr>
          <w:p w14:paraId="45D67173" w14:textId="77777777" w:rsidR="000F135E" w:rsidRPr="00FF7CE4" w:rsidRDefault="000F135E" w:rsidP="00251BA6">
            <w:pPr>
              <w:pStyle w:val="TableText"/>
              <w:rPr>
                <w:szCs w:val="18"/>
              </w:rPr>
            </w:pPr>
            <w:r w:rsidRPr="00FF7CE4">
              <w:rPr>
                <w:szCs w:val="18"/>
              </w:rPr>
              <w:t xml:space="preserve">Total </w:t>
            </w:r>
            <w:r w:rsidR="00251BA6" w:rsidRPr="00FF7CE4">
              <w:rPr>
                <w:szCs w:val="18"/>
              </w:rPr>
              <w:t>number of rTMS treatments per year</w:t>
            </w:r>
          </w:p>
        </w:tc>
        <w:tc>
          <w:tcPr>
            <w:tcW w:w="0" w:type="auto"/>
            <w:vAlign w:val="center"/>
          </w:tcPr>
          <w:p w14:paraId="4ECB149B" w14:textId="77777777" w:rsidR="000F135E" w:rsidRPr="00FF7CE4" w:rsidRDefault="000F135E" w:rsidP="00251BA6">
            <w:pPr>
              <w:pStyle w:val="TableText"/>
              <w:jc w:val="right"/>
              <w:rPr>
                <w:rFonts w:cs="Arial"/>
                <w:szCs w:val="18"/>
              </w:rPr>
            </w:pPr>
            <w:r w:rsidRPr="00FF7CE4">
              <w:rPr>
                <w:rFonts w:cs="Arial"/>
                <w:szCs w:val="18"/>
              </w:rPr>
              <w:t>82,777</w:t>
            </w:r>
          </w:p>
        </w:tc>
        <w:tc>
          <w:tcPr>
            <w:tcW w:w="0" w:type="auto"/>
            <w:vAlign w:val="center"/>
          </w:tcPr>
          <w:p w14:paraId="5FE25141" w14:textId="77777777" w:rsidR="000F135E" w:rsidRPr="00FF7CE4" w:rsidRDefault="000F135E" w:rsidP="00251BA6">
            <w:pPr>
              <w:pStyle w:val="TableText"/>
              <w:jc w:val="right"/>
              <w:rPr>
                <w:rFonts w:cs="Arial"/>
                <w:szCs w:val="18"/>
              </w:rPr>
            </w:pPr>
            <w:r w:rsidRPr="00FF7CE4">
              <w:rPr>
                <w:rFonts w:cs="Arial"/>
                <w:szCs w:val="18"/>
              </w:rPr>
              <w:t>91,870</w:t>
            </w:r>
          </w:p>
        </w:tc>
        <w:tc>
          <w:tcPr>
            <w:tcW w:w="0" w:type="auto"/>
            <w:vAlign w:val="center"/>
          </w:tcPr>
          <w:p w14:paraId="08540761" w14:textId="77777777" w:rsidR="000F135E" w:rsidRPr="00FF7CE4" w:rsidRDefault="000F135E" w:rsidP="00251BA6">
            <w:pPr>
              <w:pStyle w:val="TableText"/>
              <w:jc w:val="right"/>
              <w:rPr>
                <w:rFonts w:cs="Arial"/>
                <w:szCs w:val="18"/>
              </w:rPr>
            </w:pPr>
            <w:r w:rsidRPr="00FF7CE4">
              <w:rPr>
                <w:rFonts w:cs="Arial"/>
                <w:szCs w:val="18"/>
              </w:rPr>
              <w:t>101,236</w:t>
            </w:r>
          </w:p>
        </w:tc>
        <w:tc>
          <w:tcPr>
            <w:tcW w:w="0" w:type="auto"/>
            <w:vAlign w:val="center"/>
          </w:tcPr>
          <w:p w14:paraId="1AABC2C5" w14:textId="77777777" w:rsidR="000F135E" w:rsidRPr="00FF7CE4" w:rsidRDefault="000F135E" w:rsidP="00251BA6">
            <w:pPr>
              <w:pStyle w:val="TableText"/>
              <w:jc w:val="right"/>
              <w:rPr>
                <w:rFonts w:cs="Arial"/>
                <w:szCs w:val="18"/>
              </w:rPr>
            </w:pPr>
            <w:r w:rsidRPr="00FF7CE4">
              <w:rPr>
                <w:rFonts w:cs="Arial"/>
                <w:szCs w:val="18"/>
              </w:rPr>
              <w:t>110,872</w:t>
            </w:r>
          </w:p>
        </w:tc>
        <w:tc>
          <w:tcPr>
            <w:tcW w:w="0" w:type="auto"/>
            <w:vAlign w:val="center"/>
          </w:tcPr>
          <w:p w14:paraId="4A5BD1B0" w14:textId="77777777" w:rsidR="000F135E" w:rsidRPr="00FF7CE4" w:rsidRDefault="000F135E" w:rsidP="00251BA6">
            <w:pPr>
              <w:pStyle w:val="TableText"/>
              <w:jc w:val="right"/>
              <w:rPr>
                <w:rFonts w:cs="Arial"/>
                <w:szCs w:val="18"/>
              </w:rPr>
            </w:pPr>
            <w:r w:rsidRPr="00FF7CE4">
              <w:rPr>
                <w:rFonts w:cs="Arial"/>
                <w:szCs w:val="18"/>
              </w:rPr>
              <w:t>120,757</w:t>
            </w:r>
          </w:p>
        </w:tc>
      </w:tr>
      <w:tr w:rsidR="005F1AC4" w:rsidRPr="00FF7CE4" w14:paraId="1105C9A8" w14:textId="77777777" w:rsidTr="003F17D5">
        <w:tc>
          <w:tcPr>
            <w:tcW w:w="3259" w:type="dxa"/>
            <w:vAlign w:val="center"/>
          </w:tcPr>
          <w:p w14:paraId="65B76CCA" w14:textId="77777777" w:rsidR="005F1AC4" w:rsidRPr="00FF7CE4" w:rsidRDefault="00251BA6" w:rsidP="00251BA6">
            <w:pPr>
              <w:pStyle w:val="TableText"/>
              <w:rPr>
                <w:szCs w:val="18"/>
              </w:rPr>
            </w:pPr>
            <w:r w:rsidRPr="00FF7CE4">
              <w:rPr>
                <w:szCs w:val="18"/>
              </w:rPr>
              <w:t>C</w:t>
            </w:r>
            <w:r w:rsidR="005F1AC4" w:rsidRPr="00FF7CE4">
              <w:rPr>
                <w:szCs w:val="18"/>
              </w:rPr>
              <w:t>ost of rTMS to MBS</w:t>
            </w:r>
          </w:p>
        </w:tc>
        <w:tc>
          <w:tcPr>
            <w:tcW w:w="0" w:type="auto"/>
            <w:vAlign w:val="center"/>
          </w:tcPr>
          <w:p w14:paraId="48D575BF" w14:textId="77777777" w:rsidR="005F1AC4" w:rsidRPr="00FF7CE4" w:rsidRDefault="005F1AC4" w:rsidP="00251BA6">
            <w:pPr>
              <w:pStyle w:val="TableText"/>
              <w:jc w:val="right"/>
              <w:rPr>
                <w:rFonts w:cs="Arial"/>
                <w:szCs w:val="18"/>
              </w:rPr>
            </w:pPr>
            <w:r w:rsidRPr="00FF7CE4">
              <w:rPr>
                <w:rFonts w:cs="Arial"/>
                <w:szCs w:val="18"/>
              </w:rPr>
              <w:t>$13,586,786</w:t>
            </w:r>
          </w:p>
        </w:tc>
        <w:tc>
          <w:tcPr>
            <w:tcW w:w="0" w:type="auto"/>
            <w:vAlign w:val="center"/>
          </w:tcPr>
          <w:p w14:paraId="4012FD99" w14:textId="77777777" w:rsidR="005F1AC4" w:rsidRPr="00FF7CE4" w:rsidRDefault="005F1AC4" w:rsidP="00251BA6">
            <w:pPr>
              <w:pStyle w:val="TableText"/>
              <w:jc w:val="right"/>
              <w:rPr>
                <w:rFonts w:cs="Arial"/>
                <w:szCs w:val="18"/>
              </w:rPr>
            </w:pPr>
            <w:r w:rsidRPr="00FF7CE4">
              <w:rPr>
                <w:rFonts w:cs="Arial"/>
                <w:szCs w:val="18"/>
              </w:rPr>
              <w:t>$15,079,417</w:t>
            </w:r>
          </w:p>
        </w:tc>
        <w:tc>
          <w:tcPr>
            <w:tcW w:w="0" w:type="auto"/>
            <w:vAlign w:val="center"/>
          </w:tcPr>
          <w:p w14:paraId="3397AEEC" w14:textId="77777777" w:rsidR="005F1AC4" w:rsidRPr="00FF7CE4" w:rsidRDefault="005F1AC4" w:rsidP="00251BA6">
            <w:pPr>
              <w:pStyle w:val="TableText"/>
              <w:jc w:val="right"/>
              <w:rPr>
                <w:rFonts w:cs="Arial"/>
                <w:szCs w:val="18"/>
              </w:rPr>
            </w:pPr>
            <w:r w:rsidRPr="00FF7CE4">
              <w:rPr>
                <w:rFonts w:cs="Arial"/>
                <w:szCs w:val="18"/>
              </w:rPr>
              <w:t>$16,616,702</w:t>
            </w:r>
          </w:p>
        </w:tc>
        <w:tc>
          <w:tcPr>
            <w:tcW w:w="0" w:type="auto"/>
            <w:vAlign w:val="center"/>
          </w:tcPr>
          <w:p w14:paraId="5D1E737E" w14:textId="77777777" w:rsidR="005F1AC4" w:rsidRPr="00FF7CE4" w:rsidRDefault="005F1AC4" w:rsidP="00251BA6">
            <w:pPr>
              <w:pStyle w:val="TableText"/>
              <w:jc w:val="right"/>
              <w:rPr>
                <w:rFonts w:cs="Arial"/>
                <w:szCs w:val="18"/>
              </w:rPr>
            </w:pPr>
            <w:r w:rsidRPr="00FF7CE4">
              <w:rPr>
                <w:rFonts w:cs="Arial"/>
                <w:szCs w:val="18"/>
              </w:rPr>
              <w:t>$18,198,329</w:t>
            </w:r>
          </w:p>
        </w:tc>
        <w:tc>
          <w:tcPr>
            <w:tcW w:w="0" w:type="auto"/>
            <w:vAlign w:val="center"/>
          </w:tcPr>
          <w:p w14:paraId="744187DB" w14:textId="77777777" w:rsidR="005F1AC4" w:rsidRPr="00FF7CE4" w:rsidRDefault="005F1AC4" w:rsidP="00251BA6">
            <w:pPr>
              <w:pStyle w:val="TableText"/>
              <w:jc w:val="right"/>
              <w:rPr>
                <w:rFonts w:cs="Arial"/>
                <w:szCs w:val="18"/>
              </w:rPr>
            </w:pPr>
            <w:r w:rsidRPr="00FF7CE4">
              <w:rPr>
                <w:rFonts w:cs="Arial"/>
                <w:szCs w:val="18"/>
              </w:rPr>
              <w:t>$19,820,809</w:t>
            </w:r>
          </w:p>
        </w:tc>
      </w:tr>
      <w:tr w:rsidR="005778D5" w:rsidRPr="00FF7CE4" w14:paraId="666E3702" w14:textId="77777777" w:rsidTr="003F17D5">
        <w:tc>
          <w:tcPr>
            <w:tcW w:w="3259" w:type="dxa"/>
            <w:vAlign w:val="center"/>
          </w:tcPr>
          <w:p w14:paraId="2615F77E" w14:textId="0097F0ED" w:rsidR="005778D5" w:rsidRPr="00FF7CE4" w:rsidRDefault="005778D5" w:rsidP="003149AB">
            <w:pPr>
              <w:pStyle w:val="TableText"/>
              <w:rPr>
                <w:rFonts w:cs="Arial"/>
                <w:szCs w:val="18"/>
                <w:highlight w:val="yellow"/>
              </w:rPr>
            </w:pPr>
            <w:r w:rsidRPr="00FF7CE4">
              <w:rPr>
                <w:rFonts w:cs="Arial"/>
                <w:szCs w:val="18"/>
              </w:rPr>
              <w:t>Total cost saving to the PBS (reduced antidepressant use)</w:t>
            </w:r>
          </w:p>
        </w:tc>
        <w:tc>
          <w:tcPr>
            <w:tcW w:w="0" w:type="auto"/>
            <w:vAlign w:val="center"/>
          </w:tcPr>
          <w:p w14:paraId="33C45EDC" w14:textId="7575D6CB" w:rsidR="005778D5" w:rsidRPr="00FF7CE4" w:rsidRDefault="005778D5" w:rsidP="00251BA6">
            <w:pPr>
              <w:pStyle w:val="TableText"/>
              <w:jc w:val="right"/>
              <w:rPr>
                <w:rFonts w:cs="Arial"/>
                <w:szCs w:val="18"/>
              </w:rPr>
            </w:pPr>
            <w:r w:rsidRPr="00FF7CE4">
              <w:rPr>
                <w:rFonts w:cs="Arial"/>
                <w:szCs w:val="18"/>
              </w:rPr>
              <w:t>-$295,481</w:t>
            </w:r>
          </w:p>
        </w:tc>
        <w:tc>
          <w:tcPr>
            <w:tcW w:w="0" w:type="auto"/>
            <w:vAlign w:val="center"/>
          </w:tcPr>
          <w:p w14:paraId="0F77FFB5" w14:textId="44BE1711" w:rsidR="005778D5" w:rsidRPr="00FF7CE4" w:rsidRDefault="005778D5" w:rsidP="00251BA6">
            <w:pPr>
              <w:pStyle w:val="TableText"/>
              <w:jc w:val="right"/>
              <w:rPr>
                <w:rFonts w:cs="Arial"/>
                <w:szCs w:val="18"/>
              </w:rPr>
            </w:pPr>
            <w:r w:rsidRPr="00FF7CE4">
              <w:rPr>
                <w:rFonts w:cs="Arial"/>
                <w:szCs w:val="18"/>
              </w:rPr>
              <w:t>-$327,942</w:t>
            </w:r>
          </w:p>
        </w:tc>
        <w:tc>
          <w:tcPr>
            <w:tcW w:w="0" w:type="auto"/>
            <w:vAlign w:val="center"/>
          </w:tcPr>
          <w:p w14:paraId="099977CF" w14:textId="4B87C19D" w:rsidR="005778D5" w:rsidRPr="00FF7CE4" w:rsidRDefault="005778D5" w:rsidP="00251BA6">
            <w:pPr>
              <w:pStyle w:val="TableText"/>
              <w:jc w:val="right"/>
              <w:rPr>
                <w:rFonts w:cs="Arial"/>
                <w:szCs w:val="18"/>
              </w:rPr>
            </w:pPr>
            <w:r w:rsidRPr="00FF7CE4">
              <w:rPr>
                <w:rFonts w:cs="Arial"/>
                <w:szCs w:val="18"/>
              </w:rPr>
              <w:t>-$361,374</w:t>
            </w:r>
          </w:p>
        </w:tc>
        <w:tc>
          <w:tcPr>
            <w:tcW w:w="0" w:type="auto"/>
            <w:vAlign w:val="center"/>
          </w:tcPr>
          <w:p w14:paraId="5F95E463" w14:textId="321B8717" w:rsidR="005778D5" w:rsidRPr="00FF7CE4" w:rsidRDefault="005778D5" w:rsidP="00251BA6">
            <w:pPr>
              <w:pStyle w:val="TableText"/>
              <w:jc w:val="right"/>
              <w:rPr>
                <w:rFonts w:cs="Arial"/>
                <w:szCs w:val="18"/>
              </w:rPr>
            </w:pPr>
            <w:r w:rsidRPr="00FF7CE4">
              <w:rPr>
                <w:rFonts w:cs="Arial"/>
                <w:szCs w:val="18"/>
              </w:rPr>
              <w:t>-$395,771</w:t>
            </w:r>
          </w:p>
        </w:tc>
        <w:tc>
          <w:tcPr>
            <w:tcW w:w="0" w:type="auto"/>
            <w:vAlign w:val="center"/>
          </w:tcPr>
          <w:p w14:paraId="14679FE8" w14:textId="651A5C23" w:rsidR="005778D5" w:rsidRPr="00FF7CE4" w:rsidRDefault="005778D5" w:rsidP="00251BA6">
            <w:pPr>
              <w:pStyle w:val="TableText"/>
              <w:jc w:val="right"/>
              <w:rPr>
                <w:rFonts w:cs="Arial"/>
                <w:szCs w:val="18"/>
              </w:rPr>
            </w:pPr>
            <w:r w:rsidRPr="00FF7CE4">
              <w:rPr>
                <w:rFonts w:cs="Arial"/>
                <w:szCs w:val="18"/>
              </w:rPr>
              <w:t>-$431,056</w:t>
            </w:r>
          </w:p>
        </w:tc>
      </w:tr>
      <w:tr w:rsidR="005778D5" w:rsidRPr="00FF7CE4" w14:paraId="0F0D172B" w14:textId="77777777" w:rsidTr="003F17D5">
        <w:tc>
          <w:tcPr>
            <w:tcW w:w="3259" w:type="dxa"/>
            <w:vAlign w:val="center"/>
          </w:tcPr>
          <w:p w14:paraId="2D413C9E" w14:textId="6002616D" w:rsidR="005778D5" w:rsidRPr="00FF7CE4" w:rsidRDefault="005778D5" w:rsidP="003149AB">
            <w:pPr>
              <w:pStyle w:val="TableText"/>
              <w:rPr>
                <w:rFonts w:cs="Arial"/>
                <w:szCs w:val="18"/>
                <w:highlight w:val="yellow"/>
              </w:rPr>
            </w:pPr>
            <w:r w:rsidRPr="00FF7CE4">
              <w:rPr>
                <w:rFonts w:cs="Arial"/>
                <w:szCs w:val="18"/>
              </w:rPr>
              <w:t>Total cost saving to MBS (reduced ECT use)</w:t>
            </w:r>
          </w:p>
        </w:tc>
        <w:tc>
          <w:tcPr>
            <w:tcW w:w="0" w:type="auto"/>
            <w:vAlign w:val="center"/>
          </w:tcPr>
          <w:p w14:paraId="3ABF3AA9" w14:textId="6F20A631" w:rsidR="005778D5" w:rsidRPr="00FF7CE4" w:rsidRDefault="005778D5" w:rsidP="00251BA6">
            <w:pPr>
              <w:pStyle w:val="TableText"/>
              <w:jc w:val="right"/>
              <w:rPr>
                <w:rFonts w:cs="Arial"/>
                <w:szCs w:val="18"/>
              </w:rPr>
            </w:pPr>
            <w:r w:rsidRPr="00FF7CE4">
              <w:rPr>
                <w:szCs w:val="18"/>
              </w:rPr>
              <w:t>-$284,104</w:t>
            </w:r>
          </w:p>
        </w:tc>
        <w:tc>
          <w:tcPr>
            <w:tcW w:w="0" w:type="auto"/>
            <w:vAlign w:val="center"/>
          </w:tcPr>
          <w:p w14:paraId="553A4740" w14:textId="28A222E0" w:rsidR="005778D5" w:rsidRPr="00FF7CE4" w:rsidRDefault="005778D5" w:rsidP="00251BA6">
            <w:pPr>
              <w:pStyle w:val="TableText"/>
              <w:jc w:val="right"/>
              <w:rPr>
                <w:rFonts w:cs="Arial"/>
                <w:szCs w:val="18"/>
              </w:rPr>
            </w:pPr>
            <w:r w:rsidRPr="00FF7CE4">
              <w:rPr>
                <w:szCs w:val="18"/>
              </w:rPr>
              <w:t>-$314,239</w:t>
            </w:r>
          </w:p>
        </w:tc>
        <w:tc>
          <w:tcPr>
            <w:tcW w:w="0" w:type="auto"/>
            <w:vAlign w:val="center"/>
          </w:tcPr>
          <w:p w14:paraId="37CC44A2" w14:textId="73B2ACF5" w:rsidR="005778D5" w:rsidRPr="00FF7CE4" w:rsidRDefault="005778D5" w:rsidP="00251BA6">
            <w:pPr>
              <w:pStyle w:val="TableText"/>
              <w:jc w:val="right"/>
              <w:rPr>
                <w:rFonts w:cs="Arial"/>
                <w:szCs w:val="18"/>
              </w:rPr>
            </w:pPr>
            <w:r w:rsidRPr="00FF7CE4">
              <w:rPr>
                <w:szCs w:val="18"/>
              </w:rPr>
              <w:t>-$322,758</w:t>
            </w:r>
          </w:p>
        </w:tc>
        <w:tc>
          <w:tcPr>
            <w:tcW w:w="0" w:type="auto"/>
            <w:vAlign w:val="center"/>
          </w:tcPr>
          <w:p w14:paraId="3271C149" w14:textId="205839EB" w:rsidR="005778D5" w:rsidRPr="00FF7CE4" w:rsidRDefault="005778D5" w:rsidP="00251BA6">
            <w:pPr>
              <w:pStyle w:val="TableText"/>
              <w:jc w:val="right"/>
              <w:rPr>
                <w:rFonts w:cs="Arial"/>
                <w:szCs w:val="18"/>
              </w:rPr>
            </w:pPr>
            <w:r w:rsidRPr="00FF7CE4">
              <w:rPr>
                <w:szCs w:val="18"/>
              </w:rPr>
              <w:t>-$351,951</w:t>
            </w:r>
          </w:p>
        </w:tc>
        <w:tc>
          <w:tcPr>
            <w:tcW w:w="0" w:type="auto"/>
            <w:vAlign w:val="center"/>
          </w:tcPr>
          <w:p w14:paraId="5110DD78" w14:textId="3F4DA24D" w:rsidR="005778D5" w:rsidRPr="00FF7CE4" w:rsidRDefault="005778D5" w:rsidP="00251BA6">
            <w:pPr>
              <w:pStyle w:val="TableText"/>
              <w:jc w:val="right"/>
              <w:rPr>
                <w:rFonts w:cs="Arial"/>
                <w:szCs w:val="18"/>
              </w:rPr>
            </w:pPr>
            <w:r w:rsidRPr="00FF7CE4">
              <w:rPr>
                <w:szCs w:val="18"/>
              </w:rPr>
              <w:t>-$364,742</w:t>
            </w:r>
          </w:p>
        </w:tc>
      </w:tr>
      <w:tr w:rsidR="00FF7CE4" w:rsidRPr="00FF7CE4" w14:paraId="365791E1" w14:textId="77777777" w:rsidTr="00CE6213">
        <w:tc>
          <w:tcPr>
            <w:tcW w:w="3259" w:type="dxa"/>
            <w:vAlign w:val="center"/>
          </w:tcPr>
          <w:p w14:paraId="4B49A56A" w14:textId="77777777" w:rsidR="00FF7CE4" w:rsidRPr="00FF7CE4" w:rsidRDefault="00FF7CE4" w:rsidP="00251BA6">
            <w:pPr>
              <w:pStyle w:val="TableText"/>
              <w:rPr>
                <w:rFonts w:cs="Arial"/>
                <w:b/>
                <w:szCs w:val="18"/>
              </w:rPr>
            </w:pPr>
            <w:r w:rsidRPr="00FF7CE4">
              <w:rPr>
                <w:rFonts w:cs="Arial"/>
                <w:b/>
                <w:szCs w:val="18"/>
              </w:rPr>
              <w:t xml:space="preserve">Total Net MBS cost </w:t>
            </w:r>
          </w:p>
        </w:tc>
        <w:tc>
          <w:tcPr>
            <w:tcW w:w="0" w:type="auto"/>
            <w:vAlign w:val="bottom"/>
          </w:tcPr>
          <w:p w14:paraId="635BB909" w14:textId="3459703A" w:rsidR="00FF7CE4" w:rsidRPr="00FF7CE4" w:rsidRDefault="00FF7CE4" w:rsidP="00251BA6">
            <w:pPr>
              <w:pStyle w:val="TableText"/>
              <w:jc w:val="right"/>
              <w:rPr>
                <w:b/>
                <w:szCs w:val="18"/>
              </w:rPr>
            </w:pPr>
            <w:r w:rsidRPr="00FF7CE4">
              <w:rPr>
                <w:rFonts w:cs="Arial"/>
                <w:b/>
                <w:szCs w:val="18"/>
              </w:rPr>
              <w:t>$13,302,682</w:t>
            </w:r>
          </w:p>
        </w:tc>
        <w:tc>
          <w:tcPr>
            <w:tcW w:w="0" w:type="auto"/>
            <w:vAlign w:val="bottom"/>
          </w:tcPr>
          <w:p w14:paraId="50D66CD4" w14:textId="536850D8" w:rsidR="00FF7CE4" w:rsidRPr="00FF7CE4" w:rsidRDefault="00FF7CE4" w:rsidP="00251BA6">
            <w:pPr>
              <w:pStyle w:val="TableText"/>
              <w:jc w:val="right"/>
              <w:rPr>
                <w:b/>
                <w:szCs w:val="18"/>
              </w:rPr>
            </w:pPr>
            <w:r w:rsidRPr="00FF7CE4">
              <w:rPr>
                <w:rFonts w:cs="Arial"/>
                <w:b/>
                <w:szCs w:val="18"/>
              </w:rPr>
              <w:t>$14,765,178</w:t>
            </w:r>
          </w:p>
        </w:tc>
        <w:tc>
          <w:tcPr>
            <w:tcW w:w="0" w:type="auto"/>
            <w:vAlign w:val="bottom"/>
          </w:tcPr>
          <w:p w14:paraId="4D19E3B2" w14:textId="64A6C403" w:rsidR="00FF7CE4" w:rsidRPr="00FF7CE4" w:rsidRDefault="00FF7CE4" w:rsidP="00251BA6">
            <w:pPr>
              <w:pStyle w:val="TableText"/>
              <w:jc w:val="right"/>
              <w:rPr>
                <w:b/>
                <w:szCs w:val="18"/>
              </w:rPr>
            </w:pPr>
            <w:r w:rsidRPr="00FF7CE4">
              <w:rPr>
                <w:rFonts w:cs="Arial"/>
                <w:b/>
                <w:szCs w:val="18"/>
              </w:rPr>
              <w:t>$16,293,945</w:t>
            </w:r>
          </w:p>
        </w:tc>
        <w:tc>
          <w:tcPr>
            <w:tcW w:w="0" w:type="auto"/>
            <w:vAlign w:val="bottom"/>
          </w:tcPr>
          <w:p w14:paraId="754105F8" w14:textId="4AC2D2B1" w:rsidR="00FF7CE4" w:rsidRPr="00FF7CE4" w:rsidRDefault="00FF7CE4" w:rsidP="00251BA6">
            <w:pPr>
              <w:pStyle w:val="TableText"/>
              <w:jc w:val="right"/>
              <w:rPr>
                <w:b/>
                <w:szCs w:val="18"/>
              </w:rPr>
            </w:pPr>
            <w:r w:rsidRPr="00FF7CE4">
              <w:rPr>
                <w:rFonts w:cs="Arial"/>
                <w:b/>
                <w:szCs w:val="18"/>
              </w:rPr>
              <w:t>$17,846,378</w:t>
            </w:r>
          </w:p>
        </w:tc>
        <w:tc>
          <w:tcPr>
            <w:tcW w:w="0" w:type="auto"/>
            <w:vAlign w:val="bottom"/>
          </w:tcPr>
          <w:p w14:paraId="5A8EE0EC" w14:textId="077B6EED" w:rsidR="00FF7CE4" w:rsidRPr="00FF7CE4" w:rsidRDefault="00FF7CE4" w:rsidP="00251BA6">
            <w:pPr>
              <w:pStyle w:val="TableText"/>
              <w:jc w:val="right"/>
              <w:rPr>
                <w:b/>
                <w:szCs w:val="18"/>
              </w:rPr>
            </w:pPr>
            <w:r w:rsidRPr="00FF7CE4">
              <w:rPr>
                <w:rFonts w:cs="Arial"/>
                <w:b/>
                <w:szCs w:val="18"/>
              </w:rPr>
              <w:t>$19,456,067</w:t>
            </w:r>
          </w:p>
        </w:tc>
      </w:tr>
      <w:tr w:rsidR="005778D5" w:rsidRPr="00FF7CE4" w14:paraId="62BEA34F" w14:textId="77777777" w:rsidTr="003F17D5">
        <w:tc>
          <w:tcPr>
            <w:tcW w:w="3259" w:type="dxa"/>
            <w:vAlign w:val="center"/>
          </w:tcPr>
          <w:p w14:paraId="58843DE7" w14:textId="77777777" w:rsidR="005778D5" w:rsidRPr="00FF7CE4" w:rsidRDefault="005778D5" w:rsidP="00251BA6">
            <w:pPr>
              <w:pStyle w:val="TableText"/>
              <w:rPr>
                <w:rFonts w:cs="Arial"/>
                <w:b/>
                <w:szCs w:val="18"/>
              </w:rPr>
            </w:pPr>
            <w:r w:rsidRPr="00FF7CE4">
              <w:rPr>
                <w:rFonts w:cs="Arial"/>
                <w:b/>
                <w:szCs w:val="18"/>
              </w:rPr>
              <w:t xml:space="preserve">Overall Net Cost to the health budget </w:t>
            </w:r>
          </w:p>
        </w:tc>
        <w:tc>
          <w:tcPr>
            <w:tcW w:w="0" w:type="auto"/>
            <w:vAlign w:val="center"/>
          </w:tcPr>
          <w:p w14:paraId="6447A699" w14:textId="1867F995" w:rsidR="005778D5" w:rsidRPr="00FF7CE4" w:rsidRDefault="005778D5" w:rsidP="00251BA6">
            <w:pPr>
              <w:pStyle w:val="TableText"/>
              <w:jc w:val="right"/>
              <w:rPr>
                <w:rFonts w:cs="Arial"/>
                <w:b/>
                <w:szCs w:val="18"/>
              </w:rPr>
            </w:pPr>
            <w:r w:rsidRPr="00FF7CE4">
              <w:rPr>
                <w:b/>
                <w:szCs w:val="18"/>
              </w:rPr>
              <w:t>$13,007,201</w:t>
            </w:r>
          </w:p>
        </w:tc>
        <w:tc>
          <w:tcPr>
            <w:tcW w:w="0" w:type="auto"/>
            <w:vAlign w:val="center"/>
          </w:tcPr>
          <w:p w14:paraId="2BCF3A10" w14:textId="5EF465BE" w:rsidR="005778D5" w:rsidRPr="00FF7CE4" w:rsidRDefault="005778D5" w:rsidP="00251BA6">
            <w:pPr>
              <w:pStyle w:val="TableText"/>
              <w:jc w:val="right"/>
              <w:rPr>
                <w:rFonts w:cs="Arial"/>
                <w:b/>
                <w:szCs w:val="18"/>
              </w:rPr>
            </w:pPr>
            <w:r w:rsidRPr="00FF7CE4">
              <w:rPr>
                <w:b/>
                <w:szCs w:val="18"/>
              </w:rPr>
              <w:t>$14,437,236</w:t>
            </w:r>
          </w:p>
        </w:tc>
        <w:tc>
          <w:tcPr>
            <w:tcW w:w="0" w:type="auto"/>
            <w:vAlign w:val="center"/>
          </w:tcPr>
          <w:p w14:paraId="47F342AA" w14:textId="77A7EF37" w:rsidR="005778D5" w:rsidRPr="00FF7CE4" w:rsidRDefault="005778D5" w:rsidP="00251BA6">
            <w:pPr>
              <w:pStyle w:val="TableText"/>
              <w:jc w:val="right"/>
              <w:rPr>
                <w:rFonts w:cs="Arial"/>
                <w:b/>
                <w:szCs w:val="18"/>
              </w:rPr>
            </w:pPr>
            <w:r w:rsidRPr="00FF7CE4">
              <w:rPr>
                <w:b/>
                <w:szCs w:val="18"/>
              </w:rPr>
              <w:t>$15,932,570</w:t>
            </w:r>
          </w:p>
        </w:tc>
        <w:tc>
          <w:tcPr>
            <w:tcW w:w="0" w:type="auto"/>
            <w:vAlign w:val="center"/>
          </w:tcPr>
          <w:p w14:paraId="5A515F34" w14:textId="5683FE4F" w:rsidR="005778D5" w:rsidRPr="00FF7CE4" w:rsidRDefault="005778D5" w:rsidP="00251BA6">
            <w:pPr>
              <w:pStyle w:val="TableText"/>
              <w:jc w:val="right"/>
              <w:rPr>
                <w:rFonts w:cs="Arial"/>
                <w:b/>
                <w:szCs w:val="18"/>
              </w:rPr>
            </w:pPr>
            <w:r w:rsidRPr="00FF7CE4">
              <w:rPr>
                <w:b/>
                <w:szCs w:val="18"/>
              </w:rPr>
              <w:t>$17,450,607</w:t>
            </w:r>
          </w:p>
        </w:tc>
        <w:tc>
          <w:tcPr>
            <w:tcW w:w="0" w:type="auto"/>
            <w:vAlign w:val="center"/>
          </w:tcPr>
          <w:p w14:paraId="7EBE39DC" w14:textId="7FC684BD" w:rsidR="005778D5" w:rsidRPr="00FF7CE4" w:rsidRDefault="005778D5" w:rsidP="00251BA6">
            <w:pPr>
              <w:pStyle w:val="TableText"/>
              <w:jc w:val="right"/>
              <w:rPr>
                <w:rFonts w:cs="Arial"/>
                <w:b/>
                <w:szCs w:val="18"/>
              </w:rPr>
            </w:pPr>
            <w:r w:rsidRPr="00FF7CE4">
              <w:rPr>
                <w:b/>
                <w:szCs w:val="18"/>
              </w:rPr>
              <w:t>$19,025,011</w:t>
            </w:r>
          </w:p>
        </w:tc>
      </w:tr>
    </w:tbl>
    <w:p w14:paraId="468BE73D" w14:textId="77777777" w:rsidR="003F17D5" w:rsidRDefault="003F17D5" w:rsidP="00C86093"/>
    <w:p w14:paraId="0032EB54" w14:textId="68D50D31" w:rsidR="005F1AC4" w:rsidRPr="00C9782D" w:rsidRDefault="00251BA6" w:rsidP="003F17D5">
      <w:pPr>
        <w:jc w:val="both"/>
      </w:pPr>
      <w:r>
        <w:t>The financial estimates above t</w:t>
      </w:r>
      <w:r w:rsidR="000F135E">
        <w:t xml:space="preserve">ake into account </w:t>
      </w:r>
      <w:r>
        <w:t xml:space="preserve">the numbers of </w:t>
      </w:r>
      <w:r w:rsidR="000F135E">
        <w:t>patients requiring</w:t>
      </w:r>
      <w:r>
        <w:t xml:space="preserve"> reintroduction and maintenance and a small</w:t>
      </w:r>
      <w:r w:rsidR="000F135E">
        <w:t xml:space="preserve"> </w:t>
      </w:r>
      <w:r>
        <w:t xml:space="preserve">upwards </w:t>
      </w:r>
      <w:r w:rsidR="000F135E">
        <w:t>adjust</w:t>
      </w:r>
      <w:r>
        <w:t>ment</w:t>
      </w:r>
      <w:r w:rsidR="000F135E">
        <w:t xml:space="preserve"> for increased uptake if more </w:t>
      </w:r>
      <w:r w:rsidR="00354FAD">
        <w:t>magnetic stimulators</w:t>
      </w:r>
      <w:r w:rsidR="000F135E">
        <w:t xml:space="preserve"> are made available</w:t>
      </w:r>
      <w:r>
        <w:t xml:space="preserve"> in Australia</w:t>
      </w:r>
      <w:r w:rsidR="000F135E">
        <w:t>.</w:t>
      </w:r>
      <w:r w:rsidR="005F1AC4">
        <w:t xml:space="preserve"> </w:t>
      </w:r>
      <w:r w:rsidR="0080117F">
        <w:t xml:space="preserve">The listing of </w:t>
      </w:r>
      <w:r w:rsidR="005F1AC4">
        <w:rPr>
          <w:rFonts w:cs="Arial"/>
          <w:szCs w:val="24"/>
        </w:rPr>
        <w:t xml:space="preserve">rTMS therapy is expected to </w:t>
      </w:r>
      <w:r w:rsidR="0080117F">
        <w:rPr>
          <w:rFonts w:cs="Arial"/>
          <w:szCs w:val="24"/>
        </w:rPr>
        <w:t xml:space="preserve">have a net </w:t>
      </w:r>
      <w:r w:rsidR="005F1AC4">
        <w:rPr>
          <w:rFonts w:cs="Arial"/>
          <w:szCs w:val="24"/>
        </w:rPr>
        <w:t xml:space="preserve">cost </w:t>
      </w:r>
      <w:r w:rsidR="0080117F">
        <w:rPr>
          <w:rFonts w:cs="Arial"/>
          <w:szCs w:val="24"/>
        </w:rPr>
        <w:t xml:space="preserve">to </w:t>
      </w:r>
      <w:r w:rsidR="005F1AC4">
        <w:rPr>
          <w:rFonts w:cs="Arial"/>
          <w:szCs w:val="24"/>
        </w:rPr>
        <w:t xml:space="preserve">the MBS </w:t>
      </w:r>
      <w:r w:rsidR="001C5378">
        <w:rPr>
          <w:rFonts w:cs="Arial"/>
          <w:szCs w:val="24"/>
        </w:rPr>
        <w:t xml:space="preserve">of </w:t>
      </w:r>
      <w:r w:rsidR="005F1AC4">
        <w:rPr>
          <w:rFonts w:cs="Arial"/>
          <w:szCs w:val="24"/>
        </w:rPr>
        <w:t>approximately $</w:t>
      </w:r>
      <w:r w:rsidR="005778D5">
        <w:rPr>
          <w:rFonts w:cs="Arial"/>
          <w:szCs w:val="24"/>
        </w:rPr>
        <w:t>13.</w:t>
      </w:r>
      <w:r w:rsidR="00FF7CE4">
        <w:rPr>
          <w:rFonts w:cs="Arial"/>
          <w:szCs w:val="24"/>
        </w:rPr>
        <w:t>303</w:t>
      </w:r>
      <w:r>
        <w:rPr>
          <w:rFonts w:cs="Arial"/>
          <w:szCs w:val="24"/>
        </w:rPr>
        <w:t xml:space="preserve"> million</w:t>
      </w:r>
      <w:r w:rsidR="005F1AC4">
        <w:rPr>
          <w:rFonts w:cs="Arial"/>
          <w:szCs w:val="24"/>
        </w:rPr>
        <w:t xml:space="preserve"> in Year 1, increasing to $</w:t>
      </w:r>
      <w:r w:rsidR="00FF7CE4">
        <w:rPr>
          <w:rFonts w:cs="Arial"/>
          <w:szCs w:val="24"/>
        </w:rPr>
        <w:t>19.456</w:t>
      </w:r>
      <w:r>
        <w:rPr>
          <w:rFonts w:cs="Arial"/>
          <w:szCs w:val="24"/>
        </w:rPr>
        <w:t xml:space="preserve"> million </w:t>
      </w:r>
      <w:r w:rsidR="005F1AC4">
        <w:rPr>
          <w:rFonts w:cs="Arial"/>
          <w:szCs w:val="24"/>
        </w:rPr>
        <w:t>in Year 5. Over the next 5 years</w:t>
      </w:r>
      <w:r w:rsidR="001C5378">
        <w:rPr>
          <w:rFonts w:cs="Arial"/>
          <w:szCs w:val="24"/>
        </w:rPr>
        <w:t>,</w:t>
      </w:r>
      <w:r w:rsidR="005F1AC4">
        <w:rPr>
          <w:rFonts w:cs="Arial"/>
          <w:szCs w:val="24"/>
        </w:rPr>
        <w:t xml:space="preserve"> rTMS treatment and psychiatrist consults </w:t>
      </w:r>
      <w:r w:rsidR="001C5378">
        <w:rPr>
          <w:rFonts w:cs="Arial"/>
          <w:szCs w:val="24"/>
        </w:rPr>
        <w:t>would</w:t>
      </w:r>
      <w:r w:rsidR="005F1AC4">
        <w:rPr>
          <w:rFonts w:cs="Arial"/>
          <w:szCs w:val="24"/>
        </w:rPr>
        <w:t xml:space="preserve"> cost the MBS approximately $</w:t>
      </w:r>
      <w:r w:rsidR="00FF7CE4">
        <w:rPr>
          <w:rFonts w:cs="Arial"/>
          <w:szCs w:val="24"/>
        </w:rPr>
        <w:t>81.664</w:t>
      </w:r>
      <w:r w:rsidR="005F1AC4">
        <w:rPr>
          <w:rFonts w:cs="Arial"/>
          <w:szCs w:val="24"/>
        </w:rPr>
        <w:t xml:space="preserve"> million</w:t>
      </w:r>
      <w:r w:rsidR="0080117F">
        <w:rPr>
          <w:rFonts w:cs="Arial"/>
          <w:szCs w:val="24"/>
        </w:rPr>
        <w:t>, after cost-offsets are taken into account</w:t>
      </w:r>
      <w:r w:rsidR="005F1AC4">
        <w:rPr>
          <w:rFonts w:cs="Arial"/>
          <w:szCs w:val="24"/>
        </w:rPr>
        <w:t>.</w:t>
      </w:r>
      <w:r w:rsidR="00D90155">
        <w:rPr>
          <w:rFonts w:cs="Arial"/>
          <w:szCs w:val="24"/>
        </w:rPr>
        <w:t xml:space="preserve"> In sensitivity analyses, the net costs to the health budget are strongly influenced by the uncertainty around the expected number of rTMS patients</w:t>
      </w:r>
      <w:r w:rsidR="00D16980">
        <w:rPr>
          <w:rFonts w:cs="Arial"/>
          <w:szCs w:val="24"/>
        </w:rPr>
        <w:t xml:space="preserve">. In the base case, of those who have failed two adequate antidepressants, </w:t>
      </w:r>
      <w:r w:rsidR="00D90155">
        <w:rPr>
          <w:rFonts w:cs="Arial"/>
          <w:szCs w:val="24"/>
        </w:rPr>
        <w:t>0.56%</w:t>
      </w:r>
      <w:r w:rsidR="00D16980">
        <w:rPr>
          <w:rFonts w:cs="Arial"/>
          <w:szCs w:val="24"/>
        </w:rPr>
        <w:t xml:space="preserve"> </w:t>
      </w:r>
      <w:proofErr w:type="gramStart"/>
      <w:r w:rsidR="003149AB">
        <w:rPr>
          <w:rFonts w:cs="Arial"/>
          <w:szCs w:val="24"/>
        </w:rPr>
        <w:t>are</w:t>
      </w:r>
      <w:proofErr w:type="gramEnd"/>
      <w:r w:rsidR="003149AB">
        <w:rPr>
          <w:rFonts w:cs="Arial"/>
          <w:szCs w:val="24"/>
        </w:rPr>
        <w:t xml:space="preserve"> </w:t>
      </w:r>
      <w:r w:rsidR="00407072">
        <w:rPr>
          <w:rFonts w:cs="Arial"/>
          <w:szCs w:val="24"/>
        </w:rPr>
        <w:t>estimated to receive</w:t>
      </w:r>
      <w:r w:rsidR="00D16980">
        <w:rPr>
          <w:rFonts w:cs="Arial"/>
          <w:szCs w:val="24"/>
        </w:rPr>
        <w:t xml:space="preserve"> rTMS but if this increases to 1.5%, the net </w:t>
      </w:r>
      <w:r w:rsidR="00310AD5">
        <w:rPr>
          <w:rFonts w:cs="Arial"/>
          <w:szCs w:val="24"/>
        </w:rPr>
        <w:t>Government</w:t>
      </w:r>
      <w:r w:rsidR="00D16980">
        <w:rPr>
          <w:rFonts w:cs="Arial"/>
          <w:szCs w:val="24"/>
        </w:rPr>
        <w:t xml:space="preserve"> cost in the first year increases substantially to $</w:t>
      </w:r>
      <w:r w:rsidR="00310AD5">
        <w:rPr>
          <w:rFonts w:cs="Arial"/>
          <w:szCs w:val="24"/>
        </w:rPr>
        <w:t>35.318</w:t>
      </w:r>
      <w:r w:rsidR="00D16980">
        <w:rPr>
          <w:rFonts w:cs="Arial"/>
          <w:szCs w:val="24"/>
        </w:rPr>
        <w:t xml:space="preserve"> million.</w:t>
      </w:r>
      <w:r w:rsidR="00D90155">
        <w:rPr>
          <w:rFonts w:cs="Arial"/>
          <w:szCs w:val="24"/>
        </w:rPr>
        <w:t xml:space="preserve"> </w:t>
      </w:r>
      <w:r w:rsidR="005F1AC4">
        <w:rPr>
          <w:rFonts w:cs="Arial"/>
          <w:szCs w:val="24"/>
        </w:rPr>
        <w:t xml:space="preserve"> </w:t>
      </w:r>
    </w:p>
    <w:p w14:paraId="0E718D47" w14:textId="77777777" w:rsidR="00F6430A" w:rsidRPr="003A3FF5" w:rsidRDefault="00F6430A" w:rsidP="00610C87">
      <w:pPr>
        <w:pStyle w:val="Heading4"/>
      </w:pPr>
      <w:r w:rsidRPr="00610C87">
        <w:t>Conclusions</w:t>
      </w:r>
    </w:p>
    <w:p w14:paraId="3545834F" w14:textId="17DCDABE" w:rsidR="008A03F1" w:rsidRPr="008A03F1" w:rsidRDefault="00D16980" w:rsidP="00F67948">
      <w:pPr>
        <w:jc w:val="both"/>
      </w:pPr>
      <w:r>
        <w:t>T</w:t>
      </w:r>
      <w:r w:rsidR="008A03F1" w:rsidRPr="008A03F1">
        <w:t xml:space="preserve">he main reasons </w:t>
      </w:r>
      <w:r w:rsidR="008A03F1">
        <w:t xml:space="preserve">to support </w:t>
      </w:r>
      <w:r w:rsidR="00DB7DC9">
        <w:t>rTMS for the proposed MBS population</w:t>
      </w:r>
      <w:r>
        <w:t xml:space="preserve"> </w:t>
      </w:r>
      <w:r w:rsidR="006C19DA">
        <w:t>are</w:t>
      </w:r>
      <w:r>
        <w:t xml:space="preserve"> the superior safety profile of rTMS over </w:t>
      </w:r>
      <w:r w:rsidR="00354FAD">
        <w:t>both</w:t>
      </w:r>
      <w:r w:rsidR="00DB7DC9">
        <w:t xml:space="preserve"> </w:t>
      </w:r>
      <w:r>
        <w:t xml:space="preserve">antidepressants </w:t>
      </w:r>
      <w:r w:rsidR="00354FAD">
        <w:t>and</w:t>
      </w:r>
      <w:r>
        <w:t xml:space="preserve"> ECT </w:t>
      </w:r>
      <w:r w:rsidRPr="006C19DA">
        <w:t xml:space="preserve">and the </w:t>
      </w:r>
      <w:r w:rsidR="0055050D" w:rsidRPr="006C19DA">
        <w:t xml:space="preserve">equivalent to </w:t>
      </w:r>
      <w:r w:rsidRPr="006C19DA">
        <w:t>superior</w:t>
      </w:r>
      <w:r>
        <w:t xml:space="preserve"> effectiveness </w:t>
      </w:r>
      <w:r w:rsidR="005E78B7">
        <w:t>to</w:t>
      </w:r>
      <w:r>
        <w:t xml:space="preserve"> antidepressants.</w:t>
      </w:r>
    </w:p>
    <w:p w14:paraId="46CB2F1D" w14:textId="77777777" w:rsidR="00DA4D81" w:rsidRDefault="00D16980" w:rsidP="00F67948">
      <w:pPr>
        <w:jc w:val="both"/>
      </w:pPr>
      <w:r>
        <w:t xml:space="preserve">The main </w:t>
      </w:r>
      <w:r w:rsidR="00DA4D81">
        <w:t>sources of uncertainty in this application are</w:t>
      </w:r>
      <w:r>
        <w:t xml:space="preserve"> the lack of direct evidence of a benefit of rTMS over ECT or antidepressants</w:t>
      </w:r>
      <w:r w:rsidR="00DA4D81">
        <w:t xml:space="preserve"> and the reliance of comparing outcomes </w:t>
      </w:r>
      <w:r w:rsidR="00DA4D81">
        <w:lastRenderedPageBreak/>
        <w:t>indirectly</w:t>
      </w:r>
      <w:r>
        <w:t xml:space="preserve">. </w:t>
      </w:r>
      <w:r w:rsidR="00DA4D81">
        <w:t xml:space="preserve">The common sources of bias with the available evidence are the subjective nature of the outcomes, the </w:t>
      </w:r>
      <w:r w:rsidR="0055050D">
        <w:t xml:space="preserve">inconsistency with choice of outcome measures in the trials and </w:t>
      </w:r>
      <w:r w:rsidR="00DA4D81">
        <w:t>unclear methodology around blinding</w:t>
      </w:r>
      <w:r w:rsidR="0055050D">
        <w:t>.</w:t>
      </w:r>
      <w:r w:rsidR="00DA4D81">
        <w:t xml:space="preserve"> Further research is necessary to directly assess rTMS with antidepressant and non-psychotic patients receiving ECT.</w:t>
      </w:r>
      <w:r w:rsidR="00DB7DC9" w:rsidRPr="00DB7DC9">
        <w:t xml:space="preserve"> </w:t>
      </w:r>
      <w:r w:rsidR="00DB7DC9">
        <w:t xml:space="preserve">The biological mechanism of why rTMS works is </w:t>
      </w:r>
      <w:r w:rsidR="005E78B7">
        <w:t xml:space="preserve">also </w:t>
      </w:r>
      <w:r w:rsidR="00DB7DC9">
        <w:t>not fully understood.</w:t>
      </w:r>
    </w:p>
    <w:p w14:paraId="7BDB34F6" w14:textId="1690ED8D" w:rsidR="00DA4D81" w:rsidRDefault="00DA4D81" w:rsidP="00F67948">
      <w:pPr>
        <w:jc w:val="both"/>
      </w:pPr>
      <w:r>
        <w:t xml:space="preserve">The expected use of rTMS in Australia is </w:t>
      </w:r>
      <w:r w:rsidR="005E78B7">
        <w:t>unknown</w:t>
      </w:r>
      <w:r>
        <w:t xml:space="preserve"> due to the </w:t>
      </w:r>
      <w:r w:rsidR="00B032CC">
        <w:t>10-15</w:t>
      </w:r>
      <w:r>
        <w:t xml:space="preserve"> machines that </w:t>
      </w:r>
      <w:r w:rsidR="005E78B7">
        <w:t xml:space="preserve">currently </w:t>
      </w:r>
      <w:r>
        <w:t xml:space="preserve">exist but the </w:t>
      </w:r>
      <w:r w:rsidR="00DB7DC9">
        <w:t xml:space="preserve">potential for rapid uptake of this </w:t>
      </w:r>
      <w:r>
        <w:t>non-invasive</w:t>
      </w:r>
      <w:r w:rsidR="0055050D">
        <w:t>,</w:t>
      </w:r>
      <w:r>
        <w:t xml:space="preserve"> </w:t>
      </w:r>
      <w:r w:rsidR="0055050D">
        <w:t xml:space="preserve">safe </w:t>
      </w:r>
      <w:r>
        <w:t xml:space="preserve">and </w:t>
      </w:r>
      <w:r w:rsidR="0055050D">
        <w:t xml:space="preserve">acceptable </w:t>
      </w:r>
      <w:r w:rsidR="00DB7DC9">
        <w:t>antidepressant treatment</w:t>
      </w:r>
      <w:r>
        <w:t xml:space="preserve"> for patients. ECT remain</w:t>
      </w:r>
      <w:r w:rsidR="00354FAD">
        <w:t>s</w:t>
      </w:r>
      <w:r>
        <w:t xml:space="preserve"> a useful approach for severely ill patients but the availability of rTMS provides another treatment for ongoing or maintenance therapy for these patients. Information on the likely numbers of patients for rTMS retreatment or maintenance is largely unknown and assumptions were necessary for these parameters in the economic model</w:t>
      </w:r>
      <w:r w:rsidR="000C77FA">
        <w:t xml:space="preserve"> and financial estimates</w:t>
      </w:r>
      <w:r>
        <w:t>.  Further evidence is needed on these issues around clinical practice.</w:t>
      </w:r>
    </w:p>
    <w:p w14:paraId="238BC1DF" w14:textId="77777777" w:rsidR="008F59A8" w:rsidRPr="00C9782D" w:rsidRDefault="008F59A8" w:rsidP="00AB6AD4">
      <w:pPr>
        <w:pStyle w:val="Heading2"/>
      </w:pPr>
      <w:bookmarkStart w:id="26" w:name="_Toc451749499"/>
      <w:bookmarkStart w:id="27" w:name="_Toc386093973"/>
      <w:bookmarkStart w:id="28" w:name="_Toc386094212"/>
      <w:bookmarkStart w:id="29" w:name="_Toc389142031"/>
      <w:r w:rsidRPr="00C9782D">
        <w:lastRenderedPageBreak/>
        <w:t>Introduction</w:t>
      </w:r>
      <w:bookmarkEnd w:id="26"/>
      <w:bookmarkEnd w:id="27"/>
      <w:bookmarkEnd w:id="28"/>
      <w:bookmarkEnd w:id="29"/>
    </w:p>
    <w:p w14:paraId="0721DC20" w14:textId="77777777" w:rsidR="00397B17" w:rsidRDefault="00397B17" w:rsidP="00F67948">
      <w:pPr>
        <w:jc w:val="both"/>
      </w:pPr>
    </w:p>
    <w:p w14:paraId="43994F45" w14:textId="77777777" w:rsidR="001C3A68" w:rsidRPr="00C9782D" w:rsidRDefault="001C3A68" w:rsidP="00F67948">
      <w:pPr>
        <w:jc w:val="both"/>
      </w:pPr>
      <w:r w:rsidRPr="00C9782D">
        <w:t xml:space="preserve">The Medical Services Advisory Committee (MSAC) has reviewed the use of </w:t>
      </w:r>
      <w:r w:rsidR="00647D24">
        <w:t>repetitive transcranial magnetic stimulation</w:t>
      </w:r>
      <w:r w:rsidRPr="00C9782D">
        <w:t xml:space="preserve">, which is a </w:t>
      </w:r>
      <w:r w:rsidRPr="00647D24">
        <w:t>therapeutic</w:t>
      </w:r>
      <w:r w:rsidR="00647D24">
        <w:t xml:space="preserve"> procedure</w:t>
      </w:r>
      <w:r w:rsidRPr="00C9782D">
        <w:t xml:space="preserve"> for </w:t>
      </w:r>
      <w:r w:rsidR="00647D24">
        <w:t>treatment resistant depression.</w:t>
      </w:r>
      <w:r w:rsidRPr="00C9782D">
        <w:t xml:space="preserve"> MSAC evaluates new and existing health technologies and procedures for which funding is sought under the Medicare Benefits Scheme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6B82D9F0" w14:textId="77777777" w:rsidR="001C3A68" w:rsidRPr="00C9782D" w:rsidRDefault="001C3A68" w:rsidP="00F67948">
      <w:pPr>
        <w:jc w:val="both"/>
      </w:pPr>
      <w:r w:rsidRPr="00C9782D">
        <w:t>MSAC is a multidisciplinary expert body, comprising members drawn from such disciplines as diagnostic imaging, pathology, surgery, internal medicine and general practice, clinical epidemiology, health economics, consumer health and health administration.</w:t>
      </w:r>
    </w:p>
    <w:p w14:paraId="15EFBE28" w14:textId="77777777" w:rsidR="001C3A68" w:rsidRPr="00C9782D" w:rsidRDefault="001C3A68" w:rsidP="00F67948">
      <w:pPr>
        <w:jc w:val="both"/>
      </w:pPr>
      <w:r w:rsidRPr="00C9782D">
        <w:t xml:space="preserve">This report summarises the assessment of current evidence for </w:t>
      </w:r>
      <w:r w:rsidR="00647D24">
        <w:t>repetitive transcranial magnetic stimulation being proposed for third-line therapy</w:t>
      </w:r>
      <w:r w:rsidR="00647D24" w:rsidRPr="00C9782D">
        <w:t xml:space="preserve"> for </w:t>
      </w:r>
      <w:r w:rsidR="00647D24">
        <w:t>treatment-resistant depression</w:t>
      </w:r>
      <w:r w:rsidRPr="00C9782D">
        <w:t>.</w:t>
      </w:r>
    </w:p>
    <w:p w14:paraId="295EC2A6" w14:textId="77777777" w:rsidR="00F302BD" w:rsidRDefault="00F302BD" w:rsidP="00AB6AD4">
      <w:pPr>
        <w:pStyle w:val="Heading2"/>
      </w:pPr>
      <w:bookmarkStart w:id="30" w:name="_Toc386093974"/>
      <w:bookmarkStart w:id="31" w:name="_Toc386094213"/>
      <w:bookmarkStart w:id="32" w:name="_Toc389142032"/>
      <w:bookmarkStart w:id="33" w:name="_Toc188861162"/>
      <w:r>
        <w:lastRenderedPageBreak/>
        <w:t>Background</w:t>
      </w:r>
      <w:bookmarkEnd w:id="30"/>
      <w:bookmarkEnd w:id="31"/>
      <w:bookmarkEnd w:id="32"/>
    </w:p>
    <w:p w14:paraId="335E2409" w14:textId="77777777" w:rsidR="00F302BD" w:rsidRDefault="00F302BD" w:rsidP="00D22942">
      <w:pPr>
        <w:pStyle w:val="Heading3"/>
      </w:pPr>
      <w:bookmarkStart w:id="34" w:name="_Toc389142033"/>
      <w:r>
        <w:t xml:space="preserve">Proposed </w:t>
      </w:r>
      <w:r w:rsidR="0032515B">
        <w:t>technology: rTMS</w:t>
      </w:r>
      <w:bookmarkEnd w:id="34"/>
    </w:p>
    <w:p w14:paraId="3D993CEB" w14:textId="77777777" w:rsidR="00610C87" w:rsidRDefault="00F302BD" w:rsidP="00F67948">
      <w:pPr>
        <w:jc w:val="both"/>
        <w:rPr>
          <w:kern w:val="28"/>
        </w:rPr>
      </w:pPr>
      <w:r w:rsidRPr="00AD6EF2">
        <w:t xml:space="preserve">Transcranial Magnetic Stimulation (TMS) </w:t>
      </w:r>
      <w:r w:rsidR="00851C44">
        <w:t>t</w:t>
      </w:r>
      <w:r w:rsidRPr="00AD6EF2">
        <w:t>herapy is a non</w:t>
      </w:r>
      <w:r>
        <w:t>-</w:t>
      </w:r>
      <w:r w:rsidRPr="00AD6EF2">
        <w:t xml:space="preserve">invasive, non-systemic therapeutic device/treatment that uses </w:t>
      </w:r>
      <w:r w:rsidR="005C0B8F">
        <w:t>magnetic resonance imaging (</w:t>
      </w:r>
      <w:r w:rsidRPr="00AD6EF2">
        <w:t>MRI</w:t>
      </w:r>
      <w:r w:rsidR="005C0B8F">
        <w:t>)</w:t>
      </w:r>
      <w:r w:rsidRPr="00AD6EF2">
        <w:t>-strength, pulsed, magnetic fields to induce an electric current in a localized region of the cerebral cortex.</w:t>
      </w:r>
      <w:r w:rsidRPr="00AD6EF2">
        <w:rPr>
          <w:kern w:val="28"/>
        </w:rPr>
        <w:t xml:space="preserve"> </w:t>
      </w:r>
      <w:r w:rsidR="005C0B8F">
        <w:rPr>
          <w:kern w:val="28"/>
        </w:rPr>
        <w:t>During TMS treatment, the patient is conscious and there is no requirement for anaesthetic or muscle relaxants. The therapeutic magnetic strength is</w:t>
      </w:r>
      <w:r w:rsidR="0077611F">
        <w:rPr>
          <w:kern w:val="28"/>
        </w:rPr>
        <w:t xml:space="preserve"> set by adjusting</w:t>
      </w:r>
      <w:r w:rsidR="005C0B8F">
        <w:rPr>
          <w:kern w:val="28"/>
        </w:rPr>
        <w:t xml:space="preserve"> the amount of magnetic energy </w:t>
      </w:r>
      <w:r w:rsidR="0077611F">
        <w:rPr>
          <w:kern w:val="28"/>
        </w:rPr>
        <w:t xml:space="preserve">until the motor threshold is reached (i.e., when the patient’s fingers or hands start to twitch). Treatment lasts approximately 40 minutes. Sessions are normally performed </w:t>
      </w:r>
      <w:r w:rsidR="003149AB">
        <w:rPr>
          <w:kern w:val="28"/>
        </w:rPr>
        <w:t xml:space="preserve">three to </w:t>
      </w:r>
      <w:r w:rsidR="0077611F">
        <w:rPr>
          <w:kern w:val="28"/>
        </w:rPr>
        <w:t>five times a week over a period of four to six weeks.</w:t>
      </w:r>
      <w:r w:rsidR="005C0B8F" w:rsidRPr="00AD6EF2">
        <w:rPr>
          <w:kern w:val="28"/>
        </w:rPr>
        <w:t xml:space="preserve"> </w:t>
      </w:r>
    </w:p>
    <w:p w14:paraId="3AC2E06F" w14:textId="1FEA3BC5" w:rsidR="00F302BD" w:rsidRDefault="00F302BD" w:rsidP="00F67948">
      <w:pPr>
        <w:jc w:val="both"/>
        <w:rPr>
          <w:kern w:val="28"/>
        </w:rPr>
      </w:pPr>
      <w:r w:rsidRPr="00AD6EF2">
        <w:rPr>
          <w:kern w:val="28"/>
        </w:rPr>
        <w:t xml:space="preserve">When used as an antidepressant therapy, TMS </w:t>
      </w:r>
      <w:r w:rsidR="00851C44">
        <w:rPr>
          <w:kern w:val="28"/>
        </w:rPr>
        <w:t>t</w:t>
      </w:r>
      <w:r w:rsidRPr="00AD6EF2">
        <w:rPr>
          <w:kern w:val="28"/>
        </w:rPr>
        <w:t xml:space="preserve">herapy produces a clinical benefit without the systemic side effects typical with oral medications and has no adverse effects on cognition (Janicak, et al., 2008; Guse, et al., 2010). </w:t>
      </w:r>
      <w:r w:rsidR="007769C6">
        <w:rPr>
          <w:kern w:val="28"/>
        </w:rPr>
        <w:t>TMS is not for use in patients with metal items such as cochlear implants and implanted electrodes in close proximity to the electromagnetic coil during treatment.  Patients who are at risk for epileptic seizures, are withdrawing from drugs or alcohol or who have drug or alcohol dependence should also not be referred to TMS.</w:t>
      </w:r>
    </w:p>
    <w:p w14:paraId="6128CCBA" w14:textId="14DBA225" w:rsidR="00610C87" w:rsidRPr="008C4272" w:rsidRDefault="00610C87" w:rsidP="00397B17">
      <w:pPr>
        <w:pStyle w:val="Heading6"/>
        <w:rPr>
          <w:rStyle w:val="Strong"/>
          <w:b/>
        </w:rPr>
      </w:pPr>
      <w:bookmarkStart w:id="35" w:name="_Toc389154648"/>
      <w:bookmarkStart w:id="36" w:name="_Toc389042763"/>
      <w:r w:rsidRPr="008C4272">
        <w:rPr>
          <w:rStyle w:val="Strong"/>
          <w:b/>
        </w:rPr>
        <w:t xml:space="preserve">Figure </w:t>
      </w:r>
      <w:r w:rsidR="00E45AF4" w:rsidRPr="008C4272">
        <w:rPr>
          <w:rStyle w:val="Strong"/>
          <w:b/>
        </w:rPr>
        <w:fldChar w:fldCharType="begin"/>
      </w:r>
      <w:r w:rsidR="00E45AF4" w:rsidRPr="008C4272">
        <w:rPr>
          <w:rStyle w:val="Strong"/>
          <w:b/>
        </w:rPr>
        <w:instrText xml:space="preserve"> SEQ Figure \* ARABIC </w:instrText>
      </w:r>
      <w:r w:rsidR="00E45AF4" w:rsidRPr="008C4272">
        <w:rPr>
          <w:rStyle w:val="Strong"/>
          <w:b/>
        </w:rPr>
        <w:fldChar w:fldCharType="separate"/>
      </w:r>
      <w:r w:rsidR="004C1C27">
        <w:rPr>
          <w:rStyle w:val="Strong"/>
          <w:b/>
          <w:noProof/>
        </w:rPr>
        <w:t>1</w:t>
      </w:r>
      <w:r w:rsidR="00E45AF4" w:rsidRPr="008C4272">
        <w:rPr>
          <w:rStyle w:val="Strong"/>
          <w:b/>
        </w:rPr>
        <w:fldChar w:fldCharType="end"/>
      </w:r>
      <w:r w:rsidRPr="008C4272">
        <w:rPr>
          <w:rStyle w:val="Strong"/>
          <w:b/>
        </w:rPr>
        <w:t>: Illustration of rTMS</w:t>
      </w:r>
      <w:bookmarkEnd w:id="35"/>
      <w:r w:rsidRPr="008C4272">
        <w:rPr>
          <w:rStyle w:val="Strong"/>
          <w:b/>
        </w:rPr>
        <w:t xml:space="preserve"> </w:t>
      </w:r>
      <w:bookmarkEnd w:id="36"/>
    </w:p>
    <w:p w14:paraId="7542E391" w14:textId="77777777" w:rsidR="0032515B" w:rsidRDefault="004878A2" w:rsidP="00610C87">
      <w:pPr>
        <w:keepNext/>
        <w:jc w:val="center"/>
        <w:rPr>
          <w:kern w:val="28"/>
        </w:rPr>
      </w:pPr>
      <w:r>
        <w:rPr>
          <w:noProof/>
          <w:kern w:val="28"/>
          <w:lang w:eastAsia="en-AU"/>
        </w:rPr>
        <w:drawing>
          <wp:inline distT="0" distB="0" distL="0" distR="0" wp14:anchorId="23CF9171" wp14:editId="6D0B6627">
            <wp:extent cx="2995685" cy="2644726"/>
            <wp:effectExtent l="0" t="0" r="0" b="3810"/>
            <wp:docPr id="1" name="Picture 1" title="Illustration of r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18">
                      <a:extLst>
                        <a:ext uri="{28A0092B-C50C-407E-A947-70E740481C1C}">
                          <a14:useLocalDpi xmlns:a14="http://schemas.microsoft.com/office/drawing/2010/main" val="0"/>
                        </a:ext>
                      </a:extLst>
                    </a:blip>
                    <a:stretch>
                      <a:fillRect/>
                    </a:stretch>
                  </pic:blipFill>
                  <pic:spPr>
                    <a:xfrm>
                      <a:off x="0" y="0"/>
                      <a:ext cx="2992849" cy="2642222"/>
                    </a:xfrm>
                    <a:prstGeom prst="rect">
                      <a:avLst/>
                    </a:prstGeom>
                  </pic:spPr>
                </pic:pic>
              </a:graphicData>
            </a:graphic>
          </wp:inline>
        </w:drawing>
      </w:r>
    </w:p>
    <w:p w14:paraId="7803B407" w14:textId="48E81BB0" w:rsidR="004B3D43" w:rsidRPr="00216545" w:rsidRDefault="00216545" w:rsidP="00216545">
      <w:pPr>
        <w:pStyle w:val="TableText"/>
        <w:ind w:left="2268"/>
        <w:rPr>
          <w:kern w:val="28"/>
        </w:rPr>
      </w:pPr>
      <w:r w:rsidRPr="00216545">
        <w:t>(Source: nimh.nih.gov)</w:t>
      </w:r>
    </w:p>
    <w:p w14:paraId="666EBBD6" w14:textId="77777777" w:rsidR="00216545" w:rsidRDefault="00216545" w:rsidP="00F67948">
      <w:pPr>
        <w:jc w:val="both"/>
        <w:rPr>
          <w:kern w:val="28"/>
        </w:rPr>
      </w:pPr>
    </w:p>
    <w:p w14:paraId="22213660" w14:textId="77777777" w:rsidR="004B32D4" w:rsidRDefault="00F302BD" w:rsidP="00F67948">
      <w:pPr>
        <w:jc w:val="both"/>
      </w:pPr>
      <w:r>
        <w:rPr>
          <w:kern w:val="28"/>
        </w:rPr>
        <w:t xml:space="preserve">TMS therapy </w:t>
      </w:r>
      <w:r w:rsidRPr="00610C87">
        <w:t>can be provided with a number of commercially available TMS stimulators. One of those, the NeuroStar TMS Therapy System manufactured by Neuronetics Inc, received FDA clearance in the US in October of 2008. There is no evidence, or practical reason, why therapy responses vary between standard TMS devices. As such, information in this document will be drawn from a large range of studies conducted investigating the safety and efficacy of TMS in general. It will also draw on information utilised in the evaluation of the NeuroStar TMS Therapy System including data from the clinical program suppo</w:t>
      </w:r>
      <w:r w:rsidR="003A3FF5" w:rsidRPr="00610C87">
        <w:t>rting original device approval.</w:t>
      </w:r>
    </w:p>
    <w:p w14:paraId="6F2FCEB9" w14:textId="77777777" w:rsidR="00A64703" w:rsidRDefault="00A64703" w:rsidP="00D22942">
      <w:pPr>
        <w:pStyle w:val="Heading3"/>
      </w:pPr>
      <w:bookmarkStart w:id="37" w:name="_Toc389142034"/>
      <w:r>
        <w:lastRenderedPageBreak/>
        <w:t>Clinical need</w:t>
      </w:r>
      <w:bookmarkEnd w:id="37"/>
    </w:p>
    <w:p w14:paraId="181A84D9" w14:textId="32454955" w:rsidR="0026330A" w:rsidRDefault="00F302BD" w:rsidP="00F67948">
      <w:pPr>
        <w:jc w:val="both"/>
      </w:pPr>
      <w:r>
        <w:t xml:space="preserve">Whilst there are a range of treatments available for patients who initially present with depression including medication and psychotherapy treatments, many patients do not respond to these initial treatment interventions. </w:t>
      </w:r>
      <w:r w:rsidRPr="00AD6EF2">
        <w:t xml:space="preserve">Treatment resistance is a common and disabling problem in the clinical management of major depression.  For example, it is estimated that 20% to 40% of patients do not benefit from or are unable to tolerate standard treatments even after repeated treatment attempts (Kessler, et al., 2003). </w:t>
      </w:r>
    </w:p>
    <w:p w14:paraId="4C673333" w14:textId="271B10B5" w:rsidR="00335F6B" w:rsidRDefault="00F302BD" w:rsidP="00F67948">
      <w:pPr>
        <w:jc w:val="both"/>
      </w:pPr>
      <w:r w:rsidRPr="00AD6EF2">
        <w:t>In addition, even with successful acute treatment outcomes, the long term durability of response among treatment</w:t>
      </w:r>
      <w:r w:rsidR="00851C44">
        <w:t>-</w:t>
      </w:r>
      <w:r w:rsidRPr="00AD6EF2">
        <w:t xml:space="preserve">resistant patients is poor. For instance, the large, </w:t>
      </w:r>
      <w:r w:rsidR="009C5947">
        <w:t>National Institute of Mental Health (</w:t>
      </w:r>
      <w:r w:rsidRPr="00AD6EF2">
        <w:t>NIMH</w:t>
      </w:r>
      <w:r w:rsidR="009C5947">
        <w:t>)</w:t>
      </w:r>
      <w:r w:rsidRPr="00AD6EF2">
        <w:t xml:space="preserve">-sponsored Sequenced Treatment Alternatives </w:t>
      </w:r>
      <w:r w:rsidR="00335F6B">
        <w:t>to Relieve Depression (STAR*D) s</w:t>
      </w:r>
      <w:r w:rsidRPr="00AD6EF2">
        <w:t xml:space="preserve">tudy reported that 40.1% of patients who achieved remission after failing one adequate antidepressant course experienced relapse (mean time 4.1 months) over 12 months of follow-up (Rush, et al., 2006). </w:t>
      </w:r>
    </w:p>
    <w:p w14:paraId="2E241879" w14:textId="77777777" w:rsidR="00A64703" w:rsidRDefault="00A64703" w:rsidP="00D22942">
      <w:pPr>
        <w:pStyle w:val="Heading3"/>
      </w:pPr>
      <w:bookmarkStart w:id="38" w:name="_Toc389142035"/>
      <w:r>
        <w:t>Burden of treatment resistant depression</w:t>
      </w:r>
      <w:bookmarkEnd w:id="38"/>
    </w:p>
    <w:p w14:paraId="5758A3CC" w14:textId="46CC53E8" w:rsidR="007769C6" w:rsidRPr="003A3FF5" w:rsidRDefault="00346A9D" w:rsidP="004B3D43">
      <w:pPr>
        <w:jc w:val="both"/>
      </w:pPr>
      <w:r>
        <w:t>Treatment resistant depression (TRD)</w:t>
      </w:r>
      <w:r w:rsidR="00F302BD" w:rsidRPr="00AD6EF2">
        <w:t xml:space="preserve"> also incurs a significant </w:t>
      </w:r>
      <w:r>
        <w:t>burden</w:t>
      </w:r>
      <w:r w:rsidR="00F302BD" w:rsidRPr="00AD6EF2">
        <w:t xml:space="preserve"> to the</w:t>
      </w:r>
      <w:r>
        <w:t xml:space="preserve"> health</w:t>
      </w:r>
      <w:r w:rsidR="00F302BD" w:rsidRPr="00AD6EF2">
        <w:t xml:space="preserve">care system at large. </w:t>
      </w:r>
      <w:r w:rsidR="007769C6" w:rsidRPr="003A3FF5">
        <w:t>Major depression is a chronic and debilitating disease</w:t>
      </w:r>
      <w:r>
        <w:t>:</w:t>
      </w:r>
    </w:p>
    <w:p w14:paraId="7E90AA23" w14:textId="27BBBB15" w:rsidR="007769C6" w:rsidRPr="003A3FF5" w:rsidRDefault="007769C6" w:rsidP="0026330A">
      <w:pPr>
        <w:pStyle w:val="ListParagraph"/>
        <w:numPr>
          <w:ilvl w:val="0"/>
          <w:numId w:val="25"/>
        </w:numPr>
        <w:jc w:val="both"/>
        <w:rPr>
          <w:rFonts w:ascii="Garamond" w:hAnsi="Garamond"/>
        </w:rPr>
      </w:pPr>
      <w:r w:rsidRPr="003A3FF5">
        <w:rPr>
          <w:rFonts w:ascii="Garamond" w:hAnsi="Garamond"/>
        </w:rPr>
        <w:t>Major depression ranks among the leading cause of disability worldwide</w:t>
      </w:r>
      <w:r w:rsidR="00346A9D">
        <w:rPr>
          <w:rFonts w:ascii="Garamond" w:hAnsi="Garamond"/>
        </w:rPr>
        <w:t>;</w:t>
      </w:r>
    </w:p>
    <w:p w14:paraId="0EDC098A" w14:textId="1D0FC7DE" w:rsidR="007769C6" w:rsidRDefault="00346A9D" w:rsidP="0026330A">
      <w:pPr>
        <w:pStyle w:val="ListParagraph"/>
        <w:numPr>
          <w:ilvl w:val="0"/>
          <w:numId w:val="25"/>
        </w:numPr>
        <w:jc w:val="both"/>
        <w:rPr>
          <w:rFonts w:ascii="Garamond" w:hAnsi="Garamond"/>
        </w:rPr>
      </w:pPr>
      <w:r>
        <w:rPr>
          <w:rFonts w:ascii="Garamond" w:hAnsi="Garamond"/>
        </w:rPr>
        <w:t xml:space="preserve">The </w:t>
      </w:r>
      <w:r w:rsidR="007769C6" w:rsidRPr="003A3FF5">
        <w:rPr>
          <w:rFonts w:ascii="Garamond" w:hAnsi="Garamond"/>
        </w:rPr>
        <w:t>12-month prevalence of depression in Australia is 4.2% in adult males and 12% females</w:t>
      </w:r>
      <w:r>
        <w:rPr>
          <w:rFonts w:ascii="Garamond" w:hAnsi="Garamond"/>
        </w:rPr>
        <w:t>;</w:t>
      </w:r>
    </w:p>
    <w:p w14:paraId="4C279A77" w14:textId="54EB9B42" w:rsidR="00C22A6D" w:rsidRPr="003A3FF5" w:rsidRDefault="00C22A6D" w:rsidP="0026330A">
      <w:pPr>
        <w:pStyle w:val="ListParagraph"/>
        <w:numPr>
          <w:ilvl w:val="0"/>
          <w:numId w:val="25"/>
        </w:numPr>
        <w:jc w:val="both"/>
        <w:rPr>
          <w:rFonts w:ascii="Garamond" w:hAnsi="Garamond"/>
        </w:rPr>
      </w:pPr>
      <w:r>
        <w:rPr>
          <w:rFonts w:ascii="Garamond" w:hAnsi="Garamond"/>
        </w:rPr>
        <w:t xml:space="preserve">Fewer than half of </w:t>
      </w:r>
      <w:r w:rsidR="00346A9D">
        <w:rPr>
          <w:rFonts w:ascii="Garamond" w:hAnsi="Garamond"/>
        </w:rPr>
        <w:t>depressed people seek help from health services in the previous 12 months;</w:t>
      </w:r>
    </w:p>
    <w:p w14:paraId="2A669A52" w14:textId="0173520A" w:rsidR="007769C6" w:rsidRPr="003A3FF5" w:rsidRDefault="007769C6" w:rsidP="0026330A">
      <w:pPr>
        <w:pStyle w:val="ListParagraph"/>
        <w:numPr>
          <w:ilvl w:val="0"/>
          <w:numId w:val="25"/>
        </w:numPr>
        <w:jc w:val="both"/>
        <w:rPr>
          <w:rFonts w:ascii="Garamond" w:hAnsi="Garamond"/>
        </w:rPr>
      </w:pPr>
      <w:r w:rsidRPr="003A3FF5">
        <w:rPr>
          <w:rFonts w:ascii="Garamond" w:hAnsi="Garamond"/>
        </w:rPr>
        <w:t>Estimated costs of the health sector and loss of productivity considered to be in excess of $3 billion dollars annually</w:t>
      </w:r>
      <w:r w:rsidR="00346A9D">
        <w:rPr>
          <w:rFonts w:ascii="Garamond" w:hAnsi="Garamond"/>
        </w:rPr>
        <w:t>; and</w:t>
      </w:r>
    </w:p>
    <w:p w14:paraId="3D3B158E" w14:textId="1CE3E58B" w:rsidR="007769C6" w:rsidRPr="003A3FF5" w:rsidRDefault="007769C6" w:rsidP="0026330A">
      <w:pPr>
        <w:pStyle w:val="ListParagraph"/>
        <w:numPr>
          <w:ilvl w:val="0"/>
          <w:numId w:val="25"/>
        </w:numPr>
        <w:jc w:val="both"/>
        <w:rPr>
          <w:rFonts w:ascii="Garamond" w:hAnsi="Garamond"/>
        </w:rPr>
      </w:pPr>
      <w:r w:rsidRPr="003A3FF5">
        <w:rPr>
          <w:rFonts w:ascii="Garamond" w:hAnsi="Garamond"/>
        </w:rPr>
        <w:t>Patients with TRD are twice as likely to be hospitalised</w:t>
      </w:r>
      <w:r w:rsidR="008273DC" w:rsidRPr="003A3FF5">
        <w:rPr>
          <w:rFonts w:ascii="Garamond" w:hAnsi="Garamond"/>
        </w:rPr>
        <w:t xml:space="preserve">, </w:t>
      </w:r>
      <w:r w:rsidR="00346A9D">
        <w:rPr>
          <w:rFonts w:ascii="Garamond" w:hAnsi="Garamond"/>
        </w:rPr>
        <w:t xml:space="preserve">costs are </w:t>
      </w:r>
      <w:r w:rsidR="008273DC" w:rsidRPr="003A3FF5">
        <w:rPr>
          <w:rFonts w:ascii="Garamond" w:hAnsi="Garamond"/>
        </w:rPr>
        <w:t xml:space="preserve">very high among </w:t>
      </w:r>
      <w:r w:rsidR="00346A9D">
        <w:rPr>
          <w:rFonts w:ascii="Garamond" w:hAnsi="Garamond"/>
        </w:rPr>
        <w:t>patients</w:t>
      </w:r>
      <w:r w:rsidR="008273DC" w:rsidRPr="003A3FF5">
        <w:rPr>
          <w:rFonts w:ascii="Garamond" w:hAnsi="Garamond"/>
        </w:rPr>
        <w:t xml:space="preserve"> with MDD</w:t>
      </w:r>
      <w:r w:rsidR="00346A9D">
        <w:rPr>
          <w:rFonts w:ascii="Garamond" w:hAnsi="Garamond"/>
        </w:rPr>
        <w:t xml:space="preserve"> (MSAC 1101 Assessment report, 2007)</w:t>
      </w:r>
    </w:p>
    <w:p w14:paraId="6208FB64" w14:textId="77777777" w:rsidR="00F302BD" w:rsidRPr="007E49E9" w:rsidRDefault="00F302BD" w:rsidP="00D22942">
      <w:pPr>
        <w:pStyle w:val="Heading3"/>
      </w:pPr>
      <w:bookmarkStart w:id="39" w:name="_Toc389142036"/>
      <w:r>
        <w:t>Proposed M</w:t>
      </w:r>
      <w:r w:rsidRPr="007E49E9">
        <w:t>BS listing</w:t>
      </w:r>
      <w:bookmarkEnd w:id="39"/>
      <w:r w:rsidRPr="007E49E9">
        <w:t xml:space="preserve"> </w:t>
      </w:r>
    </w:p>
    <w:p w14:paraId="0DA11F8C" w14:textId="09209632" w:rsidR="00F302BD" w:rsidRPr="00851C44" w:rsidRDefault="00F302BD" w:rsidP="0026330A">
      <w:pPr>
        <w:jc w:val="both"/>
        <w:rPr>
          <w:lang w:val="en-US"/>
        </w:rPr>
      </w:pPr>
      <w:r w:rsidRPr="00851C44">
        <w:rPr>
          <w:lang w:val="en-US"/>
        </w:rPr>
        <w:t xml:space="preserve">It is proposed that rTMS treatment would be provided predominantly in a public or private hospital outpatient clinic. It would be initially prescribed by a psychiatrist following the conduct of an adequate assessment. The psychiatrist would also perform a procedure to </w:t>
      </w:r>
      <w:r w:rsidR="006C19DA" w:rsidRPr="00851C44">
        <w:rPr>
          <w:lang w:val="en-US"/>
        </w:rPr>
        <w:t>localize</w:t>
      </w:r>
      <w:r w:rsidRPr="00851C44">
        <w:rPr>
          <w:lang w:val="en-US"/>
        </w:rPr>
        <w:t xml:space="preserve"> the appropriate site for stimulation and dose relevant to the patient’s motor threshold. The rTMS treatment would then be delivered by a physician, nurse or allied health professional. An individual treatment session takes approximately 4</w:t>
      </w:r>
      <w:r w:rsidR="00260CD5">
        <w:rPr>
          <w:lang w:val="en-US"/>
        </w:rPr>
        <w:t>0</w:t>
      </w:r>
      <w:r w:rsidRPr="00851C44">
        <w:rPr>
          <w:lang w:val="en-US"/>
        </w:rPr>
        <w:t xml:space="preserve"> minutes. Most patients would undergo a course of treatment between 20 and 30 treatments over a </w:t>
      </w:r>
      <w:r w:rsidR="00851C44">
        <w:rPr>
          <w:lang w:val="en-US"/>
        </w:rPr>
        <w:t>four-</w:t>
      </w:r>
      <w:r w:rsidRPr="00851C44">
        <w:rPr>
          <w:lang w:val="en-US"/>
        </w:rPr>
        <w:t xml:space="preserve"> to six-week period of time. Some patients would require repeated courses of treatment during depressive relapses.</w:t>
      </w:r>
    </w:p>
    <w:p w14:paraId="1EE8D4FC" w14:textId="77777777" w:rsidR="004B3D43" w:rsidRDefault="00F302BD" w:rsidP="0026330A">
      <w:pPr>
        <w:pStyle w:val="NoSpacing"/>
        <w:spacing w:after="240"/>
        <w:jc w:val="both"/>
        <w:rPr>
          <w:lang w:val="en-US"/>
        </w:rPr>
      </w:pPr>
      <w:r w:rsidRPr="00851C44">
        <w:rPr>
          <w:lang w:val="en-US"/>
        </w:rPr>
        <w:t xml:space="preserve">The proposed MBS </w:t>
      </w:r>
      <w:r w:rsidRPr="00610C87">
        <w:t xml:space="preserve">items will allow rTMS prescription and treatment. The first item number would be utilized by a psychiatrist assessing a patient for, prescribing and initiating an rTMS treatment course. The second item number would be utilized to fund a </w:t>
      </w:r>
      <w:r w:rsidR="00260CD5" w:rsidRPr="00610C87">
        <w:t xml:space="preserve">physician, </w:t>
      </w:r>
      <w:r w:rsidRPr="00610C87">
        <w:t>nurse or allied health professional to provide the</w:t>
      </w:r>
      <w:r w:rsidRPr="00851C44">
        <w:rPr>
          <w:lang w:val="en-US"/>
        </w:rPr>
        <w:t xml:space="preserve"> actual rTMS treatment under </w:t>
      </w:r>
      <w:r w:rsidR="00260CD5">
        <w:rPr>
          <w:lang w:val="en-US"/>
        </w:rPr>
        <w:t>medical</w:t>
      </w:r>
      <w:r w:rsidRPr="00851C44">
        <w:rPr>
          <w:lang w:val="en-US"/>
        </w:rPr>
        <w:t xml:space="preserve"> supervision.</w:t>
      </w:r>
      <w:r w:rsidR="000C77FA">
        <w:rPr>
          <w:lang w:val="en-US"/>
        </w:rPr>
        <w:t xml:space="preserve"> </w:t>
      </w:r>
    </w:p>
    <w:p w14:paraId="7943E6C4" w14:textId="653F824A" w:rsidR="00F302BD" w:rsidRDefault="00335F6B" w:rsidP="0026330A">
      <w:pPr>
        <w:pStyle w:val="NoSpacing"/>
        <w:spacing w:after="240"/>
        <w:jc w:val="both"/>
      </w:pPr>
      <w:r>
        <w:t>The</w:t>
      </w:r>
      <w:r w:rsidR="00F302BD" w:rsidRPr="00851C44">
        <w:t xml:space="preserve"> two MBS items</w:t>
      </w:r>
      <w:r>
        <w:t xml:space="preserve"> proposed include</w:t>
      </w:r>
      <w:r w:rsidR="00F302BD" w:rsidRPr="00851C44">
        <w:t>:</w:t>
      </w:r>
    </w:p>
    <w:p w14:paraId="50763A4E" w14:textId="77777777" w:rsidR="004B3D43" w:rsidRPr="00851C44" w:rsidRDefault="004B3D43" w:rsidP="0026330A">
      <w:pPr>
        <w:pStyle w:val="NoSpacing"/>
        <w:spacing w:after="240"/>
        <w:jc w:val="both"/>
      </w:pPr>
    </w:p>
    <w:tbl>
      <w:tblPr>
        <w:tblStyle w:val="TableGrid"/>
        <w:tblW w:w="0" w:type="auto"/>
        <w:tblInd w:w="817" w:type="dxa"/>
        <w:tblLook w:val="04A0" w:firstRow="1" w:lastRow="0" w:firstColumn="1" w:lastColumn="0" w:noHBand="0" w:noVBand="1"/>
        <w:tblCaption w:val="The proposed MBS items"/>
      </w:tblPr>
      <w:tblGrid>
        <w:gridCol w:w="8386"/>
      </w:tblGrid>
      <w:tr w:rsidR="00F302BD" w:rsidRPr="003A3FF5" w14:paraId="35BB34E4" w14:textId="77777777" w:rsidTr="00194AED">
        <w:trPr>
          <w:cantSplit/>
          <w:tblHeader/>
        </w:trPr>
        <w:tc>
          <w:tcPr>
            <w:tcW w:w="8386" w:type="dxa"/>
          </w:tcPr>
          <w:p w14:paraId="3CF8F426" w14:textId="77777777" w:rsidR="00F302BD" w:rsidRPr="003A3FF5" w:rsidRDefault="00F302BD" w:rsidP="00906FAE">
            <w:pPr>
              <w:pStyle w:val="NoSpacing"/>
              <w:jc w:val="right"/>
              <w:rPr>
                <w:rFonts w:ascii="Arial Narrow" w:hAnsi="Arial Narrow" w:cs="Arial"/>
                <w:sz w:val="20"/>
              </w:rPr>
            </w:pPr>
            <w:r w:rsidRPr="003A3FF5">
              <w:rPr>
                <w:rFonts w:ascii="Arial Narrow" w:hAnsi="Arial Narrow" w:cs="Arial"/>
                <w:sz w:val="20"/>
              </w:rPr>
              <w:t>Category 3 – Therapeutic procedures</w:t>
            </w:r>
          </w:p>
        </w:tc>
      </w:tr>
      <w:tr w:rsidR="00F302BD" w:rsidRPr="003A3FF5" w14:paraId="5DBAC90A" w14:textId="77777777" w:rsidTr="00194AED">
        <w:trPr>
          <w:cantSplit/>
          <w:tblHeader/>
        </w:trPr>
        <w:tc>
          <w:tcPr>
            <w:tcW w:w="8386" w:type="dxa"/>
          </w:tcPr>
          <w:p w14:paraId="69E8D58F" w14:textId="77777777" w:rsidR="00F302BD" w:rsidRPr="003A3FF5" w:rsidRDefault="00F302BD" w:rsidP="00DA3936">
            <w:pPr>
              <w:pStyle w:val="NoSpacing"/>
              <w:rPr>
                <w:rFonts w:ascii="Arial Narrow" w:hAnsi="Arial Narrow" w:cs="Arial"/>
                <w:sz w:val="20"/>
              </w:rPr>
            </w:pPr>
            <w:r w:rsidRPr="003A3FF5">
              <w:rPr>
                <w:rFonts w:ascii="Arial Narrow" w:hAnsi="Arial Narrow" w:cs="Arial"/>
                <w:sz w:val="20"/>
              </w:rPr>
              <w:t>MBS xxxxx</w:t>
            </w:r>
          </w:p>
          <w:p w14:paraId="2455BAC6" w14:textId="77777777" w:rsidR="00906FAE" w:rsidRPr="003A3FF5" w:rsidRDefault="00906FAE" w:rsidP="00DA3936">
            <w:pPr>
              <w:pStyle w:val="NoSpacing"/>
              <w:rPr>
                <w:rFonts w:ascii="Arial Narrow" w:hAnsi="Arial Narrow" w:cs="Arial"/>
                <w:sz w:val="20"/>
              </w:rPr>
            </w:pPr>
          </w:p>
          <w:p w14:paraId="07EB0005" w14:textId="77777777" w:rsidR="00F302BD" w:rsidRPr="003A3FF5" w:rsidRDefault="00906FAE" w:rsidP="00DA3936">
            <w:pPr>
              <w:pStyle w:val="NoSpacing"/>
              <w:rPr>
                <w:rFonts w:ascii="Arial Narrow" w:hAnsi="Arial Narrow" w:cs="Arial"/>
                <w:sz w:val="20"/>
              </w:rPr>
            </w:pPr>
            <w:r w:rsidRPr="003A3FF5">
              <w:rPr>
                <w:rFonts w:ascii="Arial Narrow" w:hAnsi="Arial Narrow" w:cs="Arial"/>
                <w:sz w:val="20"/>
              </w:rPr>
              <w:t>REPETITIVE TRANSCRANIAL MAGNETIC STIMULATION</w:t>
            </w:r>
            <w:r w:rsidR="00F302BD" w:rsidRPr="003A3FF5">
              <w:rPr>
                <w:rFonts w:ascii="Arial Narrow" w:hAnsi="Arial Narrow" w:cs="Arial"/>
                <w:sz w:val="20"/>
              </w:rPr>
              <w:t xml:space="preserve"> treatment prescription by a psychiatrist</w:t>
            </w:r>
          </w:p>
          <w:p w14:paraId="5D6C7B3C" w14:textId="77777777" w:rsidR="00906FAE" w:rsidRPr="003A3FF5" w:rsidRDefault="00906FAE" w:rsidP="00DA3936">
            <w:pPr>
              <w:pStyle w:val="NoSpacing"/>
              <w:rPr>
                <w:rFonts w:ascii="Arial Narrow" w:hAnsi="Arial Narrow" w:cs="Arial"/>
                <w:sz w:val="20"/>
              </w:rPr>
            </w:pPr>
          </w:p>
          <w:p w14:paraId="25C08836" w14:textId="77777777" w:rsidR="00906FAE" w:rsidRPr="003A3FF5" w:rsidRDefault="00906FAE" w:rsidP="00DA3936">
            <w:pPr>
              <w:pStyle w:val="NoSpacing"/>
              <w:rPr>
                <w:rFonts w:ascii="Arial Narrow" w:hAnsi="Arial Narrow" w:cs="Arial"/>
                <w:sz w:val="20"/>
              </w:rPr>
            </w:pPr>
            <w:r w:rsidRPr="003A3FF5">
              <w:rPr>
                <w:rFonts w:ascii="Arial Narrow" w:hAnsi="Arial Narrow" w:cs="Arial"/>
                <w:sz w:val="20"/>
              </w:rPr>
              <w:t>Fee: $350</w:t>
            </w:r>
          </w:p>
          <w:p w14:paraId="66364A2B" w14:textId="77777777" w:rsidR="00906FAE" w:rsidRPr="003A3FF5" w:rsidRDefault="00906FAE" w:rsidP="00DA3936">
            <w:pPr>
              <w:pStyle w:val="NoSpacing"/>
              <w:rPr>
                <w:rFonts w:ascii="Arial Narrow" w:hAnsi="Arial Narrow" w:cs="Arial"/>
                <w:sz w:val="20"/>
              </w:rPr>
            </w:pPr>
          </w:p>
          <w:p w14:paraId="4BC8498F" w14:textId="77777777" w:rsidR="00F302BD" w:rsidRPr="003A3FF5" w:rsidRDefault="00F302BD" w:rsidP="00DA3936">
            <w:pPr>
              <w:pStyle w:val="NoSpacing"/>
              <w:rPr>
                <w:rFonts w:ascii="Arial Narrow" w:hAnsi="Arial Narrow" w:cs="Arial"/>
                <w:sz w:val="20"/>
              </w:rPr>
            </w:pPr>
            <w:r w:rsidRPr="003A3FF5">
              <w:rPr>
                <w:rFonts w:ascii="Arial Narrow" w:hAnsi="Arial Narrow" w:cs="Arial"/>
                <w:sz w:val="20"/>
              </w:rPr>
              <w:t>This item enables a</w:t>
            </w:r>
            <w:r w:rsidR="00906FAE" w:rsidRPr="003A3FF5">
              <w:rPr>
                <w:rFonts w:ascii="Arial Narrow" w:hAnsi="Arial Narrow" w:cs="Arial"/>
                <w:sz w:val="20"/>
              </w:rPr>
              <w:t xml:space="preserve"> psychiatrist to prescribe rTMS;</w:t>
            </w:r>
            <w:r w:rsidRPr="003A3FF5">
              <w:rPr>
                <w:rFonts w:ascii="Arial Narrow" w:hAnsi="Arial Narrow" w:cs="Arial"/>
                <w:sz w:val="20"/>
              </w:rPr>
              <w:t xml:space="preserve"> to determine if the patient meets diagnostic criteria for major depressive disorder and is eligible to have the treatment; to undertake the ‘mapping’ procedure whereby the location of the motor cortex on the patients scalp is determined (enabling measurement forward to the treatment site over the dorsolateral prefrontal cortex)</w:t>
            </w:r>
            <w:r w:rsidR="00906FAE" w:rsidRPr="003A3FF5">
              <w:rPr>
                <w:rFonts w:ascii="Arial Narrow" w:hAnsi="Arial Narrow" w:cs="Arial"/>
                <w:sz w:val="20"/>
              </w:rPr>
              <w:t>;</w:t>
            </w:r>
            <w:r w:rsidRPr="003A3FF5">
              <w:rPr>
                <w:rFonts w:ascii="Arial Narrow" w:hAnsi="Arial Narrow" w:cs="Arial"/>
                <w:sz w:val="20"/>
              </w:rPr>
              <w:t xml:space="preserve"> and to prescribe the dose of rTMS as a proportion of the motor threshold. The psychiatrist would require t</w:t>
            </w:r>
            <w:r w:rsidR="00906FAE" w:rsidRPr="003A3FF5">
              <w:rPr>
                <w:rFonts w:ascii="Arial Narrow" w:hAnsi="Arial Narrow" w:cs="Arial"/>
                <w:sz w:val="20"/>
              </w:rPr>
              <w:t>raining and experience in rTMS.</w:t>
            </w:r>
          </w:p>
        </w:tc>
      </w:tr>
    </w:tbl>
    <w:p w14:paraId="61BF7985" w14:textId="77777777" w:rsidR="00F302BD" w:rsidRDefault="00F302BD" w:rsidP="00F302BD">
      <w:pPr>
        <w:pStyle w:val="NoSpacing"/>
      </w:pPr>
    </w:p>
    <w:tbl>
      <w:tblPr>
        <w:tblStyle w:val="TableGrid"/>
        <w:tblW w:w="0" w:type="auto"/>
        <w:tblInd w:w="817" w:type="dxa"/>
        <w:tblLook w:val="04A0" w:firstRow="1" w:lastRow="0" w:firstColumn="1" w:lastColumn="0" w:noHBand="0" w:noVBand="1"/>
        <w:tblCaption w:val="The proposed MBS items"/>
      </w:tblPr>
      <w:tblGrid>
        <w:gridCol w:w="8386"/>
      </w:tblGrid>
      <w:tr w:rsidR="00906FAE" w:rsidRPr="003A3FF5" w14:paraId="38676168" w14:textId="77777777" w:rsidTr="00194AED">
        <w:trPr>
          <w:cantSplit/>
          <w:tblHeader/>
        </w:trPr>
        <w:tc>
          <w:tcPr>
            <w:tcW w:w="8386" w:type="dxa"/>
          </w:tcPr>
          <w:p w14:paraId="09A5CAF2" w14:textId="77777777" w:rsidR="00906FAE" w:rsidRPr="003A3FF5" w:rsidRDefault="00906FAE" w:rsidP="006839C4">
            <w:pPr>
              <w:pStyle w:val="NoSpacing"/>
              <w:jc w:val="right"/>
              <w:rPr>
                <w:rFonts w:ascii="Arial Narrow" w:hAnsi="Arial Narrow" w:cs="Arial"/>
                <w:sz w:val="20"/>
              </w:rPr>
            </w:pPr>
            <w:r w:rsidRPr="003A3FF5">
              <w:rPr>
                <w:rFonts w:ascii="Arial Narrow" w:hAnsi="Arial Narrow" w:cs="Arial"/>
                <w:sz w:val="20"/>
              </w:rPr>
              <w:t>Category 3 – Therapeutic procedures</w:t>
            </w:r>
          </w:p>
        </w:tc>
      </w:tr>
      <w:tr w:rsidR="00906FAE" w:rsidRPr="003A3FF5" w14:paraId="4614801C" w14:textId="77777777" w:rsidTr="00194AED">
        <w:trPr>
          <w:cantSplit/>
          <w:tblHeader/>
        </w:trPr>
        <w:tc>
          <w:tcPr>
            <w:tcW w:w="8386" w:type="dxa"/>
          </w:tcPr>
          <w:p w14:paraId="7110B529" w14:textId="77777777" w:rsidR="00906FAE" w:rsidRPr="003A3FF5" w:rsidRDefault="00906FAE" w:rsidP="00F302BD">
            <w:pPr>
              <w:pStyle w:val="NoSpacing"/>
              <w:rPr>
                <w:rFonts w:ascii="Arial Narrow" w:hAnsi="Arial Narrow" w:cs="Arial"/>
                <w:sz w:val="20"/>
              </w:rPr>
            </w:pPr>
            <w:r w:rsidRPr="003A3FF5">
              <w:rPr>
                <w:rFonts w:ascii="Arial Narrow" w:hAnsi="Arial Narrow" w:cs="Arial"/>
                <w:sz w:val="20"/>
              </w:rPr>
              <w:t>MBS xxxxx</w:t>
            </w:r>
          </w:p>
          <w:p w14:paraId="2902D2B1" w14:textId="77777777" w:rsidR="00906FAE" w:rsidRPr="003A3FF5" w:rsidRDefault="00906FAE" w:rsidP="00F302BD">
            <w:pPr>
              <w:pStyle w:val="NoSpacing"/>
              <w:rPr>
                <w:rFonts w:ascii="Arial Narrow" w:hAnsi="Arial Narrow" w:cs="Arial"/>
                <w:sz w:val="20"/>
              </w:rPr>
            </w:pPr>
          </w:p>
          <w:p w14:paraId="6C59A03F" w14:textId="62A7B1FA" w:rsidR="00906FAE" w:rsidRPr="003A3FF5" w:rsidRDefault="00906FAE" w:rsidP="00F302BD">
            <w:pPr>
              <w:pStyle w:val="NoSpacing"/>
              <w:rPr>
                <w:rFonts w:ascii="Arial Narrow" w:hAnsi="Arial Narrow" w:cs="Arial"/>
                <w:sz w:val="20"/>
              </w:rPr>
            </w:pPr>
            <w:r w:rsidRPr="003A3FF5">
              <w:rPr>
                <w:rFonts w:ascii="Arial Narrow" w:hAnsi="Arial Narrow" w:cs="Arial"/>
                <w:sz w:val="20"/>
              </w:rPr>
              <w:t xml:space="preserve">REPETITIVE TRANSCRANIAL MAGNETIC STIMULATION treatment provided by a nurse </w:t>
            </w:r>
            <w:r w:rsidR="003149AB">
              <w:rPr>
                <w:rFonts w:ascii="Arial Narrow" w:hAnsi="Arial Narrow" w:cs="Arial"/>
                <w:sz w:val="20"/>
              </w:rPr>
              <w:t>or</w:t>
            </w:r>
            <w:r w:rsidR="003149AB" w:rsidRPr="003A3FF5">
              <w:rPr>
                <w:rFonts w:ascii="Arial Narrow" w:hAnsi="Arial Narrow" w:cs="Arial"/>
                <w:sz w:val="20"/>
              </w:rPr>
              <w:t xml:space="preserve"> </w:t>
            </w:r>
            <w:r w:rsidRPr="003A3FF5">
              <w:rPr>
                <w:rFonts w:ascii="Arial Narrow" w:hAnsi="Arial Narrow" w:cs="Arial"/>
                <w:sz w:val="20"/>
              </w:rPr>
              <w:t>allied health professional.</w:t>
            </w:r>
          </w:p>
          <w:p w14:paraId="456589D2" w14:textId="77777777" w:rsidR="00906FAE" w:rsidRPr="003A3FF5" w:rsidRDefault="00906FAE" w:rsidP="00F302BD">
            <w:pPr>
              <w:pStyle w:val="NoSpacing"/>
              <w:rPr>
                <w:rFonts w:ascii="Arial Narrow" w:hAnsi="Arial Narrow" w:cs="Arial"/>
                <w:sz w:val="20"/>
              </w:rPr>
            </w:pPr>
          </w:p>
          <w:p w14:paraId="63651DB8" w14:textId="77777777" w:rsidR="00906FAE" w:rsidRPr="003A3FF5" w:rsidRDefault="00906FAE" w:rsidP="00F302BD">
            <w:pPr>
              <w:pStyle w:val="NoSpacing"/>
              <w:rPr>
                <w:rFonts w:ascii="Arial Narrow" w:hAnsi="Arial Narrow" w:cs="Arial"/>
                <w:sz w:val="20"/>
              </w:rPr>
            </w:pPr>
            <w:r w:rsidRPr="003A3FF5">
              <w:rPr>
                <w:rFonts w:ascii="Arial Narrow" w:hAnsi="Arial Narrow" w:cs="Arial"/>
                <w:sz w:val="20"/>
              </w:rPr>
              <w:t>Fee: $150</w:t>
            </w:r>
          </w:p>
          <w:p w14:paraId="39321348" w14:textId="77777777" w:rsidR="00906FAE" w:rsidRPr="003A3FF5" w:rsidRDefault="00906FAE" w:rsidP="00F302BD">
            <w:pPr>
              <w:pStyle w:val="NoSpacing"/>
              <w:rPr>
                <w:rFonts w:ascii="Arial Narrow" w:hAnsi="Arial Narrow" w:cs="Arial"/>
                <w:sz w:val="20"/>
              </w:rPr>
            </w:pPr>
          </w:p>
          <w:p w14:paraId="511A7929" w14:textId="77777777" w:rsidR="00906FAE" w:rsidRPr="003A3FF5" w:rsidRDefault="00906FAE" w:rsidP="00906FAE">
            <w:pPr>
              <w:pStyle w:val="NoSpacing"/>
              <w:rPr>
                <w:rFonts w:ascii="Arial Narrow" w:hAnsi="Arial Narrow" w:cs="Arial"/>
                <w:sz w:val="20"/>
              </w:rPr>
            </w:pPr>
            <w:r w:rsidRPr="003A3FF5">
              <w:rPr>
                <w:rFonts w:ascii="Arial Narrow" w:hAnsi="Arial Narrow" w:cs="Arial"/>
                <w:sz w:val="20"/>
              </w:rPr>
              <w:t>This item enables a nurse or allied health professional, trained in the administration of rTMS,  to provide rTMS treatment to a patient, under medical supervision, within an approved hospital*. The rTMS treatment must be prescribed by psychiatrist (as described above) and be given in a setting where immediate medical assistance is available if required. An approved hospital item number must be provided.</w:t>
            </w:r>
          </w:p>
          <w:p w14:paraId="7FA70916" w14:textId="77777777" w:rsidR="00906FAE" w:rsidRPr="003A3FF5" w:rsidRDefault="00906FAE" w:rsidP="00906FAE">
            <w:pPr>
              <w:pStyle w:val="NoSpacing"/>
              <w:rPr>
                <w:rFonts w:ascii="Arial Narrow" w:hAnsi="Arial Narrow" w:cs="Arial"/>
                <w:sz w:val="20"/>
              </w:rPr>
            </w:pPr>
            <w:r w:rsidRPr="003A3FF5">
              <w:rPr>
                <w:rFonts w:ascii="Arial Narrow" w:hAnsi="Arial Narrow" w:cs="Arial"/>
                <w:sz w:val="20"/>
              </w:rPr>
              <w:t xml:space="preserve">*We propose an approved hospital to be one already approved for other neurostimulation services, most commonly ECT. </w:t>
            </w:r>
          </w:p>
        </w:tc>
      </w:tr>
    </w:tbl>
    <w:p w14:paraId="1B839A66" w14:textId="77777777" w:rsidR="00F302BD" w:rsidRPr="00906FAE" w:rsidRDefault="00F302BD" w:rsidP="00F302BD">
      <w:pPr>
        <w:pStyle w:val="NoSpacing"/>
        <w:rPr>
          <w:rFonts w:ascii="Arial" w:hAnsi="Arial" w:cs="Arial"/>
          <w:sz w:val="20"/>
        </w:rPr>
      </w:pPr>
    </w:p>
    <w:p w14:paraId="22C707EF" w14:textId="77777777" w:rsidR="008273DC" w:rsidRDefault="00000D58" w:rsidP="00D22942">
      <w:pPr>
        <w:pStyle w:val="Heading3"/>
      </w:pPr>
      <w:bookmarkStart w:id="40" w:name="_Toc389142037"/>
      <w:r>
        <w:t>Marketing status of rTMS</w:t>
      </w:r>
      <w:bookmarkEnd w:id="40"/>
    </w:p>
    <w:p w14:paraId="33C65373" w14:textId="19B3CB45" w:rsidR="0056781A" w:rsidRDefault="00C22A6D" w:rsidP="00C22A6D">
      <w:r>
        <w:t xml:space="preserve">Magnetic stimulator devices are classed as Class IIa devices.  Of the 10 listings of magnetic stimulator devices in Australia on the Australian Register of Therapeutic Goods, four devices </w:t>
      </w:r>
      <w:r w:rsidR="00354FAD">
        <w:t xml:space="preserve">potentially </w:t>
      </w:r>
      <w:r>
        <w:t>pertain to rTMS (Table 1).  It is estimated there are currently 10-15 private hospital or clinics currently using rTMS (HESP advice).</w:t>
      </w:r>
    </w:p>
    <w:p w14:paraId="7613CCD4" w14:textId="70A5D8D3" w:rsidR="00C22A6D" w:rsidRDefault="00C22A6D" w:rsidP="00C22A6D">
      <w:pPr>
        <w:pStyle w:val="TableName"/>
      </w:pPr>
      <w:bookmarkStart w:id="41" w:name="_Toc389143575"/>
      <w:r>
        <w:t>Table 1: Magnetic stimulators registered in Australia for rTMS</w:t>
      </w:r>
      <w:bookmarkEnd w:id="41"/>
    </w:p>
    <w:tbl>
      <w:tblPr>
        <w:tblStyle w:val="TableGrid"/>
        <w:tblW w:w="0" w:type="auto"/>
        <w:tblInd w:w="720" w:type="dxa"/>
        <w:tblLook w:val="04A0" w:firstRow="1" w:lastRow="0" w:firstColumn="1" w:lastColumn="0" w:noHBand="0" w:noVBand="1"/>
        <w:tblCaption w:val="Magnetic stimulator devices in Australia"/>
      </w:tblPr>
      <w:tblGrid>
        <w:gridCol w:w="2113"/>
        <w:gridCol w:w="897"/>
        <w:gridCol w:w="1037"/>
        <w:gridCol w:w="4295"/>
      </w:tblGrid>
      <w:tr w:rsidR="00C22A6D" w:rsidRPr="00C22A6D" w14:paraId="62AE0BFD" w14:textId="77777777" w:rsidTr="00346A9D">
        <w:trPr>
          <w:tblHeader/>
        </w:trPr>
        <w:tc>
          <w:tcPr>
            <w:tcW w:w="2113" w:type="dxa"/>
          </w:tcPr>
          <w:p w14:paraId="60747B54" w14:textId="29BE279D" w:rsidR="00C22A6D" w:rsidRPr="00C22A6D" w:rsidRDefault="00C22A6D" w:rsidP="00C22A6D">
            <w:pPr>
              <w:pStyle w:val="TableText"/>
              <w:rPr>
                <w:b/>
              </w:rPr>
            </w:pPr>
            <w:r w:rsidRPr="00C22A6D">
              <w:rPr>
                <w:b/>
              </w:rPr>
              <w:t>Sponsor</w:t>
            </w:r>
          </w:p>
        </w:tc>
        <w:tc>
          <w:tcPr>
            <w:tcW w:w="897" w:type="dxa"/>
          </w:tcPr>
          <w:p w14:paraId="6FAC3562" w14:textId="7F028BCC" w:rsidR="00C22A6D" w:rsidRPr="00C22A6D" w:rsidRDefault="00C22A6D" w:rsidP="00C22A6D">
            <w:pPr>
              <w:pStyle w:val="TableText"/>
              <w:rPr>
                <w:b/>
              </w:rPr>
            </w:pPr>
            <w:r w:rsidRPr="00C22A6D">
              <w:rPr>
                <w:b/>
              </w:rPr>
              <w:t>ARTG ID</w:t>
            </w:r>
          </w:p>
        </w:tc>
        <w:tc>
          <w:tcPr>
            <w:tcW w:w="1037" w:type="dxa"/>
          </w:tcPr>
          <w:p w14:paraId="3C88D1B6" w14:textId="1FBA192E" w:rsidR="00C22A6D" w:rsidRPr="00C22A6D" w:rsidRDefault="00C22A6D" w:rsidP="00C22A6D">
            <w:pPr>
              <w:pStyle w:val="TableText"/>
              <w:rPr>
                <w:b/>
              </w:rPr>
            </w:pPr>
            <w:r w:rsidRPr="00C22A6D">
              <w:rPr>
                <w:b/>
              </w:rPr>
              <w:t>Approved:</w:t>
            </w:r>
          </w:p>
        </w:tc>
        <w:tc>
          <w:tcPr>
            <w:tcW w:w="4295" w:type="dxa"/>
          </w:tcPr>
          <w:p w14:paraId="67E1F62D" w14:textId="4164CE28" w:rsidR="00C22A6D" w:rsidRPr="00C22A6D" w:rsidRDefault="00C22A6D" w:rsidP="00C22A6D">
            <w:pPr>
              <w:pStyle w:val="TableText"/>
              <w:rPr>
                <w:b/>
              </w:rPr>
            </w:pPr>
            <w:r w:rsidRPr="00C22A6D">
              <w:rPr>
                <w:b/>
              </w:rPr>
              <w:t>Intended purpose:</w:t>
            </w:r>
          </w:p>
        </w:tc>
      </w:tr>
      <w:tr w:rsidR="00C22A6D" w14:paraId="4A122D37" w14:textId="77777777" w:rsidTr="00346A9D">
        <w:trPr>
          <w:tblHeader/>
        </w:trPr>
        <w:tc>
          <w:tcPr>
            <w:tcW w:w="2113" w:type="dxa"/>
          </w:tcPr>
          <w:p w14:paraId="4A0EDB7A" w14:textId="6E31392A" w:rsidR="00C22A6D" w:rsidRDefault="00C22A6D" w:rsidP="00C22A6D">
            <w:pPr>
              <w:pStyle w:val="TableText"/>
            </w:pPr>
            <w:r>
              <w:t>Sonoray Pty Ltd</w:t>
            </w:r>
          </w:p>
        </w:tc>
        <w:tc>
          <w:tcPr>
            <w:tcW w:w="897" w:type="dxa"/>
          </w:tcPr>
          <w:p w14:paraId="3706A6BF" w14:textId="716AE1D0" w:rsidR="00C22A6D" w:rsidRDefault="00C22A6D" w:rsidP="00C22A6D">
            <w:pPr>
              <w:pStyle w:val="TableText"/>
            </w:pPr>
            <w:r>
              <w:t>148142</w:t>
            </w:r>
          </w:p>
        </w:tc>
        <w:tc>
          <w:tcPr>
            <w:tcW w:w="1037" w:type="dxa"/>
          </w:tcPr>
          <w:p w14:paraId="1537B58C" w14:textId="1C1EA8D5" w:rsidR="00C22A6D" w:rsidRDefault="00C22A6D" w:rsidP="00C22A6D">
            <w:pPr>
              <w:pStyle w:val="TableText"/>
            </w:pPr>
            <w:r>
              <w:t>05/12/2007</w:t>
            </w:r>
          </w:p>
        </w:tc>
        <w:tc>
          <w:tcPr>
            <w:tcW w:w="4295" w:type="dxa"/>
          </w:tcPr>
          <w:p w14:paraId="153C6C44" w14:textId="61C8CEE4" w:rsidR="00C22A6D" w:rsidRDefault="00C22A6D" w:rsidP="00C22A6D">
            <w:pPr>
              <w:pStyle w:val="TableText"/>
            </w:pPr>
            <w:r>
              <w:t>To stimulate the Treatment of Major Depressive Disorder in adult patients who have failed to achieve satisfactory improvement from two prior antidepressant medications, at or above the minimal effective dose and duration in the current episode.</w:t>
            </w:r>
          </w:p>
        </w:tc>
      </w:tr>
      <w:tr w:rsidR="00C22A6D" w14:paraId="028B0151" w14:textId="77777777" w:rsidTr="00346A9D">
        <w:trPr>
          <w:tblHeader/>
        </w:trPr>
        <w:tc>
          <w:tcPr>
            <w:tcW w:w="2113" w:type="dxa"/>
          </w:tcPr>
          <w:p w14:paraId="365D7FE2" w14:textId="3ED1B67C" w:rsidR="00C22A6D" w:rsidRDefault="00C22A6D" w:rsidP="00C22A6D">
            <w:pPr>
              <w:pStyle w:val="TableText"/>
            </w:pPr>
            <w:r>
              <w:t>Medtel Pty Ltd</w:t>
            </w:r>
            <w:r>
              <w:tab/>
            </w:r>
          </w:p>
        </w:tc>
        <w:tc>
          <w:tcPr>
            <w:tcW w:w="897" w:type="dxa"/>
          </w:tcPr>
          <w:p w14:paraId="3BFFBFF8" w14:textId="04C6286B" w:rsidR="00C22A6D" w:rsidRDefault="00C22A6D" w:rsidP="00C22A6D">
            <w:pPr>
              <w:pStyle w:val="TableText"/>
            </w:pPr>
            <w:r>
              <w:t>136823</w:t>
            </w:r>
          </w:p>
        </w:tc>
        <w:tc>
          <w:tcPr>
            <w:tcW w:w="1037" w:type="dxa"/>
          </w:tcPr>
          <w:p w14:paraId="5D744FC7" w14:textId="738657A8" w:rsidR="00C22A6D" w:rsidRDefault="00C22A6D" w:rsidP="00C22A6D">
            <w:pPr>
              <w:pStyle w:val="TableText"/>
            </w:pPr>
            <w:r>
              <w:t xml:space="preserve">23/03/2007 </w:t>
            </w:r>
          </w:p>
        </w:tc>
        <w:tc>
          <w:tcPr>
            <w:tcW w:w="4295" w:type="dxa"/>
          </w:tcPr>
          <w:p w14:paraId="52257875" w14:textId="6F79CA67" w:rsidR="00C22A6D" w:rsidRDefault="00C22A6D" w:rsidP="00C22A6D">
            <w:pPr>
              <w:pStyle w:val="TableText"/>
            </w:pPr>
            <w:r>
              <w:t>This device produces a magnetic field which stimulates the cortical and peripheral nerves when applied to the skin. Used for diagnostic and therapeutic purposes</w:t>
            </w:r>
          </w:p>
        </w:tc>
      </w:tr>
      <w:tr w:rsidR="00C22A6D" w14:paraId="7AA0062B" w14:textId="77777777" w:rsidTr="00346A9D">
        <w:trPr>
          <w:tblHeader/>
        </w:trPr>
        <w:tc>
          <w:tcPr>
            <w:tcW w:w="2113" w:type="dxa"/>
          </w:tcPr>
          <w:p w14:paraId="350EB6C6" w14:textId="5B7DF195" w:rsidR="00C22A6D" w:rsidRDefault="00C22A6D" w:rsidP="00C22A6D">
            <w:pPr>
              <w:pStyle w:val="TableText"/>
            </w:pPr>
            <w:r>
              <w:t>Symbiotic Devices Pty Ltd</w:t>
            </w:r>
          </w:p>
        </w:tc>
        <w:tc>
          <w:tcPr>
            <w:tcW w:w="897" w:type="dxa"/>
          </w:tcPr>
          <w:p w14:paraId="10868C05" w14:textId="6E9CE4C5" w:rsidR="00C22A6D" w:rsidRDefault="00C22A6D" w:rsidP="00C22A6D">
            <w:pPr>
              <w:pStyle w:val="TableText"/>
            </w:pPr>
            <w:r>
              <w:t>216897</w:t>
            </w:r>
          </w:p>
        </w:tc>
        <w:tc>
          <w:tcPr>
            <w:tcW w:w="1037" w:type="dxa"/>
          </w:tcPr>
          <w:p w14:paraId="14B6573D" w14:textId="2BD5615D" w:rsidR="00C22A6D" w:rsidRDefault="00C22A6D" w:rsidP="00C22A6D">
            <w:pPr>
              <w:pStyle w:val="TableText"/>
            </w:pPr>
            <w:r>
              <w:t>04/11/2013</w:t>
            </w:r>
          </w:p>
        </w:tc>
        <w:tc>
          <w:tcPr>
            <w:tcW w:w="4295" w:type="dxa"/>
          </w:tcPr>
          <w:p w14:paraId="323D7436" w14:textId="554D6CA5" w:rsidR="00C22A6D" w:rsidRDefault="00C22A6D" w:rsidP="00C22A6D">
            <w:pPr>
              <w:pStyle w:val="TableText"/>
            </w:pPr>
            <w:r>
              <w:t>Produces a magnetic field which stimulates the cortical and peripheral nerves when applied to the skin. Used for diagnostic and therapeutic purposes</w:t>
            </w:r>
          </w:p>
        </w:tc>
      </w:tr>
      <w:tr w:rsidR="00C22A6D" w14:paraId="780FD8C1" w14:textId="77777777" w:rsidTr="00346A9D">
        <w:trPr>
          <w:tblHeader/>
        </w:trPr>
        <w:tc>
          <w:tcPr>
            <w:tcW w:w="2113" w:type="dxa"/>
          </w:tcPr>
          <w:p w14:paraId="4D974746" w14:textId="4C1046ED" w:rsidR="00C22A6D" w:rsidRDefault="00C22A6D" w:rsidP="00C22A6D">
            <w:pPr>
              <w:pStyle w:val="TableText"/>
            </w:pPr>
            <w:r>
              <w:t>Olympus Australia Pty Ltd</w:t>
            </w:r>
          </w:p>
        </w:tc>
        <w:tc>
          <w:tcPr>
            <w:tcW w:w="897" w:type="dxa"/>
          </w:tcPr>
          <w:p w14:paraId="3F9625DE" w14:textId="1E157A10" w:rsidR="00C22A6D" w:rsidRDefault="00C22A6D" w:rsidP="00C22A6D">
            <w:pPr>
              <w:pStyle w:val="TableText"/>
            </w:pPr>
            <w:r>
              <w:t>163160</w:t>
            </w:r>
          </w:p>
        </w:tc>
        <w:tc>
          <w:tcPr>
            <w:tcW w:w="1037" w:type="dxa"/>
          </w:tcPr>
          <w:p w14:paraId="7E377C87" w14:textId="4EC5F236" w:rsidR="00C22A6D" w:rsidRDefault="00C22A6D" w:rsidP="00C22A6D">
            <w:pPr>
              <w:pStyle w:val="TableText"/>
            </w:pPr>
            <w:r>
              <w:t>06/07/2009</w:t>
            </w:r>
          </w:p>
        </w:tc>
        <w:tc>
          <w:tcPr>
            <w:tcW w:w="4295" w:type="dxa"/>
          </w:tcPr>
          <w:p w14:paraId="31B140CD" w14:textId="52A1D53A" w:rsidR="00C22A6D" w:rsidRDefault="00C22A6D" w:rsidP="00C22A6D">
            <w:pPr>
              <w:pStyle w:val="TableText"/>
            </w:pPr>
            <w:r w:rsidRPr="002E79BF">
              <w:t>A stimulator that applies an electrical signal to stimulate tissue or nerves.</w:t>
            </w:r>
          </w:p>
        </w:tc>
      </w:tr>
    </w:tbl>
    <w:p w14:paraId="48881D3D" w14:textId="203789C2" w:rsidR="00000D58" w:rsidRPr="00000D58" w:rsidRDefault="00C22A6D" w:rsidP="00C22A6D">
      <w:pPr>
        <w:pStyle w:val="TableText"/>
        <w:ind w:left="567"/>
      </w:pPr>
      <w:r>
        <w:t xml:space="preserve">Source: </w:t>
      </w:r>
      <w:hyperlink r:id="rId19" w:anchor=".U4VSR_mSzAl" w:tooltip="This takes reader to ARTG website" w:history="1">
        <w:r w:rsidR="00346A9D" w:rsidRPr="00F2447B">
          <w:rPr>
            <w:rStyle w:val="Hyperlink"/>
          </w:rPr>
          <w:t>http://www.tga.gov.au/industry/artg.htm#.U4VSR_mSzAl</w:t>
        </w:r>
      </w:hyperlink>
      <w:r w:rsidR="00346A9D">
        <w:t xml:space="preserve"> </w:t>
      </w:r>
    </w:p>
    <w:p w14:paraId="28D67697" w14:textId="77777777" w:rsidR="00681C22" w:rsidRDefault="00681C22" w:rsidP="00681C22"/>
    <w:p w14:paraId="469058FE" w14:textId="3A34799C" w:rsidR="00F302BD" w:rsidRDefault="0032515B" w:rsidP="00D22942">
      <w:pPr>
        <w:pStyle w:val="Heading3"/>
      </w:pPr>
      <w:bookmarkStart w:id="42" w:name="_Toc389142038"/>
      <w:r>
        <w:lastRenderedPageBreak/>
        <w:t xml:space="preserve">Issues raised in the </w:t>
      </w:r>
      <w:r w:rsidR="00361789">
        <w:t>Protocol</w:t>
      </w:r>
      <w:bookmarkEnd w:id="42"/>
    </w:p>
    <w:p w14:paraId="2E8D4232" w14:textId="77777777" w:rsidR="0032515B" w:rsidRDefault="0032515B" w:rsidP="0026330A">
      <w:pPr>
        <w:pStyle w:val="Heading4"/>
      </w:pPr>
      <w:r>
        <w:t>Breadth of indication</w:t>
      </w:r>
    </w:p>
    <w:p w14:paraId="7C3147E2" w14:textId="2B94F718" w:rsidR="0032515B" w:rsidRDefault="0032515B" w:rsidP="0026330A">
      <w:pPr>
        <w:jc w:val="both"/>
      </w:pPr>
      <w:r>
        <w:t>The decision analytic protocol (</w:t>
      </w:r>
      <w:r w:rsidR="00E45AF4">
        <w:t>Protocol</w:t>
      </w:r>
      <w:r>
        <w:t xml:space="preserve">) requests clarification as to whether the applicant’s wish to broaden the indicated population to include those who failed at least two different treatments, one of which may be a psychological therapy. </w:t>
      </w:r>
      <w:r w:rsidR="00361789">
        <w:t>T</w:t>
      </w:r>
      <w:r>
        <w:t xml:space="preserve">he use </w:t>
      </w:r>
      <w:r w:rsidR="00361789">
        <w:t xml:space="preserve">of rTMS </w:t>
      </w:r>
      <w:r>
        <w:t>should be defined as applying to patients who have failed to respond to two different classes of antidepressant medication, despite adequate dose, duration and compliance.</w:t>
      </w:r>
    </w:p>
    <w:p w14:paraId="099FB37F" w14:textId="77777777" w:rsidR="0032515B" w:rsidRDefault="0032515B" w:rsidP="0026330A">
      <w:pPr>
        <w:pStyle w:val="Heading4"/>
      </w:pPr>
      <w:r w:rsidRPr="002A439B">
        <w:t>Pri</w:t>
      </w:r>
      <w:r>
        <w:t>m</w:t>
      </w:r>
      <w:r w:rsidRPr="002A439B">
        <w:t>ary</w:t>
      </w:r>
      <w:r>
        <w:t xml:space="preserve"> </w:t>
      </w:r>
      <w:r w:rsidRPr="0026330A">
        <w:t>and</w:t>
      </w:r>
      <w:r>
        <w:t xml:space="preserve"> secondary comparators</w:t>
      </w:r>
    </w:p>
    <w:p w14:paraId="4EB5D57E" w14:textId="5BD462A7" w:rsidR="0032515B" w:rsidRPr="00610C87" w:rsidRDefault="0032515B" w:rsidP="0026330A">
      <w:pPr>
        <w:jc w:val="both"/>
      </w:pPr>
      <w:r>
        <w:t xml:space="preserve">In the </w:t>
      </w:r>
      <w:r w:rsidRPr="00610C87">
        <w:t>original application antidepressant medication was proposed as the sole comparator. PASC has determined that ECT and psychotherapy shoul</w:t>
      </w:r>
      <w:r w:rsidR="00361789">
        <w:t xml:space="preserve">d be considered as comparators. </w:t>
      </w:r>
      <w:r w:rsidRPr="00610C87">
        <w:t>Available information addressing these two additional comparators is provided in this response.</w:t>
      </w:r>
      <w:r w:rsidR="00361789">
        <w:t xml:space="preserve">  Due to a lack of evidence of rTMS versus psychotherapy, the assessment provides evidence on the two comparators ECT and antidepressant medication predominantly.</w:t>
      </w:r>
    </w:p>
    <w:p w14:paraId="30CC321E" w14:textId="77777777" w:rsidR="0032515B" w:rsidRDefault="0032515B" w:rsidP="0026330A">
      <w:pPr>
        <w:pStyle w:val="Heading4"/>
      </w:pPr>
      <w:r>
        <w:t xml:space="preserve">Use of </w:t>
      </w:r>
      <w:r w:rsidRPr="0026330A">
        <w:t>intervention</w:t>
      </w:r>
      <w:r>
        <w:t xml:space="preserve"> in circumstances of depression relapse</w:t>
      </w:r>
    </w:p>
    <w:p w14:paraId="24AB7F98" w14:textId="45D6CAFE" w:rsidR="0032515B" w:rsidRPr="009777D2" w:rsidRDefault="0032515B" w:rsidP="0026330A">
      <w:pPr>
        <w:jc w:val="both"/>
      </w:pPr>
      <w:r>
        <w:t xml:space="preserve">The </w:t>
      </w:r>
      <w:r w:rsidR="00361789">
        <w:t>Protocol</w:t>
      </w:r>
      <w:r>
        <w:t xml:space="preserve"> requested information </w:t>
      </w:r>
      <w:r w:rsidR="00361789">
        <w:t>on</w:t>
      </w:r>
      <w:r>
        <w:t xml:space="preserve"> how many cycles of rTMS will be contemplated if a patient responses to treatment but then relapses. This is likely to be predominately determined by the duration of remission of symptoms achieved with each cycle of rTMS treatment. If the duration of treatment is clinically meaningful (for example six months to several years) as is the case in the treatment of many patients with rTMS, </w:t>
      </w:r>
      <w:r w:rsidR="00361789">
        <w:t>it is</w:t>
      </w:r>
      <w:r>
        <w:t xml:space="preserve"> anticipate</w:t>
      </w:r>
      <w:r w:rsidR="00361789">
        <w:t>d</w:t>
      </w:r>
      <w:r>
        <w:t xml:space="preserve"> rTMS treatment </w:t>
      </w:r>
      <w:r w:rsidR="00361789">
        <w:t>is</w:t>
      </w:r>
      <w:r>
        <w:t xml:space="preserve"> provided for all or most subsequent relapse episodes. If patients achieve successful clinical response, but the duration of this response is limited, other treatment strategies would be adopted to try to achieve a greater duration of clinical benefit, including potentially augmentation with different medications or psychological treatment strategies.</w:t>
      </w:r>
    </w:p>
    <w:p w14:paraId="624AA3C3" w14:textId="77777777" w:rsidR="0032515B" w:rsidRDefault="0032515B" w:rsidP="00F302BD">
      <w:pPr>
        <w:pStyle w:val="NoSpacing"/>
      </w:pPr>
    </w:p>
    <w:p w14:paraId="64795CDC" w14:textId="77777777" w:rsidR="00F302BD" w:rsidRDefault="00906FAE" w:rsidP="00AB6AD4">
      <w:pPr>
        <w:pStyle w:val="Heading2"/>
      </w:pPr>
      <w:bookmarkStart w:id="43" w:name="_Toc386093975"/>
      <w:bookmarkStart w:id="44" w:name="_Toc386094214"/>
      <w:bookmarkStart w:id="45" w:name="_Toc389142039"/>
      <w:r>
        <w:lastRenderedPageBreak/>
        <w:t>Approach to assessment</w:t>
      </w:r>
      <w:bookmarkEnd w:id="43"/>
      <w:bookmarkEnd w:id="44"/>
      <w:bookmarkEnd w:id="45"/>
    </w:p>
    <w:p w14:paraId="1EEC48C7" w14:textId="77777777" w:rsidR="00A64703" w:rsidRDefault="00A64703" w:rsidP="00D22942">
      <w:pPr>
        <w:pStyle w:val="Heading3"/>
      </w:pPr>
      <w:bookmarkStart w:id="46" w:name="_Toc389142040"/>
      <w:r>
        <w:t>Objective</w:t>
      </w:r>
      <w:bookmarkEnd w:id="46"/>
    </w:p>
    <w:p w14:paraId="69B0C080" w14:textId="77777777" w:rsidR="00CC7E59" w:rsidRPr="00A64703" w:rsidRDefault="00CC7E59" w:rsidP="0026330A">
      <w:pPr>
        <w:jc w:val="both"/>
      </w:pPr>
      <w:r>
        <w:t>The objective of this assessment is to undertake a structured evaluation of the clinical need, safety, effectiveness and cost-effectiveness of rTMS for patients with treatment-resistant depression.</w:t>
      </w:r>
    </w:p>
    <w:p w14:paraId="3CD5CFE8" w14:textId="77777777" w:rsidR="00CC7E59" w:rsidRDefault="00CC7E59" w:rsidP="00D22942">
      <w:pPr>
        <w:pStyle w:val="Heading3"/>
      </w:pPr>
      <w:bookmarkStart w:id="47" w:name="_Toc389142041"/>
      <w:r>
        <w:t>Clinical decision pathway</w:t>
      </w:r>
      <w:bookmarkEnd w:id="47"/>
      <w:r>
        <w:t xml:space="preserve"> </w:t>
      </w:r>
    </w:p>
    <w:p w14:paraId="7195D636" w14:textId="77777777" w:rsidR="00610C87" w:rsidRPr="00397B17" w:rsidRDefault="00610C87" w:rsidP="00397B17">
      <w:pPr>
        <w:pStyle w:val="Heading6"/>
        <w:rPr>
          <w:rStyle w:val="Strong"/>
          <w:b/>
          <w:bCs w:val="0"/>
        </w:rPr>
      </w:pPr>
      <w:bookmarkStart w:id="48" w:name="_Toc389042764"/>
      <w:bookmarkStart w:id="49" w:name="_Toc389154649"/>
      <w:r w:rsidRPr="00397B17">
        <w:rPr>
          <w:rStyle w:val="Strong"/>
          <w:b/>
          <w:bCs w:val="0"/>
        </w:rPr>
        <w:t xml:space="preserve">Figure </w:t>
      </w:r>
      <w:r w:rsidRPr="00397B17">
        <w:rPr>
          <w:rStyle w:val="Strong"/>
          <w:b/>
          <w:bCs w:val="0"/>
        </w:rPr>
        <w:fldChar w:fldCharType="begin"/>
      </w:r>
      <w:r w:rsidRPr="00397B17">
        <w:rPr>
          <w:rStyle w:val="Strong"/>
          <w:b/>
          <w:bCs w:val="0"/>
        </w:rPr>
        <w:instrText xml:space="preserve"> SEQ Figure \* ARABIC </w:instrText>
      </w:r>
      <w:r w:rsidRPr="00397B17">
        <w:rPr>
          <w:rStyle w:val="Strong"/>
          <w:b/>
          <w:bCs w:val="0"/>
        </w:rPr>
        <w:fldChar w:fldCharType="separate"/>
      </w:r>
      <w:r w:rsidR="004C1C27">
        <w:rPr>
          <w:rStyle w:val="Strong"/>
          <w:b/>
          <w:bCs w:val="0"/>
          <w:noProof/>
        </w:rPr>
        <w:t>2</w:t>
      </w:r>
      <w:r w:rsidRPr="00397B17">
        <w:rPr>
          <w:rStyle w:val="Strong"/>
          <w:b/>
          <w:bCs w:val="0"/>
        </w:rPr>
        <w:fldChar w:fldCharType="end"/>
      </w:r>
      <w:r w:rsidRPr="00397B17">
        <w:rPr>
          <w:rStyle w:val="Strong"/>
          <w:b/>
          <w:bCs w:val="0"/>
        </w:rPr>
        <w:t>: Clinical decision pathway</w:t>
      </w:r>
      <w:r w:rsidR="0026330A" w:rsidRPr="00397B17">
        <w:rPr>
          <w:rStyle w:val="Strong"/>
          <w:b/>
          <w:bCs w:val="0"/>
        </w:rPr>
        <w:t xml:space="preserve"> for rTMS treatment</w:t>
      </w:r>
      <w:bookmarkEnd w:id="48"/>
      <w:bookmarkEnd w:id="49"/>
      <w:r w:rsidR="0026330A" w:rsidRPr="00397B17">
        <w:rPr>
          <w:rStyle w:val="Strong"/>
          <w:b/>
          <w:bCs w:val="0"/>
        </w:rPr>
        <w:t xml:space="preserve"> </w:t>
      </w:r>
    </w:p>
    <w:p w14:paraId="1C47DB24" w14:textId="215DEFD8" w:rsidR="003A3FF5" w:rsidRDefault="00354FAD" w:rsidP="005A1090">
      <w:pPr>
        <w:widowControl w:val="0"/>
        <w:jc w:val="center"/>
      </w:pPr>
      <w:r>
        <w:rPr>
          <w:noProof/>
          <w:lang w:eastAsia="en-AU"/>
        </w:rPr>
        <w:drawing>
          <wp:inline distT="0" distB="0" distL="0" distR="0" wp14:anchorId="2C637EFD" wp14:editId="5FB09040">
            <wp:extent cx="4681477" cy="6416703"/>
            <wp:effectExtent l="0" t="0" r="5080" b="3175"/>
            <wp:docPr id="4" name="Picture 4" title="Fig 2 Clinical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8016" cy="6425665"/>
                    </a:xfrm>
                    <a:prstGeom prst="rect">
                      <a:avLst/>
                    </a:prstGeom>
                    <a:noFill/>
                    <a:ln>
                      <a:noFill/>
                    </a:ln>
                  </pic:spPr>
                </pic:pic>
              </a:graphicData>
            </a:graphic>
          </wp:inline>
        </w:drawing>
      </w:r>
    </w:p>
    <w:p w14:paraId="2152B8E4" w14:textId="77777777" w:rsidR="009D01D7" w:rsidRDefault="009D01D7" w:rsidP="009D01D7">
      <w:pPr>
        <w:jc w:val="both"/>
      </w:pPr>
      <w:r>
        <w:lastRenderedPageBreak/>
        <w:t xml:space="preserve">After a person has demonstrated that they have TRD they can be referred to an rTMS psychiatrist. The rTMS psychiatrist will assess the patient for suitability for rTMS and ascertain that they do not have any ferrous metal in their head, a history of epilepsy or existing comorbidities. If they are found to be suitable they </w:t>
      </w:r>
      <w:r w:rsidRPr="0053401C">
        <w:t>undergo “mapping” to determine the</w:t>
      </w:r>
      <w:r>
        <w:t xml:space="preserve"> threshold of the rTMS stimulus. After the mapping, the patient can commence a course of rTMS. </w:t>
      </w:r>
      <w:r w:rsidRPr="004E7644">
        <w:t xml:space="preserve">This </w:t>
      </w:r>
      <w:r>
        <w:t xml:space="preserve">algorithm indicates the use of </w:t>
      </w:r>
      <w:r w:rsidRPr="004E7644">
        <w:t>TMS</w:t>
      </w:r>
      <w:r>
        <w:t xml:space="preserve"> following a failure to respond to two or more antidepressant medication strategies. </w:t>
      </w:r>
    </w:p>
    <w:p w14:paraId="0BAEC1EF" w14:textId="77777777" w:rsidR="00F302BD" w:rsidRPr="007E49E9" w:rsidRDefault="00F302BD" w:rsidP="00D22942">
      <w:pPr>
        <w:pStyle w:val="Heading3"/>
      </w:pPr>
      <w:bookmarkStart w:id="50" w:name="_Toc389142042"/>
      <w:r w:rsidRPr="007E49E9">
        <w:t>Comparator</w:t>
      </w:r>
      <w:r w:rsidR="009C5947">
        <w:t>s</w:t>
      </w:r>
      <w:bookmarkEnd w:id="50"/>
      <w:r w:rsidRPr="007E49E9">
        <w:t xml:space="preserve"> </w:t>
      </w:r>
    </w:p>
    <w:p w14:paraId="4A5296BC" w14:textId="3DDD6104" w:rsidR="00F302BD" w:rsidRDefault="00F302BD" w:rsidP="0026330A">
      <w:pPr>
        <w:jc w:val="both"/>
      </w:pPr>
      <w:r w:rsidRPr="002C4A36">
        <w:t>Several potential</w:t>
      </w:r>
      <w:r>
        <w:t xml:space="preserve"> comparators </w:t>
      </w:r>
      <w:r w:rsidRPr="002C4A36">
        <w:t xml:space="preserve">for TMS treatment </w:t>
      </w:r>
      <w:r>
        <w:t xml:space="preserve">are </w:t>
      </w:r>
      <w:r w:rsidRPr="002C4A36">
        <w:t>identified in the</w:t>
      </w:r>
      <w:r>
        <w:t xml:space="preserve"> </w:t>
      </w:r>
      <w:r w:rsidR="00E45AF4">
        <w:t>Protocol</w:t>
      </w:r>
      <w:r>
        <w:t xml:space="preserve">. Antidepressant medication was proposed as the most appropriate comparator in the initial application to MSAC. The </w:t>
      </w:r>
      <w:r w:rsidR="00E45AF4">
        <w:t>Protocol</w:t>
      </w:r>
      <w:r>
        <w:t xml:space="preserve"> identifies both ECT and psychotherapy as other potential comparators. </w:t>
      </w:r>
    </w:p>
    <w:p w14:paraId="5D6D8AE1" w14:textId="77777777" w:rsidR="00F302BD" w:rsidRDefault="00F302BD" w:rsidP="00E216B1">
      <w:pPr>
        <w:pStyle w:val="Heading4"/>
      </w:pPr>
      <w:r>
        <w:t>Antidepressant medication: the main comparator</w:t>
      </w:r>
    </w:p>
    <w:p w14:paraId="4E75B8BF" w14:textId="458EBCB7" w:rsidR="00F302BD" w:rsidRDefault="00F302BD" w:rsidP="0026330A">
      <w:pPr>
        <w:jc w:val="both"/>
      </w:pPr>
      <w:r>
        <w:t xml:space="preserve">Antidepressant medications are commonly used in the treatment of depression. However, there is a substantial body of evidence that indicates that if patients have failed to respond to one or two trials of medication, response rates to a third line antidepressant treatment are very low. In clinical practice, patients will commonly cycle through multiple courses of antidepressant therapy including adjuvant treatment such as antipsychotics and mood stabilisers in an attempt to achieve clinical response. The use of third line antidepressant medication is the most appropriate comparator for </w:t>
      </w:r>
      <w:r w:rsidR="005D4ED9">
        <w:t>r</w:t>
      </w:r>
      <w:r>
        <w:t>TMS treatment.</w:t>
      </w:r>
    </w:p>
    <w:p w14:paraId="153D5D84" w14:textId="77777777" w:rsidR="00F302BD" w:rsidRDefault="00F302BD" w:rsidP="00E216B1">
      <w:pPr>
        <w:pStyle w:val="Heading4"/>
      </w:pPr>
      <w:r w:rsidRPr="00E216B1">
        <w:t>Electroconvulsive</w:t>
      </w:r>
      <w:r>
        <w:t xml:space="preserve"> therapy</w:t>
      </w:r>
    </w:p>
    <w:p w14:paraId="6E395A88" w14:textId="06D211C7" w:rsidR="00F302BD" w:rsidRDefault="00F302BD" w:rsidP="0026330A">
      <w:pPr>
        <w:jc w:val="both"/>
      </w:pPr>
      <w:r w:rsidRPr="003866C1">
        <w:t>ECT treatment is</w:t>
      </w:r>
      <w:r>
        <w:t xml:space="preserve"> typically utilised for patients with depression where a rapid clinical response is required, commonly related to the presence of psychotic symptoms or high suicide risk. It is also used in patients with treatment resistant depression, although many patients with treatment resistant depression may not be offered ECT if their symptoms are not considered of sufficient severity to justify this treatment due to the risks and side effects associated with it.</w:t>
      </w:r>
      <w:r w:rsidR="009A5594">
        <w:t xml:space="preserve"> Often patients will not accept a recommendation of ECT due to fear of the treatment itself, or concern about memory impairment.</w:t>
      </w:r>
    </w:p>
    <w:p w14:paraId="2952FB7C" w14:textId="0FEA868F" w:rsidR="00F302BD" w:rsidRDefault="00F302BD" w:rsidP="0026330A">
      <w:pPr>
        <w:jc w:val="both"/>
      </w:pPr>
      <w:r>
        <w:t xml:space="preserve">There is likely to be only a small overlap in use between rTMS and ECT </w:t>
      </w:r>
      <w:r w:rsidR="005D4ED9">
        <w:t xml:space="preserve">because patients with very severe episodes of depression, where patients are suicidal or psychotic, will not be appropriate for rTMS. </w:t>
      </w:r>
    </w:p>
    <w:p w14:paraId="6F86830F" w14:textId="77777777" w:rsidR="00F302BD" w:rsidRDefault="00F302BD" w:rsidP="00E216B1">
      <w:pPr>
        <w:pStyle w:val="Heading4"/>
      </w:pPr>
      <w:r w:rsidRPr="00E216B1">
        <w:t>Psychotherapy</w:t>
      </w:r>
    </w:p>
    <w:p w14:paraId="165ECD70" w14:textId="5BCC1F97" w:rsidR="00F302BD" w:rsidRPr="003A3FF5" w:rsidRDefault="00F302BD" w:rsidP="00483C5B">
      <w:pPr>
        <w:jc w:val="both"/>
      </w:pPr>
      <w:r>
        <w:t>Psychotherap</w:t>
      </w:r>
      <w:r w:rsidR="009A5594">
        <w:t>ies</w:t>
      </w:r>
      <w:r>
        <w:t xml:space="preserve">, especially cognitive behavioural therapy (CBT) and interpersonal psychotherapy (IPT) are commonly used treatments for depression. They are most typically used as first line interventions, often </w:t>
      </w:r>
      <w:r w:rsidR="00260CD5">
        <w:t xml:space="preserve">preceding </w:t>
      </w:r>
      <w:r>
        <w:t>or concurrently utilised with antidepressant medications. There is some research suggesting that psychotherapy may have some value in treatment</w:t>
      </w:r>
      <w:r w:rsidR="00851C44">
        <w:t>-</w:t>
      </w:r>
      <w:r w:rsidR="003A3FF5">
        <w:t>resistant depression.</w:t>
      </w:r>
    </w:p>
    <w:p w14:paraId="1EE9EFAC" w14:textId="77777777" w:rsidR="00CE6213" w:rsidRDefault="00CE6213" w:rsidP="00E216B1">
      <w:pPr>
        <w:pStyle w:val="Heading4"/>
      </w:pPr>
    </w:p>
    <w:p w14:paraId="0F9C50A3" w14:textId="77777777" w:rsidR="00CE6213" w:rsidRDefault="00CE6213" w:rsidP="00E216B1">
      <w:pPr>
        <w:pStyle w:val="Heading4"/>
      </w:pPr>
    </w:p>
    <w:p w14:paraId="58888071" w14:textId="77777777" w:rsidR="00CC7E59" w:rsidRDefault="00CC7E59" w:rsidP="00E216B1">
      <w:pPr>
        <w:pStyle w:val="Heading4"/>
      </w:pPr>
      <w:r>
        <w:lastRenderedPageBreak/>
        <w:t xml:space="preserve">Position </w:t>
      </w:r>
      <w:r w:rsidRPr="00E216B1">
        <w:t>statements</w:t>
      </w:r>
      <w:r>
        <w:t xml:space="preserve"> and guidelines</w:t>
      </w:r>
    </w:p>
    <w:p w14:paraId="07B45BED" w14:textId="77777777" w:rsidR="00F302BD" w:rsidRDefault="00F302BD" w:rsidP="00483C5B">
      <w:pPr>
        <w:jc w:val="both"/>
      </w:pPr>
      <w:r w:rsidRPr="00AD6EF2">
        <w:t>The American Psychiatric Association’s 2010 Practice Guidelines for the Treatment of Patients with Major Depressive Disorder state that</w:t>
      </w:r>
      <w:r w:rsidR="00B81CEC">
        <w:t xml:space="preserve"> “F</w:t>
      </w:r>
      <w:r w:rsidRPr="00AD6EF2">
        <w:t>or patients whose symptoms have not responded adequately to medication…transcranial magnetic stimulation could also be considered…”</w:t>
      </w:r>
    </w:p>
    <w:p w14:paraId="2D3743A7" w14:textId="2F40B130" w:rsidR="00F302BD" w:rsidRDefault="00F302BD" w:rsidP="00483C5B">
      <w:pPr>
        <w:jc w:val="both"/>
      </w:pPr>
      <w:r>
        <w:t>The Royal Australian and New Zealand College of Psychiatrists</w:t>
      </w:r>
      <w:r w:rsidR="00B81CEC">
        <w:t xml:space="preserve"> (RANZCP)</w:t>
      </w:r>
      <w:r>
        <w:t xml:space="preserve"> current position statement on the use of </w:t>
      </w:r>
      <w:r w:rsidR="007D2B88">
        <w:t>r</w:t>
      </w:r>
      <w:r>
        <w:t>TMS treatment in depression also emphasises the use of this treatment in patients with</w:t>
      </w:r>
      <w:r w:rsidR="00B81CEC">
        <w:t xml:space="preserve"> treatment resistant depression, stating that </w:t>
      </w:r>
      <w:r>
        <w:t>“</w:t>
      </w:r>
      <w:r>
        <w:rPr>
          <w:rFonts w:cs="Arial"/>
          <w:szCs w:val="22"/>
        </w:rPr>
        <w:t>Those with treatment</w:t>
      </w:r>
      <w:r w:rsidR="00B81CEC">
        <w:rPr>
          <w:rFonts w:cs="Arial"/>
          <w:szCs w:val="22"/>
        </w:rPr>
        <w:t>-</w:t>
      </w:r>
      <w:r>
        <w:rPr>
          <w:rFonts w:cs="Arial"/>
          <w:szCs w:val="22"/>
        </w:rPr>
        <w:t xml:space="preserve"> resistant depression </w:t>
      </w:r>
      <w:r w:rsidRPr="004F6835">
        <w:rPr>
          <w:rFonts w:cs="Arial"/>
          <w:szCs w:val="22"/>
        </w:rPr>
        <w:t>who respond to</w:t>
      </w:r>
      <w:r>
        <w:rPr>
          <w:rFonts w:cs="Arial"/>
          <w:szCs w:val="22"/>
        </w:rPr>
        <w:t xml:space="preserve"> rTMS</w:t>
      </w:r>
      <w:r w:rsidRPr="004F6835">
        <w:rPr>
          <w:rFonts w:cs="Arial"/>
          <w:szCs w:val="22"/>
        </w:rPr>
        <w:t xml:space="preserve"> treatment (of the order of 50% </w:t>
      </w:r>
      <w:r>
        <w:rPr>
          <w:rFonts w:cs="Arial"/>
          <w:szCs w:val="22"/>
        </w:rPr>
        <w:t xml:space="preserve">of patients) </w:t>
      </w:r>
      <w:r w:rsidRPr="004F6835">
        <w:rPr>
          <w:rFonts w:cs="Arial"/>
          <w:szCs w:val="22"/>
        </w:rPr>
        <w:t>will subsequently experience a lower burden of disease both subjectively and functionally.</w:t>
      </w:r>
      <w:r>
        <w:rPr>
          <w:rFonts w:cs="Arial"/>
          <w:szCs w:val="22"/>
        </w:rPr>
        <w:t xml:space="preserve"> </w:t>
      </w:r>
      <w:r w:rsidRPr="004F6835">
        <w:rPr>
          <w:rFonts w:cs="Arial"/>
          <w:szCs w:val="22"/>
        </w:rPr>
        <w:t xml:space="preserve">Over the past </w:t>
      </w:r>
      <w:r>
        <w:rPr>
          <w:rFonts w:cs="Arial"/>
          <w:szCs w:val="22"/>
        </w:rPr>
        <w:t>several</w:t>
      </w:r>
      <w:r w:rsidRPr="004F6835">
        <w:rPr>
          <w:rFonts w:cs="Arial"/>
          <w:szCs w:val="22"/>
        </w:rPr>
        <w:t xml:space="preserve"> years</w:t>
      </w:r>
      <w:r w:rsidRPr="004E7644">
        <w:rPr>
          <w:rFonts w:cs="Arial"/>
          <w:i/>
          <w:iCs/>
          <w:szCs w:val="22"/>
        </w:rPr>
        <w:t>, the evidence for efficacy has been compelling for this population group</w:t>
      </w:r>
      <w:r w:rsidRPr="004F6835">
        <w:rPr>
          <w:rFonts w:cs="Arial"/>
          <w:szCs w:val="22"/>
        </w:rPr>
        <w:t>, with a shift towards consistently positive findings following</w:t>
      </w:r>
      <w:r>
        <w:rPr>
          <w:rFonts w:cs="Arial"/>
          <w:szCs w:val="22"/>
        </w:rPr>
        <w:t xml:space="preserve"> refined treatment parameters.”</w:t>
      </w:r>
    </w:p>
    <w:p w14:paraId="3C2B2C1E" w14:textId="77777777" w:rsidR="00F302BD" w:rsidRDefault="00F302BD" w:rsidP="00483C5B">
      <w:pPr>
        <w:jc w:val="both"/>
      </w:pPr>
      <w:r>
        <w:t>The World Federation of Societies of Biological Psychiatry Guidelines on Brain Stimulation Treatments in Psychiatry (2010) also support the use of rTMS in patients with treatment</w:t>
      </w:r>
      <w:r w:rsidR="00B81CEC">
        <w:t xml:space="preserve">-resistant depression, stating that </w:t>
      </w:r>
      <w:r>
        <w:t>“For the acute management of patients with moderately treatment</w:t>
      </w:r>
      <w:r w:rsidR="00492E60">
        <w:t>-resistant depression</w:t>
      </w:r>
      <w:r w:rsidR="00B81CEC">
        <w:t xml:space="preserve"> t</w:t>
      </w:r>
      <w:r w:rsidR="00492E60">
        <w:t xml:space="preserve">here is </w:t>
      </w:r>
      <w:r>
        <w:t>sufficient class I evidence of acute efficacy for TMS in depression in medication-free unipolar depressed patients. The large body of evidence from single site small sample trials suggests that it may also be useful clinically in moderately treatment-resistant patients, either alone or used adjunctively with medications. We thus recommend that psychiatrists consider using TMS in non-psychotic adults with major depression. Typically patients will have tried and failed at least one attempt at medication therapy, although this is not required. There are only limited data about using it in a maintenance fashion after acute response</w:t>
      </w:r>
      <w:r w:rsidR="000B7A6E">
        <w:t>.</w:t>
      </w:r>
      <w:r>
        <w:t>”</w:t>
      </w:r>
    </w:p>
    <w:p w14:paraId="5F485B8E" w14:textId="3114C6FC" w:rsidR="00F302BD" w:rsidRPr="00B81CEC" w:rsidRDefault="00F302BD" w:rsidP="00483C5B">
      <w:pPr>
        <w:jc w:val="both"/>
      </w:pPr>
      <w:r w:rsidRPr="00AD6EF2">
        <w:t xml:space="preserve">Comprehensive technology reviews also provide support that </w:t>
      </w:r>
      <w:r w:rsidR="007D2B88">
        <w:t>r</w:t>
      </w:r>
      <w:r w:rsidRPr="00AD6EF2">
        <w:t>TMS is an evidence-based treatment option for patients who have failed to benefit from initial acute phase treatment of major depression. In 2011, the US federally-funded Effective Health Care Program of the Agency for Healthcare Research and Quality (AHRQ), published a Comparative Effectiveness Review (Number 33), entitled, “Non</w:t>
      </w:r>
      <w:r w:rsidR="00B81CEC">
        <w:t>-</w:t>
      </w:r>
      <w:r w:rsidRPr="00AD6EF2">
        <w:t xml:space="preserve">pharmacologic </w:t>
      </w:r>
      <w:r w:rsidR="00B81CEC">
        <w:t>i</w:t>
      </w:r>
      <w:r w:rsidRPr="00AD6EF2">
        <w:t xml:space="preserve">nterventions for </w:t>
      </w:r>
      <w:r w:rsidR="00B81CEC">
        <w:t>t</w:t>
      </w:r>
      <w:r w:rsidRPr="00AD6EF2">
        <w:t>reatment-</w:t>
      </w:r>
      <w:r w:rsidR="00B81CEC">
        <w:t>r</w:t>
      </w:r>
      <w:r w:rsidRPr="00AD6EF2">
        <w:t xml:space="preserve">esistant </w:t>
      </w:r>
      <w:r w:rsidR="00B81CEC">
        <w:t>d</w:t>
      </w:r>
      <w:r w:rsidRPr="00AD6EF2">
        <w:t xml:space="preserve">epression in </w:t>
      </w:r>
      <w:r w:rsidR="00B81CEC">
        <w:t>a</w:t>
      </w:r>
      <w:r w:rsidRPr="00AD6EF2">
        <w:t>dults</w:t>
      </w:r>
      <w:r w:rsidR="005A1090">
        <w:t>”</w:t>
      </w:r>
      <w:r w:rsidRPr="00AD6EF2">
        <w:t xml:space="preserve">. Overall, the AHRQ Panel concluded that there is a </w:t>
      </w:r>
      <w:r w:rsidR="00B81CEC">
        <w:t>“</w:t>
      </w:r>
      <w:r w:rsidRPr="00B81CEC">
        <w:rPr>
          <w:iCs/>
        </w:rPr>
        <w:t xml:space="preserve">substantial and well-replicated body of evidence from randomized, sham-controlled clinical trials that provide a </w:t>
      </w:r>
      <w:r w:rsidR="00B81CEC" w:rsidRPr="00B81CEC">
        <w:rPr>
          <w:i/>
          <w:iCs/>
        </w:rPr>
        <w:t>high strength of evidence</w:t>
      </w:r>
      <w:r w:rsidRPr="00B81CEC">
        <w:rPr>
          <w:iCs/>
        </w:rPr>
        <w:t xml:space="preserve"> that TMS produces significantly greater decreases in depression severity, response rate and remission rate when compared to a sham treatment condition in the majority of peer-reviewed published clinical trials.</w:t>
      </w:r>
      <w:r w:rsidR="00B81CEC">
        <w:t>”</w:t>
      </w:r>
      <w:r w:rsidRPr="00B81CEC">
        <w:t xml:space="preserve"> </w:t>
      </w:r>
    </w:p>
    <w:p w14:paraId="4F17EBE9" w14:textId="77777777" w:rsidR="00F302BD" w:rsidRPr="00170A63" w:rsidRDefault="00F302BD" w:rsidP="00D22942">
      <w:pPr>
        <w:pStyle w:val="Heading3"/>
      </w:pPr>
      <w:bookmarkStart w:id="51" w:name="_Toc389142043"/>
      <w:r>
        <w:t xml:space="preserve">Differences between the </w:t>
      </w:r>
      <w:r w:rsidR="00492E60">
        <w:t xml:space="preserve">rTMS </w:t>
      </w:r>
      <w:r>
        <w:t xml:space="preserve">and </w:t>
      </w:r>
      <w:r w:rsidR="00492E60">
        <w:t>antidepressants</w:t>
      </w:r>
      <w:bookmarkEnd w:id="51"/>
    </w:p>
    <w:p w14:paraId="63C236E3" w14:textId="77777777" w:rsidR="00F302BD" w:rsidRPr="00CD2995" w:rsidRDefault="00F302BD" w:rsidP="00E216B1">
      <w:pPr>
        <w:pStyle w:val="Heading4"/>
      </w:pPr>
      <w:r w:rsidRPr="00E216B1">
        <w:t>Indications</w:t>
      </w:r>
    </w:p>
    <w:p w14:paraId="2CC09C3A" w14:textId="05227B81" w:rsidR="00F302BD" w:rsidRDefault="00F302BD" w:rsidP="00483C5B">
      <w:pPr>
        <w:jc w:val="both"/>
      </w:pPr>
      <w:r>
        <w:t xml:space="preserve">There are no major differences in indications for </w:t>
      </w:r>
      <w:r w:rsidR="007D2B88">
        <w:t>r</w:t>
      </w:r>
      <w:r>
        <w:t>TMS treatment and antidepressant medication or psychotherapy. As described above, ECT is typically used in more severely depressed patients where there is an urgent need for clinical response related to psychosis or suicidality.</w:t>
      </w:r>
    </w:p>
    <w:p w14:paraId="7ACE24B3" w14:textId="77777777" w:rsidR="00CE6213" w:rsidRDefault="00CE6213" w:rsidP="00483C5B">
      <w:pPr>
        <w:jc w:val="both"/>
      </w:pPr>
    </w:p>
    <w:p w14:paraId="743616E9" w14:textId="77777777" w:rsidR="00F302BD" w:rsidRPr="00CD2995" w:rsidRDefault="00F302BD" w:rsidP="00E216B1">
      <w:pPr>
        <w:pStyle w:val="Heading4"/>
      </w:pPr>
      <w:r w:rsidRPr="00E216B1">
        <w:lastRenderedPageBreak/>
        <w:t>Contraindications</w:t>
      </w:r>
    </w:p>
    <w:p w14:paraId="5A19F18A" w14:textId="16E8C20E" w:rsidR="00F302BD" w:rsidRDefault="007D2B88" w:rsidP="00483C5B">
      <w:pPr>
        <w:jc w:val="both"/>
      </w:pPr>
      <w:r>
        <w:t>T</w:t>
      </w:r>
      <w:r w:rsidR="00F302BD">
        <w:t xml:space="preserve">he major contraindications for </w:t>
      </w:r>
      <w:r w:rsidR="005A1090">
        <w:t>r</w:t>
      </w:r>
      <w:r w:rsidR="00F302BD">
        <w:t>TMS are a history of a seizure disorder or the presence of ferrous metal in the skull or brain, or the presence of a magnetically programmable medical device such as a pacemaker. The major contraindications for antidepressant medication are related to tolerability or side-effects with specific individual medications. The major contraindications for engagement in psychotherapy relate to the suitability and capacity of patients to actually engage in individual forms of psychotherapy: this is typically an under recognised but important reason why a substantial proportion of individuals cannot adequately benefit from different forms of psychotherapy.</w:t>
      </w:r>
    </w:p>
    <w:p w14:paraId="30540F94" w14:textId="77777777" w:rsidR="00F302BD" w:rsidRPr="00CD2995" w:rsidRDefault="00F302BD" w:rsidP="00E216B1">
      <w:pPr>
        <w:pStyle w:val="Heading4"/>
      </w:pPr>
      <w:r w:rsidRPr="00CD2995">
        <w:t>Adverse events</w:t>
      </w:r>
    </w:p>
    <w:p w14:paraId="23E66F71" w14:textId="13EF031A" w:rsidR="00F302BD" w:rsidRDefault="00F302BD" w:rsidP="00483C5B">
      <w:pPr>
        <w:jc w:val="both"/>
      </w:pPr>
      <w:r>
        <w:t xml:space="preserve">Detailed information on the safety profile of TMS treatment in clinical trials and real-world use will be provided in following sections. The </w:t>
      </w:r>
      <w:r w:rsidR="006C19DA">
        <w:t>most important</w:t>
      </w:r>
      <w:r>
        <w:t xml:space="preserve"> adverse </w:t>
      </w:r>
      <w:r w:rsidR="006C19DA">
        <w:t>event with rTMS treatment is</w:t>
      </w:r>
      <w:r>
        <w:t xml:space="preserve"> the induction of a seizure: rates of these are extremely low. </w:t>
      </w:r>
      <w:proofErr w:type="gramStart"/>
      <w:r w:rsidR="009D01D7">
        <w:t>r</w:t>
      </w:r>
      <w:r>
        <w:t>TMS</w:t>
      </w:r>
      <w:proofErr w:type="gramEnd"/>
      <w:r>
        <w:t xml:space="preserve"> treatment is otherwise tolerated extremely well with low treatment discontinuation rates. Antidepressant medications are associated with a wide range of adverse events which include treatment limiting side-effects as well more serious potential complications. Antidepressant medications can also produce significant discontinuation syndrome on medication withdrawal. </w:t>
      </w:r>
      <w:r w:rsidR="007D2B88">
        <w:t xml:space="preserve">ECT has significant risks and adverse effects related to both the anaesthetic and the ECT treatment. </w:t>
      </w:r>
      <w:r>
        <w:t>ECT treatment can result in significant impairment in both short-term and long-term memory with permanent changes seen in a small subset of patients.</w:t>
      </w:r>
    </w:p>
    <w:p w14:paraId="7FCD0A69" w14:textId="77777777" w:rsidR="00B87ACD" w:rsidRDefault="00B87ACD" w:rsidP="00D22942">
      <w:pPr>
        <w:pStyle w:val="Heading3"/>
      </w:pPr>
      <w:bookmarkStart w:id="52" w:name="_Toc389142044"/>
      <w:r>
        <w:t>Research Questions</w:t>
      </w:r>
      <w:bookmarkEnd w:id="52"/>
    </w:p>
    <w:p w14:paraId="78156A55" w14:textId="77777777" w:rsidR="00CC7E59" w:rsidRPr="003A3FF5" w:rsidRDefault="00CC7E59" w:rsidP="00483C5B">
      <w:pPr>
        <w:jc w:val="both"/>
        <w:rPr>
          <w:szCs w:val="24"/>
        </w:rPr>
      </w:pPr>
      <w:r w:rsidRPr="003A3FF5">
        <w:rPr>
          <w:szCs w:val="24"/>
        </w:rPr>
        <w:t>The following research questions will be addressed in this report:</w:t>
      </w:r>
    </w:p>
    <w:p w14:paraId="689D3962" w14:textId="535FBA24" w:rsidR="00CC7E59" w:rsidRPr="003A3FF5" w:rsidRDefault="00C05D8F" w:rsidP="00483C5B">
      <w:pPr>
        <w:pStyle w:val="ListParagraph"/>
        <w:numPr>
          <w:ilvl w:val="0"/>
          <w:numId w:val="16"/>
        </w:numPr>
        <w:jc w:val="both"/>
        <w:rPr>
          <w:rFonts w:ascii="Garamond" w:hAnsi="Garamond"/>
        </w:rPr>
      </w:pPr>
      <w:r w:rsidRPr="003A3FF5">
        <w:rPr>
          <w:rFonts w:ascii="Garamond" w:hAnsi="Garamond"/>
        </w:rPr>
        <w:t xml:space="preserve">Is rTMS therapy more effective for patients with major depressive disorder who have previously failed two antidepressant medications at adequate dose and duration compared with either </w:t>
      </w:r>
      <w:r w:rsidR="00E45AF4">
        <w:rPr>
          <w:rFonts w:ascii="Garamond" w:hAnsi="Garamond"/>
        </w:rPr>
        <w:t>third</w:t>
      </w:r>
      <w:r w:rsidR="005A1090">
        <w:rPr>
          <w:rFonts w:ascii="Garamond" w:hAnsi="Garamond"/>
        </w:rPr>
        <w:t>-</w:t>
      </w:r>
      <w:r w:rsidRPr="003A3FF5">
        <w:rPr>
          <w:rFonts w:ascii="Garamond" w:hAnsi="Garamond"/>
        </w:rPr>
        <w:t>line antidepressants or ECT</w:t>
      </w:r>
      <w:r w:rsidR="005A1090">
        <w:rPr>
          <w:rFonts w:ascii="Garamond" w:hAnsi="Garamond"/>
        </w:rPr>
        <w:t xml:space="preserve"> (with or without psychological therapies)</w:t>
      </w:r>
      <w:r w:rsidRPr="003A3FF5">
        <w:rPr>
          <w:rFonts w:ascii="Garamond" w:hAnsi="Garamond"/>
        </w:rPr>
        <w:t>?</w:t>
      </w:r>
    </w:p>
    <w:p w14:paraId="72AF6434" w14:textId="77777777" w:rsidR="00C05D8F" w:rsidRPr="003A3FF5" w:rsidRDefault="00C05D8F" w:rsidP="00483C5B">
      <w:pPr>
        <w:pStyle w:val="ListParagraph"/>
        <w:ind w:left="1080"/>
        <w:jc w:val="both"/>
        <w:rPr>
          <w:rFonts w:ascii="Garamond" w:hAnsi="Garamond"/>
        </w:rPr>
      </w:pPr>
    </w:p>
    <w:p w14:paraId="4DA4058B" w14:textId="346EA68D" w:rsidR="00C05D8F" w:rsidRPr="003A3FF5" w:rsidRDefault="00C05D8F" w:rsidP="00483C5B">
      <w:pPr>
        <w:pStyle w:val="ListParagraph"/>
        <w:numPr>
          <w:ilvl w:val="0"/>
          <w:numId w:val="16"/>
        </w:numPr>
        <w:jc w:val="both"/>
        <w:rPr>
          <w:rFonts w:ascii="Garamond" w:hAnsi="Garamond"/>
        </w:rPr>
      </w:pPr>
      <w:r w:rsidRPr="003A3FF5">
        <w:rPr>
          <w:rFonts w:ascii="Garamond" w:hAnsi="Garamond"/>
        </w:rPr>
        <w:t xml:space="preserve">Is rTMS therapy safer for patients with major depressive disorder who have previously failed two antidepressant medications at adequate dose and duration compared with either </w:t>
      </w:r>
      <w:r w:rsidR="00E45AF4">
        <w:rPr>
          <w:rFonts w:ascii="Garamond" w:hAnsi="Garamond"/>
        </w:rPr>
        <w:t>third</w:t>
      </w:r>
      <w:r w:rsidR="005A1090">
        <w:rPr>
          <w:rFonts w:ascii="Garamond" w:hAnsi="Garamond"/>
        </w:rPr>
        <w:t>-</w:t>
      </w:r>
      <w:r w:rsidRPr="003A3FF5">
        <w:rPr>
          <w:rFonts w:ascii="Garamond" w:hAnsi="Garamond"/>
        </w:rPr>
        <w:t>line antidepressants or ECT</w:t>
      </w:r>
      <w:r w:rsidR="005A1090">
        <w:rPr>
          <w:rFonts w:ascii="Garamond" w:hAnsi="Garamond"/>
        </w:rPr>
        <w:t xml:space="preserve"> (with or without psychological therapies)</w:t>
      </w:r>
      <w:r w:rsidRPr="003A3FF5">
        <w:rPr>
          <w:rFonts w:ascii="Garamond" w:hAnsi="Garamond"/>
        </w:rPr>
        <w:t>?</w:t>
      </w:r>
    </w:p>
    <w:p w14:paraId="287579A4" w14:textId="77777777" w:rsidR="00C05D8F" w:rsidRPr="003A3FF5" w:rsidRDefault="00C05D8F" w:rsidP="00483C5B">
      <w:pPr>
        <w:pStyle w:val="ListParagraph"/>
        <w:jc w:val="both"/>
        <w:rPr>
          <w:rFonts w:ascii="Garamond" w:hAnsi="Garamond"/>
        </w:rPr>
      </w:pPr>
    </w:p>
    <w:p w14:paraId="3DC861BE" w14:textId="77777777" w:rsidR="00C05D8F" w:rsidRPr="003A3FF5" w:rsidRDefault="00C05D8F" w:rsidP="00483C5B">
      <w:pPr>
        <w:pStyle w:val="ListParagraph"/>
        <w:numPr>
          <w:ilvl w:val="0"/>
          <w:numId w:val="16"/>
        </w:numPr>
        <w:jc w:val="both"/>
        <w:rPr>
          <w:rFonts w:ascii="Garamond" w:hAnsi="Garamond"/>
        </w:rPr>
      </w:pPr>
      <w:r w:rsidRPr="003A3FF5">
        <w:rPr>
          <w:rFonts w:ascii="Garamond" w:hAnsi="Garamond"/>
        </w:rPr>
        <w:t>What is the cost-effectiveness of rTMS compared with antidepressants or ECT?</w:t>
      </w:r>
    </w:p>
    <w:p w14:paraId="4B5A95B5" w14:textId="77777777" w:rsidR="00C05D8F" w:rsidRDefault="00C05D8F" w:rsidP="00C05D8F"/>
    <w:p w14:paraId="6D2E18DE" w14:textId="77777777" w:rsidR="00F302BD" w:rsidRDefault="00F302BD" w:rsidP="00D22942">
      <w:pPr>
        <w:pStyle w:val="Heading3"/>
      </w:pPr>
      <w:bookmarkStart w:id="53" w:name="_Toc389142045"/>
      <w:r>
        <w:t>Su</w:t>
      </w:r>
      <w:r w:rsidRPr="00492E60">
        <w:t>m</w:t>
      </w:r>
      <w:r>
        <w:t xml:space="preserve">mary of the </w:t>
      </w:r>
      <w:r w:rsidR="006F4462">
        <w:t>p</w:t>
      </w:r>
      <w:r>
        <w:t xml:space="preserve">rimary </w:t>
      </w:r>
      <w:r w:rsidR="006F4462">
        <w:t>e</w:t>
      </w:r>
      <w:r>
        <w:t xml:space="preserve">lements of the </w:t>
      </w:r>
      <w:r w:rsidR="006F4462">
        <w:t>d</w:t>
      </w:r>
      <w:r>
        <w:t xml:space="preserve">ecision </w:t>
      </w:r>
      <w:r w:rsidR="006F4462">
        <w:t>analysis (PICO</w:t>
      </w:r>
      <w:r>
        <w:t>)</w:t>
      </w:r>
      <w:bookmarkEnd w:id="53"/>
    </w:p>
    <w:p w14:paraId="3759349B" w14:textId="71850AD1" w:rsidR="002C4EFC" w:rsidRDefault="002C4EFC" w:rsidP="002C4EFC">
      <w:r>
        <w:t>The PICO table for the assessment is provided in Table 2.</w:t>
      </w:r>
    </w:p>
    <w:p w14:paraId="7443F6F2" w14:textId="0C8116B3" w:rsidR="002C4EFC" w:rsidRDefault="002C4EFC">
      <w:pPr>
        <w:spacing w:after="0"/>
        <w:ind w:left="0"/>
        <w:rPr>
          <w:rFonts w:ascii="Tahoma" w:hAnsi="Tahoma"/>
          <w:b/>
          <w:sz w:val="26"/>
        </w:rPr>
      </w:pPr>
      <w:r>
        <w:br w:type="page"/>
      </w:r>
    </w:p>
    <w:p w14:paraId="4F507B36" w14:textId="050388B8" w:rsidR="002C4EFC" w:rsidRDefault="002C4EFC" w:rsidP="002C4EFC">
      <w:pPr>
        <w:pStyle w:val="TableName"/>
      </w:pPr>
      <w:bookmarkStart w:id="54" w:name="_Toc389143576"/>
      <w:r>
        <w:lastRenderedPageBreak/>
        <w:t>Table 2: Summary of PICO</w:t>
      </w:r>
      <w:bookmarkEnd w:id="54"/>
    </w:p>
    <w:tbl>
      <w:tblPr>
        <w:tblStyle w:val="TableGrid"/>
        <w:tblW w:w="8744" w:type="dxa"/>
        <w:tblInd w:w="720" w:type="dxa"/>
        <w:tblLook w:val="04A0" w:firstRow="1" w:lastRow="0" w:firstColumn="1" w:lastColumn="0" w:noHBand="0" w:noVBand="1"/>
        <w:tblCaption w:val="Table 2: Summary of PICO"/>
      </w:tblPr>
      <w:tblGrid>
        <w:gridCol w:w="1656"/>
        <w:gridCol w:w="1380"/>
        <w:gridCol w:w="1881"/>
        <w:gridCol w:w="3827"/>
      </w:tblGrid>
      <w:tr w:rsidR="002C4EFC" w:rsidRPr="004168B8" w14:paraId="3EC7502B" w14:textId="77777777" w:rsidTr="00194AED">
        <w:trPr>
          <w:cantSplit/>
          <w:tblHeader/>
        </w:trPr>
        <w:tc>
          <w:tcPr>
            <w:tcW w:w="1656" w:type="dxa"/>
          </w:tcPr>
          <w:p w14:paraId="25F19559" w14:textId="77777777" w:rsidR="002C4EFC" w:rsidRPr="004168B8" w:rsidRDefault="002C4EFC" w:rsidP="00E45AF4">
            <w:pPr>
              <w:ind w:left="0"/>
              <w:rPr>
                <w:rFonts w:ascii="Arial Narrow" w:hAnsi="Arial Narrow"/>
                <w:sz w:val="20"/>
              </w:rPr>
            </w:pPr>
            <w:r w:rsidRPr="004168B8">
              <w:rPr>
                <w:rFonts w:ascii="Arial Narrow" w:hAnsi="Arial Narrow" w:cs="Arial"/>
                <w:b/>
                <w:bCs/>
                <w:sz w:val="20"/>
              </w:rPr>
              <w:t>Patients</w:t>
            </w:r>
          </w:p>
        </w:tc>
        <w:tc>
          <w:tcPr>
            <w:tcW w:w="1380" w:type="dxa"/>
          </w:tcPr>
          <w:p w14:paraId="3FFB390B" w14:textId="77777777" w:rsidR="002C4EFC" w:rsidRPr="004168B8" w:rsidRDefault="002C4EFC" w:rsidP="00E45AF4">
            <w:pPr>
              <w:ind w:left="0"/>
              <w:rPr>
                <w:rFonts w:ascii="Arial Narrow" w:hAnsi="Arial Narrow"/>
                <w:sz w:val="20"/>
              </w:rPr>
            </w:pPr>
            <w:r w:rsidRPr="004168B8">
              <w:rPr>
                <w:rFonts w:ascii="Arial Narrow" w:hAnsi="Arial Narrow" w:cs="Arial"/>
                <w:b/>
                <w:bCs/>
                <w:sz w:val="20"/>
              </w:rPr>
              <w:t>Intervention</w:t>
            </w:r>
          </w:p>
        </w:tc>
        <w:tc>
          <w:tcPr>
            <w:tcW w:w="1881" w:type="dxa"/>
          </w:tcPr>
          <w:p w14:paraId="23C8404D" w14:textId="77777777" w:rsidR="002C4EFC" w:rsidRPr="004168B8" w:rsidRDefault="002C4EFC" w:rsidP="00E45AF4">
            <w:pPr>
              <w:ind w:left="0"/>
              <w:rPr>
                <w:rFonts w:ascii="Arial Narrow" w:hAnsi="Arial Narrow"/>
                <w:sz w:val="20"/>
              </w:rPr>
            </w:pPr>
            <w:r w:rsidRPr="004168B8">
              <w:rPr>
                <w:rFonts w:ascii="Arial Narrow" w:hAnsi="Arial Narrow" w:cs="Arial"/>
                <w:b/>
                <w:bCs/>
                <w:sz w:val="20"/>
              </w:rPr>
              <w:t>Comparators</w:t>
            </w:r>
          </w:p>
        </w:tc>
        <w:tc>
          <w:tcPr>
            <w:tcW w:w="3827" w:type="dxa"/>
          </w:tcPr>
          <w:p w14:paraId="545793A0" w14:textId="77777777" w:rsidR="002C4EFC" w:rsidRPr="004168B8" w:rsidRDefault="002C4EFC" w:rsidP="00E45AF4">
            <w:pPr>
              <w:autoSpaceDE w:val="0"/>
              <w:autoSpaceDN w:val="0"/>
              <w:adjustRightInd w:val="0"/>
              <w:spacing w:after="0"/>
              <w:ind w:left="0"/>
              <w:rPr>
                <w:rFonts w:ascii="Arial Narrow" w:hAnsi="Arial Narrow" w:cs="Arial"/>
                <w:b/>
                <w:bCs/>
                <w:sz w:val="20"/>
              </w:rPr>
            </w:pPr>
            <w:r w:rsidRPr="004168B8">
              <w:rPr>
                <w:rFonts w:ascii="Arial Narrow" w:hAnsi="Arial Narrow" w:cs="Arial"/>
                <w:b/>
                <w:bCs/>
                <w:sz w:val="20"/>
              </w:rPr>
              <w:t>Outcomes to be assessed</w:t>
            </w:r>
          </w:p>
        </w:tc>
      </w:tr>
      <w:tr w:rsidR="002C4EFC" w:rsidRPr="004168B8" w14:paraId="75A7BD5C" w14:textId="77777777" w:rsidTr="00194AED">
        <w:trPr>
          <w:cantSplit/>
          <w:tblHeader/>
        </w:trPr>
        <w:tc>
          <w:tcPr>
            <w:tcW w:w="1656" w:type="dxa"/>
          </w:tcPr>
          <w:p w14:paraId="7F5B62CD"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Adults with</w:t>
            </w:r>
          </w:p>
          <w:p w14:paraId="6FEA42DD" w14:textId="35AFCA2A" w:rsidR="002C4EFC" w:rsidRPr="004168B8" w:rsidRDefault="002C4EFC" w:rsidP="00E45AF4">
            <w:pPr>
              <w:autoSpaceDE w:val="0"/>
              <w:autoSpaceDN w:val="0"/>
              <w:adjustRightInd w:val="0"/>
              <w:spacing w:after="0"/>
              <w:ind w:left="0"/>
              <w:rPr>
                <w:rFonts w:ascii="Arial Narrow" w:hAnsi="Arial Narrow" w:cs="ArialNarrow"/>
                <w:sz w:val="20"/>
              </w:rPr>
            </w:pPr>
            <w:r>
              <w:rPr>
                <w:rFonts w:ascii="Arial Narrow" w:hAnsi="Arial Narrow" w:cs="ArialNarrow"/>
                <w:sz w:val="20"/>
              </w:rPr>
              <w:t>t</w:t>
            </w:r>
            <w:r w:rsidRPr="004168B8">
              <w:rPr>
                <w:rFonts w:ascii="Arial Narrow" w:hAnsi="Arial Narrow" w:cs="ArialNarrow"/>
                <w:sz w:val="20"/>
              </w:rPr>
              <w:t>reatment</w:t>
            </w:r>
            <w:r>
              <w:rPr>
                <w:rFonts w:ascii="Arial Narrow" w:hAnsi="Arial Narrow" w:cs="ArialNarrow"/>
                <w:sz w:val="20"/>
              </w:rPr>
              <w:t xml:space="preserve"> </w:t>
            </w:r>
            <w:r w:rsidRPr="004168B8">
              <w:rPr>
                <w:rFonts w:ascii="Arial Narrow" w:hAnsi="Arial Narrow" w:cs="ArialNarrow"/>
                <w:sz w:val="20"/>
              </w:rPr>
              <w:t>resistant</w:t>
            </w:r>
          </w:p>
          <w:p w14:paraId="1F0BC611" w14:textId="1010732A"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major</w:t>
            </w:r>
            <w:r>
              <w:rPr>
                <w:rFonts w:ascii="Arial Narrow" w:hAnsi="Arial Narrow" w:cs="ArialNarrow"/>
                <w:sz w:val="20"/>
              </w:rPr>
              <w:t xml:space="preserve"> </w:t>
            </w:r>
            <w:r w:rsidRPr="004168B8">
              <w:rPr>
                <w:rFonts w:ascii="Arial Narrow" w:hAnsi="Arial Narrow" w:cs="ArialNarrow"/>
                <w:sz w:val="20"/>
              </w:rPr>
              <w:t>depression (two</w:t>
            </w:r>
            <w:r>
              <w:rPr>
                <w:rFonts w:ascii="Arial Narrow" w:hAnsi="Arial Narrow" w:cs="ArialNarrow"/>
                <w:sz w:val="20"/>
              </w:rPr>
              <w:t xml:space="preserve"> </w:t>
            </w:r>
            <w:r w:rsidRPr="004168B8">
              <w:rPr>
                <w:rFonts w:ascii="Arial Narrow" w:hAnsi="Arial Narrow" w:cs="ArialNarrow"/>
                <w:sz w:val="20"/>
              </w:rPr>
              <w:t>or more failed</w:t>
            </w:r>
          </w:p>
          <w:p w14:paraId="21BA4FF9"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courses of</w:t>
            </w:r>
          </w:p>
          <w:p w14:paraId="039AB61D"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antidepressants)</w:t>
            </w:r>
          </w:p>
          <w:p w14:paraId="614921EB" w14:textId="77777777" w:rsidR="002C4EFC" w:rsidRPr="004168B8" w:rsidRDefault="002C4EFC" w:rsidP="00E45AF4">
            <w:pPr>
              <w:ind w:left="0"/>
              <w:rPr>
                <w:rFonts w:ascii="Arial Narrow" w:hAnsi="Arial Narrow" w:cs="Arial"/>
                <w:b/>
                <w:bCs/>
                <w:sz w:val="20"/>
              </w:rPr>
            </w:pPr>
          </w:p>
        </w:tc>
        <w:tc>
          <w:tcPr>
            <w:tcW w:w="1380" w:type="dxa"/>
          </w:tcPr>
          <w:p w14:paraId="4DA714BA"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Repetitive</w:t>
            </w:r>
          </w:p>
          <w:p w14:paraId="1DD3140A"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transcranial</w:t>
            </w:r>
          </w:p>
          <w:p w14:paraId="45B48FC3"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magnetic</w:t>
            </w:r>
          </w:p>
          <w:p w14:paraId="3AFBF44C"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stimulation</w:t>
            </w:r>
          </w:p>
          <w:p w14:paraId="621ED491" w14:textId="77777777" w:rsidR="002C4EFC"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 xml:space="preserve">(rTMS) </w:t>
            </w:r>
          </w:p>
          <w:p w14:paraId="6ED7D3E2" w14:textId="53CDB55C"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w:t>
            </w:r>
          </w:p>
          <w:p w14:paraId="68E881DB"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antidepressant</w:t>
            </w:r>
          </w:p>
          <w:p w14:paraId="3ACA9908"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medication</w:t>
            </w:r>
          </w:p>
          <w:p w14:paraId="095DA605"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w:t>
            </w:r>
          </w:p>
          <w:p w14:paraId="68B6C6AF"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psychological</w:t>
            </w:r>
          </w:p>
          <w:p w14:paraId="46F1229B"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therapy</w:t>
            </w:r>
          </w:p>
          <w:p w14:paraId="2BC977E4" w14:textId="77777777" w:rsidR="002C4EFC" w:rsidRPr="004168B8" w:rsidRDefault="002C4EFC" w:rsidP="00E45AF4">
            <w:pPr>
              <w:ind w:left="0"/>
              <w:rPr>
                <w:rFonts w:ascii="Arial Narrow" w:hAnsi="Arial Narrow" w:cs="Arial"/>
                <w:b/>
                <w:bCs/>
                <w:sz w:val="20"/>
              </w:rPr>
            </w:pPr>
          </w:p>
        </w:tc>
        <w:tc>
          <w:tcPr>
            <w:tcW w:w="1881" w:type="dxa"/>
          </w:tcPr>
          <w:p w14:paraId="6B0928A9"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Antidepressant</w:t>
            </w:r>
          </w:p>
          <w:p w14:paraId="5969DC7F"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medication* ±</w:t>
            </w:r>
          </w:p>
          <w:p w14:paraId="4D3CCCC7"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psychological therapy</w:t>
            </w:r>
          </w:p>
          <w:p w14:paraId="3088C390"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or</w:t>
            </w:r>
          </w:p>
          <w:p w14:paraId="72E8F43E" w14:textId="77777777" w:rsidR="002C4EFC"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 xml:space="preserve">ECT ± </w:t>
            </w:r>
          </w:p>
          <w:p w14:paraId="09C339EA" w14:textId="6DEED386"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psychological</w:t>
            </w:r>
          </w:p>
          <w:p w14:paraId="21918E3E"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therapy ±</w:t>
            </w:r>
          </w:p>
          <w:p w14:paraId="680A97E5"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antidepressant</w:t>
            </w:r>
          </w:p>
          <w:p w14:paraId="79720EF2" w14:textId="77777777" w:rsidR="002C4EFC"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medication</w:t>
            </w:r>
          </w:p>
          <w:p w14:paraId="15B37FD6" w14:textId="77777777" w:rsidR="002C4EFC" w:rsidRDefault="002C4EFC" w:rsidP="00E45AF4">
            <w:pPr>
              <w:autoSpaceDE w:val="0"/>
              <w:autoSpaceDN w:val="0"/>
              <w:adjustRightInd w:val="0"/>
              <w:spacing w:after="0"/>
              <w:ind w:left="0"/>
              <w:rPr>
                <w:rFonts w:ascii="Arial Narrow" w:hAnsi="Arial Narrow" w:cs="ArialNarrow"/>
                <w:sz w:val="20"/>
              </w:rPr>
            </w:pPr>
          </w:p>
          <w:p w14:paraId="223C006C" w14:textId="77777777" w:rsidR="002C4EFC" w:rsidRPr="004168B8" w:rsidRDefault="002C4EFC" w:rsidP="00E45AF4">
            <w:pPr>
              <w:autoSpaceDE w:val="0"/>
              <w:autoSpaceDN w:val="0"/>
              <w:adjustRightInd w:val="0"/>
              <w:spacing w:after="0"/>
              <w:ind w:left="0"/>
              <w:rPr>
                <w:rFonts w:ascii="Arial Narrow" w:hAnsi="Arial Narrow" w:cs="ArialNarrow"/>
                <w:sz w:val="20"/>
              </w:rPr>
            </w:pPr>
          </w:p>
          <w:p w14:paraId="27B44331"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*Where antidepressant</w:t>
            </w:r>
          </w:p>
          <w:p w14:paraId="49826A38"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medication can be a</w:t>
            </w:r>
          </w:p>
          <w:p w14:paraId="2B31C1C2"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third class of</w:t>
            </w:r>
          </w:p>
          <w:p w14:paraId="2EE2FA08"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antidepressant, or</w:t>
            </w:r>
          </w:p>
          <w:p w14:paraId="549ED47B"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augmented with a</w:t>
            </w:r>
          </w:p>
          <w:p w14:paraId="6C4A48C6"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second agent (eg,</w:t>
            </w:r>
          </w:p>
          <w:p w14:paraId="78D6C8D1"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lithium, thyroid</w:t>
            </w:r>
          </w:p>
          <w:p w14:paraId="62E2E18D"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hormones, pindolol,</w:t>
            </w:r>
          </w:p>
          <w:p w14:paraId="34F3C028"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psychostimulants,</w:t>
            </w:r>
          </w:p>
          <w:p w14:paraId="061F8185"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atypical antipsychotics,</w:t>
            </w:r>
          </w:p>
          <w:p w14:paraId="01B88DA2"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sex hormones,</w:t>
            </w:r>
          </w:p>
          <w:p w14:paraId="201E29D0"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anticonvulsants/mood</w:t>
            </w:r>
          </w:p>
          <w:p w14:paraId="4036DF9D"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stabilizers, and</w:t>
            </w:r>
          </w:p>
          <w:p w14:paraId="142D6CB8"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dopamine agonists)</w:t>
            </w:r>
          </w:p>
          <w:p w14:paraId="2DB08ACA"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or</w:t>
            </w:r>
          </w:p>
          <w:p w14:paraId="68C926D8"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combined</w:t>
            </w:r>
          </w:p>
          <w:p w14:paraId="07E426E8"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antidepressant</w:t>
            </w:r>
          </w:p>
          <w:p w14:paraId="56B53E1D"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medications</w:t>
            </w:r>
          </w:p>
          <w:p w14:paraId="021CC258" w14:textId="77777777" w:rsidR="002C4EFC" w:rsidRPr="004168B8" w:rsidRDefault="002C4EFC" w:rsidP="00E45AF4">
            <w:pPr>
              <w:ind w:left="0"/>
              <w:rPr>
                <w:rFonts w:ascii="Arial Narrow" w:hAnsi="Arial Narrow" w:cs="Arial"/>
                <w:b/>
                <w:bCs/>
                <w:sz w:val="20"/>
              </w:rPr>
            </w:pPr>
          </w:p>
        </w:tc>
        <w:tc>
          <w:tcPr>
            <w:tcW w:w="3827" w:type="dxa"/>
          </w:tcPr>
          <w:p w14:paraId="24585B59" w14:textId="77777777" w:rsidR="002C4EFC" w:rsidRPr="004168B8" w:rsidRDefault="002C4EFC" w:rsidP="00E45AF4">
            <w:pPr>
              <w:autoSpaceDE w:val="0"/>
              <w:autoSpaceDN w:val="0"/>
              <w:adjustRightInd w:val="0"/>
              <w:spacing w:after="0"/>
              <w:ind w:left="0"/>
              <w:rPr>
                <w:rFonts w:ascii="Arial Narrow" w:hAnsi="Arial Narrow" w:cs="Arial"/>
                <w:b/>
                <w:bCs/>
                <w:sz w:val="20"/>
              </w:rPr>
            </w:pPr>
            <w:r w:rsidRPr="004168B8">
              <w:rPr>
                <w:rFonts w:ascii="Arial Narrow" w:hAnsi="Arial Narrow" w:cs="Arial"/>
                <w:b/>
                <w:bCs/>
                <w:sz w:val="20"/>
              </w:rPr>
              <w:t>Safety</w:t>
            </w:r>
          </w:p>
          <w:p w14:paraId="6CB533B5"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Side effects from rTMS, e.g. seizures,</w:t>
            </w:r>
          </w:p>
          <w:p w14:paraId="7E8D9771"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headache, transient scalp pain, facial muscle</w:t>
            </w:r>
          </w:p>
          <w:p w14:paraId="18F7D173" w14:textId="77777777" w:rsidR="002C4EFC"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twitching</w:t>
            </w:r>
          </w:p>
          <w:p w14:paraId="241AA827" w14:textId="77777777" w:rsidR="00A97080" w:rsidRPr="004168B8" w:rsidRDefault="00A97080" w:rsidP="00E45AF4">
            <w:pPr>
              <w:autoSpaceDE w:val="0"/>
              <w:autoSpaceDN w:val="0"/>
              <w:adjustRightInd w:val="0"/>
              <w:spacing w:after="0"/>
              <w:ind w:left="0"/>
              <w:rPr>
                <w:rFonts w:ascii="Arial Narrow" w:hAnsi="Arial Narrow" w:cs="ArialNarrow"/>
                <w:sz w:val="20"/>
              </w:rPr>
            </w:pPr>
          </w:p>
          <w:p w14:paraId="762AE4F1"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Side effects of antidepressant medication, e.g.</w:t>
            </w:r>
          </w:p>
          <w:p w14:paraId="669DEC48"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sexual dysfunction, weight gain, insomnia,</w:t>
            </w:r>
          </w:p>
          <w:p w14:paraId="537E743A"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daytime sleepiness/sedation, treatment</w:t>
            </w:r>
          </w:p>
          <w:p w14:paraId="353DA864"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emergent anxiety and nervousness, cognitive,</w:t>
            </w:r>
          </w:p>
          <w:p w14:paraId="1971DD92" w14:textId="77777777" w:rsidR="002C4EFC"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memory and attention difficulties</w:t>
            </w:r>
          </w:p>
          <w:p w14:paraId="2DB1A1E2" w14:textId="77777777" w:rsidR="00A97080" w:rsidRPr="004168B8" w:rsidRDefault="00A97080" w:rsidP="00E45AF4">
            <w:pPr>
              <w:autoSpaceDE w:val="0"/>
              <w:autoSpaceDN w:val="0"/>
              <w:adjustRightInd w:val="0"/>
              <w:spacing w:after="0"/>
              <w:ind w:left="0"/>
              <w:rPr>
                <w:rFonts w:ascii="Arial Narrow" w:hAnsi="Arial Narrow" w:cs="ArialNarrow"/>
                <w:sz w:val="20"/>
              </w:rPr>
            </w:pPr>
          </w:p>
          <w:p w14:paraId="404DEA54"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Side effects from ECT, e.g. transient or</w:t>
            </w:r>
          </w:p>
          <w:p w14:paraId="08236C84"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permanent neuropsychological deficits,</w:t>
            </w:r>
          </w:p>
          <w:p w14:paraId="5206A8D1"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adverse reaction to anaesthetic agents and</w:t>
            </w:r>
          </w:p>
          <w:p w14:paraId="648741D9"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neuromuscular blocking agents, alterations in</w:t>
            </w:r>
          </w:p>
          <w:p w14:paraId="33F61F90"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blood pressure, cardiovascular complications,</w:t>
            </w:r>
          </w:p>
          <w:p w14:paraId="0425A937"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death, dental and oral trauma, pain and</w:t>
            </w:r>
          </w:p>
          <w:p w14:paraId="33D9448D"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discomfort, pulmonary complications, skin</w:t>
            </w:r>
          </w:p>
          <w:p w14:paraId="129C1A0B" w14:textId="77777777" w:rsidR="00A97080" w:rsidRDefault="002C4EFC" w:rsidP="00E45AF4">
            <w:pPr>
              <w:autoSpaceDE w:val="0"/>
              <w:autoSpaceDN w:val="0"/>
              <w:adjustRightInd w:val="0"/>
              <w:spacing w:after="0"/>
              <w:ind w:left="0"/>
              <w:rPr>
                <w:rFonts w:ascii="Arial Narrow" w:hAnsi="Arial Narrow" w:cs="ArialNarrow"/>
                <w:sz w:val="20"/>
              </w:rPr>
            </w:pPr>
            <w:proofErr w:type="gramStart"/>
            <w:r w:rsidRPr="004168B8">
              <w:rPr>
                <w:rFonts w:ascii="Arial Narrow" w:hAnsi="Arial Narrow" w:cs="ArialNarrow"/>
                <w:sz w:val="20"/>
              </w:rPr>
              <w:t>burns</w:t>
            </w:r>
            <w:proofErr w:type="gramEnd"/>
            <w:r w:rsidRPr="004168B8">
              <w:rPr>
                <w:rFonts w:ascii="Arial Narrow" w:hAnsi="Arial Narrow" w:cs="ArialNarrow"/>
                <w:sz w:val="20"/>
              </w:rPr>
              <w:t xml:space="preserve">, stroke. </w:t>
            </w:r>
          </w:p>
          <w:p w14:paraId="55A08C59" w14:textId="77777777" w:rsidR="00A97080" w:rsidRDefault="00A97080" w:rsidP="00E45AF4">
            <w:pPr>
              <w:autoSpaceDE w:val="0"/>
              <w:autoSpaceDN w:val="0"/>
              <w:adjustRightInd w:val="0"/>
              <w:spacing w:after="0"/>
              <w:ind w:left="0"/>
              <w:rPr>
                <w:rFonts w:ascii="Arial Narrow" w:hAnsi="Arial Narrow" w:cs="ArialNarrow"/>
                <w:sz w:val="20"/>
              </w:rPr>
            </w:pPr>
          </w:p>
          <w:p w14:paraId="31279716" w14:textId="099FE1A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Side effects from psychological therapies, e.g.</w:t>
            </w:r>
          </w:p>
          <w:p w14:paraId="56DBF3DE"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damage caused by use of psychotherapy</w:t>
            </w:r>
          </w:p>
          <w:p w14:paraId="4F27736C"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when other treatments would have been more</w:t>
            </w:r>
          </w:p>
          <w:p w14:paraId="3783E607"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effective, the impact of inappropriate therapist</w:t>
            </w:r>
          </w:p>
          <w:p w14:paraId="5A1C74AE"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behaviour, and the negative effects of</w:t>
            </w:r>
          </w:p>
          <w:p w14:paraId="10B524C2" w14:textId="77777777" w:rsidR="002C4EFC" w:rsidRPr="004168B8" w:rsidRDefault="002C4EFC" w:rsidP="00E45AF4">
            <w:pPr>
              <w:autoSpaceDE w:val="0"/>
              <w:autoSpaceDN w:val="0"/>
              <w:adjustRightInd w:val="0"/>
              <w:spacing w:after="0"/>
              <w:ind w:left="0"/>
              <w:rPr>
                <w:rFonts w:ascii="Arial Narrow" w:hAnsi="Arial Narrow" w:cs="ArialNarrow"/>
                <w:sz w:val="20"/>
              </w:rPr>
            </w:pPr>
            <w:proofErr w:type="gramStart"/>
            <w:r w:rsidRPr="004168B8">
              <w:rPr>
                <w:rFonts w:ascii="Arial Narrow" w:hAnsi="Arial Narrow" w:cs="ArialNarrow"/>
                <w:sz w:val="20"/>
              </w:rPr>
              <w:t>prolonged</w:t>
            </w:r>
            <w:proofErr w:type="gramEnd"/>
            <w:r w:rsidRPr="004168B8">
              <w:rPr>
                <w:rFonts w:ascii="Arial Narrow" w:hAnsi="Arial Narrow" w:cs="ArialNarrow"/>
                <w:sz w:val="20"/>
              </w:rPr>
              <w:t xml:space="preserve"> dependency on the therapist.</w:t>
            </w:r>
          </w:p>
          <w:p w14:paraId="0B351384" w14:textId="77777777" w:rsidR="00A97080" w:rsidRDefault="00A97080" w:rsidP="00E45AF4">
            <w:pPr>
              <w:autoSpaceDE w:val="0"/>
              <w:autoSpaceDN w:val="0"/>
              <w:adjustRightInd w:val="0"/>
              <w:spacing w:after="0"/>
              <w:ind w:left="0"/>
              <w:rPr>
                <w:rFonts w:ascii="Arial Narrow" w:hAnsi="Arial Narrow" w:cs="Arial"/>
                <w:b/>
                <w:bCs/>
                <w:sz w:val="20"/>
              </w:rPr>
            </w:pPr>
          </w:p>
          <w:p w14:paraId="104FEF63" w14:textId="77777777" w:rsidR="002C4EFC" w:rsidRPr="004168B8" w:rsidRDefault="002C4EFC" w:rsidP="00E45AF4">
            <w:pPr>
              <w:autoSpaceDE w:val="0"/>
              <w:autoSpaceDN w:val="0"/>
              <w:adjustRightInd w:val="0"/>
              <w:spacing w:after="0"/>
              <w:ind w:left="0"/>
              <w:rPr>
                <w:rFonts w:ascii="Arial Narrow" w:hAnsi="Arial Narrow" w:cs="Arial"/>
                <w:b/>
                <w:bCs/>
                <w:sz w:val="20"/>
              </w:rPr>
            </w:pPr>
            <w:r w:rsidRPr="004168B8">
              <w:rPr>
                <w:rFonts w:ascii="Arial Narrow" w:hAnsi="Arial Narrow" w:cs="Arial"/>
                <w:b/>
                <w:bCs/>
                <w:sz w:val="20"/>
              </w:rPr>
              <w:t>Effectiveness</w:t>
            </w:r>
          </w:p>
          <w:p w14:paraId="659F5253"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Primary outcomes: meeting diagnostic criteria</w:t>
            </w:r>
          </w:p>
          <w:p w14:paraId="2C261E2F"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for depression (remission), severity of</w:t>
            </w:r>
          </w:p>
          <w:p w14:paraId="4D60B75B"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depressive symptoms, quality of life, survival</w:t>
            </w:r>
          </w:p>
          <w:p w14:paraId="12670670"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Secondary outcomes: suicidal ideation and</w:t>
            </w:r>
          </w:p>
          <w:p w14:paraId="156EAB24"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attempts, symptoms of anxiety, global</w:t>
            </w:r>
          </w:p>
          <w:p w14:paraId="51A83D3F"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functioning, social and occupational</w:t>
            </w:r>
          </w:p>
          <w:p w14:paraId="3E428A6E"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functioning, treatment refusal or</w:t>
            </w:r>
          </w:p>
          <w:p w14:paraId="19C5710F"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discontinuation, rate of hospital admission</w:t>
            </w:r>
          </w:p>
          <w:p w14:paraId="5B762692" w14:textId="77777777" w:rsidR="00A97080" w:rsidRDefault="00A97080" w:rsidP="00E45AF4">
            <w:pPr>
              <w:autoSpaceDE w:val="0"/>
              <w:autoSpaceDN w:val="0"/>
              <w:adjustRightInd w:val="0"/>
              <w:spacing w:after="0"/>
              <w:ind w:left="0"/>
              <w:rPr>
                <w:rFonts w:ascii="Arial Narrow" w:hAnsi="Arial Narrow" w:cs="Arial"/>
                <w:b/>
                <w:bCs/>
                <w:sz w:val="20"/>
              </w:rPr>
            </w:pPr>
          </w:p>
          <w:p w14:paraId="468F10C9" w14:textId="77777777" w:rsidR="002C4EFC" w:rsidRPr="004168B8" w:rsidRDefault="002C4EFC" w:rsidP="00E45AF4">
            <w:pPr>
              <w:autoSpaceDE w:val="0"/>
              <w:autoSpaceDN w:val="0"/>
              <w:adjustRightInd w:val="0"/>
              <w:spacing w:after="0"/>
              <w:ind w:left="0"/>
              <w:rPr>
                <w:rFonts w:ascii="Arial Narrow" w:hAnsi="Arial Narrow" w:cs="Arial"/>
                <w:b/>
                <w:bCs/>
                <w:sz w:val="20"/>
              </w:rPr>
            </w:pPr>
            <w:r w:rsidRPr="004168B8">
              <w:rPr>
                <w:rFonts w:ascii="Arial Narrow" w:hAnsi="Arial Narrow" w:cs="Arial"/>
                <w:b/>
                <w:bCs/>
                <w:sz w:val="20"/>
              </w:rPr>
              <w:t>Cost-effectiveness</w:t>
            </w:r>
          </w:p>
          <w:p w14:paraId="7983BBAB" w14:textId="77777777" w:rsidR="002C4EFC" w:rsidRPr="004168B8" w:rsidRDefault="002C4EFC" w:rsidP="00E45AF4">
            <w:pPr>
              <w:autoSpaceDE w:val="0"/>
              <w:autoSpaceDN w:val="0"/>
              <w:adjustRightInd w:val="0"/>
              <w:spacing w:after="0"/>
              <w:ind w:left="0"/>
              <w:rPr>
                <w:rFonts w:ascii="Arial Narrow" w:hAnsi="Arial Narrow" w:cs="ArialNarrow"/>
                <w:sz w:val="20"/>
              </w:rPr>
            </w:pPr>
            <w:r w:rsidRPr="004168B8">
              <w:rPr>
                <w:rFonts w:ascii="Arial Narrow" w:hAnsi="Arial Narrow" w:cs="ArialNarrow"/>
                <w:sz w:val="20"/>
              </w:rPr>
              <w:t>Cost, cost per relevant health outcome (eg</w:t>
            </w:r>
          </w:p>
          <w:p w14:paraId="4388E436" w14:textId="5EB287AD" w:rsidR="002C4EFC" w:rsidRPr="00A97080" w:rsidRDefault="00A97080" w:rsidP="00A97080">
            <w:pPr>
              <w:ind w:left="0"/>
              <w:rPr>
                <w:rFonts w:ascii="Arial Narrow" w:hAnsi="Arial Narrow"/>
                <w:sz w:val="20"/>
              </w:rPr>
            </w:pPr>
            <w:r>
              <w:rPr>
                <w:rFonts w:ascii="Arial Narrow" w:hAnsi="Arial Narrow" w:cs="ArialNarrow"/>
                <w:sz w:val="20"/>
              </w:rPr>
              <w:t>LYG, QALY)</w:t>
            </w:r>
          </w:p>
        </w:tc>
      </w:tr>
      <w:tr w:rsidR="002C4EFC" w:rsidRPr="004168B8" w14:paraId="0BF4A8FD" w14:textId="77777777" w:rsidTr="00194AED">
        <w:trPr>
          <w:cantSplit/>
          <w:tblHeader/>
        </w:trPr>
        <w:tc>
          <w:tcPr>
            <w:tcW w:w="8744" w:type="dxa"/>
            <w:gridSpan w:val="4"/>
          </w:tcPr>
          <w:p w14:paraId="3F187925" w14:textId="77777777" w:rsidR="002C4EFC" w:rsidRPr="004168B8" w:rsidRDefault="002C4EFC" w:rsidP="00E45AF4">
            <w:pPr>
              <w:autoSpaceDE w:val="0"/>
              <w:autoSpaceDN w:val="0"/>
              <w:adjustRightInd w:val="0"/>
              <w:spacing w:after="0"/>
              <w:ind w:left="0"/>
              <w:rPr>
                <w:rFonts w:ascii="Arial Narrow" w:eastAsiaTheme="minorEastAsia" w:hAnsi="Arial Narrow" w:cs="Arial"/>
                <w:b/>
                <w:bCs/>
                <w:sz w:val="20"/>
                <w:lang w:eastAsia="en-AU"/>
              </w:rPr>
            </w:pPr>
            <w:r w:rsidRPr="004168B8">
              <w:rPr>
                <w:rFonts w:ascii="Arial Narrow" w:eastAsiaTheme="minorEastAsia" w:hAnsi="Arial Narrow" w:cs="Arial"/>
                <w:b/>
                <w:bCs/>
                <w:sz w:val="20"/>
                <w:lang w:eastAsia="en-AU"/>
              </w:rPr>
              <w:t>Questions</w:t>
            </w:r>
          </w:p>
          <w:p w14:paraId="250411C2" w14:textId="282A1160" w:rsidR="002C4EFC" w:rsidRPr="005A1090" w:rsidRDefault="002C4EFC" w:rsidP="005A1090">
            <w:pPr>
              <w:pStyle w:val="ListParagraph"/>
              <w:numPr>
                <w:ilvl w:val="0"/>
                <w:numId w:val="41"/>
              </w:numPr>
              <w:autoSpaceDE w:val="0"/>
              <w:autoSpaceDN w:val="0"/>
              <w:adjustRightInd w:val="0"/>
              <w:rPr>
                <w:rFonts w:ascii="Arial Narrow" w:eastAsiaTheme="minorEastAsia" w:hAnsi="Arial Narrow" w:cs="ArialNarrow"/>
                <w:sz w:val="20"/>
                <w:lang w:eastAsia="en-AU"/>
              </w:rPr>
            </w:pPr>
            <w:r w:rsidRPr="005A1090">
              <w:rPr>
                <w:rFonts w:ascii="Arial Narrow" w:eastAsiaTheme="minorEastAsia" w:hAnsi="Arial Narrow" w:cs="ArialNarrow"/>
                <w:sz w:val="20"/>
                <w:lang w:eastAsia="en-AU"/>
              </w:rPr>
              <w:t>Is rTMS ± antidepressant medication ± psychological therapy as safe, effective and cost-effective as antidepressant medication ± psychological therapy, or ECT ± antidepressant medication?</w:t>
            </w:r>
          </w:p>
          <w:p w14:paraId="28EC4A8C" w14:textId="77777777" w:rsidR="005A1090" w:rsidRPr="005A1090" w:rsidRDefault="005A1090" w:rsidP="005A1090">
            <w:pPr>
              <w:pStyle w:val="ListParagraph"/>
              <w:autoSpaceDE w:val="0"/>
              <w:autoSpaceDN w:val="0"/>
              <w:adjustRightInd w:val="0"/>
              <w:rPr>
                <w:rFonts w:ascii="Arial Narrow" w:hAnsi="Arial Narrow" w:cs="Arial"/>
                <w:b/>
                <w:bCs/>
                <w:sz w:val="20"/>
              </w:rPr>
            </w:pPr>
          </w:p>
        </w:tc>
      </w:tr>
    </w:tbl>
    <w:p w14:paraId="5E11746D" w14:textId="34E735B4" w:rsidR="002C4EFC" w:rsidRDefault="005A1090" w:rsidP="002C4EFC">
      <w:r>
        <w:rPr>
          <w:rFonts w:ascii="ArialNarrow" w:hAnsi="ArialNarrow" w:cs="ArialNarrow"/>
          <w:sz w:val="18"/>
          <w:szCs w:val="18"/>
        </w:rPr>
        <w:t xml:space="preserve">ECT = electroconvulsive therapy; </w:t>
      </w:r>
      <w:r w:rsidR="002C4EFC">
        <w:rPr>
          <w:rFonts w:ascii="ArialNarrow" w:hAnsi="ArialNarrow" w:cs="ArialNarrow"/>
          <w:sz w:val="18"/>
          <w:szCs w:val="18"/>
        </w:rPr>
        <w:t xml:space="preserve">LYG = life-year gained; </w:t>
      </w:r>
      <w:r>
        <w:rPr>
          <w:rFonts w:ascii="ArialNarrow" w:hAnsi="ArialNarrow" w:cs="ArialNarrow"/>
          <w:sz w:val="18"/>
          <w:szCs w:val="18"/>
        </w:rPr>
        <w:t xml:space="preserve">rTMS = repetitive transcranial magnetic stimulation; </w:t>
      </w:r>
      <w:r w:rsidR="002C4EFC">
        <w:rPr>
          <w:rFonts w:ascii="ArialNarrow" w:hAnsi="ArialNarrow" w:cs="ArialNarrow"/>
          <w:sz w:val="18"/>
          <w:szCs w:val="18"/>
        </w:rPr>
        <w:t>QALY = quality adjusted life-year.</w:t>
      </w:r>
    </w:p>
    <w:p w14:paraId="22EF3AC5" w14:textId="77777777" w:rsidR="005A1090" w:rsidRDefault="005A1090" w:rsidP="00E216B1">
      <w:pPr>
        <w:pStyle w:val="Heading4"/>
      </w:pPr>
    </w:p>
    <w:p w14:paraId="1C7CEDDE" w14:textId="77777777" w:rsidR="00F302BD" w:rsidRPr="00DE7881" w:rsidRDefault="00492E60" w:rsidP="00E216B1">
      <w:pPr>
        <w:pStyle w:val="Heading4"/>
      </w:pPr>
      <w:r w:rsidRPr="00E216B1">
        <w:t>Population</w:t>
      </w:r>
      <w:r>
        <w:t xml:space="preserve"> and problem</w:t>
      </w:r>
    </w:p>
    <w:p w14:paraId="7FBE22CE" w14:textId="023AAB16" w:rsidR="00F302BD" w:rsidRDefault="00BF64BE" w:rsidP="00483C5B">
      <w:pPr>
        <w:jc w:val="both"/>
      </w:pPr>
      <w:r>
        <w:t>The population eligible for rTMS therapy are p</w:t>
      </w:r>
      <w:r w:rsidR="00F302BD">
        <w:t xml:space="preserve">atients with major depressive disorder who have failed to respond to two </w:t>
      </w:r>
      <w:r w:rsidR="00B87ACD" w:rsidRPr="00C05D8F">
        <w:t>adequate</w:t>
      </w:r>
      <w:r w:rsidR="00B87ACD">
        <w:t xml:space="preserve"> </w:t>
      </w:r>
      <w:r w:rsidR="00F302BD">
        <w:t>medication trials</w:t>
      </w:r>
      <w:r w:rsidR="009D01D7">
        <w:t xml:space="preserve"> from two different classes of drugs.</w:t>
      </w:r>
    </w:p>
    <w:p w14:paraId="3C4A2BC7" w14:textId="77777777" w:rsidR="00F302BD" w:rsidRPr="00AD6EF2" w:rsidRDefault="00F302BD" w:rsidP="00483C5B">
      <w:pPr>
        <w:jc w:val="both"/>
      </w:pPr>
      <w:r w:rsidRPr="00AD6EF2">
        <w:lastRenderedPageBreak/>
        <w:t xml:space="preserve">Before discussion of the clinical trial results, it is important to understand the research definition of the key inclusion criterion of an “adequate” antidepressant medication trial.  An adequate drug trial is defined by the Antidepressant Treatment History Form (ATHF) (Sackeim, 2001), a rigorous and validated methodology for establishing antidepressant treatment resistance in research settings. </w:t>
      </w:r>
      <w:r w:rsidR="00465E18">
        <w:t>T</w:t>
      </w:r>
      <w:r w:rsidRPr="00AD6EF2">
        <w:t xml:space="preserve">he ATHF assigns each drug therapy an “antidepressant resistance rating” ranging from 1 to 5 (1 being the lowest and 5 being the highest), based on the dosage and duration of treatment. Generally, drug therapy must last at least </w:t>
      </w:r>
      <w:r w:rsidR="00BF64BE">
        <w:t>four</w:t>
      </w:r>
      <w:r w:rsidRPr="00AD6EF2">
        <w:t xml:space="preserve"> weeks to be considered of an adequate duration by this methodology. An antidepressant resistance rating of 3 or greater indicates an adequate trial, in both duration and dosage. In many instances, patients receive multiple trials of drug therapy, the majority of which do not achieve treatment exposure adequacy as defined by the ATHF, usually because of intolerance to the adverse effects of treatment, or due to general non-adherence to recommended therapy. When rigorously assessed in research studies, a replicated observation has been that, on average, for every </w:t>
      </w:r>
      <w:r w:rsidR="00BF64BE">
        <w:t>four</w:t>
      </w:r>
      <w:r w:rsidRPr="00AD6EF2">
        <w:t xml:space="preserve"> to </w:t>
      </w:r>
      <w:r w:rsidR="00BF64BE">
        <w:t>five</w:t>
      </w:r>
      <w:r w:rsidRPr="00AD6EF2">
        <w:t xml:space="preserve"> treatment trials, only one is able to be administered at an adequate dose for an adequate duration of time. </w:t>
      </w:r>
    </w:p>
    <w:p w14:paraId="047E3D59" w14:textId="5E31D2E2" w:rsidR="00F302BD" w:rsidRPr="00AD6EF2" w:rsidRDefault="00F302BD" w:rsidP="00483C5B">
      <w:pPr>
        <w:jc w:val="both"/>
      </w:pPr>
      <w:r w:rsidRPr="00AD6EF2">
        <w:t>In other words, without examination of the dose and duration of exposure, some patients may be incorrectly classified as having treatment failure, when in fact they have not yet received an adequate drug tria</w:t>
      </w:r>
      <w:r>
        <w:t>l (termed ‘pseudo</w:t>
      </w:r>
      <w:r w:rsidR="00BF64BE">
        <w:t>-</w:t>
      </w:r>
      <w:r>
        <w:t>resi</w:t>
      </w:r>
      <w:r w:rsidR="00B87ACD">
        <w:t>s</w:t>
      </w:r>
      <w:r>
        <w:t xml:space="preserve">tance’). </w:t>
      </w:r>
      <w:r w:rsidRPr="00AD6EF2">
        <w:t>Both the NeuroStar registration trial and the NIMH-sponsored study</w:t>
      </w:r>
      <w:r>
        <w:t>, which will be described in the following</w:t>
      </w:r>
      <w:r w:rsidRPr="00AD6EF2">
        <w:t xml:space="preserve"> enrolled patients who met the very stringent research definition of a prior course of </w:t>
      </w:r>
      <w:r w:rsidRPr="00AD6EF2">
        <w:rPr>
          <w:i/>
        </w:rPr>
        <w:t>adequate</w:t>
      </w:r>
      <w:r w:rsidRPr="00AD6EF2">
        <w:t xml:space="preserve"> drug therapy in the current episode of their illness. In the NeuroStar </w:t>
      </w:r>
      <w:r w:rsidR="007D2B88">
        <w:t>r</w:t>
      </w:r>
      <w:r w:rsidRPr="00AD6EF2">
        <w:t>TMS registration trial, th</w:t>
      </w:r>
      <w:r w:rsidR="00BF64BE">
        <w:t>e average patient had received four</w:t>
      </w:r>
      <w:r w:rsidRPr="00AD6EF2">
        <w:t xml:space="preserve"> antidepressant treat</w:t>
      </w:r>
      <w:r w:rsidR="00BF64BE">
        <w:t>ment trials, with a range from one</w:t>
      </w:r>
      <w:r w:rsidRPr="00AD6EF2">
        <w:t xml:space="preserve"> to as many as 23 separate treatment attempts in the current episode.</w:t>
      </w:r>
    </w:p>
    <w:p w14:paraId="7C138636" w14:textId="77777777" w:rsidR="00F302BD" w:rsidRDefault="002A439B" w:rsidP="00D22942">
      <w:pPr>
        <w:pStyle w:val="Heading3"/>
      </w:pPr>
      <w:bookmarkStart w:id="55" w:name="_Toc389142046"/>
      <w:r w:rsidRPr="009D01D7">
        <w:t>Review of the literature</w:t>
      </w:r>
      <w:bookmarkEnd w:id="55"/>
    </w:p>
    <w:p w14:paraId="1410B32A" w14:textId="77777777" w:rsidR="00F302BD" w:rsidRPr="00E216B1" w:rsidRDefault="002A439B" w:rsidP="00E216B1">
      <w:pPr>
        <w:pStyle w:val="Heading4"/>
      </w:pPr>
      <w:r w:rsidRPr="00E216B1">
        <w:t>Literature sources and search strategies</w:t>
      </w:r>
    </w:p>
    <w:p w14:paraId="5FB61B50" w14:textId="77777777" w:rsidR="00F302BD" w:rsidRDefault="00F302BD" w:rsidP="00483C5B">
      <w:pPr>
        <w:spacing w:after="120"/>
        <w:jc w:val="both"/>
      </w:pPr>
      <w:r w:rsidRPr="00846D9C">
        <w:t>Searches were conducted of MEDLINE,</w:t>
      </w:r>
      <w:r>
        <w:t xml:space="preserve"> EMBASE, </w:t>
      </w:r>
      <w:r w:rsidRPr="00846D9C">
        <w:t>the Cochrane database of systematic reviews and the US based clinical trial registry</w:t>
      </w:r>
      <w:r>
        <w:t xml:space="preserve"> (15</w:t>
      </w:r>
      <w:r w:rsidRPr="00FE41DE">
        <w:rPr>
          <w:vertAlign w:val="superscript"/>
        </w:rPr>
        <w:t>th</w:t>
      </w:r>
      <w:r>
        <w:t xml:space="preserve"> October 2013). In addition, we have reviewed and included evidence from the following document:</w:t>
      </w:r>
    </w:p>
    <w:p w14:paraId="4EAE6830" w14:textId="0F487EFB" w:rsidR="005A1090" w:rsidRDefault="00B87ACD" w:rsidP="00483C5B">
      <w:pPr>
        <w:autoSpaceDE w:val="0"/>
        <w:autoSpaceDN w:val="0"/>
        <w:adjustRightInd w:val="0"/>
        <w:jc w:val="both"/>
        <w:rPr>
          <w:color w:val="000000"/>
        </w:rPr>
      </w:pPr>
      <w:r>
        <w:rPr>
          <w:color w:val="000000"/>
        </w:rPr>
        <w:t>AHRQ</w:t>
      </w:r>
      <w:r w:rsidR="00F302BD" w:rsidRPr="009E2E2D">
        <w:rPr>
          <w:color w:val="000000"/>
        </w:rPr>
        <w:t xml:space="preserve"> </w:t>
      </w:r>
      <w:r w:rsidR="00F302BD" w:rsidRPr="009E2E2D">
        <w:t>Comparative Effectiveness Review (Number 33), entitled, “Non</w:t>
      </w:r>
      <w:r w:rsidR="00CA0A85">
        <w:t>-</w:t>
      </w:r>
      <w:r w:rsidR="00F302BD" w:rsidRPr="009E2E2D">
        <w:t xml:space="preserve">pharmacologic </w:t>
      </w:r>
      <w:r w:rsidR="00415396">
        <w:t>interventions for t</w:t>
      </w:r>
      <w:r w:rsidR="00F302BD" w:rsidRPr="009E2E2D">
        <w:t>reatment-</w:t>
      </w:r>
      <w:r w:rsidR="00415396">
        <w:t>r</w:t>
      </w:r>
      <w:r w:rsidR="00F302BD" w:rsidRPr="009E2E2D">
        <w:t xml:space="preserve">esistant </w:t>
      </w:r>
      <w:r w:rsidR="00415396">
        <w:t>d</w:t>
      </w:r>
      <w:r w:rsidR="00F302BD" w:rsidRPr="009E2E2D">
        <w:t xml:space="preserve">epression in </w:t>
      </w:r>
      <w:r w:rsidR="00415396">
        <w:t>a</w:t>
      </w:r>
      <w:r w:rsidR="00F302BD" w:rsidRPr="009E2E2D">
        <w:t>dults”.</w:t>
      </w:r>
      <w:r w:rsidR="00F302BD" w:rsidRPr="009E2E2D">
        <w:rPr>
          <w:color w:val="000000"/>
        </w:rPr>
        <w:t xml:space="preserve"> </w:t>
      </w:r>
    </w:p>
    <w:p w14:paraId="6842A9B9" w14:textId="13DFE45D" w:rsidR="00F302BD" w:rsidRDefault="00F302BD" w:rsidP="00483C5B">
      <w:pPr>
        <w:autoSpaceDE w:val="0"/>
        <w:autoSpaceDN w:val="0"/>
        <w:adjustRightInd w:val="0"/>
        <w:jc w:val="both"/>
        <w:rPr>
          <w:color w:val="000000"/>
        </w:rPr>
      </w:pPr>
      <w:r w:rsidRPr="009E2E2D">
        <w:rPr>
          <w:color w:val="000000"/>
        </w:rPr>
        <w:t>This was produced by the RTI International-University of North Carolina (RTI-UNC) Evidence-based Practice Center for the Agency for Healthcare Research and Quality,</w:t>
      </w:r>
      <w:r w:rsidR="009E2E2D">
        <w:rPr>
          <w:color w:val="000000"/>
        </w:rPr>
        <w:t xml:space="preserve"> </w:t>
      </w:r>
      <w:r w:rsidRPr="009E2E2D">
        <w:rPr>
          <w:color w:val="000000"/>
        </w:rPr>
        <w:t>U.S. Department of Health and Human Services. This document provides a</w:t>
      </w:r>
      <w:r w:rsidR="00415396">
        <w:rPr>
          <w:color w:val="000000"/>
        </w:rPr>
        <w:t>n</w:t>
      </w:r>
      <w:r w:rsidRPr="009E2E2D">
        <w:rPr>
          <w:color w:val="000000"/>
        </w:rPr>
        <w:t xml:space="preserve"> independent and comprehensive review of the effectiveness and comparative effectiveness of non</w:t>
      </w:r>
      <w:r w:rsidR="00415396">
        <w:rPr>
          <w:color w:val="000000"/>
        </w:rPr>
        <w:t>-</w:t>
      </w:r>
      <w:r w:rsidRPr="009E2E2D">
        <w:rPr>
          <w:color w:val="000000"/>
        </w:rPr>
        <w:t>pharmacological interventions for treatment</w:t>
      </w:r>
      <w:r w:rsidR="00415396">
        <w:rPr>
          <w:color w:val="000000"/>
        </w:rPr>
        <w:t>-</w:t>
      </w:r>
      <w:r w:rsidRPr="009E2E2D">
        <w:rPr>
          <w:color w:val="000000"/>
        </w:rPr>
        <w:t>resistant depression in adults, including TMS treatment as well as ECT and psychotherapy.</w:t>
      </w:r>
    </w:p>
    <w:p w14:paraId="24401454" w14:textId="182E914D" w:rsidR="00AE4E08" w:rsidRPr="00C9782D" w:rsidRDefault="00AE4E08" w:rsidP="00D22942">
      <w:pPr>
        <w:pStyle w:val="Heading3"/>
      </w:pPr>
      <w:bookmarkStart w:id="56" w:name="_Toc389142047"/>
      <w:r w:rsidRPr="00C9782D">
        <w:t>Expert advice</w:t>
      </w:r>
      <w:bookmarkEnd w:id="56"/>
      <w:r w:rsidRPr="00C9782D">
        <w:t xml:space="preserve"> </w:t>
      </w:r>
    </w:p>
    <w:p w14:paraId="4958B328" w14:textId="7E184237" w:rsidR="00AE4E08" w:rsidRPr="00C9782D" w:rsidRDefault="00AE4E08" w:rsidP="00483C5B">
      <w:pPr>
        <w:jc w:val="both"/>
      </w:pPr>
      <w:r w:rsidRPr="00C9782D">
        <w:t xml:space="preserve">An advisory panel was established to provide guidance to the </w:t>
      </w:r>
      <w:r>
        <w:t>e</w:t>
      </w:r>
      <w:r w:rsidRPr="00C9782D">
        <w:t>valuators to ensure that the assessment is clinically relevant and takes into account consumer interests.  Membership of the advisory panel is provided at</w:t>
      </w:r>
      <w:r>
        <w:t xml:space="preserve"> Appendix </w:t>
      </w:r>
      <w:r w:rsidR="005A1090">
        <w:t>A</w:t>
      </w:r>
      <w:r w:rsidRPr="00C9782D">
        <w:t>.</w:t>
      </w:r>
    </w:p>
    <w:p w14:paraId="6ADDDACC" w14:textId="77777777" w:rsidR="00360E5A" w:rsidRPr="00360E5A" w:rsidRDefault="00360E5A" w:rsidP="00360E5A"/>
    <w:p w14:paraId="5C1FB912" w14:textId="77777777" w:rsidR="00374B0F" w:rsidRDefault="00374B0F" w:rsidP="00AB6AD4">
      <w:pPr>
        <w:pStyle w:val="Heading2"/>
      </w:pPr>
      <w:bookmarkStart w:id="57" w:name="_Toc386093976"/>
      <w:bookmarkStart w:id="58" w:name="_Toc386094215"/>
      <w:bookmarkStart w:id="59" w:name="_Toc389142048"/>
      <w:bookmarkStart w:id="60" w:name="_Toc319069010"/>
      <w:bookmarkStart w:id="61" w:name="_Toc367715541"/>
      <w:bookmarkStart w:id="62" w:name="_Toc367716674"/>
      <w:bookmarkStart w:id="63" w:name="_Toc367801988"/>
      <w:r>
        <w:lastRenderedPageBreak/>
        <w:t>Results of assessment</w:t>
      </w:r>
      <w:bookmarkEnd w:id="57"/>
      <w:bookmarkEnd w:id="58"/>
      <w:bookmarkEnd w:id="59"/>
    </w:p>
    <w:p w14:paraId="480BD635" w14:textId="77777777" w:rsidR="00014924" w:rsidRDefault="00014924" w:rsidP="00D22942">
      <w:pPr>
        <w:pStyle w:val="Heading3"/>
      </w:pPr>
      <w:bookmarkStart w:id="64" w:name="_Toc389142049"/>
      <w:r>
        <w:t>Evidence for the effectiveness of rTMS</w:t>
      </w:r>
      <w:bookmarkEnd w:id="64"/>
    </w:p>
    <w:p w14:paraId="092593F6" w14:textId="6EB95D43" w:rsidR="00360E5A" w:rsidRPr="00FE41DE" w:rsidRDefault="00360E5A" w:rsidP="00483C5B">
      <w:pPr>
        <w:jc w:val="both"/>
      </w:pPr>
      <w:r w:rsidRPr="00FE41DE">
        <w:t>No direct head</w:t>
      </w:r>
      <w:r w:rsidR="005B5E7F">
        <w:t>-</w:t>
      </w:r>
      <w:r w:rsidRPr="00FE41DE">
        <w:t>to</w:t>
      </w:r>
      <w:r w:rsidR="005B5E7F">
        <w:t>-</w:t>
      </w:r>
      <w:r w:rsidRPr="00FE41DE">
        <w:t xml:space="preserve">head or direct randomised trials comparing TMS treatment to the primary comparator were identified in </w:t>
      </w:r>
      <w:r w:rsidR="005A1090">
        <w:t>the</w:t>
      </w:r>
      <w:r w:rsidRPr="00FE41DE">
        <w:t xml:space="preserve"> literature search </w:t>
      </w:r>
      <w:r w:rsidR="00014924">
        <w:t>or</w:t>
      </w:r>
      <w:r w:rsidR="00014924" w:rsidRPr="00FE41DE">
        <w:t xml:space="preserve"> </w:t>
      </w:r>
      <w:r w:rsidRPr="00FE41DE">
        <w:t>within any other documents.</w:t>
      </w:r>
    </w:p>
    <w:p w14:paraId="01A9FCA4" w14:textId="4C8D4A28" w:rsidR="00014924" w:rsidRDefault="00014924" w:rsidP="00483C5B">
      <w:r>
        <w:t xml:space="preserve">A summary of the studies used in this assessment is provided in </w:t>
      </w:r>
      <w:r w:rsidR="006E34E9">
        <w:fldChar w:fldCharType="begin"/>
      </w:r>
      <w:r w:rsidR="006E34E9">
        <w:instrText xml:space="preserve"> REF _Ref386026418 \h  \* MERGEFORMAT </w:instrText>
      </w:r>
      <w:r w:rsidR="006E34E9">
        <w:fldChar w:fldCharType="separate"/>
      </w:r>
      <w:proofErr w:type="gramStart"/>
      <w:r w:rsidR="004C1C27" w:rsidRPr="00483C5B">
        <w:t xml:space="preserve">Table </w:t>
      </w:r>
      <w:proofErr w:type="gramEnd"/>
      <w:r w:rsidR="006E34E9">
        <w:fldChar w:fldCharType="end"/>
      </w:r>
      <w:r>
        <w:t>.</w:t>
      </w:r>
    </w:p>
    <w:p w14:paraId="714DE2DC" w14:textId="0ACA8643" w:rsidR="00014924" w:rsidRPr="00483C5B" w:rsidRDefault="006E34E9" w:rsidP="00483C5B">
      <w:pPr>
        <w:pStyle w:val="TableName"/>
      </w:pPr>
      <w:bookmarkStart w:id="65" w:name="_Ref386026418"/>
      <w:bookmarkStart w:id="66" w:name="_Toc389143577"/>
      <w:r w:rsidRPr="00483C5B">
        <w:t xml:space="preserve">Table </w:t>
      </w:r>
      <w:bookmarkEnd w:id="65"/>
      <w:r w:rsidR="005A1090">
        <w:t>3</w:t>
      </w:r>
      <w:r w:rsidRPr="00483C5B">
        <w:t xml:space="preserve">: </w:t>
      </w:r>
      <w:r w:rsidR="00014924" w:rsidRPr="00483C5B">
        <w:t>Summary of studies/reports included in the assessment</w:t>
      </w:r>
      <w:r w:rsidR="00A81756" w:rsidRPr="00483C5B">
        <w:t xml:space="preserve"> of effectiveness and safety of rTMS</w:t>
      </w:r>
      <w:bookmarkEnd w:id="66"/>
    </w:p>
    <w:tbl>
      <w:tblPr>
        <w:tblStyle w:val="TableGrid"/>
        <w:tblW w:w="8363" w:type="dxa"/>
        <w:tblInd w:w="737" w:type="dxa"/>
        <w:tblLook w:val="04A0" w:firstRow="1" w:lastRow="0" w:firstColumn="1" w:lastColumn="0" w:noHBand="0" w:noVBand="1"/>
        <w:tblCaption w:val="Studies included in the efficacy and safety assessment for rTMS"/>
      </w:tblPr>
      <w:tblGrid>
        <w:gridCol w:w="2835"/>
        <w:gridCol w:w="1843"/>
        <w:gridCol w:w="2268"/>
        <w:gridCol w:w="1417"/>
      </w:tblGrid>
      <w:tr w:rsidR="00014924" w:rsidRPr="006E34E9" w14:paraId="166855A8" w14:textId="77777777" w:rsidTr="006E34E9">
        <w:trPr>
          <w:cantSplit/>
          <w:trHeight w:val="228"/>
          <w:tblHeader/>
        </w:trPr>
        <w:tc>
          <w:tcPr>
            <w:tcW w:w="2835" w:type="dxa"/>
            <w:tcMar>
              <w:left w:w="28" w:type="dxa"/>
              <w:right w:w="28" w:type="dxa"/>
            </w:tcMar>
            <w:vAlign w:val="center"/>
          </w:tcPr>
          <w:p w14:paraId="54051678" w14:textId="77777777" w:rsidR="00014924" w:rsidRPr="006E34E9" w:rsidRDefault="00014924" w:rsidP="006E34E9">
            <w:pPr>
              <w:pStyle w:val="TableText"/>
              <w:rPr>
                <w:b/>
                <w:szCs w:val="18"/>
              </w:rPr>
            </w:pPr>
            <w:r w:rsidRPr="006E34E9">
              <w:rPr>
                <w:b/>
                <w:szCs w:val="18"/>
              </w:rPr>
              <w:t>Study</w:t>
            </w:r>
          </w:p>
        </w:tc>
        <w:tc>
          <w:tcPr>
            <w:tcW w:w="1843" w:type="dxa"/>
            <w:tcMar>
              <w:left w:w="28" w:type="dxa"/>
              <w:right w:w="28" w:type="dxa"/>
            </w:tcMar>
            <w:vAlign w:val="center"/>
          </w:tcPr>
          <w:p w14:paraId="623BEB68" w14:textId="77777777" w:rsidR="00014924" w:rsidRPr="006E34E9" w:rsidRDefault="00014924" w:rsidP="006E34E9">
            <w:pPr>
              <w:pStyle w:val="TableText"/>
              <w:rPr>
                <w:b/>
                <w:szCs w:val="18"/>
              </w:rPr>
            </w:pPr>
            <w:r w:rsidRPr="006E34E9">
              <w:rPr>
                <w:b/>
                <w:szCs w:val="18"/>
              </w:rPr>
              <w:t>Comparison groups</w:t>
            </w:r>
          </w:p>
        </w:tc>
        <w:tc>
          <w:tcPr>
            <w:tcW w:w="2268" w:type="dxa"/>
            <w:tcMar>
              <w:left w:w="28" w:type="dxa"/>
              <w:right w:w="28" w:type="dxa"/>
            </w:tcMar>
            <w:vAlign w:val="center"/>
          </w:tcPr>
          <w:p w14:paraId="2FC2F19D" w14:textId="77777777" w:rsidR="00014924" w:rsidRPr="006E34E9" w:rsidRDefault="00014924" w:rsidP="006E34E9">
            <w:pPr>
              <w:pStyle w:val="TableText"/>
              <w:rPr>
                <w:b/>
                <w:szCs w:val="18"/>
              </w:rPr>
            </w:pPr>
            <w:r w:rsidRPr="006E34E9">
              <w:rPr>
                <w:b/>
                <w:szCs w:val="18"/>
              </w:rPr>
              <w:t>Study design</w:t>
            </w:r>
          </w:p>
        </w:tc>
        <w:tc>
          <w:tcPr>
            <w:tcW w:w="1417" w:type="dxa"/>
            <w:tcMar>
              <w:left w:w="28" w:type="dxa"/>
              <w:right w:w="28" w:type="dxa"/>
            </w:tcMar>
            <w:vAlign w:val="center"/>
          </w:tcPr>
          <w:p w14:paraId="64BBDF09" w14:textId="77777777" w:rsidR="00014924" w:rsidRPr="006E34E9" w:rsidRDefault="00A81756" w:rsidP="006E34E9">
            <w:pPr>
              <w:pStyle w:val="TableText"/>
              <w:rPr>
                <w:b/>
                <w:szCs w:val="18"/>
              </w:rPr>
            </w:pPr>
            <w:r w:rsidRPr="006E34E9">
              <w:rPr>
                <w:b/>
                <w:szCs w:val="18"/>
              </w:rPr>
              <w:t>Assess</w:t>
            </w:r>
          </w:p>
        </w:tc>
      </w:tr>
      <w:tr w:rsidR="00014924" w:rsidRPr="006E34E9" w14:paraId="16C6A48A" w14:textId="77777777" w:rsidTr="006E34E9">
        <w:trPr>
          <w:cantSplit/>
          <w:trHeight w:val="239"/>
        </w:trPr>
        <w:tc>
          <w:tcPr>
            <w:tcW w:w="2835" w:type="dxa"/>
            <w:tcMar>
              <w:left w:w="28" w:type="dxa"/>
              <w:right w:w="28" w:type="dxa"/>
            </w:tcMar>
            <w:vAlign w:val="center"/>
          </w:tcPr>
          <w:p w14:paraId="3BAACB66" w14:textId="77777777" w:rsidR="00014924" w:rsidRPr="006E34E9" w:rsidRDefault="00014924" w:rsidP="006E34E9">
            <w:pPr>
              <w:pStyle w:val="TableText"/>
              <w:rPr>
                <w:szCs w:val="18"/>
              </w:rPr>
            </w:pPr>
            <w:r w:rsidRPr="006E34E9">
              <w:rPr>
                <w:szCs w:val="18"/>
              </w:rPr>
              <w:t>NeuroStar TMS 2007</w:t>
            </w:r>
          </w:p>
        </w:tc>
        <w:tc>
          <w:tcPr>
            <w:tcW w:w="1843" w:type="dxa"/>
            <w:tcMar>
              <w:left w:w="28" w:type="dxa"/>
              <w:right w:w="28" w:type="dxa"/>
            </w:tcMar>
            <w:vAlign w:val="center"/>
          </w:tcPr>
          <w:p w14:paraId="2249D8D4" w14:textId="77777777" w:rsidR="00014924" w:rsidRPr="006E34E9" w:rsidRDefault="00014924" w:rsidP="006E34E9">
            <w:pPr>
              <w:pStyle w:val="TableText"/>
              <w:rPr>
                <w:szCs w:val="18"/>
              </w:rPr>
            </w:pPr>
            <w:r w:rsidRPr="006E34E9">
              <w:rPr>
                <w:szCs w:val="18"/>
              </w:rPr>
              <w:t>rTMS vs sham</w:t>
            </w:r>
            <w:r w:rsidR="00A81756" w:rsidRPr="006E34E9">
              <w:rPr>
                <w:szCs w:val="18"/>
              </w:rPr>
              <w:t xml:space="preserve"> </w:t>
            </w:r>
          </w:p>
        </w:tc>
        <w:tc>
          <w:tcPr>
            <w:tcW w:w="2268" w:type="dxa"/>
            <w:tcMar>
              <w:left w:w="28" w:type="dxa"/>
              <w:right w:w="28" w:type="dxa"/>
            </w:tcMar>
            <w:vAlign w:val="center"/>
          </w:tcPr>
          <w:p w14:paraId="06100F84" w14:textId="77777777" w:rsidR="00014924" w:rsidRPr="006E34E9" w:rsidRDefault="00014924" w:rsidP="006E34E9">
            <w:pPr>
              <w:pStyle w:val="TableText"/>
              <w:rPr>
                <w:szCs w:val="18"/>
              </w:rPr>
            </w:pPr>
            <w:r w:rsidRPr="006E34E9">
              <w:rPr>
                <w:szCs w:val="18"/>
              </w:rPr>
              <w:t>RCT</w:t>
            </w:r>
            <w:r w:rsidR="00A81756" w:rsidRPr="006E34E9">
              <w:rPr>
                <w:szCs w:val="18"/>
              </w:rPr>
              <w:t xml:space="preserve"> (multicentre)</w:t>
            </w:r>
          </w:p>
        </w:tc>
        <w:tc>
          <w:tcPr>
            <w:tcW w:w="1417" w:type="dxa"/>
            <w:tcMar>
              <w:left w:w="28" w:type="dxa"/>
              <w:right w:w="28" w:type="dxa"/>
            </w:tcMar>
            <w:vAlign w:val="center"/>
          </w:tcPr>
          <w:p w14:paraId="312FEDE8" w14:textId="77777777" w:rsidR="00014924" w:rsidRPr="006E34E9" w:rsidRDefault="00014924" w:rsidP="006E34E9">
            <w:pPr>
              <w:pStyle w:val="TableText"/>
              <w:rPr>
                <w:szCs w:val="18"/>
              </w:rPr>
            </w:pPr>
            <w:r w:rsidRPr="006E34E9">
              <w:rPr>
                <w:szCs w:val="18"/>
              </w:rPr>
              <w:t>Efficacy and safety</w:t>
            </w:r>
          </w:p>
        </w:tc>
      </w:tr>
      <w:tr w:rsidR="00014924" w:rsidRPr="006E34E9" w14:paraId="14CF6FE9" w14:textId="77777777" w:rsidTr="006E34E9">
        <w:trPr>
          <w:cantSplit/>
          <w:trHeight w:val="228"/>
        </w:trPr>
        <w:tc>
          <w:tcPr>
            <w:tcW w:w="2835" w:type="dxa"/>
            <w:tcMar>
              <w:left w:w="28" w:type="dxa"/>
              <w:right w:w="28" w:type="dxa"/>
            </w:tcMar>
            <w:vAlign w:val="center"/>
          </w:tcPr>
          <w:p w14:paraId="5DA31201" w14:textId="77777777" w:rsidR="00014924" w:rsidRPr="006E34E9" w:rsidRDefault="00014924" w:rsidP="00233D60">
            <w:pPr>
              <w:pStyle w:val="TableText"/>
              <w:rPr>
                <w:szCs w:val="18"/>
              </w:rPr>
            </w:pPr>
            <w:r w:rsidRPr="006E34E9">
              <w:rPr>
                <w:szCs w:val="18"/>
              </w:rPr>
              <w:t>OPT-TMS 2010</w:t>
            </w:r>
          </w:p>
        </w:tc>
        <w:tc>
          <w:tcPr>
            <w:tcW w:w="1843" w:type="dxa"/>
            <w:tcMar>
              <w:left w:w="28" w:type="dxa"/>
              <w:right w:w="28" w:type="dxa"/>
            </w:tcMar>
            <w:vAlign w:val="center"/>
          </w:tcPr>
          <w:p w14:paraId="53F6A254" w14:textId="77777777" w:rsidR="00014924" w:rsidRPr="006E34E9" w:rsidRDefault="00014924" w:rsidP="00233D60">
            <w:pPr>
              <w:pStyle w:val="TableText"/>
              <w:rPr>
                <w:szCs w:val="18"/>
              </w:rPr>
            </w:pPr>
            <w:r w:rsidRPr="006E34E9">
              <w:rPr>
                <w:szCs w:val="18"/>
              </w:rPr>
              <w:t>rTMS vs sham</w:t>
            </w:r>
            <w:r w:rsidR="00A81756" w:rsidRPr="006E34E9">
              <w:rPr>
                <w:szCs w:val="18"/>
              </w:rPr>
              <w:t xml:space="preserve"> </w:t>
            </w:r>
          </w:p>
        </w:tc>
        <w:tc>
          <w:tcPr>
            <w:tcW w:w="2268" w:type="dxa"/>
            <w:tcMar>
              <w:left w:w="28" w:type="dxa"/>
              <w:right w:w="28" w:type="dxa"/>
            </w:tcMar>
            <w:vAlign w:val="center"/>
          </w:tcPr>
          <w:p w14:paraId="37BE54EC" w14:textId="77777777" w:rsidR="00014924" w:rsidRPr="006E34E9" w:rsidRDefault="00014924" w:rsidP="00233D60">
            <w:pPr>
              <w:pStyle w:val="TableText"/>
              <w:rPr>
                <w:szCs w:val="18"/>
              </w:rPr>
            </w:pPr>
            <w:r w:rsidRPr="006E34E9">
              <w:rPr>
                <w:szCs w:val="18"/>
              </w:rPr>
              <w:t>RCT</w:t>
            </w:r>
            <w:r w:rsidR="00A81756" w:rsidRPr="006E34E9">
              <w:rPr>
                <w:szCs w:val="18"/>
              </w:rPr>
              <w:t xml:space="preserve"> (multicentre)</w:t>
            </w:r>
          </w:p>
        </w:tc>
        <w:tc>
          <w:tcPr>
            <w:tcW w:w="1417" w:type="dxa"/>
            <w:tcMar>
              <w:left w:w="28" w:type="dxa"/>
              <w:right w:w="28" w:type="dxa"/>
            </w:tcMar>
            <w:vAlign w:val="center"/>
          </w:tcPr>
          <w:p w14:paraId="1BCCA47F" w14:textId="77777777" w:rsidR="00014924" w:rsidRPr="006E34E9" w:rsidRDefault="00014924" w:rsidP="00233D60">
            <w:pPr>
              <w:pStyle w:val="TableText"/>
              <w:rPr>
                <w:szCs w:val="18"/>
              </w:rPr>
            </w:pPr>
            <w:r w:rsidRPr="006E34E9">
              <w:rPr>
                <w:szCs w:val="18"/>
              </w:rPr>
              <w:t>Efficacy and safety</w:t>
            </w:r>
          </w:p>
        </w:tc>
      </w:tr>
      <w:tr w:rsidR="00014924" w:rsidRPr="006E34E9" w14:paraId="3DA09A07" w14:textId="77777777" w:rsidTr="006E34E9">
        <w:trPr>
          <w:cantSplit/>
          <w:trHeight w:val="228"/>
        </w:trPr>
        <w:tc>
          <w:tcPr>
            <w:tcW w:w="2835" w:type="dxa"/>
            <w:tcMar>
              <w:left w:w="28" w:type="dxa"/>
              <w:right w:w="28" w:type="dxa"/>
            </w:tcMar>
            <w:vAlign w:val="center"/>
          </w:tcPr>
          <w:p w14:paraId="7504F3F7" w14:textId="77777777" w:rsidR="00014924" w:rsidRPr="006E34E9" w:rsidRDefault="00A81756" w:rsidP="00233D60">
            <w:pPr>
              <w:pStyle w:val="TableText"/>
              <w:rPr>
                <w:szCs w:val="18"/>
              </w:rPr>
            </w:pPr>
            <w:r w:rsidRPr="006E34E9">
              <w:rPr>
                <w:szCs w:val="18"/>
              </w:rPr>
              <w:t>15 x meta-analyses 2001-2013</w:t>
            </w:r>
          </w:p>
        </w:tc>
        <w:tc>
          <w:tcPr>
            <w:tcW w:w="1843" w:type="dxa"/>
            <w:tcMar>
              <w:left w:w="28" w:type="dxa"/>
              <w:right w:w="28" w:type="dxa"/>
            </w:tcMar>
            <w:vAlign w:val="center"/>
          </w:tcPr>
          <w:p w14:paraId="5A103F05" w14:textId="77777777" w:rsidR="00014924" w:rsidRPr="006E34E9" w:rsidRDefault="00A81756" w:rsidP="00233D60">
            <w:pPr>
              <w:pStyle w:val="TableText"/>
              <w:rPr>
                <w:szCs w:val="18"/>
              </w:rPr>
            </w:pPr>
            <w:r w:rsidRPr="006E34E9">
              <w:rPr>
                <w:szCs w:val="18"/>
              </w:rPr>
              <w:t>rTMS vs sham</w:t>
            </w:r>
          </w:p>
        </w:tc>
        <w:tc>
          <w:tcPr>
            <w:tcW w:w="2268" w:type="dxa"/>
            <w:tcMar>
              <w:left w:w="28" w:type="dxa"/>
              <w:right w:w="28" w:type="dxa"/>
            </w:tcMar>
            <w:vAlign w:val="center"/>
          </w:tcPr>
          <w:p w14:paraId="3C4E790F" w14:textId="77777777" w:rsidR="00014924" w:rsidRPr="006E34E9" w:rsidRDefault="00014924" w:rsidP="00233D60">
            <w:pPr>
              <w:pStyle w:val="TableText"/>
              <w:rPr>
                <w:szCs w:val="18"/>
              </w:rPr>
            </w:pPr>
            <w:r w:rsidRPr="006E34E9">
              <w:rPr>
                <w:szCs w:val="18"/>
              </w:rPr>
              <w:t xml:space="preserve">Meta-analysis </w:t>
            </w:r>
          </w:p>
        </w:tc>
        <w:tc>
          <w:tcPr>
            <w:tcW w:w="1417" w:type="dxa"/>
            <w:tcMar>
              <w:left w:w="28" w:type="dxa"/>
              <w:right w:w="28" w:type="dxa"/>
            </w:tcMar>
            <w:vAlign w:val="center"/>
          </w:tcPr>
          <w:p w14:paraId="298710EA" w14:textId="77777777" w:rsidR="00014924" w:rsidRPr="006E34E9" w:rsidRDefault="00A81756" w:rsidP="00233D60">
            <w:pPr>
              <w:pStyle w:val="TableText"/>
              <w:rPr>
                <w:szCs w:val="18"/>
              </w:rPr>
            </w:pPr>
            <w:r w:rsidRPr="006E34E9">
              <w:rPr>
                <w:szCs w:val="18"/>
              </w:rPr>
              <w:t>Efficacy</w:t>
            </w:r>
          </w:p>
        </w:tc>
      </w:tr>
      <w:tr w:rsidR="00014924" w:rsidRPr="006E34E9" w14:paraId="2DE7D2E1" w14:textId="77777777" w:rsidTr="006E34E9">
        <w:trPr>
          <w:cantSplit/>
          <w:trHeight w:val="228"/>
        </w:trPr>
        <w:tc>
          <w:tcPr>
            <w:tcW w:w="2835" w:type="dxa"/>
            <w:tcMar>
              <w:left w:w="28" w:type="dxa"/>
              <w:right w:w="28" w:type="dxa"/>
            </w:tcMar>
            <w:vAlign w:val="center"/>
          </w:tcPr>
          <w:p w14:paraId="5541E126" w14:textId="77777777" w:rsidR="00014924" w:rsidRPr="006E34E9" w:rsidRDefault="00A81756" w:rsidP="00233D60">
            <w:pPr>
              <w:pStyle w:val="TableText"/>
              <w:rPr>
                <w:szCs w:val="18"/>
              </w:rPr>
            </w:pPr>
            <w:r w:rsidRPr="006E34E9">
              <w:rPr>
                <w:szCs w:val="18"/>
              </w:rPr>
              <w:t>Avery 2008, Demitrack 2009</w:t>
            </w:r>
          </w:p>
        </w:tc>
        <w:tc>
          <w:tcPr>
            <w:tcW w:w="1843" w:type="dxa"/>
            <w:tcMar>
              <w:left w:w="28" w:type="dxa"/>
              <w:right w:w="28" w:type="dxa"/>
            </w:tcMar>
            <w:vAlign w:val="center"/>
          </w:tcPr>
          <w:p w14:paraId="5B674A24" w14:textId="77777777" w:rsidR="00014924" w:rsidRPr="006E34E9" w:rsidRDefault="00A81756" w:rsidP="00233D60">
            <w:pPr>
              <w:pStyle w:val="TableText"/>
              <w:rPr>
                <w:szCs w:val="18"/>
              </w:rPr>
            </w:pPr>
            <w:r w:rsidRPr="006E34E9">
              <w:rPr>
                <w:szCs w:val="18"/>
              </w:rPr>
              <w:t>rTMS vs sham</w:t>
            </w:r>
          </w:p>
        </w:tc>
        <w:tc>
          <w:tcPr>
            <w:tcW w:w="2268" w:type="dxa"/>
            <w:tcMar>
              <w:left w:w="28" w:type="dxa"/>
              <w:right w:w="28" w:type="dxa"/>
            </w:tcMar>
            <w:vAlign w:val="center"/>
          </w:tcPr>
          <w:p w14:paraId="24943107" w14:textId="77777777" w:rsidR="00014924" w:rsidRPr="006E34E9" w:rsidRDefault="00A81756" w:rsidP="00233D60">
            <w:pPr>
              <w:pStyle w:val="TableText"/>
              <w:rPr>
                <w:szCs w:val="18"/>
              </w:rPr>
            </w:pPr>
            <w:r w:rsidRPr="006E34E9">
              <w:rPr>
                <w:szCs w:val="18"/>
              </w:rPr>
              <w:t>Open label (multicentre)</w:t>
            </w:r>
          </w:p>
        </w:tc>
        <w:tc>
          <w:tcPr>
            <w:tcW w:w="1417" w:type="dxa"/>
            <w:tcMar>
              <w:left w:w="28" w:type="dxa"/>
              <w:right w:w="28" w:type="dxa"/>
            </w:tcMar>
            <w:vAlign w:val="center"/>
          </w:tcPr>
          <w:p w14:paraId="6429AD3C" w14:textId="77777777" w:rsidR="00014924" w:rsidRPr="006E34E9" w:rsidRDefault="00A81756" w:rsidP="00233D60">
            <w:pPr>
              <w:pStyle w:val="TableText"/>
              <w:rPr>
                <w:szCs w:val="18"/>
              </w:rPr>
            </w:pPr>
            <w:r w:rsidRPr="006E34E9">
              <w:rPr>
                <w:szCs w:val="18"/>
              </w:rPr>
              <w:t>Efficacy</w:t>
            </w:r>
          </w:p>
        </w:tc>
      </w:tr>
      <w:tr w:rsidR="00A81756" w:rsidRPr="006E34E9" w14:paraId="32E9A027" w14:textId="77777777" w:rsidTr="006E34E9">
        <w:trPr>
          <w:cantSplit/>
          <w:trHeight w:val="239"/>
        </w:trPr>
        <w:tc>
          <w:tcPr>
            <w:tcW w:w="2835" w:type="dxa"/>
            <w:tcMar>
              <w:left w:w="28" w:type="dxa"/>
              <w:right w:w="28" w:type="dxa"/>
            </w:tcMar>
            <w:vAlign w:val="center"/>
          </w:tcPr>
          <w:p w14:paraId="3191D3C9" w14:textId="77777777" w:rsidR="00A81756" w:rsidRPr="006E34E9" w:rsidRDefault="00A81756" w:rsidP="00233D60">
            <w:pPr>
              <w:pStyle w:val="TableText"/>
              <w:rPr>
                <w:szCs w:val="18"/>
              </w:rPr>
            </w:pPr>
            <w:r w:rsidRPr="006E34E9">
              <w:rPr>
                <w:szCs w:val="18"/>
              </w:rPr>
              <w:t>OPT-TMS (McDonald 2011)</w:t>
            </w:r>
          </w:p>
        </w:tc>
        <w:tc>
          <w:tcPr>
            <w:tcW w:w="1843" w:type="dxa"/>
            <w:tcMar>
              <w:left w:w="28" w:type="dxa"/>
              <w:right w:w="28" w:type="dxa"/>
            </w:tcMar>
            <w:vAlign w:val="center"/>
          </w:tcPr>
          <w:p w14:paraId="42769BE3" w14:textId="77777777" w:rsidR="00A81756" w:rsidRPr="006E34E9" w:rsidRDefault="00A81756" w:rsidP="00233D60">
            <w:pPr>
              <w:pStyle w:val="TableText"/>
              <w:rPr>
                <w:szCs w:val="18"/>
              </w:rPr>
            </w:pPr>
            <w:r w:rsidRPr="006E34E9">
              <w:rPr>
                <w:szCs w:val="18"/>
              </w:rPr>
              <w:t>rTMS vs sham</w:t>
            </w:r>
          </w:p>
        </w:tc>
        <w:tc>
          <w:tcPr>
            <w:tcW w:w="2268" w:type="dxa"/>
            <w:tcMar>
              <w:left w:w="28" w:type="dxa"/>
              <w:right w:w="28" w:type="dxa"/>
            </w:tcMar>
            <w:vAlign w:val="center"/>
          </w:tcPr>
          <w:p w14:paraId="5B473372" w14:textId="77777777" w:rsidR="00A81756" w:rsidRPr="006E34E9" w:rsidRDefault="00A81756" w:rsidP="00233D60">
            <w:pPr>
              <w:pStyle w:val="TableText"/>
              <w:rPr>
                <w:szCs w:val="18"/>
              </w:rPr>
            </w:pPr>
            <w:r w:rsidRPr="006E34E9">
              <w:rPr>
                <w:szCs w:val="18"/>
              </w:rPr>
              <w:t>Open label (multicentre)</w:t>
            </w:r>
          </w:p>
        </w:tc>
        <w:tc>
          <w:tcPr>
            <w:tcW w:w="1417" w:type="dxa"/>
            <w:tcMar>
              <w:left w:w="28" w:type="dxa"/>
              <w:right w:w="28" w:type="dxa"/>
            </w:tcMar>
            <w:vAlign w:val="center"/>
          </w:tcPr>
          <w:p w14:paraId="558D9067" w14:textId="77777777" w:rsidR="00A81756" w:rsidRPr="006E34E9" w:rsidRDefault="00A81756" w:rsidP="00233D60">
            <w:pPr>
              <w:pStyle w:val="TableText"/>
              <w:rPr>
                <w:szCs w:val="18"/>
              </w:rPr>
            </w:pPr>
            <w:r w:rsidRPr="006E34E9">
              <w:rPr>
                <w:szCs w:val="18"/>
              </w:rPr>
              <w:t>Efficacy</w:t>
            </w:r>
          </w:p>
        </w:tc>
      </w:tr>
      <w:tr w:rsidR="00A81756" w:rsidRPr="006E34E9" w14:paraId="7DC75A92" w14:textId="77777777" w:rsidTr="006E34E9">
        <w:trPr>
          <w:cantSplit/>
          <w:trHeight w:val="228"/>
        </w:trPr>
        <w:tc>
          <w:tcPr>
            <w:tcW w:w="2835" w:type="dxa"/>
            <w:tcMar>
              <w:left w:w="28" w:type="dxa"/>
              <w:right w:w="28" w:type="dxa"/>
            </w:tcMar>
            <w:vAlign w:val="center"/>
          </w:tcPr>
          <w:p w14:paraId="47B1BEC0" w14:textId="77777777" w:rsidR="00A81756" w:rsidRPr="006E34E9" w:rsidRDefault="00A81756" w:rsidP="00233D60">
            <w:pPr>
              <w:pStyle w:val="TableText"/>
              <w:rPr>
                <w:szCs w:val="18"/>
              </w:rPr>
            </w:pPr>
            <w:r w:rsidRPr="006E34E9">
              <w:rPr>
                <w:szCs w:val="18"/>
              </w:rPr>
              <w:t>Carpenter 2012, Janicak (2013)</w:t>
            </w:r>
          </w:p>
        </w:tc>
        <w:tc>
          <w:tcPr>
            <w:tcW w:w="1843" w:type="dxa"/>
            <w:tcMar>
              <w:left w:w="28" w:type="dxa"/>
              <w:right w:w="28" w:type="dxa"/>
            </w:tcMar>
            <w:vAlign w:val="center"/>
          </w:tcPr>
          <w:p w14:paraId="08EFA9A4" w14:textId="77777777" w:rsidR="00A81756" w:rsidRPr="006E34E9" w:rsidRDefault="00A81756" w:rsidP="00233D60">
            <w:pPr>
              <w:pStyle w:val="TableText"/>
              <w:rPr>
                <w:szCs w:val="18"/>
              </w:rPr>
            </w:pPr>
            <w:r w:rsidRPr="006E34E9">
              <w:rPr>
                <w:szCs w:val="18"/>
              </w:rPr>
              <w:t>rTMS vs sham</w:t>
            </w:r>
          </w:p>
        </w:tc>
        <w:tc>
          <w:tcPr>
            <w:tcW w:w="2268" w:type="dxa"/>
            <w:tcMar>
              <w:left w:w="28" w:type="dxa"/>
              <w:right w:w="28" w:type="dxa"/>
            </w:tcMar>
            <w:vAlign w:val="center"/>
          </w:tcPr>
          <w:p w14:paraId="6D4B9C8B" w14:textId="77777777" w:rsidR="00A81756" w:rsidRPr="006E34E9" w:rsidRDefault="00A81756" w:rsidP="00233D60">
            <w:pPr>
              <w:pStyle w:val="TableText"/>
              <w:rPr>
                <w:szCs w:val="18"/>
              </w:rPr>
            </w:pPr>
            <w:r w:rsidRPr="006E34E9">
              <w:rPr>
                <w:szCs w:val="18"/>
              </w:rPr>
              <w:t>Observational, naturalistic</w:t>
            </w:r>
          </w:p>
        </w:tc>
        <w:tc>
          <w:tcPr>
            <w:tcW w:w="1417" w:type="dxa"/>
            <w:tcMar>
              <w:left w:w="28" w:type="dxa"/>
              <w:right w:w="28" w:type="dxa"/>
            </w:tcMar>
            <w:vAlign w:val="center"/>
          </w:tcPr>
          <w:p w14:paraId="08C16188" w14:textId="77777777" w:rsidR="00A81756" w:rsidRPr="006E34E9" w:rsidRDefault="00A81756" w:rsidP="00233D60">
            <w:pPr>
              <w:pStyle w:val="TableText"/>
              <w:rPr>
                <w:szCs w:val="18"/>
              </w:rPr>
            </w:pPr>
            <w:r w:rsidRPr="006E34E9">
              <w:rPr>
                <w:szCs w:val="18"/>
              </w:rPr>
              <w:t>Efficacy</w:t>
            </w:r>
          </w:p>
        </w:tc>
      </w:tr>
      <w:tr w:rsidR="00A81756" w:rsidRPr="006E34E9" w14:paraId="0D8FACCA" w14:textId="77777777" w:rsidTr="006E34E9">
        <w:trPr>
          <w:cantSplit/>
          <w:trHeight w:val="228"/>
        </w:trPr>
        <w:tc>
          <w:tcPr>
            <w:tcW w:w="2835" w:type="dxa"/>
            <w:tcMar>
              <w:left w:w="28" w:type="dxa"/>
              <w:right w:w="28" w:type="dxa"/>
            </w:tcMar>
            <w:vAlign w:val="center"/>
          </w:tcPr>
          <w:p w14:paraId="63EA8DC5" w14:textId="77777777" w:rsidR="00A81756" w:rsidRPr="006E34E9" w:rsidRDefault="00A81756" w:rsidP="00233D60">
            <w:pPr>
              <w:pStyle w:val="TableText"/>
              <w:rPr>
                <w:szCs w:val="18"/>
              </w:rPr>
            </w:pPr>
            <w:r w:rsidRPr="006E34E9">
              <w:rPr>
                <w:szCs w:val="18"/>
              </w:rPr>
              <w:t>Mantovani 2012</w:t>
            </w:r>
          </w:p>
        </w:tc>
        <w:tc>
          <w:tcPr>
            <w:tcW w:w="1843" w:type="dxa"/>
            <w:tcMar>
              <w:left w:w="28" w:type="dxa"/>
              <w:right w:w="28" w:type="dxa"/>
            </w:tcMar>
            <w:vAlign w:val="center"/>
          </w:tcPr>
          <w:p w14:paraId="384DACC9" w14:textId="77777777" w:rsidR="00A81756" w:rsidRPr="006E34E9" w:rsidRDefault="00A81756" w:rsidP="00233D60">
            <w:pPr>
              <w:pStyle w:val="TableText"/>
              <w:rPr>
                <w:szCs w:val="18"/>
              </w:rPr>
            </w:pPr>
            <w:r w:rsidRPr="006E34E9">
              <w:rPr>
                <w:szCs w:val="18"/>
              </w:rPr>
              <w:t>rTMS vs sham (long term)</w:t>
            </w:r>
          </w:p>
        </w:tc>
        <w:tc>
          <w:tcPr>
            <w:tcW w:w="2268" w:type="dxa"/>
            <w:tcMar>
              <w:left w:w="28" w:type="dxa"/>
              <w:right w:w="28" w:type="dxa"/>
            </w:tcMar>
            <w:vAlign w:val="center"/>
          </w:tcPr>
          <w:p w14:paraId="16EA7C47" w14:textId="77777777" w:rsidR="00A81756" w:rsidRPr="006E34E9" w:rsidRDefault="00A81756" w:rsidP="00233D60">
            <w:pPr>
              <w:pStyle w:val="TableText"/>
              <w:rPr>
                <w:szCs w:val="18"/>
              </w:rPr>
            </w:pPr>
            <w:r w:rsidRPr="006E34E9">
              <w:rPr>
                <w:szCs w:val="18"/>
              </w:rPr>
              <w:t>Open label (</w:t>
            </w:r>
            <w:r w:rsidR="00387AD2" w:rsidRPr="006E34E9">
              <w:rPr>
                <w:szCs w:val="18"/>
              </w:rPr>
              <w:t>multi</w:t>
            </w:r>
            <w:r w:rsidRPr="006E34E9">
              <w:rPr>
                <w:szCs w:val="18"/>
              </w:rPr>
              <w:t>centre)</w:t>
            </w:r>
          </w:p>
        </w:tc>
        <w:tc>
          <w:tcPr>
            <w:tcW w:w="1417" w:type="dxa"/>
            <w:tcMar>
              <w:left w:w="28" w:type="dxa"/>
              <w:right w:w="28" w:type="dxa"/>
            </w:tcMar>
            <w:vAlign w:val="center"/>
          </w:tcPr>
          <w:p w14:paraId="3CAE80CA" w14:textId="77777777" w:rsidR="00A81756" w:rsidRPr="006E34E9" w:rsidRDefault="00A81756" w:rsidP="00233D60">
            <w:pPr>
              <w:pStyle w:val="TableText"/>
              <w:rPr>
                <w:szCs w:val="18"/>
              </w:rPr>
            </w:pPr>
            <w:r w:rsidRPr="006E34E9">
              <w:rPr>
                <w:szCs w:val="18"/>
              </w:rPr>
              <w:t>Efficacy</w:t>
            </w:r>
          </w:p>
        </w:tc>
      </w:tr>
      <w:tr w:rsidR="00387AD2" w:rsidRPr="006E34E9" w14:paraId="464B86D7" w14:textId="77777777" w:rsidTr="006E34E9">
        <w:trPr>
          <w:cantSplit/>
          <w:trHeight w:val="239"/>
        </w:trPr>
        <w:tc>
          <w:tcPr>
            <w:tcW w:w="2835" w:type="dxa"/>
            <w:tcMar>
              <w:left w:w="28" w:type="dxa"/>
              <w:right w:w="28" w:type="dxa"/>
            </w:tcMar>
            <w:vAlign w:val="center"/>
          </w:tcPr>
          <w:p w14:paraId="5BE467F8" w14:textId="77777777" w:rsidR="00387AD2" w:rsidRPr="006E34E9" w:rsidRDefault="00387AD2" w:rsidP="00233D60">
            <w:pPr>
              <w:pStyle w:val="TableText"/>
              <w:rPr>
                <w:szCs w:val="18"/>
              </w:rPr>
            </w:pPr>
            <w:r w:rsidRPr="006E34E9">
              <w:rPr>
                <w:szCs w:val="18"/>
              </w:rPr>
              <w:t>Janicak 2010</w:t>
            </w:r>
          </w:p>
        </w:tc>
        <w:tc>
          <w:tcPr>
            <w:tcW w:w="1843" w:type="dxa"/>
            <w:tcMar>
              <w:left w:w="28" w:type="dxa"/>
              <w:right w:w="28" w:type="dxa"/>
            </w:tcMar>
            <w:vAlign w:val="center"/>
          </w:tcPr>
          <w:p w14:paraId="647583D6" w14:textId="77777777" w:rsidR="00387AD2" w:rsidRPr="006E34E9" w:rsidRDefault="00387AD2" w:rsidP="00233D60">
            <w:pPr>
              <w:pStyle w:val="TableText"/>
              <w:rPr>
                <w:szCs w:val="18"/>
              </w:rPr>
            </w:pPr>
            <w:r w:rsidRPr="006E34E9">
              <w:rPr>
                <w:szCs w:val="18"/>
              </w:rPr>
              <w:t>rTMS vs sham (long term)</w:t>
            </w:r>
          </w:p>
        </w:tc>
        <w:tc>
          <w:tcPr>
            <w:tcW w:w="2268" w:type="dxa"/>
            <w:tcMar>
              <w:left w:w="28" w:type="dxa"/>
              <w:right w:w="28" w:type="dxa"/>
            </w:tcMar>
            <w:vAlign w:val="center"/>
          </w:tcPr>
          <w:p w14:paraId="0B4F946B" w14:textId="77777777" w:rsidR="00387AD2" w:rsidRPr="006E34E9" w:rsidRDefault="00387AD2" w:rsidP="00233D60">
            <w:pPr>
              <w:pStyle w:val="TableText"/>
              <w:rPr>
                <w:szCs w:val="18"/>
              </w:rPr>
            </w:pPr>
            <w:r w:rsidRPr="006E34E9">
              <w:rPr>
                <w:szCs w:val="18"/>
              </w:rPr>
              <w:t>Open label (multicentre)</w:t>
            </w:r>
          </w:p>
        </w:tc>
        <w:tc>
          <w:tcPr>
            <w:tcW w:w="1417" w:type="dxa"/>
            <w:tcMar>
              <w:left w:w="28" w:type="dxa"/>
              <w:right w:w="28" w:type="dxa"/>
            </w:tcMar>
            <w:vAlign w:val="center"/>
          </w:tcPr>
          <w:p w14:paraId="06FD8106" w14:textId="77777777" w:rsidR="00387AD2" w:rsidRPr="006E34E9" w:rsidRDefault="00387AD2" w:rsidP="00233D60">
            <w:pPr>
              <w:pStyle w:val="TableText"/>
              <w:rPr>
                <w:szCs w:val="18"/>
              </w:rPr>
            </w:pPr>
            <w:r w:rsidRPr="006E34E9">
              <w:rPr>
                <w:szCs w:val="18"/>
              </w:rPr>
              <w:t>Efficacy</w:t>
            </w:r>
          </w:p>
        </w:tc>
      </w:tr>
      <w:tr w:rsidR="00387AD2" w:rsidRPr="006E34E9" w14:paraId="40D4A254" w14:textId="77777777" w:rsidTr="006E34E9">
        <w:trPr>
          <w:cantSplit/>
          <w:trHeight w:val="228"/>
        </w:trPr>
        <w:tc>
          <w:tcPr>
            <w:tcW w:w="2835" w:type="dxa"/>
            <w:tcMar>
              <w:left w:w="28" w:type="dxa"/>
              <w:right w:w="28" w:type="dxa"/>
            </w:tcMar>
            <w:vAlign w:val="center"/>
          </w:tcPr>
          <w:p w14:paraId="5A80C0C4" w14:textId="77777777" w:rsidR="00387AD2" w:rsidRPr="006E34E9" w:rsidRDefault="00387AD2" w:rsidP="00233D60">
            <w:pPr>
              <w:pStyle w:val="TableText"/>
              <w:rPr>
                <w:szCs w:val="18"/>
              </w:rPr>
            </w:pPr>
            <w:r w:rsidRPr="006E34E9">
              <w:rPr>
                <w:szCs w:val="18"/>
              </w:rPr>
              <w:t>Neuronetics 2013 (data on file)</w:t>
            </w:r>
          </w:p>
        </w:tc>
        <w:tc>
          <w:tcPr>
            <w:tcW w:w="1843" w:type="dxa"/>
            <w:tcMar>
              <w:left w:w="28" w:type="dxa"/>
              <w:right w:w="28" w:type="dxa"/>
            </w:tcMar>
            <w:vAlign w:val="center"/>
          </w:tcPr>
          <w:p w14:paraId="1870172B" w14:textId="77777777" w:rsidR="00387AD2" w:rsidRPr="006E34E9" w:rsidRDefault="00387AD2" w:rsidP="00233D60">
            <w:pPr>
              <w:pStyle w:val="TableText"/>
              <w:rPr>
                <w:szCs w:val="18"/>
              </w:rPr>
            </w:pPr>
            <w:r w:rsidRPr="006E34E9">
              <w:rPr>
                <w:szCs w:val="18"/>
              </w:rPr>
              <w:t>rTMS vs sham (long term)</w:t>
            </w:r>
          </w:p>
        </w:tc>
        <w:tc>
          <w:tcPr>
            <w:tcW w:w="2268" w:type="dxa"/>
            <w:tcMar>
              <w:left w:w="28" w:type="dxa"/>
              <w:right w:w="28" w:type="dxa"/>
            </w:tcMar>
            <w:vAlign w:val="center"/>
          </w:tcPr>
          <w:p w14:paraId="1F3578AE" w14:textId="77777777" w:rsidR="00387AD2" w:rsidRPr="006E34E9" w:rsidRDefault="00387AD2" w:rsidP="00233D60">
            <w:pPr>
              <w:pStyle w:val="TableText"/>
              <w:rPr>
                <w:szCs w:val="18"/>
              </w:rPr>
            </w:pPr>
            <w:r w:rsidRPr="006E34E9">
              <w:rPr>
                <w:szCs w:val="18"/>
              </w:rPr>
              <w:t>Observational, naturalistic</w:t>
            </w:r>
          </w:p>
        </w:tc>
        <w:tc>
          <w:tcPr>
            <w:tcW w:w="1417" w:type="dxa"/>
            <w:tcMar>
              <w:left w:w="28" w:type="dxa"/>
              <w:right w:w="28" w:type="dxa"/>
            </w:tcMar>
            <w:vAlign w:val="center"/>
          </w:tcPr>
          <w:p w14:paraId="61637D8E" w14:textId="77777777" w:rsidR="00387AD2" w:rsidRPr="006E34E9" w:rsidRDefault="00387AD2" w:rsidP="00233D60">
            <w:pPr>
              <w:pStyle w:val="TableText"/>
              <w:rPr>
                <w:szCs w:val="18"/>
              </w:rPr>
            </w:pPr>
            <w:r w:rsidRPr="006E34E9">
              <w:rPr>
                <w:szCs w:val="18"/>
              </w:rPr>
              <w:t>Efficacy</w:t>
            </w:r>
          </w:p>
        </w:tc>
      </w:tr>
      <w:tr w:rsidR="00387AD2" w:rsidRPr="006E34E9" w14:paraId="724E6703" w14:textId="77777777" w:rsidTr="006E34E9">
        <w:trPr>
          <w:cantSplit/>
          <w:trHeight w:val="228"/>
        </w:trPr>
        <w:tc>
          <w:tcPr>
            <w:tcW w:w="2835" w:type="dxa"/>
            <w:tcMar>
              <w:left w:w="28" w:type="dxa"/>
              <w:right w:w="28" w:type="dxa"/>
            </w:tcMar>
            <w:vAlign w:val="center"/>
          </w:tcPr>
          <w:p w14:paraId="38644004" w14:textId="77777777" w:rsidR="00387AD2" w:rsidRPr="006E34E9" w:rsidRDefault="00233D60" w:rsidP="00233D60">
            <w:pPr>
              <w:pStyle w:val="TableText"/>
              <w:rPr>
                <w:szCs w:val="18"/>
              </w:rPr>
            </w:pPr>
            <w:r w:rsidRPr="006E34E9">
              <w:rPr>
                <w:szCs w:val="18"/>
              </w:rPr>
              <w:t>STAR*D</w:t>
            </w:r>
          </w:p>
        </w:tc>
        <w:tc>
          <w:tcPr>
            <w:tcW w:w="1843" w:type="dxa"/>
            <w:tcMar>
              <w:left w:w="28" w:type="dxa"/>
              <w:right w:w="28" w:type="dxa"/>
            </w:tcMar>
            <w:vAlign w:val="center"/>
          </w:tcPr>
          <w:p w14:paraId="78F8A893" w14:textId="77777777" w:rsidR="00387AD2" w:rsidRPr="006E34E9" w:rsidRDefault="00233D60" w:rsidP="00233D60">
            <w:pPr>
              <w:pStyle w:val="TableText"/>
              <w:rPr>
                <w:szCs w:val="18"/>
              </w:rPr>
            </w:pPr>
            <w:r w:rsidRPr="006E34E9">
              <w:rPr>
                <w:szCs w:val="18"/>
              </w:rPr>
              <w:t>Antidepressant vs placebo</w:t>
            </w:r>
          </w:p>
        </w:tc>
        <w:tc>
          <w:tcPr>
            <w:tcW w:w="2268" w:type="dxa"/>
            <w:tcMar>
              <w:left w:w="28" w:type="dxa"/>
              <w:right w:w="28" w:type="dxa"/>
            </w:tcMar>
            <w:vAlign w:val="center"/>
          </w:tcPr>
          <w:p w14:paraId="76680869" w14:textId="77777777" w:rsidR="00387AD2" w:rsidRPr="006E34E9" w:rsidRDefault="00233D60" w:rsidP="00233D60">
            <w:pPr>
              <w:pStyle w:val="TableText"/>
              <w:rPr>
                <w:szCs w:val="18"/>
              </w:rPr>
            </w:pPr>
            <w:r w:rsidRPr="006E34E9">
              <w:rPr>
                <w:szCs w:val="18"/>
              </w:rPr>
              <w:t>RCT</w:t>
            </w:r>
          </w:p>
        </w:tc>
        <w:tc>
          <w:tcPr>
            <w:tcW w:w="1417" w:type="dxa"/>
            <w:tcMar>
              <w:left w:w="28" w:type="dxa"/>
              <w:right w:w="28" w:type="dxa"/>
            </w:tcMar>
            <w:vAlign w:val="center"/>
          </w:tcPr>
          <w:p w14:paraId="10178B79" w14:textId="77777777" w:rsidR="00387AD2" w:rsidRPr="006E34E9" w:rsidRDefault="005B5E7F" w:rsidP="00233D60">
            <w:pPr>
              <w:pStyle w:val="TableText"/>
              <w:rPr>
                <w:szCs w:val="18"/>
              </w:rPr>
            </w:pPr>
            <w:r w:rsidRPr="006E34E9">
              <w:rPr>
                <w:szCs w:val="18"/>
              </w:rPr>
              <w:t>Efficacy</w:t>
            </w:r>
          </w:p>
        </w:tc>
      </w:tr>
      <w:tr w:rsidR="00233D60" w:rsidRPr="006E34E9" w14:paraId="71FD14F7" w14:textId="77777777" w:rsidTr="006E34E9">
        <w:trPr>
          <w:cantSplit/>
          <w:trHeight w:val="478"/>
        </w:trPr>
        <w:tc>
          <w:tcPr>
            <w:tcW w:w="2835" w:type="dxa"/>
            <w:tcMar>
              <w:left w:w="28" w:type="dxa"/>
              <w:right w:w="28" w:type="dxa"/>
            </w:tcMar>
            <w:vAlign w:val="center"/>
          </w:tcPr>
          <w:p w14:paraId="44D2D7EC" w14:textId="77777777" w:rsidR="00233D60" w:rsidRPr="006E34E9" w:rsidRDefault="00233D60" w:rsidP="00233D60">
            <w:pPr>
              <w:pStyle w:val="TableText"/>
              <w:spacing w:after="0"/>
              <w:rPr>
                <w:szCs w:val="18"/>
              </w:rPr>
            </w:pPr>
            <w:r w:rsidRPr="006E34E9">
              <w:rPr>
                <w:szCs w:val="18"/>
              </w:rPr>
              <w:t>Bonne</w:t>
            </w:r>
            <w:r w:rsidR="00835AD0" w:rsidRPr="006E34E9">
              <w:rPr>
                <w:szCs w:val="18"/>
              </w:rPr>
              <w:t>h</w:t>
            </w:r>
            <w:r w:rsidRPr="006E34E9">
              <w:rPr>
                <w:szCs w:val="18"/>
              </w:rPr>
              <w:t>-Barkay 2014</w:t>
            </w:r>
          </w:p>
        </w:tc>
        <w:tc>
          <w:tcPr>
            <w:tcW w:w="1843" w:type="dxa"/>
            <w:tcMar>
              <w:left w:w="28" w:type="dxa"/>
              <w:right w:w="28" w:type="dxa"/>
            </w:tcMar>
            <w:vAlign w:val="center"/>
          </w:tcPr>
          <w:p w14:paraId="67B2600F" w14:textId="77777777" w:rsidR="00233D60" w:rsidRPr="006E34E9" w:rsidRDefault="00233D60" w:rsidP="00233D60">
            <w:pPr>
              <w:pStyle w:val="TableText"/>
              <w:spacing w:after="0"/>
              <w:rPr>
                <w:szCs w:val="18"/>
              </w:rPr>
            </w:pPr>
            <w:r w:rsidRPr="006E34E9">
              <w:rPr>
                <w:szCs w:val="18"/>
              </w:rPr>
              <w:t>rTMS vs sham</w:t>
            </w:r>
          </w:p>
        </w:tc>
        <w:tc>
          <w:tcPr>
            <w:tcW w:w="2268" w:type="dxa"/>
            <w:tcMar>
              <w:left w:w="28" w:type="dxa"/>
              <w:right w:w="28" w:type="dxa"/>
            </w:tcMar>
            <w:vAlign w:val="center"/>
          </w:tcPr>
          <w:p w14:paraId="411C0BCC" w14:textId="77777777" w:rsidR="00233D60" w:rsidRPr="006E34E9" w:rsidRDefault="00233D60" w:rsidP="00233D60">
            <w:pPr>
              <w:pStyle w:val="TableText"/>
              <w:spacing w:after="0"/>
              <w:rPr>
                <w:szCs w:val="18"/>
              </w:rPr>
            </w:pPr>
            <w:r w:rsidRPr="006E34E9">
              <w:rPr>
                <w:szCs w:val="18"/>
              </w:rPr>
              <w:t>Conf abstract (pooled analysis) Open label studies</w:t>
            </w:r>
          </w:p>
        </w:tc>
        <w:tc>
          <w:tcPr>
            <w:tcW w:w="1417" w:type="dxa"/>
            <w:tcMar>
              <w:left w:w="28" w:type="dxa"/>
              <w:right w:w="28" w:type="dxa"/>
            </w:tcMar>
            <w:vAlign w:val="center"/>
          </w:tcPr>
          <w:p w14:paraId="6BFD5D9C" w14:textId="77777777" w:rsidR="00233D60" w:rsidRPr="006E34E9" w:rsidRDefault="00233D60" w:rsidP="00233D60">
            <w:pPr>
              <w:pStyle w:val="TableText"/>
              <w:spacing w:after="0"/>
              <w:rPr>
                <w:szCs w:val="18"/>
              </w:rPr>
            </w:pPr>
            <w:r w:rsidRPr="006E34E9">
              <w:rPr>
                <w:szCs w:val="18"/>
              </w:rPr>
              <w:t>Efficacy</w:t>
            </w:r>
          </w:p>
        </w:tc>
      </w:tr>
      <w:tr w:rsidR="00233D60" w:rsidRPr="006E34E9" w14:paraId="41959EB0" w14:textId="77777777" w:rsidTr="006E34E9">
        <w:trPr>
          <w:cantSplit/>
          <w:trHeight w:val="478"/>
        </w:trPr>
        <w:tc>
          <w:tcPr>
            <w:tcW w:w="2835" w:type="dxa"/>
            <w:tcMar>
              <w:left w:w="28" w:type="dxa"/>
              <w:right w:w="28" w:type="dxa"/>
            </w:tcMar>
            <w:vAlign w:val="center"/>
          </w:tcPr>
          <w:p w14:paraId="151A4C22" w14:textId="77777777" w:rsidR="00233D60" w:rsidRPr="006E34E9" w:rsidRDefault="00233D60" w:rsidP="00233D60">
            <w:pPr>
              <w:pStyle w:val="TableText"/>
              <w:spacing w:after="0"/>
              <w:rPr>
                <w:szCs w:val="18"/>
              </w:rPr>
            </w:pPr>
            <w:r w:rsidRPr="006E34E9">
              <w:rPr>
                <w:szCs w:val="18"/>
              </w:rPr>
              <w:t>Turner 2008, Shelton 2005, Corya 2006, Thase 2007, Berman 2007, Marcus 2008</w:t>
            </w:r>
          </w:p>
        </w:tc>
        <w:tc>
          <w:tcPr>
            <w:tcW w:w="1843" w:type="dxa"/>
            <w:tcMar>
              <w:left w:w="28" w:type="dxa"/>
              <w:right w:w="28" w:type="dxa"/>
            </w:tcMar>
            <w:vAlign w:val="center"/>
          </w:tcPr>
          <w:p w14:paraId="2CE76655" w14:textId="77777777" w:rsidR="00233D60" w:rsidRPr="006E34E9" w:rsidRDefault="005B5E7F" w:rsidP="00233D60">
            <w:pPr>
              <w:pStyle w:val="TableText"/>
              <w:spacing w:after="0"/>
              <w:rPr>
                <w:szCs w:val="18"/>
              </w:rPr>
            </w:pPr>
            <w:r w:rsidRPr="006E34E9">
              <w:rPr>
                <w:szCs w:val="18"/>
              </w:rPr>
              <w:t>Antidepressant vs placebo</w:t>
            </w:r>
          </w:p>
        </w:tc>
        <w:tc>
          <w:tcPr>
            <w:tcW w:w="2268" w:type="dxa"/>
            <w:tcMar>
              <w:left w:w="28" w:type="dxa"/>
              <w:right w:w="28" w:type="dxa"/>
            </w:tcMar>
            <w:vAlign w:val="center"/>
          </w:tcPr>
          <w:p w14:paraId="444D8446" w14:textId="77777777" w:rsidR="00233D60" w:rsidRPr="006E34E9" w:rsidRDefault="005B5E7F" w:rsidP="005B5E7F">
            <w:pPr>
              <w:pStyle w:val="TableText"/>
              <w:spacing w:after="0"/>
              <w:rPr>
                <w:szCs w:val="18"/>
              </w:rPr>
            </w:pPr>
            <w:r w:rsidRPr="006E34E9">
              <w:rPr>
                <w:szCs w:val="18"/>
              </w:rPr>
              <w:t>RCTs</w:t>
            </w:r>
            <w:r w:rsidRPr="006E34E9">
              <w:rPr>
                <w:szCs w:val="18"/>
                <w:vertAlign w:val="superscript"/>
              </w:rPr>
              <w:t>1</w:t>
            </w:r>
            <w:r w:rsidRPr="006E34E9">
              <w:rPr>
                <w:szCs w:val="18"/>
              </w:rPr>
              <w:t xml:space="preserve"> </w:t>
            </w:r>
          </w:p>
        </w:tc>
        <w:tc>
          <w:tcPr>
            <w:tcW w:w="1417" w:type="dxa"/>
            <w:tcMar>
              <w:left w:w="28" w:type="dxa"/>
              <w:right w:w="28" w:type="dxa"/>
            </w:tcMar>
            <w:vAlign w:val="center"/>
          </w:tcPr>
          <w:p w14:paraId="6CD85083" w14:textId="77777777" w:rsidR="00233D60" w:rsidRPr="006E34E9" w:rsidRDefault="005B5E7F" w:rsidP="00233D60">
            <w:pPr>
              <w:pStyle w:val="TableText"/>
              <w:spacing w:after="0"/>
              <w:rPr>
                <w:szCs w:val="18"/>
              </w:rPr>
            </w:pPr>
            <w:r w:rsidRPr="006E34E9">
              <w:rPr>
                <w:szCs w:val="18"/>
              </w:rPr>
              <w:t>Efficacy</w:t>
            </w:r>
          </w:p>
        </w:tc>
      </w:tr>
      <w:tr w:rsidR="005B5E7F" w:rsidRPr="006E34E9" w14:paraId="489FFCCC" w14:textId="77777777" w:rsidTr="005A1090">
        <w:trPr>
          <w:cantSplit/>
          <w:trHeight w:val="227"/>
        </w:trPr>
        <w:tc>
          <w:tcPr>
            <w:tcW w:w="2835" w:type="dxa"/>
            <w:shd w:val="clear" w:color="auto" w:fill="auto"/>
            <w:tcMar>
              <w:left w:w="28" w:type="dxa"/>
              <w:right w:w="28" w:type="dxa"/>
            </w:tcMar>
            <w:vAlign w:val="center"/>
          </w:tcPr>
          <w:p w14:paraId="23F58B66" w14:textId="77777777" w:rsidR="005B5E7F" w:rsidRPr="006E34E9" w:rsidRDefault="005B5E7F" w:rsidP="00233D60">
            <w:pPr>
              <w:pStyle w:val="TableText"/>
              <w:spacing w:after="0"/>
              <w:rPr>
                <w:szCs w:val="18"/>
              </w:rPr>
            </w:pPr>
            <w:r w:rsidRPr="005A1090">
              <w:rPr>
                <w:szCs w:val="18"/>
              </w:rPr>
              <w:t>Janicak 2007</w:t>
            </w:r>
          </w:p>
        </w:tc>
        <w:tc>
          <w:tcPr>
            <w:tcW w:w="1843" w:type="dxa"/>
            <w:tcMar>
              <w:left w:w="28" w:type="dxa"/>
              <w:right w:w="28" w:type="dxa"/>
            </w:tcMar>
            <w:vAlign w:val="center"/>
          </w:tcPr>
          <w:p w14:paraId="1DF18A25" w14:textId="77777777" w:rsidR="005B5E7F" w:rsidRPr="006E34E9" w:rsidRDefault="005B5E7F" w:rsidP="00233D60">
            <w:pPr>
              <w:pStyle w:val="TableText"/>
              <w:spacing w:after="0"/>
              <w:rPr>
                <w:szCs w:val="18"/>
              </w:rPr>
            </w:pPr>
            <w:r w:rsidRPr="006E34E9">
              <w:rPr>
                <w:szCs w:val="18"/>
              </w:rPr>
              <w:t>rTMS vs ECT</w:t>
            </w:r>
          </w:p>
        </w:tc>
        <w:tc>
          <w:tcPr>
            <w:tcW w:w="2268" w:type="dxa"/>
            <w:tcMar>
              <w:left w:w="28" w:type="dxa"/>
              <w:right w:w="28" w:type="dxa"/>
            </w:tcMar>
            <w:vAlign w:val="center"/>
          </w:tcPr>
          <w:p w14:paraId="564D68DC" w14:textId="77777777" w:rsidR="005B5E7F" w:rsidRPr="006E34E9" w:rsidRDefault="005B5E7F" w:rsidP="005B5E7F">
            <w:pPr>
              <w:pStyle w:val="TableText"/>
              <w:spacing w:after="0"/>
              <w:rPr>
                <w:szCs w:val="18"/>
              </w:rPr>
            </w:pPr>
            <w:r w:rsidRPr="006E34E9">
              <w:rPr>
                <w:szCs w:val="18"/>
              </w:rPr>
              <w:t>Meta-analysis (open-label studies)</w:t>
            </w:r>
          </w:p>
        </w:tc>
        <w:tc>
          <w:tcPr>
            <w:tcW w:w="1417" w:type="dxa"/>
            <w:tcMar>
              <w:left w:w="28" w:type="dxa"/>
              <w:right w:w="28" w:type="dxa"/>
            </w:tcMar>
            <w:vAlign w:val="center"/>
          </w:tcPr>
          <w:p w14:paraId="72BC9B55" w14:textId="77777777" w:rsidR="005B5E7F" w:rsidRPr="006E34E9" w:rsidRDefault="006C4C2A" w:rsidP="00233D60">
            <w:pPr>
              <w:pStyle w:val="TableText"/>
              <w:spacing w:after="0"/>
              <w:rPr>
                <w:szCs w:val="18"/>
              </w:rPr>
            </w:pPr>
            <w:r w:rsidRPr="006E34E9">
              <w:rPr>
                <w:szCs w:val="18"/>
              </w:rPr>
              <w:t>Efficacy</w:t>
            </w:r>
          </w:p>
        </w:tc>
      </w:tr>
      <w:tr w:rsidR="005B5E7F" w:rsidRPr="006E34E9" w14:paraId="02D016E8" w14:textId="77777777" w:rsidTr="006E34E9">
        <w:trPr>
          <w:cantSplit/>
          <w:trHeight w:val="261"/>
        </w:trPr>
        <w:tc>
          <w:tcPr>
            <w:tcW w:w="2835" w:type="dxa"/>
            <w:tcMar>
              <w:left w:w="28" w:type="dxa"/>
              <w:right w:w="28" w:type="dxa"/>
            </w:tcMar>
            <w:vAlign w:val="center"/>
          </w:tcPr>
          <w:p w14:paraId="3CB1EDC2" w14:textId="77777777" w:rsidR="005B5E7F" w:rsidRPr="006E34E9" w:rsidRDefault="005B5E7F" w:rsidP="00483C5B">
            <w:pPr>
              <w:pStyle w:val="TableText"/>
              <w:spacing w:after="0"/>
              <w:rPr>
                <w:szCs w:val="18"/>
              </w:rPr>
            </w:pPr>
            <w:r w:rsidRPr="006E34E9">
              <w:rPr>
                <w:szCs w:val="18"/>
              </w:rPr>
              <w:t>Berlim 2013</w:t>
            </w:r>
          </w:p>
        </w:tc>
        <w:tc>
          <w:tcPr>
            <w:tcW w:w="1843" w:type="dxa"/>
            <w:tcMar>
              <w:left w:w="28" w:type="dxa"/>
              <w:right w:w="28" w:type="dxa"/>
            </w:tcMar>
            <w:vAlign w:val="center"/>
          </w:tcPr>
          <w:p w14:paraId="10FB088A" w14:textId="77777777" w:rsidR="005B5E7F" w:rsidRPr="006E34E9" w:rsidRDefault="005B5E7F" w:rsidP="00483C5B">
            <w:pPr>
              <w:pStyle w:val="TableText"/>
              <w:spacing w:after="0"/>
              <w:rPr>
                <w:szCs w:val="18"/>
              </w:rPr>
            </w:pPr>
            <w:r w:rsidRPr="006E34E9">
              <w:rPr>
                <w:szCs w:val="18"/>
              </w:rPr>
              <w:t>rTMS vs ECT</w:t>
            </w:r>
          </w:p>
        </w:tc>
        <w:tc>
          <w:tcPr>
            <w:tcW w:w="2268" w:type="dxa"/>
            <w:tcMar>
              <w:left w:w="28" w:type="dxa"/>
              <w:right w:w="28" w:type="dxa"/>
            </w:tcMar>
            <w:vAlign w:val="center"/>
          </w:tcPr>
          <w:p w14:paraId="0983608A" w14:textId="77777777" w:rsidR="005B5E7F" w:rsidRPr="006E34E9" w:rsidRDefault="005B5E7F" w:rsidP="00483C5B">
            <w:pPr>
              <w:pStyle w:val="TableText"/>
              <w:spacing w:after="0"/>
              <w:rPr>
                <w:szCs w:val="18"/>
              </w:rPr>
            </w:pPr>
            <w:r w:rsidRPr="006E34E9">
              <w:rPr>
                <w:szCs w:val="18"/>
              </w:rPr>
              <w:t>Meta-analysis (open-label studies)</w:t>
            </w:r>
          </w:p>
        </w:tc>
        <w:tc>
          <w:tcPr>
            <w:tcW w:w="1417" w:type="dxa"/>
            <w:tcMar>
              <w:left w:w="28" w:type="dxa"/>
              <w:right w:w="28" w:type="dxa"/>
            </w:tcMar>
            <w:vAlign w:val="center"/>
          </w:tcPr>
          <w:p w14:paraId="101B4FC6" w14:textId="77777777" w:rsidR="005B5E7F" w:rsidRPr="006E34E9" w:rsidRDefault="006C4C2A" w:rsidP="00483C5B">
            <w:pPr>
              <w:pStyle w:val="TableText"/>
              <w:spacing w:after="0"/>
              <w:rPr>
                <w:szCs w:val="18"/>
              </w:rPr>
            </w:pPr>
            <w:r w:rsidRPr="006E34E9">
              <w:rPr>
                <w:szCs w:val="18"/>
              </w:rPr>
              <w:t>Efficacy</w:t>
            </w:r>
          </w:p>
        </w:tc>
      </w:tr>
    </w:tbl>
    <w:p w14:paraId="040B69B3" w14:textId="77777777" w:rsidR="006E34E9" w:rsidRPr="00E216B1" w:rsidRDefault="006E34E9" w:rsidP="00483C5B">
      <w:pPr>
        <w:pStyle w:val="TableText"/>
        <w:ind w:left="153" w:firstLine="567"/>
        <w:rPr>
          <w:szCs w:val="18"/>
        </w:rPr>
      </w:pPr>
      <w:r w:rsidRPr="006E34E9">
        <w:rPr>
          <w:szCs w:val="18"/>
          <w:vertAlign w:val="superscript"/>
        </w:rPr>
        <w:t>1</w:t>
      </w:r>
      <w:r w:rsidRPr="006E34E9">
        <w:rPr>
          <w:szCs w:val="18"/>
        </w:rPr>
        <w:t xml:space="preserve"> </w:t>
      </w:r>
      <w:r w:rsidR="005B5E7F" w:rsidRPr="006E34E9">
        <w:rPr>
          <w:szCs w:val="18"/>
        </w:rPr>
        <w:t>Used in a pooled analysis with NeuroStar TMS data in a comparison of treatment vs placebo/sham.</w:t>
      </w:r>
    </w:p>
    <w:p w14:paraId="30B32D78" w14:textId="7972C884" w:rsidR="0056781A" w:rsidRDefault="004666EB" w:rsidP="004666EB">
      <w:pPr>
        <w:pStyle w:val="Heading4"/>
      </w:pPr>
      <w:bookmarkStart w:id="67" w:name="_Toc319068997"/>
      <w:bookmarkStart w:id="68" w:name="_Toc367715528"/>
      <w:bookmarkStart w:id="69" w:name="_Toc367716661"/>
      <w:bookmarkStart w:id="70" w:name="_Toc367801975"/>
      <w:r>
        <w:t>Patient characteristics</w:t>
      </w:r>
    </w:p>
    <w:p w14:paraId="4955467E" w14:textId="373292A8" w:rsidR="0056781A" w:rsidRPr="004666EB" w:rsidRDefault="005A1090" w:rsidP="0056781A">
      <w:pPr>
        <w:jc w:val="both"/>
        <w:rPr>
          <w:lang w:val="en-US"/>
        </w:rPr>
      </w:pPr>
      <w:r>
        <w:rPr>
          <w:lang w:val="en-US"/>
        </w:rPr>
        <w:t>P</w:t>
      </w:r>
      <w:r w:rsidR="0056781A" w:rsidRPr="004666EB">
        <w:rPr>
          <w:lang w:val="en-US"/>
        </w:rPr>
        <w:t>atients receiving NeuroStar rTMS Therapy in clinical practice settings are comparable with the patient population studied in research settings in the NeuroStar rTMS Therapy clinical trials in patient demographics, diagnostic history and level of treatment resistance.</w:t>
      </w:r>
    </w:p>
    <w:p w14:paraId="677E31A1" w14:textId="77777777" w:rsidR="0056781A" w:rsidRPr="004666EB" w:rsidRDefault="0056781A" w:rsidP="0056781A">
      <w:pPr>
        <w:jc w:val="both"/>
        <w:rPr>
          <w:lang w:val="en-US"/>
        </w:rPr>
      </w:pPr>
      <w:r w:rsidRPr="004666EB">
        <w:rPr>
          <w:lang w:val="en-US"/>
        </w:rPr>
        <w:t xml:space="preserve">The evidence reviewed in the preceding section reveals several clinical features that help define the patient for whom rTMS represents an appropriate clinical choice for the treatment of their illness. For example, these data show that in both research settings and in clinical practice for nearly all patients this is not their first illness presentation, most having experienced a recurrent course of their disease at the time of presentation to treatment.  Second, most patients have already experienced multiple antidepressant medication trials without success, with the majority of these trials having been incomplete, usually due to the emergence of intolerable side effects. Third, and also consistent with these clinical features, the average age of the patient is in the latter part of the fifth decade of their life, about a decade older than the typical age of first onset for major depression. Finally, all patients had clearly documented evidence of some level of </w:t>
      </w:r>
      <w:r w:rsidRPr="004666EB">
        <w:rPr>
          <w:lang w:val="en-US"/>
        </w:rPr>
        <w:lastRenderedPageBreak/>
        <w:t>treatment resistance as shown by failure to benefit from one or more prior antidepressant medications.</w:t>
      </w:r>
    </w:p>
    <w:p w14:paraId="6F42CFDE" w14:textId="77777777" w:rsidR="0056781A" w:rsidRPr="004666EB" w:rsidRDefault="0056781A" w:rsidP="0056781A">
      <w:pPr>
        <w:jc w:val="both"/>
        <w:rPr>
          <w:lang w:val="en-US"/>
        </w:rPr>
      </w:pPr>
      <w:r w:rsidRPr="004666EB">
        <w:rPr>
          <w:lang w:val="en-US"/>
        </w:rPr>
        <w:t>In short, these clinical descriptors define a patient who has likely experienced treatment success in a prior illness episode, but has now experienced an illness recurrence, and has tried and failed to achieve satisfactory clinical benefit from acute phase treatment with a thorough antidepressant medication in this episode. This has meant, for the average patient, at least four antidepressant medication trials in this illness episode, with at least one medication taken for an adequate dose and duration.</w:t>
      </w:r>
    </w:p>
    <w:p w14:paraId="712D6471" w14:textId="77777777" w:rsidR="0056781A" w:rsidRPr="00AD6EF2" w:rsidRDefault="0056781A" w:rsidP="0056781A">
      <w:pPr>
        <w:jc w:val="both"/>
        <w:rPr>
          <w:lang w:val="en-US"/>
        </w:rPr>
      </w:pPr>
      <w:r w:rsidRPr="004666EB">
        <w:rPr>
          <w:lang w:val="en-US"/>
        </w:rPr>
        <w:t>An appropriate patient for whom the attending physician should recommend rTMS therapy would usually have experienced several unsuccessful attempts at antidepressant medication treatment in the current illness episode. Based on clinical trial evidence of safety and effectiveness, TMS therapy would be an appropriate clinical choice in advance of more burdensome interventions such as second generation antipsychotic augmentation. For example, although this category of drugs has been TGA-approved for this use, they nevertheless carry a significant amount of systemic adverse events. In addition, rTMS therapy should also be considered in advance of more complex medication combination or augmentation approaches (e.g. lithium, thyroid hormone) that are not widely approved for use in such patients. Finally, for most patients, the choice of rTMS therapy would also come well in advance of more invasive therapeutic options such as ECT.</w:t>
      </w:r>
    </w:p>
    <w:p w14:paraId="4439BACB" w14:textId="7D82AA8F" w:rsidR="00360E5A" w:rsidRDefault="00014924" w:rsidP="00E216B1">
      <w:pPr>
        <w:pStyle w:val="Heading4"/>
      </w:pPr>
      <w:r>
        <w:t>Is rTMS effective versus</w:t>
      </w:r>
      <w:r w:rsidR="00360E5A">
        <w:t xml:space="preserve"> sham</w:t>
      </w:r>
      <w:r>
        <w:t>?</w:t>
      </w:r>
    </w:p>
    <w:p w14:paraId="75BFC407" w14:textId="77777777" w:rsidR="00360E5A" w:rsidRPr="00DE7881" w:rsidRDefault="00360E5A" w:rsidP="00483C5B">
      <w:pPr>
        <w:jc w:val="both"/>
      </w:pPr>
      <w:r>
        <w:t>The acu</w:t>
      </w:r>
      <w:r w:rsidRPr="00AD6EF2">
        <w:t xml:space="preserve">te safety and efficacy of TMS </w:t>
      </w:r>
      <w:r>
        <w:t>t</w:t>
      </w:r>
      <w:r w:rsidRPr="00AD6EF2">
        <w:t xml:space="preserve">herapy has been studied in two </w:t>
      </w:r>
      <w:r>
        <w:t xml:space="preserve">multisite </w:t>
      </w:r>
      <w:r w:rsidRPr="00AD6EF2">
        <w:t xml:space="preserve">independent </w:t>
      </w:r>
      <w:proofErr w:type="gramStart"/>
      <w:r w:rsidRPr="00AD6EF2">
        <w:t>Level</w:t>
      </w:r>
      <w:proofErr w:type="gramEnd"/>
      <w:r w:rsidRPr="00AD6EF2">
        <w:t xml:space="preserve"> I trials as well as a series of smaller independent clinical trials.  </w:t>
      </w:r>
    </w:p>
    <w:p w14:paraId="58D028EB" w14:textId="7A35EF0D" w:rsidR="00360E5A" w:rsidRPr="00DE7881" w:rsidRDefault="00360E5A" w:rsidP="006E34E9">
      <w:pPr>
        <w:pStyle w:val="Heading5"/>
      </w:pPr>
      <w:r w:rsidRPr="00DE7881">
        <w:t>Trial 1: Neuronetics-</w:t>
      </w:r>
      <w:r>
        <w:t>sponsored r</w:t>
      </w:r>
      <w:r w:rsidRPr="00DE7881">
        <w:t>andomi</w:t>
      </w:r>
      <w:r>
        <w:t>s</w:t>
      </w:r>
      <w:r w:rsidRPr="00DE7881">
        <w:t xml:space="preserve">ed </w:t>
      </w:r>
      <w:r>
        <w:t>c</w:t>
      </w:r>
      <w:r w:rsidRPr="00DE7881">
        <w:t xml:space="preserve">ontrolled </w:t>
      </w:r>
      <w:r>
        <w:t>t</w:t>
      </w:r>
      <w:r w:rsidRPr="00DE7881">
        <w:t>rial</w:t>
      </w:r>
      <w:bookmarkEnd w:id="67"/>
      <w:bookmarkEnd w:id="68"/>
      <w:bookmarkEnd w:id="69"/>
      <w:bookmarkEnd w:id="70"/>
      <w:r>
        <w:t xml:space="preserve"> (</w:t>
      </w:r>
      <w:r w:rsidR="006E34E9">
        <w:fldChar w:fldCharType="begin"/>
      </w:r>
      <w:r w:rsidR="006E34E9">
        <w:instrText xml:space="preserve"> REF _Ref386026799 \h  \* MERGEFORMAT </w:instrText>
      </w:r>
      <w:r w:rsidR="006E34E9">
        <w:fldChar w:fldCharType="separate"/>
      </w:r>
      <w:proofErr w:type="gramStart"/>
      <w:r w:rsidR="004C1C27" w:rsidRPr="00483C5B">
        <w:t xml:space="preserve">Table </w:t>
      </w:r>
      <w:proofErr w:type="gramEnd"/>
      <w:r w:rsidR="006E34E9">
        <w:fldChar w:fldCharType="end"/>
      </w:r>
      <w:r w:rsidRPr="00DE7881">
        <w:t>)</w:t>
      </w:r>
    </w:p>
    <w:p w14:paraId="44BE9A42" w14:textId="77777777" w:rsidR="00360E5A" w:rsidRPr="00AD6EF2" w:rsidRDefault="00360E5A" w:rsidP="00483C5B">
      <w:pPr>
        <w:jc w:val="both"/>
      </w:pPr>
      <w:r w:rsidRPr="00AD6EF2">
        <w:t xml:space="preserve">Results of the NeuroStar registration trial were originally published in 2007 (O’Reardon, et al.), with further analysis and review published by Janicak and colleagues (2008) and Demitrack and Thase (2009). </w:t>
      </w:r>
      <w:r>
        <w:t>The</w:t>
      </w:r>
      <w:r w:rsidRPr="00AD6EF2">
        <w:t xml:space="preserve"> results of t</w:t>
      </w:r>
      <w:r>
        <w:t>he NeuroStar registration trial</w:t>
      </w:r>
      <w:r w:rsidRPr="00AD6EF2">
        <w:t xml:space="preserve"> will be briefly summarized here to place the results of this initial trial in context with the more recently published literature, reviewed below.</w:t>
      </w:r>
    </w:p>
    <w:p w14:paraId="5F30BC7A" w14:textId="77777777" w:rsidR="00360E5A" w:rsidRPr="00AD6EF2" w:rsidRDefault="00360E5A" w:rsidP="00483C5B">
      <w:pPr>
        <w:spacing w:after="120"/>
        <w:jc w:val="both"/>
      </w:pPr>
      <w:r w:rsidRPr="00AD6EF2">
        <w:t>This trial was a randomized and sham-controlled study enrolling depressed patients meeting DSM-IV criteria for MDD, with a moderate level of treatment resistance meeting the following criteria:</w:t>
      </w:r>
    </w:p>
    <w:p w14:paraId="6BBB80BD" w14:textId="77777777" w:rsidR="00360E5A" w:rsidRPr="00415396" w:rsidRDefault="00360E5A" w:rsidP="00483C5B">
      <w:pPr>
        <w:pStyle w:val="ListParagraph"/>
        <w:numPr>
          <w:ilvl w:val="0"/>
          <w:numId w:val="13"/>
        </w:numPr>
        <w:jc w:val="both"/>
        <w:rPr>
          <w:rFonts w:ascii="Garamond" w:hAnsi="Garamond"/>
        </w:rPr>
      </w:pPr>
      <w:r w:rsidRPr="00415396">
        <w:rPr>
          <w:rFonts w:ascii="Garamond" w:hAnsi="Garamond"/>
        </w:rPr>
        <w:t xml:space="preserve">Insufficient clinical benefit by rigorous ATHF research criteria </w:t>
      </w:r>
      <w:r>
        <w:rPr>
          <w:rFonts w:ascii="Garamond" w:hAnsi="Garamond"/>
        </w:rPr>
        <w:t>of at least one and as many as four</w:t>
      </w:r>
      <w:r w:rsidRPr="00415396">
        <w:rPr>
          <w:rFonts w:ascii="Garamond" w:hAnsi="Garamond"/>
        </w:rPr>
        <w:t xml:space="preserve"> antidepressant medication trials administered at an adequate dose and duration in the current illness episode; OR</w:t>
      </w:r>
    </w:p>
    <w:p w14:paraId="1346CC7F" w14:textId="4126EED0" w:rsidR="00360E5A" w:rsidRDefault="00360E5A" w:rsidP="00483C5B">
      <w:pPr>
        <w:pStyle w:val="ListParagraph"/>
        <w:numPr>
          <w:ilvl w:val="0"/>
          <w:numId w:val="13"/>
        </w:numPr>
        <w:spacing w:after="240"/>
        <w:jc w:val="both"/>
        <w:rPr>
          <w:rFonts w:ascii="Garamond" w:hAnsi="Garamond"/>
        </w:rPr>
      </w:pPr>
      <w:r>
        <w:rPr>
          <w:rFonts w:ascii="Garamond" w:hAnsi="Garamond"/>
        </w:rPr>
        <w:t>Intolerance to four</w:t>
      </w:r>
      <w:r w:rsidRPr="00415396">
        <w:rPr>
          <w:rFonts w:ascii="Garamond" w:hAnsi="Garamond"/>
        </w:rPr>
        <w:t xml:space="preserve"> or more trials of less than adequ</w:t>
      </w:r>
      <w:r w:rsidR="005A1090">
        <w:rPr>
          <w:rFonts w:ascii="Garamond" w:hAnsi="Garamond"/>
        </w:rPr>
        <w:t>ate dose or duration of therapy.</w:t>
      </w:r>
    </w:p>
    <w:p w14:paraId="1E1FE51A" w14:textId="2AAD135A" w:rsidR="00E216B1" w:rsidRDefault="00360E5A" w:rsidP="00483C5B">
      <w:pPr>
        <w:jc w:val="both"/>
      </w:pPr>
      <w:r w:rsidRPr="00AD6EF2">
        <w:t xml:space="preserve">The study consisted of three phases, a one week, no-treatment lead-in, a six week acute treatment phase of daily </w:t>
      </w:r>
      <w:r w:rsidR="008F4342">
        <w:t>r</w:t>
      </w:r>
      <w:r w:rsidRPr="00AD6EF2">
        <w:t xml:space="preserve">TMS given as a monotherapy in medication-free patients, and a three week taper phase during which time all patients were begun on an open-label, single antidepressant medication and followed for six months to examine the durability of the acute effect of </w:t>
      </w:r>
      <w:r w:rsidR="008F4342">
        <w:t>r</w:t>
      </w:r>
      <w:r w:rsidRPr="00AD6EF2">
        <w:t xml:space="preserve">TMS. </w:t>
      </w:r>
    </w:p>
    <w:p w14:paraId="48A4DC6E" w14:textId="3F139E4F" w:rsidR="00360E5A" w:rsidRPr="00483C5B" w:rsidRDefault="006E34E9" w:rsidP="00483C5B">
      <w:pPr>
        <w:pStyle w:val="TableName"/>
      </w:pPr>
      <w:bookmarkStart w:id="71" w:name="_Ref386026799"/>
      <w:bookmarkStart w:id="72" w:name="_Toc389143578"/>
      <w:r w:rsidRPr="00483C5B">
        <w:lastRenderedPageBreak/>
        <w:t xml:space="preserve">Table </w:t>
      </w:r>
      <w:bookmarkEnd w:id="71"/>
      <w:r w:rsidR="005A1090">
        <w:t>4</w:t>
      </w:r>
      <w:r w:rsidRPr="00483C5B">
        <w:t xml:space="preserve">: </w:t>
      </w:r>
      <w:r w:rsidR="00360E5A" w:rsidRPr="00483C5B">
        <w:t>Overview of NeuroStar registration trial - a randomized controlled clinical trial evaluating the acute safety and effectiveness of the NeuroStar TMS Therapy system in patients with TRD</w:t>
      </w:r>
      <w:bookmarkEnd w:id="72"/>
    </w:p>
    <w:tbl>
      <w:tblPr>
        <w:tblW w:w="4590" w:type="pct"/>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NeuroStar review: rTMS on patients with TRD"/>
      </w:tblPr>
      <w:tblGrid>
        <w:gridCol w:w="1005"/>
        <w:gridCol w:w="2398"/>
        <w:gridCol w:w="4934"/>
      </w:tblGrid>
      <w:tr w:rsidR="00360E5A" w:rsidRPr="006839C4" w14:paraId="74CAE882" w14:textId="77777777" w:rsidTr="002634EF">
        <w:trPr>
          <w:cantSplit/>
          <w:trHeight w:val="305"/>
          <w:tblHeader/>
        </w:trPr>
        <w:tc>
          <w:tcPr>
            <w:tcW w:w="603" w:type="pct"/>
            <w:shd w:val="clear" w:color="auto" w:fill="auto"/>
            <w:tcMar>
              <w:left w:w="28" w:type="dxa"/>
              <w:right w:w="28" w:type="dxa"/>
            </w:tcMar>
            <w:vAlign w:val="center"/>
          </w:tcPr>
          <w:p w14:paraId="77A93476" w14:textId="77777777" w:rsidR="00360E5A" w:rsidRPr="006E34E9" w:rsidRDefault="00360E5A" w:rsidP="00483C5B">
            <w:pPr>
              <w:keepNext/>
              <w:autoSpaceDE w:val="0"/>
              <w:autoSpaceDN w:val="0"/>
              <w:adjustRightInd w:val="0"/>
              <w:spacing w:before="40" w:after="40"/>
              <w:ind w:left="0"/>
              <w:rPr>
                <w:rFonts w:ascii="Arial Narrow" w:hAnsi="Arial Narrow" w:cs="Arial"/>
                <w:b/>
                <w:bCs/>
                <w:color w:val="231F20"/>
                <w:sz w:val="18"/>
                <w:szCs w:val="18"/>
              </w:rPr>
            </w:pPr>
            <w:r w:rsidRPr="006E34E9">
              <w:rPr>
                <w:rFonts w:ascii="Arial Narrow" w:hAnsi="Arial Narrow" w:cs="Arial"/>
                <w:b/>
                <w:bCs/>
                <w:color w:val="231F20"/>
                <w:sz w:val="18"/>
                <w:szCs w:val="18"/>
              </w:rPr>
              <w:t>Trial Type</w:t>
            </w:r>
          </w:p>
        </w:tc>
        <w:tc>
          <w:tcPr>
            <w:tcW w:w="1438" w:type="pct"/>
            <w:shd w:val="clear" w:color="auto" w:fill="auto"/>
            <w:tcMar>
              <w:left w:w="28" w:type="dxa"/>
              <w:right w:w="28" w:type="dxa"/>
            </w:tcMar>
            <w:vAlign w:val="center"/>
          </w:tcPr>
          <w:p w14:paraId="314E7E2A" w14:textId="77777777" w:rsidR="00360E5A" w:rsidRPr="006E34E9" w:rsidRDefault="00360E5A" w:rsidP="00483C5B">
            <w:pPr>
              <w:keepNext/>
              <w:autoSpaceDE w:val="0"/>
              <w:autoSpaceDN w:val="0"/>
              <w:adjustRightInd w:val="0"/>
              <w:spacing w:before="40" w:after="40"/>
              <w:ind w:left="0"/>
              <w:rPr>
                <w:rFonts w:ascii="Arial Narrow" w:hAnsi="Arial Narrow" w:cs="Arial"/>
                <w:b/>
                <w:bCs/>
                <w:color w:val="231F20"/>
                <w:sz w:val="18"/>
                <w:szCs w:val="18"/>
              </w:rPr>
            </w:pPr>
            <w:r w:rsidRPr="006E34E9">
              <w:rPr>
                <w:rFonts w:ascii="Arial Narrow" w:hAnsi="Arial Narrow" w:cs="Arial"/>
                <w:b/>
                <w:bCs/>
                <w:color w:val="231F20"/>
                <w:sz w:val="18"/>
                <w:szCs w:val="18"/>
              </w:rPr>
              <w:t>Patient Population/Study Design</w:t>
            </w:r>
          </w:p>
        </w:tc>
        <w:tc>
          <w:tcPr>
            <w:tcW w:w="2960" w:type="pct"/>
            <w:shd w:val="clear" w:color="auto" w:fill="auto"/>
            <w:tcMar>
              <w:left w:w="28" w:type="dxa"/>
              <w:right w:w="28" w:type="dxa"/>
            </w:tcMar>
            <w:vAlign w:val="center"/>
          </w:tcPr>
          <w:p w14:paraId="2B4AEF4B" w14:textId="77777777" w:rsidR="00360E5A" w:rsidRPr="006E34E9" w:rsidRDefault="00360E5A" w:rsidP="00483C5B">
            <w:pPr>
              <w:keepNext/>
              <w:autoSpaceDE w:val="0"/>
              <w:autoSpaceDN w:val="0"/>
              <w:adjustRightInd w:val="0"/>
              <w:spacing w:before="40" w:after="40"/>
              <w:ind w:left="0"/>
              <w:rPr>
                <w:rFonts w:ascii="Arial Narrow" w:hAnsi="Arial Narrow" w:cs="Arial"/>
                <w:b/>
                <w:bCs/>
                <w:color w:val="231F20"/>
                <w:sz w:val="18"/>
                <w:szCs w:val="18"/>
              </w:rPr>
            </w:pPr>
            <w:r w:rsidRPr="006E34E9">
              <w:rPr>
                <w:rFonts w:ascii="Arial Narrow" w:hAnsi="Arial Narrow" w:cs="Arial"/>
                <w:b/>
                <w:bCs/>
                <w:color w:val="231F20"/>
                <w:sz w:val="18"/>
                <w:szCs w:val="18"/>
              </w:rPr>
              <w:t>Key Findings</w:t>
            </w:r>
          </w:p>
        </w:tc>
      </w:tr>
      <w:tr w:rsidR="00360E5A" w:rsidRPr="006839C4" w14:paraId="74EB21CE" w14:textId="77777777" w:rsidTr="006E34E9">
        <w:trPr>
          <w:cantSplit/>
          <w:trHeight w:val="676"/>
        </w:trPr>
        <w:tc>
          <w:tcPr>
            <w:tcW w:w="603" w:type="pct"/>
            <w:tcMar>
              <w:left w:w="28" w:type="dxa"/>
              <w:right w:w="28" w:type="dxa"/>
            </w:tcMar>
          </w:tcPr>
          <w:p w14:paraId="3F627D8A" w14:textId="50F5FABC" w:rsidR="00360E5A" w:rsidRPr="006E34E9" w:rsidRDefault="00360E5A" w:rsidP="00FE7733">
            <w:pPr>
              <w:keepNext/>
              <w:autoSpaceDE w:val="0"/>
              <w:autoSpaceDN w:val="0"/>
              <w:adjustRightInd w:val="0"/>
              <w:spacing w:before="40" w:after="40"/>
              <w:ind w:left="0"/>
              <w:rPr>
                <w:rFonts w:ascii="Arial Narrow" w:hAnsi="Arial Narrow" w:cs="Arial"/>
                <w:b/>
                <w:bCs/>
                <w:color w:val="231F20"/>
                <w:sz w:val="18"/>
                <w:szCs w:val="18"/>
              </w:rPr>
            </w:pPr>
            <w:r w:rsidRPr="006E34E9">
              <w:rPr>
                <w:rFonts w:ascii="Arial Narrow" w:hAnsi="Arial Narrow" w:cs="Arial"/>
                <w:sz w:val="18"/>
                <w:szCs w:val="18"/>
              </w:rPr>
              <w:t>Randomized, Controlled, Multicenter</w:t>
            </w:r>
          </w:p>
        </w:tc>
        <w:tc>
          <w:tcPr>
            <w:tcW w:w="1438" w:type="pct"/>
            <w:tcMar>
              <w:left w:w="28" w:type="dxa"/>
              <w:right w:w="28" w:type="dxa"/>
            </w:tcMar>
          </w:tcPr>
          <w:p w14:paraId="4076E6C8" w14:textId="77777777" w:rsidR="00360E5A" w:rsidRPr="006E34E9" w:rsidRDefault="00360E5A" w:rsidP="00483C5B">
            <w:pPr>
              <w:keepNext/>
              <w:autoSpaceDE w:val="0"/>
              <w:autoSpaceDN w:val="0"/>
              <w:adjustRightInd w:val="0"/>
              <w:spacing w:before="40" w:after="40"/>
              <w:ind w:left="0"/>
              <w:contextualSpacing/>
              <w:rPr>
                <w:rFonts w:ascii="Arial Narrow" w:hAnsi="Arial Narrow" w:cs="Arial"/>
                <w:sz w:val="18"/>
                <w:szCs w:val="18"/>
              </w:rPr>
            </w:pPr>
            <w:r w:rsidRPr="006E34E9">
              <w:rPr>
                <w:rFonts w:ascii="Arial Narrow" w:hAnsi="Arial Narrow" w:cs="Arial"/>
                <w:sz w:val="18"/>
                <w:szCs w:val="18"/>
              </w:rPr>
              <w:t>- Sponsor:  Neuronetics, Inc.</w:t>
            </w:r>
          </w:p>
          <w:p w14:paraId="2C8063B8" w14:textId="77777777" w:rsidR="00360E5A" w:rsidRPr="006E34E9" w:rsidRDefault="00360E5A" w:rsidP="00483C5B">
            <w:pPr>
              <w:keepNext/>
              <w:autoSpaceDE w:val="0"/>
              <w:autoSpaceDN w:val="0"/>
              <w:adjustRightInd w:val="0"/>
              <w:spacing w:before="40" w:after="40"/>
              <w:ind w:left="0"/>
              <w:contextualSpacing/>
              <w:rPr>
                <w:rFonts w:ascii="Arial Narrow" w:hAnsi="Arial Narrow" w:cs="Arial"/>
                <w:sz w:val="18"/>
                <w:szCs w:val="18"/>
              </w:rPr>
            </w:pPr>
            <w:r w:rsidRPr="006E34E9">
              <w:rPr>
                <w:rFonts w:ascii="Arial Narrow" w:hAnsi="Arial Narrow" w:cs="Arial"/>
                <w:sz w:val="18"/>
                <w:szCs w:val="18"/>
              </w:rPr>
              <w:t>- Multicenter (23 sites), sham-controlled</w:t>
            </w:r>
          </w:p>
          <w:p w14:paraId="547E543F" w14:textId="77777777" w:rsidR="00360E5A" w:rsidRPr="006E34E9" w:rsidRDefault="00360E5A" w:rsidP="00483C5B">
            <w:pPr>
              <w:keepNext/>
              <w:autoSpaceDE w:val="0"/>
              <w:autoSpaceDN w:val="0"/>
              <w:adjustRightInd w:val="0"/>
              <w:spacing w:before="40" w:after="40"/>
              <w:ind w:left="0"/>
              <w:contextualSpacing/>
              <w:rPr>
                <w:rFonts w:ascii="Arial Narrow" w:hAnsi="Arial Narrow" w:cs="Arial"/>
                <w:sz w:val="18"/>
                <w:szCs w:val="18"/>
              </w:rPr>
            </w:pPr>
            <w:r w:rsidRPr="006E34E9">
              <w:rPr>
                <w:rFonts w:ascii="Arial Narrow" w:hAnsi="Arial Narrow" w:cs="Arial"/>
                <w:sz w:val="18"/>
                <w:szCs w:val="18"/>
              </w:rPr>
              <w:t>N=301 patients with MDD, demonstrated treatment resistance from 1 through 4 research-grade antidepressant medication in current episode (ATHF verified)</w:t>
            </w:r>
          </w:p>
          <w:p w14:paraId="0D72DCE4" w14:textId="77777777" w:rsidR="00360E5A" w:rsidRPr="006E34E9" w:rsidRDefault="00360E5A" w:rsidP="00483C5B">
            <w:pPr>
              <w:keepNext/>
              <w:autoSpaceDE w:val="0"/>
              <w:autoSpaceDN w:val="0"/>
              <w:adjustRightInd w:val="0"/>
              <w:spacing w:before="40" w:after="40"/>
              <w:ind w:left="0"/>
              <w:contextualSpacing/>
              <w:rPr>
                <w:rFonts w:ascii="Arial Narrow" w:hAnsi="Arial Narrow" w:cs="Arial"/>
                <w:sz w:val="18"/>
                <w:szCs w:val="18"/>
              </w:rPr>
            </w:pPr>
            <w:r w:rsidRPr="006E34E9">
              <w:rPr>
                <w:rFonts w:ascii="Arial Narrow" w:hAnsi="Arial Narrow" w:cs="Arial"/>
                <w:sz w:val="18"/>
                <w:szCs w:val="18"/>
              </w:rPr>
              <w:t>- 6 week acute phase; 4 week exit for non-responders</w:t>
            </w:r>
          </w:p>
          <w:p w14:paraId="0A90CECE" w14:textId="77777777" w:rsidR="00360E5A" w:rsidRPr="006E34E9" w:rsidRDefault="00360E5A" w:rsidP="00483C5B">
            <w:pPr>
              <w:keepNext/>
              <w:autoSpaceDE w:val="0"/>
              <w:autoSpaceDN w:val="0"/>
              <w:adjustRightInd w:val="0"/>
              <w:spacing w:before="40" w:after="40"/>
              <w:ind w:left="0"/>
              <w:contextualSpacing/>
              <w:rPr>
                <w:rFonts w:ascii="Arial Narrow" w:hAnsi="Arial Narrow" w:cs="Arial"/>
                <w:sz w:val="18"/>
                <w:szCs w:val="18"/>
              </w:rPr>
            </w:pPr>
            <w:r w:rsidRPr="006E34E9">
              <w:rPr>
                <w:rFonts w:ascii="Arial Narrow" w:hAnsi="Arial Narrow" w:cs="Arial"/>
                <w:sz w:val="18"/>
                <w:szCs w:val="18"/>
              </w:rPr>
              <w:t>- Primary efficacy outcome:  MADRS; Change from baseline at 4 weeks</w:t>
            </w:r>
          </w:p>
          <w:p w14:paraId="705A5C3F" w14:textId="77777777" w:rsidR="00360E5A" w:rsidRPr="006E34E9" w:rsidRDefault="00360E5A" w:rsidP="00483C5B">
            <w:pPr>
              <w:keepNext/>
              <w:autoSpaceDE w:val="0"/>
              <w:autoSpaceDN w:val="0"/>
              <w:adjustRightInd w:val="0"/>
              <w:spacing w:before="40" w:after="40"/>
              <w:ind w:left="0"/>
              <w:contextualSpacing/>
              <w:rPr>
                <w:rFonts w:ascii="Arial Narrow" w:hAnsi="Arial Narrow" w:cs="Arial"/>
                <w:sz w:val="18"/>
                <w:szCs w:val="18"/>
              </w:rPr>
            </w:pPr>
            <w:r w:rsidRPr="006E34E9">
              <w:rPr>
                <w:rFonts w:ascii="Arial Narrow" w:hAnsi="Arial Narrow" w:cs="Arial"/>
                <w:sz w:val="18"/>
                <w:szCs w:val="18"/>
              </w:rPr>
              <w:t>- Key secondary outcomes:  HAMD24 change from baseline; Response and remission outcomes (MADRS, HAMD24) at 4 and 6 weeks</w:t>
            </w:r>
          </w:p>
          <w:p w14:paraId="5591CB8E" w14:textId="77777777" w:rsidR="00360E5A" w:rsidRPr="006E34E9" w:rsidRDefault="00360E5A" w:rsidP="00483C5B">
            <w:pPr>
              <w:keepNext/>
              <w:autoSpaceDE w:val="0"/>
              <w:autoSpaceDN w:val="0"/>
              <w:adjustRightInd w:val="0"/>
              <w:spacing w:before="40" w:after="40"/>
              <w:ind w:left="0"/>
              <w:contextualSpacing/>
              <w:rPr>
                <w:rFonts w:ascii="Arial Narrow" w:hAnsi="Arial Narrow" w:cs="Arial"/>
                <w:sz w:val="18"/>
                <w:szCs w:val="18"/>
              </w:rPr>
            </w:pPr>
          </w:p>
          <w:p w14:paraId="553AEB5D" w14:textId="77777777" w:rsidR="00360E5A" w:rsidRPr="006E34E9" w:rsidRDefault="00360E5A" w:rsidP="00483C5B">
            <w:pPr>
              <w:keepNext/>
              <w:autoSpaceDE w:val="0"/>
              <w:autoSpaceDN w:val="0"/>
              <w:adjustRightInd w:val="0"/>
              <w:spacing w:before="40" w:after="40"/>
              <w:ind w:left="0"/>
              <w:rPr>
                <w:rFonts w:ascii="Arial Narrow" w:hAnsi="Arial Narrow" w:cs="Arial"/>
                <w:sz w:val="18"/>
                <w:szCs w:val="18"/>
              </w:rPr>
            </w:pPr>
            <w:r w:rsidRPr="006E34E9">
              <w:rPr>
                <w:rFonts w:ascii="Arial Narrow" w:hAnsi="Arial Narrow" w:cs="Arial"/>
                <w:sz w:val="18"/>
                <w:szCs w:val="18"/>
                <w:u w:val="single"/>
              </w:rPr>
              <w:t>References</w:t>
            </w:r>
            <w:r w:rsidRPr="006E34E9">
              <w:rPr>
                <w:rFonts w:ascii="Arial Narrow" w:hAnsi="Arial Narrow" w:cs="Arial"/>
                <w:sz w:val="18"/>
                <w:szCs w:val="18"/>
              </w:rPr>
              <w:t>:</w:t>
            </w:r>
          </w:p>
          <w:p w14:paraId="50643463" w14:textId="77777777" w:rsidR="00360E5A" w:rsidRPr="006E34E9" w:rsidRDefault="00360E5A" w:rsidP="00483C5B">
            <w:pPr>
              <w:pStyle w:val="ListParagraph"/>
              <w:keepNext/>
              <w:autoSpaceDE w:val="0"/>
              <w:autoSpaceDN w:val="0"/>
              <w:adjustRightInd w:val="0"/>
              <w:spacing w:before="40" w:after="40"/>
              <w:ind w:left="0"/>
              <w:rPr>
                <w:rFonts w:ascii="Arial Narrow" w:hAnsi="Arial Narrow" w:cs="Arial"/>
                <w:iCs/>
                <w:color w:val="231F20"/>
                <w:sz w:val="18"/>
                <w:szCs w:val="18"/>
                <w:lang w:val="nl-NL"/>
              </w:rPr>
            </w:pPr>
            <w:r w:rsidRPr="006E34E9">
              <w:rPr>
                <w:rFonts w:ascii="Arial Narrow" w:hAnsi="Arial Narrow" w:cs="Arial"/>
                <w:color w:val="231F20"/>
                <w:sz w:val="18"/>
                <w:szCs w:val="18"/>
                <w:lang w:val="nl-NL"/>
              </w:rPr>
              <w:t>1. O’Reardon et al,</w:t>
            </w:r>
            <w:r w:rsidRPr="006E34E9">
              <w:rPr>
                <w:rFonts w:ascii="Arial Narrow" w:hAnsi="Arial Narrow" w:cs="Arial"/>
                <w:iCs/>
                <w:color w:val="231F20"/>
                <w:sz w:val="18"/>
                <w:szCs w:val="18"/>
                <w:lang w:val="nl-NL"/>
              </w:rPr>
              <w:t xml:space="preserve"> Biol. Psychiatry</w:t>
            </w:r>
            <w:r w:rsidRPr="006E34E9">
              <w:rPr>
                <w:rFonts w:ascii="Arial Narrow" w:hAnsi="Arial Narrow" w:cs="Arial"/>
                <w:color w:val="231F20"/>
                <w:sz w:val="18"/>
                <w:szCs w:val="18"/>
                <w:lang w:val="nl-NL"/>
              </w:rPr>
              <w:t xml:space="preserve"> (2007</w:t>
            </w:r>
            <w:r w:rsidRPr="006E34E9">
              <w:rPr>
                <w:rFonts w:ascii="Arial Narrow" w:hAnsi="Arial Narrow" w:cs="Arial"/>
                <w:color w:val="231F20"/>
                <w:sz w:val="18"/>
                <w:szCs w:val="18"/>
                <w:u w:val="single"/>
                <w:lang w:val="nl-NL"/>
              </w:rPr>
              <w:t>)</w:t>
            </w:r>
            <w:r w:rsidRPr="006E34E9">
              <w:rPr>
                <w:rFonts w:ascii="Arial Narrow" w:hAnsi="Arial Narrow" w:cs="Arial"/>
                <w:color w:val="231F20"/>
                <w:sz w:val="18"/>
                <w:szCs w:val="18"/>
                <w:lang w:val="nl-NL"/>
              </w:rPr>
              <w:t>; 62(11):1208-1216</w:t>
            </w:r>
          </w:p>
          <w:p w14:paraId="2F3A9F7E" w14:textId="77777777" w:rsidR="00360E5A" w:rsidRPr="006E34E9" w:rsidRDefault="00360E5A" w:rsidP="00483C5B">
            <w:pPr>
              <w:pStyle w:val="ListParagraph"/>
              <w:keepNext/>
              <w:autoSpaceDE w:val="0"/>
              <w:autoSpaceDN w:val="0"/>
              <w:adjustRightInd w:val="0"/>
              <w:spacing w:before="40" w:after="40"/>
              <w:ind w:left="0"/>
              <w:rPr>
                <w:rFonts w:ascii="Arial Narrow" w:hAnsi="Arial Narrow" w:cs="Arial"/>
                <w:sz w:val="18"/>
                <w:szCs w:val="18"/>
              </w:rPr>
            </w:pPr>
            <w:r w:rsidRPr="006E34E9">
              <w:rPr>
                <w:rFonts w:ascii="Arial Narrow" w:hAnsi="Arial Narrow" w:cs="Arial"/>
                <w:color w:val="231F20"/>
                <w:sz w:val="18"/>
                <w:szCs w:val="18"/>
              </w:rPr>
              <w:t>2. Demitrack, MA and Thase, ME.  Psychopharmacology Bulletin (2009</w:t>
            </w:r>
            <w:r w:rsidRPr="006E34E9">
              <w:rPr>
                <w:rFonts w:ascii="Arial Narrow" w:hAnsi="Arial Narrow" w:cs="Arial"/>
                <w:color w:val="231F20"/>
                <w:sz w:val="18"/>
                <w:szCs w:val="18"/>
                <w:u w:val="single"/>
              </w:rPr>
              <w:t>)</w:t>
            </w:r>
            <w:r w:rsidRPr="006E34E9">
              <w:rPr>
                <w:rFonts w:ascii="Arial Narrow" w:hAnsi="Arial Narrow" w:cs="Arial"/>
                <w:color w:val="231F20"/>
                <w:sz w:val="18"/>
                <w:szCs w:val="18"/>
              </w:rPr>
              <w:t>; 42(2):5-38.</w:t>
            </w:r>
          </w:p>
        </w:tc>
        <w:tc>
          <w:tcPr>
            <w:tcW w:w="2960" w:type="pct"/>
            <w:tcMar>
              <w:left w:w="28" w:type="dxa"/>
              <w:right w:w="28" w:type="dxa"/>
            </w:tcMar>
          </w:tcPr>
          <w:p w14:paraId="77058354"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u w:val="single"/>
              </w:rPr>
              <w:t>Primary Outcome</w:t>
            </w:r>
            <w:r w:rsidRPr="006E34E9">
              <w:rPr>
                <w:rFonts w:ascii="Arial Narrow" w:hAnsi="Arial Narrow" w:cs="Arial"/>
                <w:bCs/>
                <w:color w:val="231F20"/>
                <w:sz w:val="18"/>
                <w:szCs w:val="18"/>
              </w:rPr>
              <w:t>: [favours TMS]</w:t>
            </w:r>
          </w:p>
          <w:p w14:paraId="298C3690"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 ATHF 1 - 4 cohort (N=301):</w:t>
            </w:r>
          </w:p>
          <w:p w14:paraId="0315EE56"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MADRS change from baseline @ week 4 (P=0.057), Effect size = 0.39</w:t>
            </w:r>
          </w:p>
          <w:p w14:paraId="7B64F94F"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 ATHF 1 cohort (N=164):</w:t>
            </w:r>
          </w:p>
          <w:p w14:paraId="6BBD4203"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MADRS change from baseline @ 4 weeks (P=0.0006), Effect size = 0.94</w:t>
            </w:r>
          </w:p>
          <w:p w14:paraId="569A56AA"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u w:val="single"/>
              </w:rPr>
            </w:pPr>
          </w:p>
          <w:p w14:paraId="79FB8F0C"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u w:val="single"/>
              </w:rPr>
              <w:t>Secondary Outcomes</w:t>
            </w:r>
            <w:r w:rsidRPr="006E34E9">
              <w:rPr>
                <w:rFonts w:ascii="Arial Narrow" w:hAnsi="Arial Narrow" w:cs="Arial"/>
                <w:bCs/>
                <w:color w:val="231F20"/>
                <w:sz w:val="18"/>
                <w:szCs w:val="18"/>
              </w:rPr>
              <w:t>: [favours TMS]</w:t>
            </w:r>
          </w:p>
          <w:p w14:paraId="42ABB0A7"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 ATHF 1 - 4 cohort (N=301):</w:t>
            </w:r>
          </w:p>
          <w:p w14:paraId="4FA4C2B8"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HAMD24 change from baseline @ 4 weeks (P=0.012)</w:t>
            </w:r>
          </w:p>
          <w:p w14:paraId="7ECEF4B1"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HAMD24 change from baseline @ 6 weeks (P=0.015)</w:t>
            </w:r>
          </w:p>
          <w:p w14:paraId="648E210F"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HAMD24 response rate TMS vs. sham @ 4 weeks: 19.4% vs. 11.6% (P=0.030), @ 6 weeks: 23.9% vs. 15.1% (P=0.042)</w:t>
            </w:r>
          </w:p>
          <w:p w14:paraId="3B9738E8"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MADRS response rate TMS vs. sham @ 4 weeks: 18.1% vs. 11.0% (P=0.045), @ 6 weeks: 23.9% vs. 12.3% (P=0.007)</w:t>
            </w:r>
          </w:p>
          <w:p w14:paraId="336EEACF"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HAMD24 remission rate TMS vs. sham @ 6 weeks: 17.4% vs. 8.2% (P=0.012)</w:t>
            </w:r>
          </w:p>
          <w:p w14:paraId="4132C876"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MADRS remission rate TMS vs. sham @ 6 weeks: 14.2% vs. 5.5% (P=0.011)</w:t>
            </w:r>
          </w:p>
          <w:p w14:paraId="544138B9"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 ATHF 1 cohort (N=164):</w:t>
            </w:r>
          </w:p>
          <w:p w14:paraId="6529F396"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HAMD24 change from baseline @ 4 weeks (P=0.0006)</w:t>
            </w:r>
          </w:p>
          <w:p w14:paraId="1572AE4A"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HAMD24 change from baseline @ 6 weeks (P=0.0041)</w:t>
            </w:r>
          </w:p>
          <w:p w14:paraId="6B951CD4"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HAMD24 response rate TMS vs. sham @ 4 weeks: 21.6% vs. 9.2% (P=0.0047), @ 6 weeks: 25.7% vs. 13.2% (P=0.0139)</w:t>
            </w:r>
          </w:p>
          <w:p w14:paraId="527FE9F3"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MADRS response rate TMS vs. sham @ 4 weeks: 25.0% vs. 9.2% (P=0.0083), @ 6 weeks: 25.0% vs. 9.2% (P=0.0026)</w:t>
            </w:r>
          </w:p>
          <w:p w14:paraId="103EEFB7"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HAMD24 remission rate TMS vs. sham @ 6 weeks: 15.9% vs. 5.3% (P=0.012)</w:t>
            </w:r>
          </w:p>
          <w:p w14:paraId="597EEA30" w14:textId="77777777" w:rsidR="00360E5A" w:rsidRPr="006E34E9" w:rsidRDefault="00360E5A" w:rsidP="00483C5B">
            <w:pPr>
              <w:keepNext/>
              <w:autoSpaceDE w:val="0"/>
              <w:autoSpaceDN w:val="0"/>
              <w:adjustRightInd w:val="0"/>
              <w:spacing w:before="40" w:after="40"/>
              <w:ind w:left="0"/>
              <w:rPr>
                <w:rFonts w:ascii="Arial Narrow" w:hAnsi="Arial Narrow" w:cs="Arial"/>
                <w:bCs/>
                <w:color w:val="231F20"/>
                <w:sz w:val="18"/>
                <w:szCs w:val="18"/>
              </w:rPr>
            </w:pPr>
            <w:r w:rsidRPr="006E34E9">
              <w:rPr>
                <w:rFonts w:ascii="Arial Narrow" w:hAnsi="Arial Narrow" w:cs="Arial"/>
                <w:bCs/>
                <w:color w:val="231F20"/>
                <w:sz w:val="18"/>
                <w:szCs w:val="18"/>
              </w:rPr>
              <w:t>MADRS remission rate TMS vs. sham @ 6 weeks: 17.0% vs. 6.6% (P=0.0112)</w:t>
            </w:r>
          </w:p>
        </w:tc>
      </w:tr>
    </w:tbl>
    <w:p w14:paraId="7B7CCB07" w14:textId="77777777" w:rsidR="00483C5B" w:rsidRDefault="00360E5A" w:rsidP="00483C5B">
      <w:pPr>
        <w:keepNext/>
        <w:spacing w:before="40" w:after="40"/>
        <w:jc w:val="both"/>
        <w:rPr>
          <w:rFonts w:ascii="Arial Narrow" w:hAnsi="Arial Narrow" w:cs="Arial"/>
          <w:color w:val="000000"/>
          <w:sz w:val="18"/>
          <w:szCs w:val="18"/>
        </w:rPr>
      </w:pPr>
      <w:r w:rsidRPr="006E34E9">
        <w:rPr>
          <w:rFonts w:ascii="Arial Narrow" w:hAnsi="Arial Narrow" w:cs="Arial"/>
          <w:color w:val="000000"/>
          <w:sz w:val="18"/>
          <w:szCs w:val="18"/>
        </w:rPr>
        <w:t>ATHF = antidepressant treatment history form; HAMD = Hamilton depression rating scale; MADRS = Montgomery-Asberg depression rating scale; MDD = major depressive disorder; N = number; TMS = Transcranial Magnetic Stimulation; TRD = treatment resistant depression</w:t>
      </w:r>
    </w:p>
    <w:p w14:paraId="7D85BAA8" w14:textId="77777777" w:rsidR="00483C5B" w:rsidRDefault="00483C5B" w:rsidP="00483C5B">
      <w:pPr>
        <w:keepNext/>
        <w:spacing w:before="40" w:after="40"/>
        <w:jc w:val="both"/>
      </w:pPr>
    </w:p>
    <w:p w14:paraId="0E56CDA0" w14:textId="4B739912" w:rsidR="00483C5B" w:rsidRPr="00483C5B" w:rsidRDefault="00483C5B" w:rsidP="00483C5B">
      <w:pPr>
        <w:keepNext/>
        <w:spacing w:before="40" w:after="40"/>
        <w:jc w:val="both"/>
      </w:pPr>
      <w:r w:rsidRPr="00AD6EF2">
        <w:t xml:space="preserve">Results for the overall study population demonstrated clinically meaningful improvement on the primary outcome measure, baseline to endpoint change on the Montgomery-Asberg Depression Rating Scale at four weeks (MADRS, P=0.057, standardized effect size = 0.39). Additionally, several secondary outcome measures demonstrated statistically and clinically significant benefit for NeuroStar </w:t>
      </w:r>
      <w:r w:rsidR="008F4342">
        <w:t>r</w:t>
      </w:r>
      <w:r w:rsidRPr="00AD6EF2">
        <w:t>TMS compared with sham. Among these secondary outcomes was a superior outcome on the Hamilton Depression Rating Scale (HAM</w:t>
      </w:r>
      <w:r>
        <w:t>-</w:t>
      </w:r>
      <w:r w:rsidRPr="00AD6EF2">
        <w:t>D), with both the 17-item and 24-item versions showing baseline to endpoint change in favo</w:t>
      </w:r>
      <w:r>
        <w:t>u</w:t>
      </w:r>
      <w:r w:rsidRPr="00AD6EF2">
        <w:t xml:space="preserve">r of NeuroStar </w:t>
      </w:r>
      <w:r w:rsidR="008F4342">
        <w:t>r</w:t>
      </w:r>
      <w:r w:rsidRPr="00AD6EF2">
        <w:t>TMS at 4 weeks (17-Item change: P=0.006, standardized effect size = 0.55; 24-Item change: P=0.012, stan</w:t>
      </w:r>
      <w:r>
        <w:t xml:space="preserve">dardized effect size = 0.48).  </w:t>
      </w:r>
    </w:p>
    <w:p w14:paraId="331B19B7" w14:textId="1395F575" w:rsidR="00360E5A" w:rsidRPr="00AD6EF2" w:rsidRDefault="00360E5A" w:rsidP="006E34E9">
      <w:pPr>
        <w:pStyle w:val="Heading5"/>
      </w:pPr>
      <w:bookmarkStart w:id="73" w:name="_Toc319068998"/>
      <w:bookmarkStart w:id="74" w:name="_Toc367715529"/>
      <w:bookmarkStart w:id="75" w:name="_Toc367716662"/>
      <w:bookmarkStart w:id="76" w:name="_Toc367801976"/>
      <w:r w:rsidRPr="00AD6EF2">
        <w:t>Trial 2: NIMH-</w:t>
      </w:r>
      <w:r>
        <w:t>s</w:t>
      </w:r>
      <w:r w:rsidRPr="00AD6EF2">
        <w:t xml:space="preserve">ponsored </w:t>
      </w:r>
      <w:r>
        <w:t>r</w:t>
      </w:r>
      <w:r w:rsidRPr="00AD6EF2">
        <w:t>andomi</w:t>
      </w:r>
      <w:r>
        <w:t>s</w:t>
      </w:r>
      <w:r w:rsidRPr="00AD6EF2">
        <w:t xml:space="preserve">ed </w:t>
      </w:r>
      <w:r>
        <w:t>c</w:t>
      </w:r>
      <w:r w:rsidRPr="00AD6EF2">
        <w:t xml:space="preserve">ontrolled </w:t>
      </w:r>
      <w:r>
        <w:t>tr</w:t>
      </w:r>
      <w:r w:rsidRPr="00AD6EF2">
        <w:t>ial</w:t>
      </w:r>
      <w:bookmarkEnd w:id="73"/>
      <w:r w:rsidRPr="00AD6EF2">
        <w:t xml:space="preserve"> (the </w:t>
      </w:r>
      <w:r>
        <w:t>o</w:t>
      </w:r>
      <w:r w:rsidRPr="00AD6EF2">
        <w:t>ptimization of TMS, ‘OPT-TMS’, Study)</w:t>
      </w:r>
      <w:bookmarkEnd w:id="74"/>
      <w:bookmarkEnd w:id="75"/>
      <w:bookmarkEnd w:id="76"/>
      <w:r w:rsidRPr="00AD6EF2">
        <w:t xml:space="preserve"> (</w:t>
      </w:r>
      <w:r w:rsidR="00C51C86">
        <w:fldChar w:fldCharType="begin"/>
      </w:r>
      <w:r w:rsidR="00C51C86">
        <w:instrText xml:space="preserve"> REF _Ref386027021 \h  \* MERGEFORMAT </w:instrText>
      </w:r>
      <w:r w:rsidR="00C51C86">
        <w:fldChar w:fldCharType="separate"/>
      </w:r>
      <w:proofErr w:type="gramStart"/>
      <w:r w:rsidR="004C1C27" w:rsidRPr="00483C5B">
        <w:t xml:space="preserve">Table </w:t>
      </w:r>
      <w:proofErr w:type="gramEnd"/>
      <w:r w:rsidR="00C51C86">
        <w:fldChar w:fldCharType="end"/>
      </w:r>
      <w:r w:rsidRPr="00AD6EF2">
        <w:t>)</w:t>
      </w:r>
    </w:p>
    <w:p w14:paraId="31B649DD" w14:textId="4B00EC3E" w:rsidR="00360E5A" w:rsidRDefault="00360E5A" w:rsidP="00483C5B">
      <w:pPr>
        <w:spacing w:after="120"/>
        <w:jc w:val="both"/>
      </w:pPr>
      <w:r w:rsidRPr="00AD6EF2">
        <w:t>In 2010, a second, large (N=190) multisite (4) randomized sham-controlled trial was published that provided additio</w:t>
      </w:r>
      <w:r>
        <w:t xml:space="preserve">nal evidence of the safety and </w:t>
      </w:r>
      <w:r w:rsidRPr="00AD6EF2">
        <w:t xml:space="preserve">efficacy of </w:t>
      </w:r>
      <w:r w:rsidR="008F4342">
        <w:t>r</w:t>
      </w:r>
      <w:r w:rsidRPr="00AD6EF2">
        <w:t xml:space="preserve">TMS in patients diagnosed with </w:t>
      </w:r>
      <w:r>
        <w:t>treatment resistant depression (</w:t>
      </w:r>
      <w:r w:rsidRPr="00AD6EF2">
        <w:t xml:space="preserve">George, et al, 2010). This study was sponsored by the US </w:t>
      </w:r>
      <w:r>
        <w:t>F</w:t>
      </w:r>
      <w:r w:rsidRPr="00AD6EF2">
        <w:t xml:space="preserve">ederal </w:t>
      </w:r>
      <w:r w:rsidR="005A1090">
        <w:t>NIMH</w:t>
      </w:r>
      <w:r w:rsidRPr="00AD6EF2">
        <w:t xml:space="preserve">. Further details of the trial design and results are summarized in </w:t>
      </w:r>
      <w:r w:rsidR="00C51C86">
        <w:fldChar w:fldCharType="begin"/>
      </w:r>
      <w:r w:rsidR="00C51C86">
        <w:instrText xml:space="preserve"> REF _Ref386027021 \h  \* MERGEFORMAT </w:instrText>
      </w:r>
      <w:r w:rsidR="00C51C86">
        <w:fldChar w:fldCharType="separate"/>
      </w:r>
      <w:proofErr w:type="gramStart"/>
      <w:r w:rsidR="004C1C27" w:rsidRPr="00483C5B">
        <w:t xml:space="preserve">Table </w:t>
      </w:r>
      <w:proofErr w:type="gramEnd"/>
      <w:r w:rsidR="00C51C86">
        <w:fldChar w:fldCharType="end"/>
      </w:r>
      <w:r w:rsidRPr="00AD6EF2">
        <w:t>. These investigators focused on the primary efficacy endpoint of remission, measured using the 24-item HAM</w:t>
      </w:r>
      <w:r>
        <w:t>-</w:t>
      </w:r>
      <w:r w:rsidR="005A1090">
        <w:t>D</w:t>
      </w:r>
      <w:r w:rsidRPr="00AD6EF2">
        <w:t xml:space="preserve">. The trial design consisted of a 2 week </w:t>
      </w:r>
      <w:r w:rsidRPr="00AD6EF2">
        <w:lastRenderedPageBreak/>
        <w:t>no treatment lead-in phase, a 3 week fixed treatment phase and a variable, 3 week treatment extension for clinical improvers.</w:t>
      </w:r>
      <w:r>
        <w:t xml:space="preserve"> </w:t>
      </w:r>
      <w:r w:rsidRPr="00AD6EF2">
        <w:t>The trial included 190 antidepressant drug free patients with major depressive disorder with a moderate level of treatment resistance meeting the following criteria:</w:t>
      </w:r>
    </w:p>
    <w:p w14:paraId="393C6898" w14:textId="77777777" w:rsidR="00360E5A" w:rsidRPr="006F4462" w:rsidRDefault="00360E5A" w:rsidP="00483C5B">
      <w:pPr>
        <w:pStyle w:val="ListParagraph"/>
        <w:numPr>
          <w:ilvl w:val="0"/>
          <w:numId w:val="7"/>
        </w:numPr>
        <w:jc w:val="both"/>
        <w:rPr>
          <w:rFonts w:ascii="Garamond" w:hAnsi="Garamond"/>
        </w:rPr>
      </w:pPr>
      <w:r w:rsidRPr="006F4462">
        <w:rPr>
          <w:rFonts w:ascii="Garamond" w:hAnsi="Garamond"/>
        </w:rPr>
        <w:t>Insufficient clinical benefit by rigorous ATHF res</w:t>
      </w:r>
      <w:r>
        <w:rPr>
          <w:rFonts w:ascii="Garamond" w:hAnsi="Garamond"/>
        </w:rPr>
        <w:t>earch criteria of at least one and as many as four</w:t>
      </w:r>
      <w:r w:rsidRPr="006F4462">
        <w:rPr>
          <w:rFonts w:ascii="Garamond" w:hAnsi="Garamond"/>
        </w:rPr>
        <w:t xml:space="preserve"> antidepressant medication trials administered at an adequate dose and duration in the current illness episode; </w:t>
      </w:r>
      <w:r>
        <w:rPr>
          <w:rFonts w:ascii="Garamond" w:hAnsi="Garamond"/>
        </w:rPr>
        <w:t>or</w:t>
      </w:r>
    </w:p>
    <w:p w14:paraId="5D8569BB" w14:textId="77777777" w:rsidR="00360E5A" w:rsidRPr="006F4462" w:rsidRDefault="00360E5A" w:rsidP="00483C5B">
      <w:pPr>
        <w:pStyle w:val="ListParagraph"/>
        <w:numPr>
          <w:ilvl w:val="0"/>
          <w:numId w:val="7"/>
        </w:numPr>
        <w:spacing w:after="240"/>
        <w:ind w:left="1077" w:hanging="357"/>
        <w:jc w:val="both"/>
        <w:rPr>
          <w:rFonts w:ascii="Garamond" w:hAnsi="Garamond"/>
        </w:rPr>
      </w:pPr>
      <w:r>
        <w:rPr>
          <w:rFonts w:ascii="Garamond" w:hAnsi="Garamond"/>
        </w:rPr>
        <w:t>Intolerance to three</w:t>
      </w:r>
      <w:r w:rsidRPr="006F4462">
        <w:rPr>
          <w:rFonts w:ascii="Garamond" w:hAnsi="Garamond"/>
        </w:rPr>
        <w:t xml:space="preserve"> or more trials of less than adequate dose or duration of therapy.</w:t>
      </w:r>
    </w:p>
    <w:p w14:paraId="623614F5" w14:textId="5FAFD5C2" w:rsidR="00360E5A" w:rsidRPr="00483C5B" w:rsidRDefault="006E34E9" w:rsidP="00483C5B">
      <w:pPr>
        <w:pStyle w:val="TableName"/>
      </w:pPr>
      <w:bookmarkStart w:id="77" w:name="_Ref386027021"/>
      <w:bookmarkStart w:id="78" w:name="_Toc389143579"/>
      <w:r w:rsidRPr="00483C5B">
        <w:t xml:space="preserve">Table </w:t>
      </w:r>
      <w:bookmarkEnd w:id="77"/>
      <w:r w:rsidR="005A1090">
        <w:t>5</w:t>
      </w:r>
      <w:r w:rsidRPr="00483C5B">
        <w:t xml:space="preserve">: </w:t>
      </w:r>
      <w:r w:rsidR="00360E5A" w:rsidRPr="00483C5B">
        <w:t>Overview of OPT-TMS study - a randomized controlled clinical trial providing additional safety and effectiveness data for the NeuroStar TMS Therapy system in patients with TRD</w:t>
      </w:r>
      <w:bookmarkEnd w:id="78"/>
    </w:p>
    <w:tbl>
      <w:tblPr>
        <w:tblStyle w:val="TableGrid"/>
        <w:tblW w:w="0" w:type="auto"/>
        <w:tblInd w:w="737" w:type="dxa"/>
        <w:tblLook w:val="04A0" w:firstRow="1" w:lastRow="0" w:firstColumn="1" w:lastColumn="0" w:noHBand="0" w:noVBand="1"/>
        <w:tblCaption w:val="OPT-TMS study: additional data for rTMS "/>
      </w:tblPr>
      <w:tblGrid>
        <w:gridCol w:w="1006"/>
        <w:gridCol w:w="4664"/>
        <w:gridCol w:w="2675"/>
      </w:tblGrid>
      <w:tr w:rsidR="00360E5A" w:rsidRPr="00C51C86" w14:paraId="2DCF960D" w14:textId="77777777" w:rsidTr="002634EF">
        <w:trPr>
          <w:cantSplit/>
          <w:trHeight w:val="343"/>
          <w:tblHeader/>
        </w:trPr>
        <w:tc>
          <w:tcPr>
            <w:tcW w:w="1006" w:type="dxa"/>
            <w:tcMar>
              <w:left w:w="28" w:type="dxa"/>
              <w:right w:w="28" w:type="dxa"/>
            </w:tcMar>
            <w:vAlign w:val="center"/>
          </w:tcPr>
          <w:p w14:paraId="4FCED5AB" w14:textId="77777777" w:rsidR="00360E5A" w:rsidRPr="00C51C86" w:rsidRDefault="00360E5A" w:rsidP="00483C5B">
            <w:pPr>
              <w:keepNext/>
              <w:autoSpaceDE w:val="0"/>
              <w:autoSpaceDN w:val="0"/>
              <w:adjustRightInd w:val="0"/>
              <w:spacing w:before="40" w:after="40"/>
              <w:ind w:left="0"/>
              <w:contextualSpacing/>
              <w:rPr>
                <w:rFonts w:ascii="Arial Narrow" w:hAnsi="Arial Narrow" w:cs="Arial"/>
                <w:b/>
                <w:bCs/>
                <w:color w:val="231F20"/>
                <w:sz w:val="18"/>
                <w:szCs w:val="18"/>
              </w:rPr>
            </w:pPr>
            <w:r w:rsidRPr="00C51C86">
              <w:rPr>
                <w:rFonts w:ascii="Arial Narrow" w:hAnsi="Arial Narrow" w:cs="Arial"/>
                <w:b/>
                <w:bCs/>
                <w:color w:val="231F20"/>
                <w:sz w:val="18"/>
                <w:szCs w:val="18"/>
              </w:rPr>
              <w:t>Trial Type</w:t>
            </w:r>
          </w:p>
        </w:tc>
        <w:tc>
          <w:tcPr>
            <w:tcW w:w="4664" w:type="dxa"/>
            <w:tcMar>
              <w:left w:w="28" w:type="dxa"/>
              <w:right w:w="28" w:type="dxa"/>
            </w:tcMar>
            <w:vAlign w:val="center"/>
          </w:tcPr>
          <w:p w14:paraId="4CE7D2B8" w14:textId="77777777" w:rsidR="00360E5A" w:rsidRPr="00C51C86" w:rsidRDefault="00360E5A" w:rsidP="00483C5B">
            <w:pPr>
              <w:keepNext/>
              <w:autoSpaceDE w:val="0"/>
              <w:autoSpaceDN w:val="0"/>
              <w:adjustRightInd w:val="0"/>
              <w:spacing w:before="40" w:after="40"/>
              <w:ind w:left="0"/>
              <w:contextualSpacing/>
              <w:rPr>
                <w:rFonts w:ascii="Arial Narrow" w:hAnsi="Arial Narrow" w:cs="Arial"/>
                <w:b/>
                <w:bCs/>
                <w:color w:val="231F20"/>
                <w:sz w:val="18"/>
                <w:szCs w:val="18"/>
              </w:rPr>
            </w:pPr>
            <w:r w:rsidRPr="00C51C86">
              <w:rPr>
                <w:rFonts w:ascii="Arial Narrow" w:hAnsi="Arial Narrow" w:cs="Arial"/>
                <w:b/>
                <w:bCs/>
                <w:color w:val="231F20"/>
                <w:sz w:val="18"/>
                <w:szCs w:val="18"/>
              </w:rPr>
              <w:t>Patient Population/Study Design</w:t>
            </w:r>
          </w:p>
        </w:tc>
        <w:tc>
          <w:tcPr>
            <w:tcW w:w="2675" w:type="dxa"/>
            <w:tcMar>
              <w:left w:w="28" w:type="dxa"/>
              <w:right w:w="28" w:type="dxa"/>
            </w:tcMar>
            <w:vAlign w:val="center"/>
          </w:tcPr>
          <w:p w14:paraId="748BAF43" w14:textId="77777777" w:rsidR="00360E5A" w:rsidRPr="00C51C86" w:rsidRDefault="00360E5A" w:rsidP="00483C5B">
            <w:pPr>
              <w:keepNext/>
              <w:autoSpaceDE w:val="0"/>
              <w:autoSpaceDN w:val="0"/>
              <w:adjustRightInd w:val="0"/>
              <w:spacing w:before="40" w:after="40"/>
              <w:ind w:left="0"/>
              <w:contextualSpacing/>
              <w:rPr>
                <w:rFonts w:ascii="Arial Narrow" w:hAnsi="Arial Narrow" w:cs="Arial"/>
                <w:b/>
                <w:bCs/>
                <w:color w:val="231F20"/>
                <w:sz w:val="18"/>
                <w:szCs w:val="18"/>
              </w:rPr>
            </w:pPr>
            <w:r w:rsidRPr="00C51C86">
              <w:rPr>
                <w:rFonts w:ascii="Arial Narrow" w:hAnsi="Arial Narrow" w:cs="Arial"/>
                <w:b/>
                <w:bCs/>
                <w:color w:val="231F20"/>
                <w:sz w:val="18"/>
                <w:szCs w:val="18"/>
              </w:rPr>
              <w:t>Key Findings</w:t>
            </w:r>
          </w:p>
        </w:tc>
      </w:tr>
      <w:tr w:rsidR="00360E5A" w:rsidRPr="00C51C86" w14:paraId="24B525F5" w14:textId="77777777" w:rsidTr="002634EF">
        <w:trPr>
          <w:cantSplit/>
        </w:trPr>
        <w:tc>
          <w:tcPr>
            <w:tcW w:w="1006" w:type="dxa"/>
            <w:tcMar>
              <w:left w:w="28" w:type="dxa"/>
              <w:right w:w="28" w:type="dxa"/>
            </w:tcMar>
          </w:tcPr>
          <w:p w14:paraId="0FBC3C2E" w14:textId="77777777" w:rsidR="00360E5A" w:rsidRPr="00C51C86" w:rsidRDefault="00360E5A" w:rsidP="00483C5B">
            <w:pPr>
              <w:keepNext/>
              <w:autoSpaceDE w:val="0"/>
              <w:autoSpaceDN w:val="0"/>
              <w:adjustRightInd w:val="0"/>
              <w:spacing w:before="40" w:after="40"/>
              <w:ind w:left="0"/>
              <w:contextualSpacing/>
              <w:rPr>
                <w:rFonts w:ascii="Arial Narrow" w:hAnsi="Arial Narrow" w:cs="Arial"/>
                <w:bCs/>
                <w:color w:val="231F20"/>
                <w:sz w:val="18"/>
                <w:szCs w:val="18"/>
              </w:rPr>
            </w:pPr>
            <w:r w:rsidRPr="00C51C86">
              <w:rPr>
                <w:rFonts w:ascii="Arial Narrow" w:hAnsi="Arial Narrow" w:cs="Arial"/>
                <w:sz w:val="18"/>
                <w:szCs w:val="18"/>
              </w:rPr>
              <w:t>Randomized, Controlled, Multicenter</w:t>
            </w:r>
          </w:p>
        </w:tc>
        <w:tc>
          <w:tcPr>
            <w:tcW w:w="4664" w:type="dxa"/>
            <w:tcMar>
              <w:left w:w="28" w:type="dxa"/>
              <w:right w:w="28" w:type="dxa"/>
            </w:tcMar>
          </w:tcPr>
          <w:p w14:paraId="435D60D1" w14:textId="77777777" w:rsidR="00360E5A" w:rsidRPr="00C51C86" w:rsidRDefault="00360E5A" w:rsidP="00483C5B">
            <w:pPr>
              <w:keepNext/>
              <w:numPr>
                <w:ilvl w:val="0"/>
                <w:numId w:val="9"/>
              </w:numPr>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Sponsor:  National Institute of Mental Health, NIH</w:t>
            </w:r>
          </w:p>
          <w:p w14:paraId="7057FCED" w14:textId="77777777" w:rsidR="00360E5A" w:rsidRPr="00C51C86" w:rsidRDefault="00360E5A" w:rsidP="00483C5B">
            <w:pPr>
              <w:keepNext/>
              <w:numPr>
                <w:ilvl w:val="0"/>
                <w:numId w:val="9"/>
              </w:numPr>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Multicenter (4 sites), active sham-controlled</w:t>
            </w:r>
          </w:p>
          <w:p w14:paraId="7A8F097A" w14:textId="77777777" w:rsidR="00360E5A" w:rsidRPr="00C51C86" w:rsidRDefault="00360E5A" w:rsidP="00483C5B">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N=190 patients with MDD, demonstrated treatment resistance from 1 through 4 research-grade antidepressant medication in current episode (ATHF verified)</w:t>
            </w:r>
          </w:p>
          <w:p w14:paraId="5C6B9769" w14:textId="77777777" w:rsidR="00360E5A" w:rsidRPr="00C51C86" w:rsidRDefault="00360E5A" w:rsidP="00483C5B">
            <w:pPr>
              <w:keepNext/>
              <w:numPr>
                <w:ilvl w:val="0"/>
                <w:numId w:val="9"/>
              </w:numPr>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- 3 week fixed acute phase; 3 week variable duration extension for responders</w:t>
            </w:r>
          </w:p>
          <w:p w14:paraId="269C8E5B" w14:textId="77777777" w:rsidR="00360E5A" w:rsidRPr="00C51C86" w:rsidRDefault="00360E5A" w:rsidP="00483C5B">
            <w:pPr>
              <w:keepNext/>
              <w:numPr>
                <w:ilvl w:val="0"/>
                <w:numId w:val="9"/>
              </w:numPr>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Primary efficacy outcome: HAMD24 remission rate (at endpoint)</w:t>
            </w:r>
          </w:p>
          <w:p w14:paraId="5F0E1285" w14:textId="77777777" w:rsidR="00360E5A" w:rsidRPr="00C51C86" w:rsidRDefault="00360E5A" w:rsidP="00483C5B">
            <w:pPr>
              <w:keepNext/>
              <w:numPr>
                <w:ilvl w:val="0"/>
                <w:numId w:val="9"/>
              </w:numPr>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Key secondary outcomes: MADRS, HAMD24 change from baseline</w:t>
            </w:r>
          </w:p>
          <w:p w14:paraId="39E973E0" w14:textId="77777777" w:rsidR="00360E5A" w:rsidRPr="00C51C86" w:rsidRDefault="00360E5A" w:rsidP="00483C5B">
            <w:pPr>
              <w:keepNext/>
              <w:autoSpaceDE w:val="0"/>
              <w:autoSpaceDN w:val="0"/>
              <w:adjustRightInd w:val="0"/>
              <w:spacing w:before="40" w:after="40"/>
              <w:ind w:left="0"/>
              <w:contextualSpacing/>
              <w:rPr>
                <w:rFonts w:ascii="Arial Narrow" w:hAnsi="Arial Narrow" w:cs="Arial"/>
                <w:sz w:val="18"/>
                <w:szCs w:val="18"/>
              </w:rPr>
            </w:pPr>
          </w:p>
          <w:p w14:paraId="4C0F2002" w14:textId="77777777" w:rsidR="00360E5A" w:rsidRPr="00C51C86" w:rsidRDefault="00360E5A" w:rsidP="00483C5B">
            <w:pPr>
              <w:keepNext/>
              <w:autoSpaceDE w:val="0"/>
              <w:autoSpaceDN w:val="0"/>
              <w:adjustRightInd w:val="0"/>
              <w:spacing w:before="40" w:after="40"/>
              <w:ind w:left="0"/>
              <w:contextualSpacing/>
              <w:rPr>
                <w:rFonts w:ascii="Arial Narrow" w:hAnsi="Arial Narrow" w:cs="Arial"/>
                <w:bCs/>
                <w:color w:val="231F20"/>
                <w:sz w:val="18"/>
                <w:szCs w:val="18"/>
              </w:rPr>
            </w:pPr>
            <w:r w:rsidRPr="00C51C86">
              <w:rPr>
                <w:rFonts w:ascii="Arial Narrow" w:hAnsi="Arial Narrow" w:cs="Arial"/>
                <w:bCs/>
                <w:color w:val="231F20"/>
                <w:sz w:val="18"/>
                <w:szCs w:val="18"/>
                <w:u w:val="single"/>
              </w:rPr>
              <w:t>Reference</w:t>
            </w:r>
            <w:r w:rsidRPr="00C51C86">
              <w:rPr>
                <w:rFonts w:ascii="Arial Narrow" w:hAnsi="Arial Narrow" w:cs="Arial"/>
                <w:bCs/>
                <w:color w:val="231F20"/>
                <w:sz w:val="18"/>
                <w:szCs w:val="18"/>
              </w:rPr>
              <w:t>:</w:t>
            </w:r>
          </w:p>
          <w:p w14:paraId="7B4BB913" w14:textId="77777777" w:rsidR="00360E5A" w:rsidRPr="00C51C86" w:rsidRDefault="00360E5A" w:rsidP="00483C5B">
            <w:pPr>
              <w:pStyle w:val="ListParagraph"/>
              <w:keepNext/>
              <w:numPr>
                <w:ilvl w:val="0"/>
                <w:numId w:val="10"/>
              </w:numPr>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iCs/>
                <w:color w:val="231F20"/>
                <w:sz w:val="18"/>
                <w:szCs w:val="18"/>
                <w:lang w:val="de-DE"/>
              </w:rPr>
              <w:t xml:space="preserve">George, et al, Arch Gen Psychiatry. </w:t>
            </w:r>
            <w:r w:rsidRPr="00C51C86">
              <w:rPr>
                <w:rFonts w:ascii="Arial Narrow" w:hAnsi="Arial Narrow" w:cs="Arial"/>
                <w:iCs/>
                <w:color w:val="231F20"/>
                <w:sz w:val="18"/>
                <w:szCs w:val="18"/>
              </w:rPr>
              <w:t>(2010) 67(5):507-516</w:t>
            </w:r>
          </w:p>
        </w:tc>
        <w:tc>
          <w:tcPr>
            <w:tcW w:w="2675" w:type="dxa"/>
            <w:tcMar>
              <w:left w:w="28" w:type="dxa"/>
              <w:right w:w="28" w:type="dxa"/>
            </w:tcMar>
          </w:tcPr>
          <w:p w14:paraId="230811A1" w14:textId="77777777" w:rsidR="00360E5A" w:rsidRPr="00C51C86" w:rsidRDefault="00360E5A" w:rsidP="00483C5B">
            <w:pPr>
              <w:keepNext/>
              <w:autoSpaceDE w:val="0"/>
              <w:autoSpaceDN w:val="0"/>
              <w:adjustRightInd w:val="0"/>
              <w:spacing w:before="40" w:after="40"/>
              <w:ind w:left="0"/>
              <w:contextualSpacing/>
              <w:rPr>
                <w:rFonts w:ascii="Arial Narrow" w:hAnsi="Arial Narrow" w:cs="Arial"/>
                <w:bCs/>
                <w:color w:val="231F20"/>
                <w:sz w:val="18"/>
                <w:szCs w:val="18"/>
              </w:rPr>
            </w:pPr>
            <w:r w:rsidRPr="00C51C86">
              <w:rPr>
                <w:rFonts w:ascii="Arial Narrow" w:hAnsi="Arial Narrow" w:cs="Arial"/>
                <w:bCs/>
                <w:color w:val="231F20"/>
                <w:sz w:val="18"/>
                <w:szCs w:val="18"/>
                <w:u w:val="single"/>
              </w:rPr>
              <w:t>Primary Outcome</w:t>
            </w:r>
            <w:r w:rsidRPr="00C51C86">
              <w:rPr>
                <w:rFonts w:ascii="Arial Narrow" w:hAnsi="Arial Narrow" w:cs="Arial"/>
                <w:bCs/>
                <w:color w:val="231F20"/>
                <w:sz w:val="18"/>
                <w:szCs w:val="18"/>
              </w:rPr>
              <w:t>: [favours TMS]</w:t>
            </w:r>
          </w:p>
          <w:p w14:paraId="07990D8E" w14:textId="77777777" w:rsidR="00360E5A" w:rsidRPr="00C51C86" w:rsidRDefault="00360E5A" w:rsidP="00483C5B">
            <w:pPr>
              <w:pStyle w:val="ListParagraph"/>
              <w:keepNext/>
              <w:numPr>
                <w:ilvl w:val="0"/>
                <w:numId w:val="11"/>
              </w:numPr>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HAMD24 Remission rate TMS vs. sham @ endpoint: 14.1% vs. 5.1% (P=0.02), odds ratio = 4.2 (95% CI: 1.32, 13.24)</w:t>
            </w:r>
          </w:p>
          <w:p w14:paraId="15A9BFAE" w14:textId="77777777" w:rsidR="00360E5A" w:rsidRPr="00C51C86" w:rsidRDefault="00360E5A" w:rsidP="00483C5B">
            <w:pPr>
              <w:pStyle w:val="ListParagraph"/>
              <w:keepNext/>
              <w:numPr>
                <w:ilvl w:val="0"/>
                <w:numId w:val="11"/>
              </w:numPr>
              <w:autoSpaceDE w:val="0"/>
              <w:autoSpaceDN w:val="0"/>
              <w:adjustRightInd w:val="0"/>
              <w:spacing w:before="40" w:after="40"/>
              <w:ind w:left="0"/>
              <w:rPr>
                <w:rFonts w:ascii="Arial Narrow" w:hAnsi="Arial Narrow" w:cs="Arial"/>
                <w:bCs/>
                <w:color w:val="231F20"/>
                <w:sz w:val="18"/>
                <w:szCs w:val="18"/>
              </w:rPr>
            </w:pPr>
          </w:p>
          <w:p w14:paraId="2C2B2771" w14:textId="77777777" w:rsidR="00360E5A" w:rsidRPr="00C51C86" w:rsidRDefault="00360E5A" w:rsidP="00483C5B">
            <w:pPr>
              <w:keepNext/>
              <w:autoSpaceDE w:val="0"/>
              <w:autoSpaceDN w:val="0"/>
              <w:adjustRightInd w:val="0"/>
              <w:spacing w:before="40" w:after="40"/>
              <w:ind w:left="0"/>
              <w:contextualSpacing/>
              <w:rPr>
                <w:rFonts w:ascii="Arial Narrow" w:hAnsi="Arial Narrow" w:cs="Arial"/>
                <w:bCs/>
                <w:color w:val="231F20"/>
                <w:sz w:val="18"/>
                <w:szCs w:val="18"/>
              </w:rPr>
            </w:pPr>
            <w:r w:rsidRPr="00C51C86">
              <w:rPr>
                <w:rFonts w:ascii="Arial Narrow" w:hAnsi="Arial Narrow" w:cs="Arial"/>
                <w:bCs/>
                <w:color w:val="231F20"/>
                <w:sz w:val="18"/>
                <w:szCs w:val="18"/>
                <w:u w:val="single"/>
              </w:rPr>
              <w:t>Secondary Outcomes</w:t>
            </w:r>
            <w:r w:rsidRPr="00C51C86">
              <w:rPr>
                <w:rFonts w:ascii="Arial Narrow" w:hAnsi="Arial Narrow" w:cs="Arial"/>
                <w:bCs/>
                <w:color w:val="231F20"/>
                <w:sz w:val="18"/>
                <w:szCs w:val="18"/>
              </w:rPr>
              <w:t>: [favours TMS]</w:t>
            </w:r>
          </w:p>
          <w:p w14:paraId="0E94DA7E" w14:textId="77777777" w:rsidR="00360E5A" w:rsidRPr="00C51C86" w:rsidRDefault="00360E5A" w:rsidP="00483C5B">
            <w:pPr>
              <w:pStyle w:val="ListParagraph"/>
              <w:keepNext/>
              <w:numPr>
                <w:ilvl w:val="0"/>
                <w:numId w:val="11"/>
              </w:numPr>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HAMD24 change from baseline @ endpoint: (P=0.06), effect size = -0.42 (95% CI: -4.23, 0.10)</w:t>
            </w:r>
          </w:p>
          <w:p w14:paraId="7F8ECF56" w14:textId="77777777" w:rsidR="00360E5A" w:rsidRPr="00C51C86" w:rsidRDefault="00360E5A" w:rsidP="00483C5B">
            <w:pPr>
              <w:pStyle w:val="ListParagraph"/>
              <w:keepNext/>
              <w:numPr>
                <w:ilvl w:val="0"/>
                <w:numId w:val="11"/>
              </w:numPr>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MADRS change from baseline @ endpoint (P=0.01), effect size = -0.51 (95% CI: -6.10, -0.76)</w:t>
            </w:r>
          </w:p>
        </w:tc>
      </w:tr>
    </w:tbl>
    <w:p w14:paraId="547DEA77" w14:textId="77777777" w:rsidR="00C51C86" w:rsidRDefault="00360E5A" w:rsidP="00483C5B">
      <w:pPr>
        <w:keepNext/>
        <w:spacing w:before="40" w:after="40"/>
        <w:jc w:val="both"/>
        <w:rPr>
          <w:rFonts w:ascii="Arial Narrow" w:hAnsi="Arial Narrow" w:cs="Arial"/>
          <w:color w:val="000000"/>
          <w:sz w:val="18"/>
          <w:szCs w:val="18"/>
        </w:rPr>
      </w:pPr>
      <w:r w:rsidRPr="00C51C86">
        <w:rPr>
          <w:rFonts w:ascii="Arial Narrow" w:hAnsi="Arial Narrow" w:cs="Arial"/>
          <w:color w:val="000000"/>
          <w:sz w:val="18"/>
          <w:szCs w:val="18"/>
        </w:rPr>
        <w:t>ATHF = antidepressant treatment history form; CI = confidence interval; HAMD = Hamilton depression rating scale; MADRS = Montgomery-Asberg depression rating scale; MDD = major depressive disorder; N = number; NIH = National Institutes of Health; TMS = Transcranial Magnetic Stimulation; TRD = treatment resistant depression</w:t>
      </w:r>
    </w:p>
    <w:p w14:paraId="7D98B57D" w14:textId="77777777" w:rsidR="00483C5B" w:rsidRDefault="00483C5B" w:rsidP="00483C5B">
      <w:pPr>
        <w:keepNext/>
        <w:spacing w:before="40" w:after="40"/>
        <w:jc w:val="both"/>
        <w:rPr>
          <w:rFonts w:ascii="Arial Narrow" w:hAnsi="Arial Narrow" w:cs="Arial"/>
          <w:color w:val="000000"/>
          <w:sz w:val="18"/>
          <w:szCs w:val="18"/>
        </w:rPr>
      </w:pPr>
    </w:p>
    <w:p w14:paraId="66776994" w14:textId="5509E376" w:rsidR="00483C5B" w:rsidRPr="00AD6EF2" w:rsidRDefault="00483C5B" w:rsidP="00483C5B">
      <w:pPr>
        <w:jc w:val="both"/>
      </w:pPr>
      <w:r w:rsidRPr="00AD6EF2">
        <w:t xml:space="preserve">The authors reported that, for the entire treatment resistant patient population, there was a significant effect of active treatment on the proportion of remitters (15% active </w:t>
      </w:r>
      <w:r w:rsidR="008F4342">
        <w:t>r</w:t>
      </w:r>
      <w:r w:rsidRPr="00AD6EF2">
        <w:t xml:space="preserve">TMS vs. 4% sham control group, P=0.015), representing a 4.2 greater odds of reaching remission with active </w:t>
      </w:r>
      <w:r w:rsidR="008F4342">
        <w:t>r</w:t>
      </w:r>
      <w:r w:rsidRPr="00AD6EF2">
        <w:t xml:space="preserve">TMS compared to sham control. They concluded that "...daily left prefrontal </w:t>
      </w:r>
      <w:r w:rsidR="008F4342">
        <w:t>r</w:t>
      </w:r>
      <w:r w:rsidRPr="00AD6EF2">
        <w:t>TMS as monotherapy produced significant and clinically meaningful antidepressant therapeutic effects greater than sham..." (George, et al., 2010)</w:t>
      </w:r>
    </w:p>
    <w:p w14:paraId="0E1A45A2" w14:textId="03DB0E07" w:rsidR="00483C5B" w:rsidRDefault="00483C5B" w:rsidP="00483C5B">
      <w:pPr>
        <w:jc w:val="both"/>
      </w:pPr>
      <w:r w:rsidRPr="00AD6EF2">
        <w:t xml:space="preserve">It is important to note that this study used the NeuroStar </w:t>
      </w:r>
      <w:r w:rsidR="008F4342">
        <w:t>r</w:t>
      </w:r>
      <w:r w:rsidRPr="00AD6EF2">
        <w:t xml:space="preserve">TMS Therapy </w:t>
      </w:r>
      <w:r>
        <w:t>S</w:t>
      </w:r>
      <w:r w:rsidRPr="00AD6EF2">
        <w:t xml:space="preserve">ystem, the first </w:t>
      </w:r>
      <w:r w:rsidR="008F4342">
        <w:t>r</w:t>
      </w:r>
      <w:r w:rsidRPr="00AD6EF2">
        <w:t xml:space="preserve">TMS device cleared for commercial use by the FDA, and the same treatment parameters as reported in NeuroStar </w:t>
      </w:r>
      <w:r w:rsidR="008F4342">
        <w:t>r</w:t>
      </w:r>
      <w:r w:rsidRPr="00AD6EF2">
        <w:t xml:space="preserve">TMS Therapy registration study (O’Reardon, et al., 2007; Janicak, et al;., 2008; Demitrack and Thase, 2009). Prior randomized trials have used different protocols; these two randomized studies are the first to use identical protocols using </w:t>
      </w:r>
      <w:proofErr w:type="gramStart"/>
      <w:r w:rsidRPr="00AD6EF2">
        <w:t>a</w:t>
      </w:r>
      <w:proofErr w:type="gramEnd"/>
      <w:r w:rsidRPr="00AD6EF2">
        <w:t xml:space="preserve"> </w:t>
      </w:r>
      <w:r w:rsidR="008F4342">
        <w:t>r</w:t>
      </w:r>
      <w:r w:rsidRPr="00AD6EF2">
        <w:t xml:space="preserve">TMS device that has been cleared by the FDA for the treatment of depression. The results of the NIMH-sponsored study further validate the results of the NeuroStar </w:t>
      </w:r>
      <w:r w:rsidR="008F4342">
        <w:t>r</w:t>
      </w:r>
      <w:r w:rsidRPr="00AD6EF2">
        <w:t xml:space="preserve">TMS registration study. </w:t>
      </w:r>
    </w:p>
    <w:p w14:paraId="20EE1CCA" w14:textId="77777777" w:rsidR="00360E5A" w:rsidRPr="00C51C86" w:rsidRDefault="00360E5A" w:rsidP="00C51C86">
      <w:pPr>
        <w:pStyle w:val="Heading5"/>
      </w:pPr>
      <w:bookmarkStart w:id="79" w:name="_Toc319068999"/>
      <w:bookmarkStart w:id="80" w:name="_Toc367715530"/>
      <w:bookmarkStart w:id="81" w:name="_Toc367716663"/>
      <w:bookmarkStart w:id="82" w:name="_Toc367801977"/>
      <w:r w:rsidRPr="00C51C86">
        <w:t>Single site trials and meta-analyses supporting the efficacy of TMS in the treatment of depression</w:t>
      </w:r>
      <w:bookmarkEnd w:id="79"/>
      <w:bookmarkEnd w:id="80"/>
      <w:bookmarkEnd w:id="81"/>
      <w:bookmarkEnd w:id="82"/>
    </w:p>
    <w:p w14:paraId="69D3290D" w14:textId="53323EFE" w:rsidR="00360E5A" w:rsidRDefault="00360E5A" w:rsidP="002634EF">
      <w:pPr>
        <w:jc w:val="both"/>
        <w:rPr>
          <w:b/>
          <w:i/>
        </w:rPr>
      </w:pPr>
      <w:r w:rsidRPr="00AD6EF2">
        <w:t xml:space="preserve">The accumulated evidence for the clinical efficacy of </w:t>
      </w:r>
      <w:r w:rsidR="008F4342">
        <w:t>r</w:t>
      </w:r>
      <w:r w:rsidRPr="00AD6EF2">
        <w:t xml:space="preserve">TMS in the treatment of depression is considerable, now spanning </w:t>
      </w:r>
      <w:r w:rsidRPr="00DE00A3">
        <w:t>more than 30 controlled clinical studies in over 2</w:t>
      </w:r>
      <w:r>
        <w:t>,</w:t>
      </w:r>
      <w:r w:rsidRPr="00DE00A3">
        <w:t>000 patients</w:t>
      </w:r>
      <w:r w:rsidRPr="00AD6EF2">
        <w:t>.</w:t>
      </w:r>
      <w:r>
        <w:t xml:space="preserve"> </w:t>
      </w:r>
      <w:r w:rsidRPr="00AD6EF2">
        <w:t>To date, this aggregate data h</w:t>
      </w:r>
      <w:r>
        <w:t>as been examined in more than ten</w:t>
      </w:r>
      <w:r w:rsidRPr="00AD6EF2">
        <w:t xml:space="preserve"> meta-analyses and two qualitative reviews of </w:t>
      </w:r>
      <w:r w:rsidR="008F4342">
        <w:t>r</w:t>
      </w:r>
      <w:r w:rsidRPr="00AD6EF2">
        <w:t>TMS published in the peer-reviewed liter</w:t>
      </w:r>
      <w:r>
        <w:t xml:space="preserve">ature between </w:t>
      </w:r>
      <w:r w:rsidRPr="00C51C86">
        <w:rPr>
          <w:rFonts w:eastAsiaTheme="minorEastAsia" w:cstheme="majorBidi"/>
          <w:lang w:val="en-US"/>
        </w:rPr>
        <w:t xml:space="preserve">2001 and 2013 (see </w:t>
      </w:r>
      <w:r w:rsidR="00C51C86" w:rsidRPr="00C51C86">
        <w:rPr>
          <w:rFonts w:eastAsiaTheme="minorEastAsia" w:cstheme="majorBidi"/>
          <w:lang w:val="en-US"/>
        </w:rPr>
        <w:fldChar w:fldCharType="begin"/>
      </w:r>
      <w:r w:rsidR="00C51C86" w:rsidRPr="00C51C86">
        <w:rPr>
          <w:rFonts w:eastAsiaTheme="minorEastAsia" w:cstheme="majorBidi"/>
          <w:lang w:val="en-US"/>
        </w:rPr>
        <w:instrText xml:space="preserve"> REF _Ref386027324 \h </w:instrText>
      </w:r>
      <w:r w:rsidR="00C51C86">
        <w:rPr>
          <w:rFonts w:eastAsiaTheme="minorEastAsia" w:cstheme="majorBidi"/>
          <w:lang w:val="en-US"/>
        </w:rPr>
        <w:instrText xml:space="preserve"> \* MERGEFORMAT </w:instrText>
      </w:r>
      <w:r w:rsidR="00C51C86" w:rsidRPr="00C51C86">
        <w:rPr>
          <w:rFonts w:eastAsiaTheme="minorEastAsia" w:cstheme="majorBidi"/>
          <w:lang w:val="en-US"/>
        </w:rPr>
      </w:r>
      <w:r w:rsidR="00C51C86" w:rsidRPr="00C51C86">
        <w:rPr>
          <w:rFonts w:eastAsiaTheme="minorEastAsia" w:cstheme="majorBidi"/>
          <w:lang w:val="en-US"/>
        </w:rPr>
        <w:fldChar w:fldCharType="separate"/>
      </w:r>
      <w:r w:rsidR="004C1C27" w:rsidRPr="004C1C27">
        <w:rPr>
          <w:rFonts w:eastAsiaTheme="minorEastAsia" w:cstheme="majorBidi"/>
          <w:lang w:val="en-US"/>
        </w:rPr>
        <w:t xml:space="preserve">Table </w:t>
      </w:r>
      <w:r w:rsidR="00C51C86" w:rsidRPr="00C51C86">
        <w:rPr>
          <w:rFonts w:eastAsiaTheme="minorEastAsia" w:cstheme="majorBidi"/>
          <w:lang w:val="en-US"/>
        </w:rPr>
        <w:fldChar w:fldCharType="end"/>
      </w:r>
      <w:r w:rsidR="00C51C86" w:rsidRPr="00C51C86">
        <w:rPr>
          <w:rFonts w:eastAsiaTheme="minorEastAsia" w:cstheme="majorBidi"/>
          <w:lang w:val="en-US"/>
        </w:rPr>
        <w:t xml:space="preserve"> </w:t>
      </w:r>
      <w:r w:rsidRPr="00C51C86">
        <w:rPr>
          <w:rFonts w:eastAsiaTheme="minorEastAsia" w:cstheme="majorBidi"/>
          <w:lang w:val="en-US"/>
        </w:rPr>
        <w:t xml:space="preserve">for a complete summary of these references). </w:t>
      </w:r>
      <w:r w:rsidRPr="00C51C86">
        <w:rPr>
          <w:rFonts w:eastAsiaTheme="minorEastAsia" w:cstheme="majorBidi"/>
          <w:i/>
          <w:lang w:val="en-US"/>
        </w:rPr>
        <w:t xml:space="preserve">Overall, </w:t>
      </w:r>
      <w:r w:rsidRPr="00C51C86">
        <w:rPr>
          <w:rFonts w:eastAsiaTheme="minorEastAsia" w:cstheme="majorBidi"/>
          <w:i/>
          <w:lang w:val="en-US"/>
        </w:rPr>
        <w:lastRenderedPageBreak/>
        <w:t>these</w:t>
      </w:r>
      <w:r w:rsidRPr="00DE00A3">
        <w:rPr>
          <w:bCs/>
          <w:i/>
        </w:rPr>
        <w:t xml:space="preserve"> reports provide a consistent, comprehensive and replicated literature base that supports the specific use of left-prefrontal, high frequency </w:t>
      </w:r>
      <w:r w:rsidR="008F4342">
        <w:rPr>
          <w:bCs/>
          <w:i/>
        </w:rPr>
        <w:t>r</w:t>
      </w:r>
      <w:r w:rsidRPr="00DE00A3">
        <w:rPr>
          <w:bCs/>
          <w:i/>
        </w:rPr>
        <w:t>TMS in patients with treatment-resistant depression</w:t>
      </w:r>
      <w:r w:rsidRPr="00AD6EF2">
        <w:rPr>
          <w:b/>
          <w:i/>
        </w:rPr>
        <w:t xml:space="preserve">.  </w:t>
      </w:r>
    </w:p>
    <w:p w14:paraId="64DAD659" w14:textId="28EC605F" w:rsidR="00360E5A" w:rsidRPr="009E2E2D" w:rsidRDefault="00360E5A" w:rsidP="002634EF">
      <w:pPr>
        <w:jc w:val="both"/>
        <w:rPr>
          <w:lang w:val="en-US"/>
        </w:rPr>
      </w:pPr>
      <w:r w:rsidRPr="00AD6EF2">
        <w:t xml:space="preserve">As an example of the comprehensiveness of these reports, one of the more recently published meta-analyses (Slotema, et al, 2010) examined data from 34 studies involving 1,383 patients. These authors reported an effect size of 0.55 (95% </w:t>
      </w:r>
      <w:r>
        <w:t>CI:</w:t>
      </w:r>
      <w:r w:rsidRPr="00AD6EF2">
        <w:t xml:space="preserve"> 0.38</w:t>
      </w:r>
      <w:r>
        <w:t>,</w:t>
      </w:r>
      <w:r w:rsidRPr="00AD6EF2">
        <w:t xml:space="preserve"> 0.72) for the use of TMS in the treatment of </w:t>
      </w:r>
      <w:r w:rsidR="005A1090">
        <w:t xml:space="preserve">treatment resistant </w:t>
      </w:r>
      <w:r w:rsidRPr="00AD6EF2">
        <w:t>depression</w:t>
      </w:r>
      <w:r w:rsidRPr="009E2E2D">
        <w:rPr>
          <w:lang w:val="en-US"/>
        </w:rPr>
        <w:t>.</w:t>
      </w:r>
    </w:p>
    <w:p w14:paraId="461E5F40" w14:textId="39F77E04" w:rsidR="00360E5A" w:rsidRPr="002634EF" w:rsidRDefault="00C51C86" w:rsidP="00C42A71">
      <w:pPr>
        <w:pStyle w:val="TableName"/>
      </w:pPr>
      <w:bookmarkStart w:id="83" w:name="_Ref386027324"/>
      <w:bookmarkStart w:id="84" w:name="_Toc389143580"/>
      <w:r w:rsidRPr="002634EF">
        <w:t xml:space="preserve">Table </w:t>
      </w:r>
      <w:bookmarkEnd w:id="83"/>
      <w:r w:rsidR="005A1090">
        <w:t>6</w:t>
      </w:r>
      <w:r w:rsidRPr="002634EF">
        <w:t xml:space="preserve">: </w:t>
      </w:r>
      <w:r w:rsidR="00360E5A" w:rsidRPr="002634EF">
        <w:t xml:space="preserve">Meta-analyses and qualitative reviews of the efficacy of </w:t>
      </w:r>
      <w:r w:rsidR="00AF7FCA" w:rsidRPr="002634EF">
        <w:t>r</w:t>
      </w:r>
      <w:r w:rsidR="00360E5A" w:rsidRPr="002634EF">
        <w:t xml:space="preserve">TMS </w:t>
      </w:r>
      <w:r w:rsidR="00AF7FCA" w:rsidRPr="002634EF">
        <w:t>vs</w:t>
      </w:r>
      <w:r w:rsidR="00E216B1" w:rsidRPr="002634EF">
        <w:t>.</w:t>
      </w:r>
      <w:r w:rsidR="00AF7FCA" w:rsidRPr="002634EF">
        <w:t xml:space="preserve"> </w:t>
      </w:r>
      <w:r w:rsidR="00E216B1" w:rsidRPr="002634EF">
        <w:t>S</w:t>
      </w:r>
      <w:r w:rsidR="00AF7FCA" w:rsidRPr="002634EF">
        <w:t>ham</w:t>
      </w:r>
      <w:bookmarkEnd w:id="84"/>
    </w:p>
    <w:tbl>
      <w:tblPr>
        <w:tblW w:w="4575" w:type="pct"/>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Caption w:val="Meta analysis and qualitative review of efficacy rTMS vs. Sham"/>
      </w:tblPr>
      <w:tblGrid>
        <w:gridCol w:w="1276"/>
        <w:gridCol w:w="709"/>
        <w:gridCol w:w="850"/>
        <w:gridCol w:w="995"/>
        <w:gridCol w:w="4533"/>
      </w:tblGrid>
      <w:tr w:rsidR="00C51C86" w:rsidRPr="00C51C86" w14:paraId="5DE344A8" w14:textId="77777777" w:rsidTr="00C51C86">
        <w:trPr>
          <w:cantSplit/>
          <w:tblHeader/>
        </w:trPr>
        <w:tc>
          <w:tcPr>
            <w:tcW w:w="763" w:type="pct"/>
            <w:shd w:val="clear" w:color="auto" w:fill="auto"/>
            <w:vAlign w:val="center"/>
          </w:tcPr>
          <w:p w14:paraId="163906F9" w14:textId="77777777" w:rsidR="00360E5A" w:rsidRPr="00C51C86" w:rsidRDefault="00360E5A" w:rsidP="00C42A71">
            <w:pPr>
              <w:pStyle w:val="NoSpacing"/>
              <w:keepNext/>
              <w:spacing w:before="40" w:after="40"/>
              <w:ind w:left="26" w:hanging="26"/>
              <w:rPr>
                <w:rFonts w:ascii="Arial Narrow" w:hAnsi="Arial Narrow" w:cs="Arial"/>
                <w:b/>
                <w:sz w:val="18"/>
                <w:szCs w:val="18"/>
              </w:rPr>
            </w:pPr>
            <w:r w:rsidRPr="00C51C86">
              <w:rPr>
                <w:rFonts w:ascii="Arial Narrow" w:hAnsi="Arial Narrow" w:cs="Arial"/>
                <w:b/>
                <w:sz w:val="18"/>
                <w:szCs w:val="18"/>
              </w:rPr>
              <w:t>Meta-Analysis</w:t>
            </w:r>
          </w:p>
        </w:tc>
        <w:tc>
          <w:tcPr>
            <w:tcW w:w="424" w:type="pct"/>
            <w:shd w:val="clear" w:color="auto" w:fill="auto"/>
            <w:vAlign w:val="center"/>
          </w:tcPr>
          <w:p w14:paraId="24CD4770" w14:textId="77777777" w:rsidR="00360E5A" w:rsidRPr="00C51C86" w:rsidRDefault="00360E5A" w:rsidP="00C42A71">
            <w:pPr>
              <w:pStyle w:val="NoSpacing"/>
              <w:keepNext/>
              <w:spacing w:before="40" w:after="40"/>
              <w:ind w:left="26" w:hanging="26"/>
              <w:jc w:val="center"/>
              <w:rPr>
                <w:rFonts w:ascii="Arial Narrow" w:hAnsi="Arial Narrow" w:cs="Arial"/>
                <w:b/>
                <w:sz w:val="18"/>
                <w:szCs w:val="18"/>
              </w:rPr>
            </w:pPr>
            <w:r w:rsidRPr="00C51C86">
              <w:rPr>
                <w:rFonts w:ascii="Arial Narrow" w:hAnsi="Arial Narrow" w:cs="Arial"/>
                <w:b/>
                <w:sz w:val="18"/>
                <w:szCs w:val="18"/>
              </w:rPr>
              <w:t>No. studies</w:t>
            </w:r>
          </w:p>
        </w:tc>
        <w:tc>
          <w:tcPr>
            <w:tcW w:w="508" w:type="pct"/>
            <w:shd w:val="clear" w:color="auto" w:fill="auto"/>
            <w:vAlign w:val="center"/>
          </w:tcPr>
          <w:p w14:paraId="723A6A60" w14:textId="77777777" w:rsidR="000D5999" w:rsidRPr="00C51C86" w:rsidRDefault="00360E5A" w:rsidP="00C42A71">
            <w:pPr>
              <w:pStyle w:val="NoSpacing"/>
              <w:keepNext/>
              <w:spacing w:before="40" w:after="40"/>
              <w:ind w:left="26" w:right="-118" w:hanging="26"/>
              <w:jc w:val="center"/>
              <w:rPr>
                <w:rFonts w:ascii="Arial Narrow" w:hAnsi="Arial Narrow" w:cs="Arial"/>
                <w:b/>
                <w:sz w:val="18"/>
                <w:szCs w:val="18"/>
              </w:rPr>
            </w:pPr>
            <w:r w:rsidRPr="00C51C86">
              <w:rPr>
                <w:rFonts w:ascii="Arial Narrow" w:hAnsi="Arial Narrow" w:cs="Arial"/>
                <w:b/>
                <w:sz w:val="18"/>
                <w:szCs w:val="18"/>
              </w:rPr>
              <w:t>No.</w:t>
            </w:r>
          </w:p>
          <w:p w14:paraId="460FEB25" w14:textId="77777777" w:rsidR="00360E5A" w:rsidRPr="00C51C86" w:rsidRDefault="00360E5A" w:rsidP="00C42A71">
            <w:pPr>
              <w:pStyle w:val="NoSpacing"/>
              <w:keepNext/>
              <w:spacing w:before="40" w:after="40"/>
              <w:ind w:left="26" w:right="-118" w:hanging="26"/>
              <w:jc w:val="center"/>
              <w:rPr>
                <w:rFonts w:ascii="Arial Narrow" w:hAnsi="Arial Narrow" w:cs="Arial"/>
                <w:b/>
                <w:sz w:val="18"/>
                <w:szCs w:val="18"/>
              </w:rPr>
            </w:pPr>
            <w:r w:rsidRPr="00C51C86">
              <w:rPr>
                <w:rFonts w:ascii="Arial Narrow" w:hAnsi="Arial Narrow" w:cs="Arial"/>
                <w:b/>
                <w:sz w:val="18"/>
                <w:szCs w:val="18"/>
              </w:rPr>
              <w:t>patients</w:t>
            </w:r>
          </w:p>
        </w:tc>
        <w:tc>
          <w:tcPr>
            <w:tcW w:w="595" w:type="pct"/>
            <w:shd w:val="clear" w:color="auto" w:fill="auto"/>
            <w:vAlign w:val="center"/>
          </w:tcPr>
          <w:p w14:paraId="6BBCD776" w14:textId="77777777" w:rsidR="00360E5A" w:rsidRPr="00C51C86" w:rsidRDefault="00360E5A" w:rsidP="00C42A71">
            <w:pPr>
              <w:pStyle w:val="NoSpacing"/>
              <w:keepNext/>
              <w:spacing w:before="40" w:after="40"/>
              <w:ind w:left="26" w:hanging="26"/>
              <w:jc w:val="center"/>
              <w:rPr>
                <w:rFonts w:ascii="Arial Narrow" w:hAnsi="Arial Narrow" w:cs="Arial"/>
                <w:b/>
                <w:sz w:val="18"/>
                <w:szCs w:val="18"/>
              </w:rPr>
            </w:pPr>
            <w:r w:rsidRPr="00C51C86">
              <w:rPr>
                <w:rFonts w:ascii="Arial Narrow" w:hAnsi="Arial Narrow" w:cs="Arial"/>
                <w:b/>
                <w:sz w:val="18"/>
                <w:szCs w:val="18"/>
              </w:rPr>
              <w:t>Effect size</w:t>
            </w:r>
          </w:p>
          <w:p w14:paraId="46A2AEB8" w14:textId="77777777" w:rsidR="00360E5A" w:rsidRPr="00C51C86" w:rsidRDefault="00360E5A" w:rsidP="00C42A71">
            <w:pPr>
              <w:pStyle w:val="NoSpacing"/>
              <w:keepNext/>
              <w:spacing w:before="40" w:after="40"/>
              <w:ind w:left="26" w:hanging="26"/>
              <w:jc w:val="center"/>
              <w:rPr>
                <w:rFonts w:ascii="Arial Narrow" w:hAnsi="Arial Narrow" w:cs="Arial"/>
                <w:b/>
                <w:sz w:val="18"/>
                <w:szCs w:val="18"/>
              </w:rPr>
            </w:pPr>
            <w:r w:rsidRPr="00C51C86">
              <w:rPr>
                <w:rFonts w:ascii="Arial Narrow" w:hAnsi="Arial Narrow" w:cs="Arial"/>
                <w:b/>
                <w:sz w:val="18"/>
                <w:szCs w:val="18"/>
              </w:rPr>
              <w:t>(95% CI)</w:t>
            </w:r>
          </w:p>
        </w:tc>
        <w:tc>
          <w:tcPr>
            <w:tcW w:w="2710" w:type="pct"/>
            <w:shd w:val="clear" w:color="auto" w:fill="auto"/>
            <w:vAlign w:val="center"/>
          </w:tcPr>
          <w:p w14:paraId="6A15B590" w14:textId="77777777" w:rsidR="00360E5A" w:rsidRPr="00C51C86" w:rsidRDefault="00360E5A" w:rsidP="00C42A71">
            <w:pPr>
              <w:pStyle w:val="NoSpacing"/>
              <w:keepNext/>
              <w:spacing w:before="40" w:after="40"/>
              <w:ind w:left="26" w:right="411" w:hanging="26"/>
              <w:jc w:val="center"/>
              <w:rPr>
                <w:rFonts w:ascii="Arial Narrow" w:hAnsi="Arial Narrow" w:cs="Arial"/>
                <w:b/>
                <w:sz w:val="18"/>
                <w:szCs w:val="18"/>
              </w:rPr>
            </w:pPr>
            <w:r w:rsidRPr="00C51C86">
              <w:rPr>
                <w:rFonts w:ascii="Arial Narrow" w:hAnsi="Arial Narrow" w:cs="Arial"/>
                <w:b/>
                <w:sz w:val="18"/>
                <w:szCs w:val="18"/>
              </w:rPr>
              <w:t>Conclusions</w:t>
            </w:r>
          </w:p>
        </w:tc>
      </w:tr>
      <w:tr w:rsidR="00C51C86" w:rsidRPr="00C51C86" w14:paraId="2232F18A" w14:textId="77777777" w:rsidTr="00C51C86">
        <w:trPr>
          <w:cantSplit/>
        </w:trPr>
        <w:tc>
          <w:tcPr>
            <w:tcW w:w="763" w:type="pct"/>
            <w:vAlign w:val="center"/>
          </w:tcPr>
          <w:p w14:paraId="72CDB7B8" w14:textId="77777777" w:rsidR="00360E5A" w:rsidRPr="00C51C86" w:rsidRDefault="00360E5A" w:rsidP="00C42A71">
            <w:pPr>
              <w:pStyle w:val="NoSpacing"/>
              <w:keepNext/>
              <w:spacing w:before="40" w:after="40"/>
              <w:ind w:left="26" w:hanging="26"/>
              <w:rPr>
                <w:rFonts w:ascii="Arial Narrow" w:hAnsi="Arial Narrow" w:cs="Arial"/>
                <w:sz w:val="18"/>
                <w:szCs w:val="18"/>
              </w:rPr>
            </w:pPr>
            <w:r w:rsidRPr="00C51C86">
              <w:rPr>
                <w:rFonts w:ascii="Arial Narrow" w:hAnsi="Arial Narrow" w:cs="Arial"/>
                <w:sz w:val="18"/>
                <w:szCs w:val="18"/>
              </w:rPr>
              <w:t>McNamara (2001)</w:t>
            </w:r>
          </w:p>
        </w:tc>
        <w:tc>
          <w:tcPr>
            <w:tcW w:w="424" w:type="pct"/>
            <w:vAlign w:val="center"/>
          </w:tcPr>
          <w:p w14:paraId="590E141D" w14:textId="77777777" w:rsidR="00360E5A" w:rsidRPr="00C51C86" w:rsidRDefault="00360E5A" w:rsidP="00C42A71">
            <w:pPr>
              <w:pStyle w:val="NoSpacing"/>
              <w:keepNext/>
              <w:spacing w:before="40" w:after="40"/>
              <w:ind w:left="26" w:hanging="26"/>
              <w:jc w:val="center"/>
              <w:rPr>
                <w:rFonts w:ascii="Arial Narrow" w:hAnsi="Arial Narrow" w:cs="Arial"/>
                <w:sz w:val="18"/>
                <w:szCs w:val="18"/>
              </w:rPr>
            </w:pPr>
            <w:r w:rsidRPr="00C51C86">
              <w:rPr>
                <w:rFonts w:ascii="Arial Narrow" w:hAnsi="Arial Narrow" w:cs="Arial"/>
                <w:sz w:val="18"/>
                <w:szCs w:val="18"/>
              </w:rPr>
              <w:t>5</w:t>
            </w:r>
          </w:p>
        </w:tc>
        <w:tc>
          <w:tcPr>
            <w:tcW w:w="508" w:type="pct"/>
            <w:vAlign w:val="center"/>
          </w:tcPr>
          <w:p w14:paraId="0C26898F" w14:textId="77777777" w:rsidR="00360E5A" w:rsidRPr="00C51C86" w:rsidRDefault="00360E5A" w:rsidP="00C42A71">
            <w:pPr>
              <w:pStyle w:val="NoSpacing"/>
              <w:keepNext/>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81</w:t>
            </w:r>
          </w:p>
        </w:tc>
        <w:tc>
          <w:tcPr>
            <w:tcW w:w="595" w:type="pct"/>
            <w:vAlign w:val="center"/>
          </w:tcPr>
          <w:p w14:paraId="3D77F171" w14:textId="77777777" w:rsidR="00360E5A" w:rsidRPr="00C51C86" w:rsidRDefault="00360E5A" w:rsidP="00C42A71">
            <w:pPr>
              <w:pStyle w:val="NoSpacing"/>
              <w:keepNext/>
              <w:spacing w:before="40" w:after="40"/>
              <w:ind w:left="26" w:hanging="26"/>
              <w:jc w:val="center"/>
              <w:rPr>
                <w:rFonts w:ascii="Arial Narrow" w:hAnsi="Arial Narrow" w:cs="Arial"/>
                <w:sz w:val="18"/>
                <w:szCs w:val="18"/>
              </w:rPr>
            </w:pPr>
            <w:r w:rsidRPr="00C51C86">
              <w:rPr>
                <w:rFonts w:ascii="Arial Narrow" w:hAnsi="Arial Narrow" w:cs="Arial"/>
                <w:sz w:val="18"/>
                <w:szCs w:val="18"/>
              </w:rPr>
              <w:t>NNT = 2.3</w:t>
            </w:r>
          </w:p>
          <w:p w14:paraId="3D764242" w14:textId="77777777" w:rsidR="00360E5A" w:rsidRPr="00C51C86" w:rsidRDefault="00360E5A" w:rsidP="00C42A71">
            <w:pPr>
              <w:pStyle w:val="NoSpacing"/>
              <w:keepNext/>
              <w:spacing w:before="40" w:after="40"/>
              <w:ind w:left="26" w:hanging="26"/>
              <w:jc w:val="center"/>
              <w:rPr>
                <w:rFonts w:ascii="Arial Narrow" w:hAnsi="Arial Narrow" w:cs="Arial"/>
                <w:sz w:val="18"/>
                <w:szCs w:val="18"/>
              </w:rPr>
            </w:pPr>
            <w:r w:rsidRPr="00C51C86">
              <w:rPr>
                <w:rFonts w:ascii="Arial Narrow" w:hAnsi="Arial Narrow" w:cs="Arial"/>
                <w:sz w:val="18"/>
                <w:szCs w:val="18"/>
              </w:rPr>
              <w:t>(1.6, 4.0)</w:t>
            </w:r>
          </w:p>
        </w:tc>
        <w:tc>
          <w:tcPr>
            <w:tcW w:w="2710" w:type="pct"/>
            <w:vAlign w:val="center"/>
          </w:tcPr>
          <w:p w14:paraId="7CD8BF61" w14:textId="77777777" w:rsidR="00360E5A" w:rsidRPr="00C51C86" w:rsidRDefault="00360E5A" w:rsidP="00C42A71">
            <w:pPr>
              <w:pStyle w:val="NoSpacing"/>
              <w:keepNext/>
              <w:spacing w:before="40" w:after="40"/>
              <w:ind w:left="26" w:right="411" w:hanging="26"/>
              <w:rPr>
                <w:rFonts w:ascii="Arial Narrow" w:hAnsi="Arial Narrow" w:cs="Arial"/>
                <w:sz w:val="18"/>
                <w:szCs w:val="18"/>
              </w:rPr>
            </w:pPr>
            <w:r w:rsidRPr="00C51C86">
              <w:rPr>
                <w:rFonts w:ascii="Arial Narrow" w:hAnsi="Arial Narrow" w:cs="Arial"/>
                <w:sz w:val="18"/>
                <w:szCs w:val="18"/>
              </w:rPr>
              <w:t>TMS has “demonstrable beneficial effects in major depression”</w:t>
            </w:r>
          </w:p>
        </w:tc>
      </w:tr>
      <w:tr w:rsidR="00C51C86" w:rsidRPr="00C51C86" w14:paraId="1BD3209A" w14:textId="77777777" w:rsidTr="00C51C86">
        <w:trPr>
          <w:cantSplit/>
        </w:trPr>
        <w:tc>
          <w:tcPr>
            <w:tcW w:w="763" w:type="pct"/>
            <w:vAlign w:val="center"/>
          </w:tcPr>
          <w:p w14:paraId="1768F402"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Holtzheimer (2001)</w:t>
            </w:r>
          </w:p>
        </w:tc>
        <w:tc>
          <w:tcPr>
            <w:tcW w:w="424" w:type="pct"/>
            <w:vAlign w:val="center"/>
          </w:tcPr>
          <w:p w14:paraId="30659F09"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12</w:t>
            </w:r>
          </w:p>
        </w:tc>
        <w:tc>
          <w:tcPr>
            <w:tcW w:w="508" w:type="pct"/>
            <w:vAlign w:val="center"/>
          </w:tcPr>
          <w:p w14:paraId="4592D97C"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264</w:t>
            </w:r>
          </w:p>
        </w:tc>
        <w:tc>
          <w:tcPr>
            <w:tcW w:w="595" w:type="pct"/>
            <w:vAlign w:val="center"/>
          </w:tcPr>
          <w:p w14:paraId="2DAE533F"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0.81</w:t>
            </w:r>
          </w:p>
          <w:p w14:paraId="13BC72A1"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(0.42, 1.20)</w:t>
            </w:r>
          </w:p>
        </w:tc>
        <w:tc>
          <w:tcPr>
            <w:tcW w:w="2710" w:type="pct"/>
            <w:vAlign w:val="center"/>
          </w:tcPr>
          <w:p w14:paraId="3F863CB1"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“TMS is statistically superior to sham stimulation in the treatment of depression, showing a moderate to large effect size”</w:t>
            </w:r>
          </w:p>
        </w:tc>
      </w:tr>
      <w:tr w:rsidR="00C51C86" w:rsidRPr="00C51C86" w14:paraId="69BA4C17" w14:textId="77777777" w:rsidTr="00C51C86">
        <w:trPr>
          <w:cantSplit/>
        </w:trPr>
        <w:tc>
          <w:tcPr>
            <w:tcW w:w="763" w:type="pct"/>
            <w:vAlign w:val="center"/>
          </w:tcPr>
          <w:p w14:paraId="0D9686AB"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Martin (2001) for the Cochrane Collaboration</w:t>
            </w:r>
          </w:p>
        </w:tc>
        <w:tc>
          <w:tcPr>
            <w:tcW w:w="424" w:type="pct"/>
            <w:vAlign w:val="center"/>
          </w:tcPr>
          <w:p w14:paraId="62B915FA"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14</w:t>
            </w:r>
          </w:p>
        </w:tc>
        <w:tc>
          <w:tcPr>
            <w:tcW w:w="508" w:type="pct"/>
            <w:vAlign w:val="center"/>
          </w:tcPr>
          <w:p w14:paraId="718CF913"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372</w:t>
            </w:r>
          </w:p>
        </w:tc>
        <w:tc>
          <w:tcPr>
            <w:tcW w:w="595" w:type="pct"/>
            <w:vAlign w:val="center"/>
          </w:tcPr>
          <w:p w14:paraId="483C4543"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-0.35</w:t>
            </w:r>
          </w:p>
          <w:p w14:paraId="4B3A02D1"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(-0.04, -0.66)</w:t>
            </w:r>
          </w:p>
        </w:tc>
        <w:tc>
          <w:tcPr>
            <w:tcW w:w="2710" w:type="pct"/>
            <w:vAlign w:val="center"/>
          </w:tcPr>
          <w:p w14:paraId="0B8ADFD9"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“The information in this review suggests that there is no strong evidence for benefit from using TMS to treat depression, although the small sample sizes do not exclude the possibility of benefit”</w:t>
            </w:r>
          </w:p>
        </w:tc>
      </w:tr>
      <w:tr w:rsidR="00C51C86" w:rsidRPr="00C51C86" w14:paraId="7ABBBAA8" w14:textId="77777777" w:rsidTr="00C51C86">
        <w:trPr>
          <w:cantSplit/>
        </w:trPr>
        <w:tc>
          <w:tcPr>
            <w:tcW w:w="763" w:type="pct"/>
            <w:vAlign w:val="center"/>
          </w:tcPr>
          <w:p w14:paraId="2B05FA67"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Kozel  (2002)</w:t>
            </w:r>
          </w:p>
        </w:tc>
        <w:tc>
          <w:tcPr>
            <w:tcW w:w="424" w:type="pct"/>
            <w:vAlign w:val="center"/>
          </w:tcPr>
          <w:p w14:paraId="1F641869"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12</w:t>
            </w:r>
          </w:p>
        </w:tc>
        <w:tc>
          <w:tcPr>
            <w:tcW w:w="508" w:type="pct"/>
            <w:vAlign w:val="center"/>
          </w:tcPr>
          <w:p w14:paraId="5E094990"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230</w:t>
            </w:r>
          </w:p>
        </w:tc>
        <w:tc>
          <w:tcPr>
            <w:tcW w:w="595" w:type="pct"/>
            <w:vAlign w:val="center"/>
          </w:tcPr>
          <w:p w14:paraId="2557F5DA"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0.53</w:t>
            </w:r>
          </w:p>
          <w:p w14:paraId="3A7F6C2F"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(0.24, 0.82)</w:t>
            </w:r>
          </w:p>
        </w:tc>
        <w:tc>
          <w:tcPr>
            <w:tcW w:w="2710" w:type="pct"/>
            <w:vAlign w:val="center"/>
          </w:tcPr>
          <w:p w14:paraId="4566258F"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 xml:space="preserve">“…[the data] supports the hypothesis that left prefrontal rTMS is an acute antidepressant treatment with statistically significant effect sizes and measurable clinical improvement” </w:t>
            </w:r>
          </w:p>
        </w:tc>
      </w:tr>
      <w:tr w:rsidR="00C51C86" w:rsidRPr="00C51C86" w14:paraId="23913BDA" w14:textId="77777777" w:rsidTr="00C51C86">
        <w:trPr>
          <w:cantSplit/>
        </w:trPr>
        <w:tc>
          <w:tcPr>
            <w:tcW w:w="763" w:type="pct"/>
            <w:vAlign w:val="center"/>
          </w:tcPr>
          <w:p w14:paraId="0EF4CBD3"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Burt  (2002)</w:t>
            </w:r>
          </w:p>
        </w:tc>
        <w:tc>
          <w:tcPr>
            <w:tcW w:w="424" w:type="pct"/>
            <w:vAlign w:val="center"/>
          </w:tcPr>
          <w:p w14:paraId="603C1CD1"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23</w:t>
            </w:r>
          </w:p>
        </w:tc>
        <w:tc>
          <w:tcPr>
            <w:tcW w:w="508" w:type="pct"/>
            <w:vAlign w:val="center"/>
          </w:tcPr>
          <w:p w14:paraId="7D2A5C7B"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432</w:t>
            </w:r>
          </w:p>
        </w:tc>
        <w:tc>
          <w:tcPr>
            <w:tcW w:w="595" w:type="pct"/>
            <w:vAlign w:val="center"/>
          </w:tcPr>
          <w:p w14:paraId="5D2AE3BA"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0.62</w:t>
            </w:r>
          </w:p>
          <w:p w14:paraId="516F38F3"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(NR)</w:t>
            </w:r>
          </w:p>
        </w:tc>
        <w:tc>
          <w:tcPr>
            <w:tcW w:w="2710" w:type="pct"/>
            <w:vAlign w:val="center"/>
          </w:tcPr>
          <w:p w14:paraId="32E8AF13"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“A meta-analysis of controlled studies indicates that this [antidepressant] effect is fairly robust from a statistical viewpoint.  However, effect sizes are heterogeneous and few studies have shown that rTMS results in substantial rates of response or remission, and the durability of the antidepressant effects is largely unknown”</w:t>
            </w:r>
          </w:p>
        </w:tc>
      </w:tr>
      <w:tr w:rsidR="00C51C86" w:rsidRPr="00C51C86" w14:paraId="5AB02369" w14:textId="77777777" w:rsidTr="00C51C86">
        <w:trPr>
          <w:cantSplit/>
        </w:trPr>
        <w:tc>
          <w:tcPr>
            <w:tcW w:w="763" w:type="pct"/>
            <w:vAlign w:val="center"/>
          </w:tcPr>
          <w:p w14:paraId="15B1ECC5"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Aarre  (2003)</w:t>
            </w:r>
          </w:p>
        </w:tc>
        <w:tc>
          <w:tcPr>
            <w:tcW w:w="424" w:type="pct"/>
            <w:vAlign w:val="center"/>
          </w:tcPr>
          <w:p w14:paraId="65D4FB7C"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12</w:t>
            </w:r>
          </w:p>
        </w:tc>
        <w:tc>
          <w:tcPr>
            <w:tcW w:w="508" w:type="pct"/>
            <w:vAlign w:val="center"/>
          </w:tcPr>
          <w:p w14:paraId="36C0AD8C"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306</w:t>
            </w:r>
          </w:p>
        </w:tc>
        <w:tc>
          <w:tcPr>
            <w:tcW w:w="595" w:type="pct"/>
            <w:vAlign w:val="center"/>
          </w:tcPr>
          <w:p w14:paraId="18CEA41C"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Qualitative review of data only</w:t>
            </w:r>
          </w:p>
        </w:tc>
        <w:tc>
          <w:tcPr>
            <w:tcW w:w="2710" w:type="pct"/>
            <w:vAlign w:val="center"/>
          </w:tcPr>
          <w:p w14:paraId="4A7A8E41"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Authors deferred application of formal meta-analysis because the study methods were too diverse, and no large studies were present. Insufficient evidence as of yet to determine the efficacy of rTMS in the treatment of depression.</w:t>
            </w:r>
          </w:p>
        </w:tc>
      </w:tr>
      <w:tr w:rsidR="00C51C86" w:rsidRPr="00C51C86" w14:paraId="1A7C9A1E" w14:textId="77777777" w:rsidTr="00C51C86">
        <w:trPr>
          <w:cantSplit/>
        </w:trPr>
        <w:tc>
          <w:tcPr>
            <w:tcW w:w="763" w:type="pct"/>
            <w:vAlign w:val="center"/>
          </w:tcPr>
          <w:p w14:paraId="324B5E25"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Couturier (2005)</w:t>
            </w:r>
          </w:p>
        </w:tc>
        <w:tc>
          <w:tcPr>
            <w:tcW w:w="424" w:type="pct"/>
            <w:vAlign w:val="center"/>
          </w:tcPr>
          <w:p w14:paraId="1067739B"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6</w:t>
            </w:r>
          </w:p>
        </w:tc>
        <w:tc>
          <w:tcPr>
            <w:tcW w:w="508" w:type="pct"/>
            <w:vAlign w:val="center"/>
          </w:tcPr>
          <w:p w14:paraId="6BCAC3B1"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91</w:t>
            </w:r>
          </w:p>
        </w:tc>
        <w:tc>
          <w:tcPr>
            <w:tcW w:w="595" w:type="pct"/>
            <w:vAlign w:val="center"/>
          </w:tcPr>
          <w:p w14:paraId="5CC25AF4"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WMD = -1.1</w:t>
            </w:r>
          </w:p>
          <w:p w14:paraId="27283402"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(-4.5, 2.3)</w:t>
            </w:r>
          </w:p>
        </w:tc>
        <w:tc>
          <w:tcPr>
            <w:tcW w:w="2710" w:type="pct"/>
            <w:vAlign w:val="center"/>
          </w:tcPr>
          <w:p w14:paraId="4C6003BF" w14:textId="77777777" w:rsidR="00360E5A" w:rsidRPr="00C51C86" w:rsidRDefault="00360E5A" w:rsidP="00C42A71">
            <w:pPr>
              <w:pStyle w:val="NoSpacing"/>
              <w:spacing w:before="40" w:after="40"/>
              <w:ind w:left="26" w:right="411" w:hanging="26"/>
              <w:rPr>
                <w:rFonts w:ascii="Arial Narrow" w:hAnsi="Arial Narrow" w:cs="Arial"/>
                <w:sz w:val="18"/>
                <w:szCs w:val="18"/>
              </w:rPr>
            </w:pPr>
            <w:proofErr w:type="gramStart"/>
            <w:r w:rsidRPr="00C51C86">
              <w:rPr>
                <w:rFonts w:ascii="Arial Narrow" w:hAnsi="Arial Narrow" w:cs="Arial"/>
                <w:sz w:val="18"/>
                <w:szCs w:val="18"/>
              </w:rPr>
              <w:t>“…[</w:t>
            </w:r>
            <w:proofErr w:type="gramEnd"/>
            <w:r w:rsidRPr="00C51C86">
              <w:rPr>
                <w:rFonts w:ascii="Arial Narrow" w:hAnsi="Arial Narrow" w:cs="Arial"/>
                <w:sz w:val="18"/>
                <w:szCs w:val="18"/>
              </w:rPr>
              <w:t>data] suggests that rapid-rate rTMS is no different from sham treatment in major depression; however, the power within these studies to detect a difference was generally low. Randomized controlled trials with sufficient power to detect a clinically meaningful difference are required” NOTE</w:t>
            </w:r>
            <w:r w:rsidRPr="00C51C86">
              <w:rPr>
                <w:rFonts w:ascii="Arial Narrow" w:hAnsi="Arial Narrow" w:cs="Arial"/>
                <w:i/>
                <w:iCs/>
                <w:sz w:val="18"/>
                <w:szCs w:val="18"/>
              </w:rPr>
              <w:t>: Hermann (2006) cited the use of inappropriate statistical methodology in the Couturier analysis.</w:t>
            </w:r>
          </w:p>
        </w:tc>
      </w:tr>
      <w:tr w:rsidR="00C51C86" w:rsidRPr="00C51C86" w14:paraId="1404322C" w14:textId="77777777" w:rsidTr="00C51C86">
        <w:trPr>
          <w:cantSplit/>
        </w:trPr>
        <w:tc>
          <w:tcPr>
            <w:tcW w:w="763" w:type="pct"/>
            <w:vAlign w:val="center"/>
          </w:tcPr>
          <w:p w14:paraId="393141AC"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Loo (2005)</w:t>
            </w:r>
          </w:p>
        </w:tc>
        <w:tc>
          <w:tcPr>
            <w:tcW w:w="424" w:type="pct"/>
            <w:vAlign w:val="center"/>
          </w:tcPr>
          <w:p w14:paraId="31B135FB"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25</w:t>
            </w:r>
          </w:p>
        </w:tc>
        <w:tc>
          <w:tcPr>
            <w:tcW w:w="508" w:type="pct"/>
            <w:vAlign w:val="center"/>
          </w:tcPr>
          <w:p w14:paraId="7670B77F"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745</w:t>
            </w:r>
          </w:p>
        </w:tc>
        <w:tc>
          <w:tcPr>
            <w:tcW w:w="595" w:type="pct"/>
            <w:vAlign w:val="center"/>
          </w:tcPr>
          <w:p w14:paraId="5D3C70C1"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Qualitative review of data only</w:t>
            </w:r>
          </w:p>
        </w:tc>
        <w:tc>
          <w:tcPr>
            <w:tcW w:w="2710" w:type="pct"/>
            <w:vAlign w:val="center"/>
          </w:tcPr>
          <w:p w14:paraId="72BE926C"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“There is fairly consistent statistical evidence for the superiority of rTMS over a sham control, though the degree of clinical improvement is not large. However, this data is derived mainly from two-week comparisons of rTMS versus sham, and evidence suggests greater efficacy with longer treatment courses.”</w:t>
            </w:r>
          </w:p>
        </w:tc>
      </w:tr>
      <w:tr w:rsidR="00C51C86" w:rsidRPr="00C51C86" w14:paraId="5B6163DF" w14:textId="77777777" w:rsidTr="00C51C86">
        <w:trPr>
          <w:cantSplit/>
        </w:trPr>
        <w:tc>
          <w:tcPr>
            <w:tcW w:w="763" w:type="pct"/>
            <w:vAlign w:val="center"/>
          </w:tcPr>
          <w:p w14:paraId="00057C0F"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Herrmann (2006)</w:t>
            </w:r>
          </w:p>
        </w:tc>
        <w:tc>
          <w:tcPr>
            <w:tcW w:w="424" w:type="pct"/>
            <w:vAlign w:val="center"/>
          </w:tcPr>
          <w:p w14:paraId="6D74F628"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33</w:t>
            </w:r>
          </w:p>
        </w:tc>
        <w:tc>
          <w:tcPr>
            <w:tcW w:w="508" w:type="pct"/>
            <w:vAlign w:val="center"/>
          </w:tcPr>
          <w:p w14:paraId="3B144AE7"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877</w:t>
            </w:r>
          </w:p>
        </w:tc>
        <w:tc>
          <w:tcPr>
            <w:tcW w:w="595" w:type="pct"/>
            <w:vAlign w:val="center"/>
          </w:tcPr>
          <w:p w14:paraId="148A569D"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0.71</w:t>
            </w:r>
          </w:p>
          <w:p w14:paraId="1A297E95"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(0.45, 0.97)</w:t>
            </w:r>
          </w:p>
        </w:tc>
        <w:tc>
          <w:tcPr>
            <w:tcW w:w="2710" w:type="pct"/>
            <w:vAlign w:val="center"/>
          </w:tcPr>
          <w:p w14:paraId="44E9E0C9"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“Active TMS was more effective than sham, but variability was too great to take any single study design as paradigmatic.”</w:t>
            </w:r>
          </w:p>
        </w:tc>
      </w:tr>
      <w:tr w:rsidR="00C51C86" w:rsidRPr="00C51C86" w14:paraId="2758A727" w14:textId="77777777" w:rsidTr="00C51C86">
        <w:trPr>
          <w:cantSplit/>
        </w:trPr>
        <w:tc>
          <w:tcPr>
            <w:tcW w:w="763" w:type="pct"/>
            <w:vAlign w:val="center"/>
          </w:tcPr>
          <w:p w14:paraId="42414E95"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Gross (2007)</w:t>
            </w:r>
          </w:p>
        </w:tc>
        <w:tc>
          <w:tcPr>
            <w:tcW w:w="424" w:type="pct"/>
            <w:vAlign w:val="center"/>
          </w:tcPr>
          <w:p w14:paraId="5E708B89"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5</w:t>
            </w:r>
          </w:p>
        </w:tc>
        <w:tc>
          <w:tcPr>
            <w:tcW w:w="508" w:type="pct"/>
            <w:vAlign w:val="center"/>
          </w:tcPr>
          <w:p w14:paraId="1EA5E5B5"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274</w:t>
            </w:r>
          </w:p>
        </w:tc>
        <w:tc>
          <w:tcPr>
            <w:tcW w:w="595" w:type="pct"/>
            <w:vAlign w:val="center"/>
          </w:tcPr>
          <w:p w14:paraId="5D6A098C"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-0.76</w:t>
            </w:r>
          </w:p>
          <w:p w14:paraId="47FD33EC"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(-0.51, -1.01)</w:t>
            </w:r>
          </w:p>
        </w:tc>
        <w:tc>
          <w:tcPr>
            <w:tcW w:w="2710" w:type="pct"/>
            <w:vAlign w:val="center"/>
          </w:tcPr>
          <w:p w14:paraId="57BDCC6F"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 xml:space="preserve"> “Our findings showing that the recent TMS trials had larger effect sizes when compared with the earlier rTMS studies give additional support for the antidepressant effects of rTMS.”</w:t>
            </w:r>
          </w:p>
        </w:tc>
      </w:tr>
      <w:tr w:rsidR="00C51C86" w:rsidRPr="00C51C86" w14:paraId="5E68B779" w14:textId="77777777" w:rsidTr="00C51C86">
        <w:trPr>
          <w:cantSplit/>
        </w:trPr>
        <w:tc>
          <w:tcPr>
            <w:tcW w:w="763" w:type="pct"/>
            <w:vAlign w:val="center"/>
          </w:tcPr>
          <w:p w14:paraId="0F113B11"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Lam (2008)</w:t>
            </w:r>
          </w:p>
        </w:tc>
        <w:tc>
          <w:tcPr>
            <w:tcW w:w="424" w:type="pct"/>
            <w:vAlign w:val="center"/>
          </w:tcPr>
          <w:p w14:paraId="2313C1FC"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24</w:t>
            </w:r>
          </w:p>
        </w:tc>
        <w:tc>
          <w:tcPr>
            <w:tcW w:w="508" w:type="pct"/>
            <w:vAlign w:val="center"/>
          </w:tcPr>
          <w:p w14:paraId="4805ACF9"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899</w:t>
            </w:r>
          </w:p>
        </w:tc>
        <w:tc>
          <w:tcPr>
            <w:tcW w:w="595" w:type="pct"/>
            <w:vAlign w:val="center"/>
          </w:tcPr>
          <w:p w14:paraId="1CC9B0CA"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0.48</w:t>
            </w:r>
          </w:p>
          <w:p w14:paraId="008FF12E"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(0.28, 0.69)</w:t>
            </w:r>
          </w:p>
        </w:tc>
        <w:tc>
          <w:tcPr>
            <w:tcW w:w="2710" w:type="pct"/>
            <w:vAlign w:val="center"/>
          </w:tcPr>
          <w:p w14:paraId="2D24233D"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“…active rTMS is significantly superior to sham in short-term acute treatment of TRD. The risk difference of 17% and the NNT of 6 are of clinically significant magnitude for these difficult to treat patients, and similar to those seen with medication-placebo comparisons in TRD…”</w:t>
            </w:r>
          </w:p>
        </w:tc>
      </w:tr>
      <w:tr w:rsidR="00C51C86" w:rsidRPr="00C51C86" w14:paraId="13CD58C6" w14:textId="77777777" w:rsidTr="00C51C86">
        <w:trPr>
          <w:cantSplit/>
        </w:trPr>
        <w:tc>
          <w:tcPr>
            <w:tcW w:w="763" w:type="pct"/>
            <w:vAlign w:val="center"/>
          </w:tcPr>
          <w:p w14:paraId="725379E7"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lastRenderedPageBreak/>
              <w:t>Schutter (2009)</w:t>
            </w:r>
          </w:p>
        </w:tc>
        <w:tc>
          <w:tcPr>
            <w:tcW w:w="424" w:type="pct"/>
            <w:vAlign w:val="center"/>
          </w:tcPr>
          <w:p w14:paraId="07788C75"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30</w:t>
            </w:r>
          </w:p>
        </w:tc>
        <w:tc>
          <w:tcPr>
            <w:tcW w:w="508" w:type="pct"/>
            <w:vAlign w:val="center"/>
          </w:tcPr>
          <w:p w14:paraId="36B10998"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1,164</w:t>
            </w:r>
          </w:p>
        </w:tc>
        <w:tc>
          <w:tcPr>
            <w:tcW w:w="595" w:type="pct"/>
            <w:vAlign w:val="center"/>
          </w:tcPr>
          <w:p w14:paraId="40C9E2B0"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0.39</w:t>
            </w:r>
          </w:p>
          <w:p w14:paraId="1C0A44F1"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(0.25, 0.54)</w:t>
            </w:r>
          </w:p>
        </w:tc>
        <w:tc>
          <w:tcPr>
            <w:tcW w:w="2710" w:type="pct"/>
            <w:vAlign w:val="center"/>
          </w:tcPr>
          <w:p w14:paraId="5103A492"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“…high frequency TMS over the left DLPFC is superior to sham in the treatment of depression.  The effect size is robust and comparable to at least a subset of commercially available antidepressant drug agents…”</w:t>
            </w:r>
          </w:p>
        </w:tc>
      </w:tr>
      <w:tr w:rsidR="00C51C86" w:rsidRPr="00C51C86" w14:paraId="02B43EB7" w14:textId="77777777" w:rsidTr="00C51C86">
        <w:trPr>
          <w:cantSplit/>
        </w:trPr>
        <w:tc>
          <w:tcPr>
            <w:tcW w:w="763" w:type="pct"/>
            <w:vAlign w:val="center"/>
          </w:tcPr>
          <w:p w14:paraId="47D34E57"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Slotema (2010)</w:t>
            </w:r>
          </w:p>
        </w:tc>
        <w:tc>
          <w:tcPr>
            <w:tcW w:w="424" w:type="pct"/>
            <w:vAlign w:val="center"/>
          </w:tcPr>
          <w:p w14:paraId="1071321B"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34</w:t>
            </w:r>
          </w:p>
        </w:tc>
        <w:tc>
          <w:tcPr>
            <w:tcW w:w="508" w:type="pct"/>
            <w:vAlign w:val="center"/>
          </w:tcPr>
          <w:p w14:paraId="619BE8C2"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1,383</w:t>
            </w:r>
          </w:p>
        </w:tc>
        <w:tc>
          <w:tcPr>
            <w:tcW w:w="595" w:type="pct"/>
            <w:vAlign w:val="center"/>
          </w:tcPr>
          <w:p w14:paraId="353D4819"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0.55</w:t>
            </w:r>
          </w:p>
          <w:p w14:paraId="0B03B6F6"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(0.38, 0.72)</w:t>
            </w:r>
          </w:p>
        </w:tc>
        <w:tc>
          <w:tcPr>
            <w:tcW w:w="2710" w:type="pct"/>
            <w:vAlign w:val="center"/>
          </w:tcPr>
          <w:p w14:paraId="288EA09C"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“…rTMS deserves a place in the standard toolbox of psychiatric treatment methods, as it is effective for depression and has a mild side effect profile...Although rTMS cannot replace ECT in depressive patients, there may be subgroups in which rTMS can replace antidepressant medication…”</w:t>
            </w:r>
          </w:p>
        </w:tc>
      </w:tr>
      <w:tr w:rsidR="00C51C86" w:rsidRPr="00C51C86" w14:paraId="2254B30A" w14:textId="77777777" w:rsidTr="00C51C86">
        <w:trPr>
          <w:cantSplit/>
        </w:trPr>
        <w:tc>
          <w:tcPr>
            <w:tcW w:w="763" w:type="pct"/>
            <w:vAlign w:val="center"/>
          </w:tcPr>
          <w:p w14:paraId="57D6B53E" w14:textId="77777777" w:rsidR="00360E5A" w:rsidRPr="00C51C86" w:rsidRDefault="00360E5A" w:rsidP="00C42A71">
            <w:pPr>
              <w:pStyle w:val="NoSpacing"/>
              <w:spacing w:before="40" w:after="40"/>
              <w:ind w:left="26" w:hanging="26"/>
              <w:rPr>
                <w:rFonts w:ascii="Arial Narrow" w:hAnsi="Arial Narrow" w:cs="Arial"/>
                <w:sz w:val="18"/>
                <w:szCs w:val="18"/>
              </w:rPr>
            </w:pPr>
            <w:r w:rsidRPr="00C51C86">
              <w:rPr>
                <w:rFonts w:ascii="Arial Narrow" w:hAnsi="Arial Narrow" w:cs="Arial"/>
                <w:sz w:val="18"/>
                <w:szCs w:val="18"/>
              </w:rPr>
              <w:t>Allan (2011)</w:t>
            </w:r>
          </w:p>
        </w:tc>
        <w:tc>
          <w:tcPr>
            <w:tcW w:w="424" w:type="pct"/>
            <w:vAlign w:val="center"/>
          </w:tcPr>
          <w:p w14:paraId="62F3DF4B"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31</w:t>
            </w:r>
          </w:p>
        </w:tc>
        <w:tc>
          <w:tcPr>
            <w:tcW w:w="508" w:type="pct"/>
            <w:vAlign w:val="center"/>
          </w:tcPr>
          <w:p w14:paraId="40CA33F0" w14:textId="77777777" w:rsidR="00360E5A" w:rsidRPr="00C51C86" w:rsidRDefault="00360E5A" w:rsidP="00C42A71">
            <w:pPr>
              <w:pStyle w:val="NoSpacing"/>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1,531</w:t>
            </w:r>
          </w:p>
        </w:tc>
        <w:tc>
          <w:tcPr>
            <w:tcW w:w="595" w:type="pct"/>
            <w:vAlign w:val="center"/>
          </w:tcPr>
          <w:p w14:paraId="2837430C"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0.64</w:t>
            </w:r>
          </w:p>
          <w:p w14:paraId="6B13FA6C" w14:textId="77777777" w:rsidR="00360E5A" w:rsidRPr="00C51C86" w:rsidRDefault="00360E5A" w:rsidP="00C42A71">
            <w:pPr>
              <w:pStyle w:val="NoSpacing"/>
              <w:spacing w:before="40" w:after="40"/>
              <w:ind w:left="26" w:hanging="26"/>
              <w:jc w:val="center"/>
              <w:rPr>
                <w:rFonts w:ascii="Arial Narrow" w:hAnsi="Arial Narrow" w:cs="Arial"/>
                <w:sz w:val="18"/>
                <w:szCs w:val="18"/>
              </w:rPr>
            </w:pPr>
            <w:r w:rsidRPr="00C51C86">
              <w:rPr>
                <w:rFonts w:ascii="Arial Narrow" w:hAnsi="Arial Narrow" w:cs="Arial"/>
                <w:sz w:val="18"/>
                <w:szCs w:val="18"/>
              </w:rPr>
              <w:t>(0.50, 0.79)</w:t>
            </w:r>
          </w:p>
        </w:tc>
        <w:tc>
          <w:tcPr>
            <w:tcW w:w="2710" w:type="pct"/>
            <w:vAlign w:val="center"/>
          </w:tcPr>
          <w:p w14:paraId="787B03FB" w14:textId="77777777" w:rsidR="00360E5A" w:rsidRPr="00C51C86" w:rsidRDefault="00360E5A" w:rsidP="00C42A71">
            <w:pPr>
              <w:pStyle w:val="NoSpacing"/>
              <w:spacing w:before="40" w:after="40"/>
              <w:ind w:left="26" w:right="411" w:hanging="26"/>
              <w:rPr>
                <w:rFonts w:ascii="Arial Narrow" w:hAnsi="Arial Narrow" w:cs="Arial"/>
                <w:sz w:val="18"/>
                <w:szCs w:val="18"/>
              </w:rPr>
            </w:pPr>
            <w:r w:rsidRPr="00C51C86">
              <w:rPr>
                <w:rFonts w:ascii="Arial Narrow" w:hAnsi="Arial Narrow" w:cs="Arial"/>
                <w:sz w:val="18"/>
                <w:szCs w:val="18"/>
              </w:rPr>
              <w:t>“…Our meta-analysis of changes in depression scales, and clinical improvement of more than 50% on such scales, confirms a moderate statistically significant effect of active therapy…”</w:t>
            </w:r>
          </w:p>
        </w:tc>
      </w:tr>
      <w:tr w:rsidR="00C51C86" w:rsidRPr="00C51C86" w14:paraId="45764340" w14:textId="77777777" w:rsidTr="00C51C86">
        <w:trPr>
          <w:cantSplit/>
        </w:trPr>
        <w:tc>
          <w:tcPr>
            <w:tcW w:w="763" w:type="pct"/>
            <w:vAlign w:val="center"/>
          </w:tcPr>
          <w:p w14:paraId="26654E0B" w14:textId="77777777" w:rsidR="00360E5A" w:rsidRPr="00C51C86" w:rsidRDefault="00360E5A" w:rsidP="00C42A71">
            <w:pPr>
              <w:pStyle w:val="NoSpacing"/>
              <w:keepNext/>
              <w:spacing w:before="40" w:after="40"/>
              <w:ind w:left="26" w:hanging="26"/>
              <w:rPr>
                <w:rFonts w:ascii="Arial Narrow" w:hAnsi="Arial Narrow" w:cs="Arial"/>
                <w:sz w:val="18"/>
                <w:szCs w:val="18"/>
              </w:rPr>
            </w:pPr>
            <w:r w:rsidRPr="00C51C86">
              <w:rPr>
                <w:rFonts w:ascii="Arial Narrow" w:hAnsi="Arial Narrow" w:cs="Arial"/>
                <w:sz w:val="18"/>
                <w:szCs w:val="18"/>
              </w:rPr>
              <w:t>Berlim (2013)</w:t>
            </w:r>
          </w:p>
        </w:tc>
        <w:tc>
          <w:tcPr>
            <w:tcW w:w="424" w:type="pct"/>
            <w:vAlign w:val="center"/>
          </w:tcPr>
          <w:p w14:paraId="176FB372" w14:textId="77777777" w:rsidR="00360E5A" w:rsidRPr="00C51C86" w:rsidRDefault="00360E5A" w:rsidP="00C42A71">
            <w:pPr>
              <w:pStyle w:val="NoSpacing"/>
              <w:keepNext/>
              <w:spacing w:before="40" w:after="40"/>
              <w:ind w:left="26" w:hanging="26"/>
              <w:jc w:val="center"/>
              <w:rPr>
                <w:rFonts w:ascii="Arial Narrow" w:hAnsi="Arial Narrow" w:cs="Arial"/>
                <w:sz w:val="18"/>
                <w:szCs w:val="18"/>
              </w:rPr>
            </w:pPr>
            <w:r w:rsidRPr="00C51C86">
              <w:rPr>
                <w:rFonts w:ascii="Arial Narrow" w:hAnsi="Arial Narrow" w:cs="Arial"/>
                <w:sz w:val="18"/>
                <w:szCs w:val="18"/>
              </w:rPr>
              <w:t>29</w:t>
            </w:r>
          </w:p>
        </w:tc>
        <w:tc>
          <w:tcPr>
            <w:tcW w:w="508" w:type="pct"/>
            <w:vAlign w:val="center"/>
          </w:tcPr>
          <w:p w14:paraId="3343DFC7" w14:textId="77777777" w:rsidR="00360E5A" w:rsidRPr="00C51C86" w:rsidRDefault="00360E5A" w:rsidP="00C42A71">
            <w:pPr>
              <w:pStyle w:val="NoSpacing"/>
              <w:keepNext/>
              <w:spacing w:before="40" w:after="40"/>
              <w:ind w:left="26" w:right="-118" w:hanging="26"/>
              <w:jc w:val="center"/>
              <w:rPr>
                <w:rFonts w:ascii="Arial Narrow" w:hAnsi="Arial Narrow" w:cs="Arial"/>
                <w:sz w:val="18"/>
                <w:szCs w:val="18"/>
              </w:rPr>
            </w:pPr>
            <w:r w:rsidRPr="00C51C86">
              <w:rPr>
                <w:rFonts w:ascii="Arial Narrow" w:hAnsi="Arial Narrow" w:cs="Arial"/>
                <w:sz w:val="18"/>
                <w:szCs w:val="18"/>
              </w:rPr>
              <w:t>1,371</w:t>
            </w:r>
          </w:p>
        </w:tc>
        <w:tc>
          <w:tcPr>
            <w:tcW w:w="595" w:type="pct"/>
            <w:vAlign w:val="center"/>
          </w:tcPr>
          <w:p w14:paraId="4DEC9415" w14:textId="77777777" w:rsidR="00360E5A" w:rsidRPr="00C51C86" w:rsidRDefault="00360E5A" w:rsidP="00C42A71">
            <w:pPr>
              <w:pStyle w:val="NoSpacing"/>
              <w:keepNext/>
              <w:spacing w:before="40" w:after="40"/>
              <w:ind w:left="26" w:hanging="26"/>
              <w:jc w:val="center"/>
              <w:rPr>
                <w:rFonts w:ascii="Arial Narrow" w:hAnsi="Arial Narrow" w:cs="Arial"/>
                <w:sz w:val="18"/>
                <w:szCs w:val="18"/>
              </w:rPr>
            </w:pPr>
            <w:r w:rsidRPr="00C51C86">
              <w:rPr>
                <w:rFonts w:ascii="Arial Narrow" w:hAnsi="Arial Narrow" w:cs="Arial"/>
                <w:sz w:val="18"/>
                <w:szCs w:val="18"/>
              </w:rPr>
              <w:t>OR for remission rate =</w:t>
            </w:r>
          </w:p>
          <w:p w14:paraId="07F9CBB7" w14:textId="77777777" w:rsidR="00360E5A" w:rsidRPr="00C51C86" w:rsidRDefault="00360E5A" w:rsidP="00C42A71">
            <w:pPr>
              <w:pStyle w:val="NoSpacing"/>
              <w:keepNext/>
              <w:spacing w:before="40" w:after="40"/>
              <w:ind w:left="26" w:hanging="26"/>
              <w:jc w:val="center"/>
              <w:rPr>
                <w:rFonts w:ascii="Arial Narrow" w:hAnsi="Arial Narrow" w:cs="Arial"/>
                <w:sz w:val="18"/>
                <w:szCs w:val="18"/>
              </w:rPr>
            </w:pPr>
            <w:r w:rsidRPr="00C51C86">
              <w:rPr>
                <w:rFonts w:ascii="Arial Narrow" w:hAnsi="Arial Narrow" w:cs="Arial"/>
                <w:sz w:val="18"/>
                <w:szCs w:val="18"/>
              </w:rPr>
              <w:t>3.3</w:t>
            </w:r>
          </w:p>
          <w:p w14:paraId="1508D60B" w14:textId="77777777" w:rsidR="00360E5A" w:rsidRPr="00C51C86" w:rsidRDefault="00360E5A" w:rsidP="00C42A71">
            <w:pPr>
              <w:pStyle w:val="NoSpacing"/>
              <w:keepNext/>
              <w:spacing w:before="40" w:after="40"/>
              <w:ind w:left="26" w:hanging="26"/>
              <w:jc w:val="center"/>
              <w:rPr>
                <w:rFonts w:ascii="Arial Narrow" w:hAnsi="Arial Narrow" w:cs="Arial"/>
                <w:sz w:val="18"/>
                <w:szCs w:val="18"/>
              </w:rPr>
            </w:pPr>
            <w:r w:rsidRPr="00C51C86">
              <w:rPr>
                <w:rFonts w:ascii="Arial Narrow" w:hAnsi="Arial Narrow" w:cs="Arial"/>
                <w:sz w:val="18"/>
                <w:szCs w:val="18"/>
              </w:rPr>
              <w:t>(2.0, 5.3)</w:t>
            </w:r>
          </w:p>
        </w:tc>
        <w:tc>
          <w:tcPr>
            <w:tcW w:w="2710" w:type="pct"/>
            <w:vAlign w:val="center"/>
          </w:tcPr>
          <w:p w14:paraId="0F081E12" w14:textId="77777777" w:rsidR="00360E5A" w:rsidRPr="00C51C86" w:rsidRDefault="00360E5A" w:rsidP="00C42A71">
            <w:pPr>
              <w:pStyle w:val="NoSpacing"/>
              <w:keepNext/>
              <w:spacing w:before="40" w:after="40"/>
              <w:ind w:left="26" w:right="411" w:hanging="26"/>
              <w:rPr>
                <w:rFonts w:ascii="Arial Narrow" w:hAnsi="Arial Narrow" w:cs="Arial"/>
                <w:sz w:val="18"/>
                <w:szCs w:val="18"/>
              </w:rPr>
            </w:pPr>
            <w:r w:rsidRPr="00C51C86">
              <w:rPr>
                <w:rFonts w:ascii="Arial Narrow" w:hAnsi="Arial Narrow" w:cs="Arial"/>
                <w:sz w:val="18"/>
                <w:szCs w:val="18"/>
              </w:rPr>
              <w:t>“…overall, HF-rTMS seems to be an acceptable treatment for MDD, and is associated with clinically relevant antidepressant effects (especially considering that it has been most investigated in samples with TRD…”</w:t>
            </w:r>
          </w:p>
        </w:tc>
      </w:tr>
    </w:tbl>
    <w:p w14:paraId="64FEB641" w14:textId="77777777" w:rsidR="00C51C86" w:rsidRDefault="00360E5A" w:rsidP="00E216B1">
      <w:pPr>
        <w:pStyle w:val="NoSpacing"/>
        <w:keepNext/>
        <w:spacing w:after="240"/>
        <w:jc w:val="both"/>
        <w:rPr>
          <w:rFonts w:ascii="Arial Narrow" w:hAnsi="Arial Narrow" w:cs="Arial"/>
          <w:sz w:val="18"/>
          <w:szCs w:val="18"/>
        </w:rPr>
      </w:pPr>
      <w:r w:rsidRPr="00C51C86">
        <w:rPr>
          <w:rFonts w:ascii="Arial Narrow" w:hAnsi="Arial Narrow" w:cs="Arial"/>
          <w:sz w:val="18"/>
          <w:szCs w:val="18"/>
        </w:rPr>
        <w:t>CI = confidence interval; DLPFC = dorsolateral prefrontal cortex; ECT = electroconvulsive therapy; HF-rTMS = high frequency rTMS; MDD = major depressive disorder; NNT = number need to treat; OR = odds ratio; rTMS = repetitive TMS; TMS = Transcranial Magnetic Stimulation; TRD = treatment-resistant depression; WMD = weighted mean difference</w:t>
      </w:r>
    </w:p>
    <w:p w14:paraId="1AA2CACF" w14:textId="77777777" w:rsidR="00C42A71" w:rsidRPr="00E216B1" w:rsidRDefault="00C42A71" w:rsidP="00C42A71"/>
    <w:p w14:paraId="724B2FF4" w14:textId="3B7F0575" w:rsidR="00AF7FCA" w:rsidRPr="00C42A71" w:rsidRDefault="00C51C86" w:rsidP="00C42A71">
      <w:pPr>
        <w:pStyle w:val="TableName"/>
      </w:pPr>
      <w:bookmarkStart w:id="85" w:name="_Toc389143581"/>
      <w:r w:rsidRPr="00C42A71">
        <w:t xml:space="preserve">Table </w:t>
      </w:r>
      <w:r w:rsidR="005A1090">
        <w:t>7</w:t>
      </w:r>
      <w:r w:rsidRPr="00C42A71">
        <w:t xml:space="preserve">: </w:t>
      </w:r>
      <w:r w:rsidR="00AF7FCA" w:rsidRPr="00C42A71">
        <w:t>Overview of open-label clinical trials evaluating the acute safety and effectiveness of the NeuroStar TMS Therapy system in patients with TRD</w:t>
      </w:r>
      <w:bookmarkEnd w:id="85"/>
      <w:r w:rsidR="00AF7FCA" w:rsidRPr="005D35C3">
        <w:t xml:space="preserve"> </w:t>
      </w:r>
    </w:p>
    <w:tbl>
      <w:tblPr>
        <w:tblW w:w="4604" w:type="pct"/>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pen label studies: safety and efficacy of NeuroStar TMS"/>
      </w:tblPr>
      <w:tblGrid>
        <w:gridCol w:w="1471"/>
        <w:gridCol w:w="3089"/>
        <w:gridCol w:w="3803"/>
      </w:tblGrid>
      <w:tr w:rsidR="00AF7FCA" w:rsidRPr="00C51C86" w14:paraId="427C7183" w14:textId="77777777" w:rsidTr="00C51C86">
        <w:trPr>
          <w:cantSplit/>
          <w:trHeight w:val="305"/>
          <w:tblHeader/>
        </w:trPr>
        <w:tc>
          <w:tcPr>
            <w:tcW w:w="879" w:type="pct"/>
            <w:shd w:val="clear" w:color="auto" w:fill="auto"/>
            <w:tcMar>
              <w:left w:w="28" w:type="dxa"/>
              <w:right w:w="28" w:type="dxa"/>
            </w:tcMar>
            <w:vAlign w:val="center"/>
          </w:tcPr>
          <w:p w14:paraId="497B8BCA" w14:textId="77777777" w:rsidR="00AF7FCA" w:rsidRPr="00C51C86" w:rsidRDefault="00AF7FCA" w:rsidP="00C42A71">
            <w:pPr>
              <w:keepNext/>
              <w:autoSpaceDE w:val="0"/>
              <w:autoSpaceDN w:val="0"/>
              <w:adjustRightInd w:val="0"/>
              <w:spacing w:before="40" w:after="40"/>
              <w:ind w:left="0"/>
              <w:rPr>
                <w:rFonts w:ascii="Arial Narrow" w:hAnsi="Arial Narrow" w:cs="Arial"/>
                <w:b/>
                <w:bCs/>
                <w:color w:val="231F20"/>
                <w:sz w:val="18"/>
                <w:szCs w:val="18"/>
              </w:rPr>
            </w:pPr>
            <w:r w:rsidRPr="00C51C86">
              <w:rPr>
                <w:rFonts w:ascii="Arial Narrow" w:hAnsi="Arial Narrow" w:cs="Arial"/>
                <w:b/>
                <w:bCs/>
                <w:color w:val="231F20"/>
                <w:sz w:val="18"/>
                <w:szCs w:val="18"/>
              </w:rPr>
              <w:t>Trial Type</w:t>
            </w:r>
          </w:p>
        </w:tc>
        <w:tc>
          <w:tcPr>
            <w:tcW w:w="1847" w:type="pct"/>
            <w:shd w:val="clear" w:color="auto" w:fill="auto"/>
            <w:tcMar>
              <w:left w:w="28" w:type="dxa"/>
              <w:right w:w="28" w:type="dxa"/>
            </w:tcMar>
            <w:vAlign w:val="center"/>
          </w:tcPr>
          <w:p w14:paraId="23AEB0CE" w14:textId="77777777" w:rsidR="00AF7FCA" w:rsidRPr="00C51C86" w:rsidRDefault="00AF7FCA" w:rsidP="00C42A71">
            <w:pPr>
              <w:keepNext/>
              <w:autoSpaceDE w:val="0"/>
              <w:autoSpaceDN w:val="0"/>
              <w:adjustRightInd w:val="0"/>
              <w:spacing w:before="40" w:after="40"/>
              <w:ind w:left="0"/>
              <w:rPr>
                <w:rFonts w:ascii="Arial Narrow" w:hAnsi="Arial Narrow" w:cs="Arial"/>
                <w:b/>
                <w:bCs/>
                <w:color w:val="231F20"/>
                <w:sz w:val="18"/>
                <w:szCs w:val="18"/>
              </w:rPr>
            </w:pPr>
            <w:r w:rsidRPr="00C51C86">
              <w:rPr>
                <w:rFonts w:ascii="Arial Narrow" w:hAnsi="Arial Narrow" w:cs="Arial"/>
                <w:b/>
                <w:bCs/>
                <w:color w:val="231F20"/>
                <w:sz w:val="18"/>
                <w:szCs w:val="18"/>
              </w:rPr>
              <w:t>Patient Population/Study Design</w:t>
            </w:r>
          </w:p>
        </w:tc>
        <w:tc>
          <w:tcPr>
            <w:tcW w:w="2274" w:type="pct"/>
            <w:shd w:val="clear" w:color="auto" w:fill="auto"/>
            <w:tcMar>
              <w:left w:w="28" w:type="dxa"/>
              <w:right w:w="28" w:type="dxa"/>
            </w:tcMar>
            <w:vAlign w:val="center"/>
          </w:tcPr>
          <w:p w14:paraId="7FC1A24D" w14:textId="77777777" w:rsidR="00AF7FCA" w:rsidRPr="00C51C86" w:rsidRDefault="00AF7FCA" w:rsidP="00C42A71">
            <w:pPr>
              <w:keepNext/>
              <w:autoSpaceDE w:val="0"/>
              <w:autoSpaceDN w:val="0"/>
              <w:adjustRightInd w:val="0"/>
              <w:spacing w:before="40" w:after="40"/>
              <w:ind w:left="0"/>
              <w:rPr>
                <w:rFonts w:ascii="Arial Narrow" w:hAnsi="Arial Narrow" w:cs="Arial"/>
                <w:b/>
                <w:bCs/>
                <w:color w:val="231F20"/>
                <w:sz w:val="18"/>
                <w:szCs w:val="18"/>
              </w:rPr>
            </w:pPr>
            <w:r w:rsidRPr="00C51C86">
              <w:rPr>
                <w:rFonts w:ascii="Arial Narrow" w:hAnsi="Arial Narrow" w:cs="Arial"/>
                <w:b/>
                <w:bCs/>
                <w:color w:val="231F20"/>
                <w:sz w:val="18"/>
                <w:szCs w:val="18"/>
              </w:rPr>
              <w:t>Key Findings</w:t>
            </w:r>
          </w:p>
        </w:tc>
      </w:tr>
      <w:tr w:rsidR="00AF7FCA" w:rsidRPr="00C51C86" w14:paraId="012296D6" w14:textId="77777777" w:rsidTr="00C51C86">
        <w:trPr>
          <w:cantSplit/>
          <w:trHeight w:val="2589"/>
        </w:trPr>
        <w:tc>
          <w:tcPr>
            <w:tcW w:w="879" w:type="pct"/>
            <w:tcMar>
              <w:left w:w="28" w:type="dxa"/>
              <w:right w:w="28" w:type="dxa"/>
            </w:tcMar>
          </w:tcPr>
          <w:p w14:paraId="3B1B8D13" w14:textId="77777777" w:rsidR="00AF7FCA" w:rsidRPr="00C51C86" w:rsidRDefault="00AF7FCA" w:rsidP="00C42A71">
            <w:pPr>
              <w:keepNext/>
              <w:spacing w:before="40" w:after="40"/>
              <w:ind w:left="0"/>
              <w:rPr>
                <w:rFonts w:ascii="Arial Narrow" w:hAnsi="Arial Narrow" w:cs="Arial"/>
                <w:sz w:val="18"/>
                <w:szCs w:val="18"/>
              </w:rPr>
            </w:pPr>
            <w:r w:rsidRPr="00C51C86">
              <w:rPr>
                <w:rFonts w:ascii="Arial Narrow" w:hAnsi="Arial Narrow" w:cs="Arial"/>
                <w:sz w:val="18"/>
                <w:szCs w:val="18"/>
              </w:rPr>
              <w:t>Open-Label, Uncontrolled Multicenter Trial</w:t>
            </w:r>
          </w:p>
          <w:p w14:paraId="2AFFED9E" w14:textId="77777777" w:rsidR="00AF7FCA" w:rsidRPr="00C51C86" w:rsidRDefault="00AF7FCA" w:rsidP="00C42A71">
            <w:pPr>
              <w:keepNext/>
              <w:autoSpaceDE w:val="0"/>
              <w:autoSpaceDN w:val="0"/>
              <w:adjustRightInd w:val="0"/>
              <w:spacing w:before="40" w:after="40"/>
              <w:ind w:left="0"/>
              <w:rPr>
                <w:rFonts w:ascii="Arial Narrow" w:hAnsi="Arial Narrow" w:cs="Arial"/>
                <w:b/>
                <w:sz w:val="18"/>
                <w:szCs w:val="18"/>
              </w:rPr>
            </w:pPr>
          </w:p>
          <w:p w14:paraId="374B8677" w14:textId="77777777" w:rsidR="00AF7FCA" w:rsidRPr="00C51C86" w:rsidRDefault="00AF7FCA" w:rsidP="00C42A71">
            <w:pPr>
              <w:pStyle w:val="ListParagraph"/>
              <w:keepNext/>
              <w:tabs>
                <w:tab w:val="left" w:pos="342"/>
              </w:tabs>
              <w:autoSpaceDE w:val="0"/>
              <w:autoSpaceDN w:val="0"/>
              <w:adjustRightInd w:val="0"/>
              <w:spacing w:before="40" w:after="40"/>
              <w:ind w:left="0"/>
              <w:rPr>
                <w:rFonts w:ascii="Arial Narrow" w:hAnsi="Arial Narrow" w:cs="Arial"/>
                <w:sz w:val="18"/>
                <w:szCs w:val="18"/>
              </w:rPr>
            </w:pPr>
            <w:r w:rsidRPr="00C51C86">
              <w:rPr>
                <w:rFonts w:ascii="Arial Narrow" w:hAnsi="Arial Narrow" w:cs="Arial"/>
                <w:sz w:val="18"/>
                <w:szCs w:val="18"/>
                <w:lang w:val="fr-FR"/>
              </w:rPr>
              <w:t xml:space="preserve">1. Avery, et al J. Clin. </w:t>
            </w:r>
            <w:r w:rsidRPr="00C51C86">
              <w:rPr>
                <w:rFonts w:ascii="Arial Narrow" w:hAnsi="Arial Narrow" w:cs="Arial"/>
                <w:sz w:val="18"/>
                <w:szCs w:val="18"/>
              </w:rPr>
              <w:t>Psychiatry (2008); 69,441-451</w:t>
            </w:r>
          </w:p>
          <w:p w14:paraId="67724251" w14:textId="77777777" w:rsidR="00AF7FCA" w:rsidRPr="00C51C86" w:rsidRDefault="00AF7FCA" w:rsidP="00C42A71">
            <w:pPr>
              <w:keepNext/>
              <w:autoSpaceDE w:val="0"/>
              <w:autoSpaceDN w:val="0"/>
              <w:adjustRightInd w:val="0"/>
              <w:spacing w:before="40" w:after="40"/>
              <w:ind w:left="0"/>
              <w:rPr>
                <w:rFonts w:ascii="Arial Narrow" w:hAnsi="Arial Narrow" w:cs="Arial"/>
                <w:b/>
                <w:sz w:val="18"/>
                <w:szCs w:val="18"/>
              </w:rPr>
            </w:pPr>
            <w:r w:rsidRPr="00C51C86">
              <w:rPr>
                <w:rFonts w:ascii="Arial Narrow" w:hAnsi="Arial Narrow" w:cs="Arial"/>
                <w:color w:val="231F20"/>
                <w:sz w:val="18"/>
                <w:szCs w:val="18"/>
              </w:rPr>
              <w:t>2. Demitrack, MA and Thase, ME.  Psychopharmacology Bulletin (2009); 42(2):5-38.</w:t>
            </w:r>
          </w:p>
        </w:tc>
        <w:tc>
          <w:tcPr>
            <w:tcW w:w="1847" w:type="pct"/>
            <w:tcMar>
              <w:left w:w="28" w:type="dxa"/>
              <w:right w:w="28" w:type="dxa"/>
            </w:tcMar>
          </w:tcPr>
          <w:p w14:paraId="25671B62"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Sponsor:  Neuronetics, Inc.</w:t>
            </w:r>
          </w:p>
          <w:p w14:paraId="7F923F09"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Multicenter (23 sites), open-label extension</w:t>
            </w:r>
          </w:p>
          <w:p w14:paraId="28894491"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N=158 patients with MDD who had participated, but not benefited from treatment in O’Reardon 2007 study (either active or sham TMS), demonstrated treatment resistance from 1 through 4 research-grade antidepressant medication in current episode (ATHF verified)</w:t>
            </w:r>
          </w:p>
          <w:p w14:paraId="351831BD"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Same acute phase treatment design as in O’Reardon 2007 study</w:t>
            </w:r>
          </w:p>
          <w:p w14:paraId="7C38E8F0"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p>
          <w:p w14:paraId="2E4D31C1"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p>
        </w:tc>
        <w:tc>
          <w:tcPr>
            <w:tcW w:w="2274" w:type="pct"/>
            <w:tcMar>
              <w:left w:w="28" w:type="dxa"/>
              <w:right w:w="28" w:type="dxa"/>
            </w:tcMar>
          </w:tcPr>
          <w:p w14:paraId="627A889C"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u w:val="single"/>
              </w:rPr>
              <w:t>Acute Phase Outcomes</w:t>
            </w:r>
            <w:r w:rsidRPr="00C51C86">
              <w:rPr>
                <w:rFonts w:ascii="Arial Narrow" w:hAnsi="Arial Narrow" w:cs="Arial"/>
                <w:bCs/>
                <w:color w:val="231F20"/>
                <w:sz w:val="18"/>
                <w:szCs w:val="18"/>
              </w:rPr>
              <w:t>:</w:t>
            </w:r>
          </w:p>
          <w:p w14:paraId="11D7BE2A"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 ATHF 1 - 4 cohort (RCT sham to open-label active TMS group, N=85):</w:t>
            </w:r>
          </w:p>
          <w:p w14:paraId="1CA6FD8B"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MADRS response rate @ 6 weeks = 42.4%</w:t>
            </w:r>
          </w:p>
          <w:p w14:paraId="4D597E62"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HAMD24 response rate @ 6 weeks = 42.4%</w:t>
            </w:r>
          </w:p>
          <w:p w14:paraId="7D525AFA"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MADRS remission rate @ 6 weeks = 20.0%</w:t>
            </w:r>
          </w:p>
          <w:p w14:paraId="5B791FCE"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HAMD24 remission rate @ 6 weeks = 27.1%</w:t>
            </w:r>
          </w:p>
          <w:p w14:paraId="50C60CC2"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 ATHF 1 cohort (RCT sham to open-label active TMS group, N=43):</w:t>
            </w:r>
          </w:p>
          <w:p w14:paraId="58E45008"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MADRS response rate @ 6 weeks = 53.5%</w:t>
            </w:r>
          </w:p>
          <w:p w14:paraId="49DF2FC7"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HAMD24 response rate @ 6 weeks = 53.5%</w:t>
            </w:r>
          </w:p>
          <w:p w14:paraId="1238BC37"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MADRS remission rate @ 6 weeks = 23.3%</w:t>
            </w:r>
          </w:p>
          <w:p w14:paraId="25993212"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HAMD24 remission rate @ 6 weeks = 32.6%</w:t>
            </w:r>
          </w:p>
        </w:tc>
      </w:tr>
      <w:tr w:rsidR="00AF7FCA" w:rsidRPr="00C51C86" w14:paraId="21710B0A" w14:textId="77777777" w:rsidTr="00C51C86">
        <w:trPr>
          <w:cantSplit/>
          <w:trHeight w:val="2515"/>
        </w:trPr>
        <w:tc>
          <w:tcPr>
            <w:tcW w:w="879" w:type="pct"/>
            <w:tcMar>
              <w:left w:w="28" w:type="dxa"/>
              <w:right w:w="28" w:type="dxa"/>
            </w:tcMar>
          </w:tcPr>
          <w:p w14:paraId="27014F5C" w14:textId="77777777" w:rsidR="00AF7FCA" w:rsidRPr="00C51C86" w:rsidRDefault="00AF7FCA" w:rsidP="00C42A71">
            <w:pPr>
              <w:widowControl w:val="0"/>
              <w:autoSpaceDE w:val="0"/>
              <w:autoSpaceDN w:val="0"/>
              <w:adjustRightInd w:val="0"/>
              <w:spacing w:before="40" w:after="40"/>
              <w:ind w:left="0"/>
              <w:rPr>
                <w:rFonts w:ascii="Arial Narrow" w:hAnsi="Arial Narrow" w:cs="Arial"/>
                <w:sz w:val="18"/>
                <w:szCs w:val="18"/>
              </w:rPr>
            </w:pPr>
            <w:r w:rsidRPr="00C51C86">
              <w:rPr>
                <w:rFonts w:ascii="Arial Narrow" w:hAnsi="Arial Narrow" w:cs="Arial"/>
                <w:sz w:val="18"/>
                <w:szCs w:val="18"/>
              </w:rPr>
              <w:t xml:space="preserve">Open-Label, Uncontrolled Multicenter Trial </w:t>
            </w:r>
          </w:p>
          <w:p w14:paraId="784E3810" w14:textId="77777777" w:rsidR="00AF7FCA" w:rsidRPr="00C51C86" w:rsidRDefault="00AF7FCA" w:rsidP="00C42A71">
            <w:pPr>
              <w:widowControl w:val="0"/>
              <w:autoSpaceDE w:val="0"/>
              <w:autoSpaceDN w:val="0"/>
              <w:adjustRightInd w:val="0"/>
              <w:spacing w:before="40" w:after="40"/>
              <w:ind w:left="0"/>
              <w:rPr>
                <w:rFonts w:ascii="Arial Narrow" w:hAnsi="Arial Narrow" w:cs="Arial"/>
                <w:sz w:val="18"/>
                <w:szCs w:val="18"/>
              </w:rPr>
            </w:pPr>
          </w:p>
          <w:p w14:paraId="6BC9B9A1" w14:textId="77777777" w:rsidR="00AF7FCA" w:rsidRPr="00C51C86" w:rsidRDefault="00AF7FCA" w:rsidP="00C42A71">
            <w:pPr>
              <w:widowControl w:val="0"/>
              <w:spacing w:before="40" w:after="40"/>
              <w:ind w:left="0"/>
              <w:rPr>
                <w:rFonts w:ascii="Arial Narrow" w:hAnsi="Arial Narrow" w:cs="Arial"/>
                <w:sz w:val="18"/>
                <w:szCs w:val="18"/>
              </w:rPr>
            </w:pPr>
            <w:r w:rsidRPr="00C51C86">
              <w:rPr>
                <w:rFonts w:ascii="Arial Narrow" w:hAnsi="Arial Narrow" w:cs="Arial"/>
                <w:sz w:val="18"/>
                <w:szCs w:val="18"/>
              </w:rPr>
              <w:t>McDonald, et al., (</w:t>
            </w:r>
            <w:r w:rsidRPr="00C51C86">
              <w:rPr>
                <w:rFonts w:ascii="Arial Narrow" w:hAnsi="Arial Narrow" w:cs="Arial"/>
                <w:sz w:val="18"/>
                <w:szCs w:val="18"/>
                <w:u w:val="single"/>
              </w:rPr>
              <w:t>2011)</w:t>
            </w:r>
            <w:r w:rsidRPr="00C51C86">
              <w:rPr>
                <w:rFonts w:ascii="Arial Narrow" w:hAnsi="Arial Narrow" w:cs="Arial"/>
                <w:sz w:val="18"/>
                <w:szCs w:val="18"/>
              </w:rPr>
              <w:t>;28(11):973-980</w:t>
            </w:r>
          </w:p>
        </w:tc>
        <w:tc>
          <w:tcPr>
            <w:tcW w:w="1847" w:type="pct"/>
            <w:tcMar>
              <w:left w:w="28" w:type="dxa"/>
              <w:right w:w="28" w:type="dxa"/>
            </w:tcMar>
          </w:tcPr>
          <w:p w14:paraId="34E348CE" w14:textId="77777777" w:rsidR="00AF7FCA" w:rsidRPr="00C51C86" w:rsidRDefault="00AF7FCA" w:rsidP="00C42A71">
            <w:pPr>
              <w:widowControl w:val="0"/>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Sponsor:  National Institute of Mental Health, NIH</w:t>
            </w:r>
          </w:p>
          <w:p w14:paraId="0E6CCF4C" w14:textId="77777777" w:rsidR="00AF7FCA" w:rsidRPr="00C51C86" w:rsidRDefault="00AF7FCA" w:rsidP="00C42A71">
            <w:pPr>
              <w:widowControl w:val="0"/>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Study OPT-TMS Phase 2:  Multicenter (4 sites),active sham-controlled</w:t>
            </w:r>
          </w:p>
          <w:p w14:paraId="7F593C85" w14:textId="77777777" w:rsidR="00AF7FCA" w:rsidRPr="00C51C86" w:rsidRDefault="00AF7FCA" w:rsidP="00C42A71">
            <w:pPr>
              <w:widowControl w:val="0"/>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N=67 patients with MDD, who had participated, but not benefited from treatment in George 2010 study (either active or sham TMS), demonstrated treatment resistance from 1 through 4 research-grade antidepressant medication in current episode (ATHF verified)</w:t>
            </w:r>
          </w:p>
          <w:p w14:paraId="1D73B713" w14:textId="77777777" w:rsidR="00AF7FCA" w:rsidRPr="00C51C86" w:rsidRDefault="00AF7FCA" w:rsidP="00C42A71">
            <w:pPr>
              <w:widowControl w:val="0"/>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-6 week fixed acute phase</w:t>
            </w:r>
          </w:p>
        </w:tc>
        <w:tc>
          <w:tcPr>
            <w:tcW w:w="2274" w:type="pct"/>
            <w:tcMar>
              <w:left w:w="28" w:type="dxa"/>
              <w:right w:w="28" w:type="dxa"/>
            </w:tcMar>
          </w:tcPr>
          <w:p w14:paraId="7B431802" w14:textId="77777777" w:rsidR="00AF7FCA" w:rsidRPr="00C51C86" w:rsidRDefault="00AF7FCA" w:rsidP="00C42A71">
            <w:pPr>
              <w:widowControl w:val="0"/>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u w:val="single"/>
              </w:rPr>
              <w:t>Acute Phase Outcomes</w:t>
            </w:r>
            <w:r w:rsidRPr="00C51C86">
              <w:rPr>
                <w:rFonts w:ascii="Arial Narrow" w:hAnsi="Arial Narrow" w:cs="Arial"/>
                <w:bCs/>
                <w:color w:val="231F20"/>
                <w:sz w:val="18"/>
                <w:szCs w:val="18"/>
              </w:rPr>
              <w:t>:</w:t>
            </w:r>
          </w:p>
          <w:p w14:paraId="57FD0933" w14:textId="77777777" w:rsidR="00AF7FCA" w:rsidRPr="00C51C86" w:rsidRDefault="00AF7FCA" w:rsidP="00C42A71">
            <w:pPr>
              <w:widowControl w:val="0"/>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 ATHF 1 - 4 cohort (RCT sham to open-label active TMS group, N=24):</w:t>
            </w:r>
          </w:p>
          <w:p w14:paraId="2156C8C3" w14:textId="77777777" w:rsidR="00AF7FCA" w:rsidRPr="00C51C86" w:rsidRDefault="00AF7FCA" w:rsidP="00C42A71">
            <w:pPr>
              <w:pStyle w:val="ListParagraph"/>
              <w:widowControl w:val="0"/>
              <w:spacing w:before="40" w:after="40"/>
              <w:ind w:left="0"/>
              <w:contextualSpacing w:val="0"/>
              <w:rPr>
                <w:rFonts w:ascii="Arial Narrow" w:hAnsi="Arial Narrow" w:cs="Arial"/>
                <w:b/>
                <w:sz w:val="18"/>
                <w:szCs w:val="18"/>
              </w:rPr>
            </w:pPr>
            <w:r w:rsidRPr="00C51C86">
              <w:rPr>
                <w:rFonts w:ascii="Arial Narrow" w:hAnsi="Arial Narrow" w:cs="Arial"/>
                <w:sz w:val="18"/>
                <w:szCs w:val="18"/>
              </w:rPr>
              <w:t>HAMD24 remission rate @ 6 weeks = 29.6%</w:t>
            </w:r>
          </w:p>
          <w:p w14:paraId="1960B583" w14:textId="77777777" w:rsidR="00AF7FCA" w:rsidRPr="00C51C86" w:rsidRDefault="00AF7FCA" w:rsidP="00C42A71">
            <w:pPr>
              <w:widowControl w:val="0"/>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 ATHF 1 - 4 cohort (RCT active TMS to open-label active TMS group, N=43):</w:t>
            </w:r>
          </w:p>
          <w:p w14:paraId="2E201FCF" w14:textId="77777777" w:rsidR="00AF7FCA" w:rsidRPr="00C51C86" w:rsidRDefault="00AF7FCA" w:rsidP="00C42A71">
            <w:pPr>
              <w:pStyle w:val="ListParagraph"/>
              <w:widowControl w:val="0"/>
              <w:spacing w:before="40" w:after="40"/>
              <w:ind w:left="0"/>
              <w:contextualSpacing w:val="0"/>
              <w:rPr>
                <w:rFonts w:ascii="Arial Narrow" w:hAnsi="Arial Narrow" w:cs="Arial"/>
                <w:b/>
                <w:sz w:val="18"/>
                <w:szCs w:val="18"/>
              </w:rPr>
            </w:pPr>
            <w:r w:rsidRPr="00C51C86">
              <w:rPr>
                <w:rFonts w:ascii="Arial Narrow" w:hAnsi="Arial Narrow" w:cs="Arial"/>
                <w:sz w:val="18"/>
                <w:szCs w:val="18"/>
              </w:rPr>
              <w:t>HAMD24 remission rate @ 6 weeks = 30.2%</w:t>
            </w:r>
          </w:p>
        </w:tc>
      </w:tr>
      <w:tr w:rsidR="00AF7FCA" w:rsidRPr="00C51C86" w14:paraId="03DF675D" w14:textId="77777777" w:rsidTr="00C51C86">
        <w:trPr>
          <w:cantSplit/>
        </w:trPr>
        <w:tc>
          <w:tcPr>
            <w:tcW w:w="879" w:type="pct"/>
            <w:tcMar>
              <w:left w:w="28" w:type="dxa"/>
              <w:right w:w="28" w:type="dxa"/>
            </w:tcMar>
          </w:tcPr>
          <w:p w14:paraId="08C13303" w14:textId="77777777" w:rsidR="00AF7FCA" w:rsidRPr="00C51C86" w:rsidRDefault="00AF7FCA" w:rsidP="00C42A71">
            <w:pPr>
              <w:keepNext/>
              <w:tabs>
                <w:tab w:val="left" w:pos="342"/>
              </w:tabs>
              <w:autoSpaceDE w:val="0"/>
              <w:autoSpaceDN w:val="0"/>
              <w:adjustRightInd w:val="0"/>
              <w:spacing w:before="40" w:after="40"/>
              <w:ind w:left="0"/>
              <w:rPr>
                <w:rFonts w:ascii="Arial Narrow" w:hAnsi="Arial Narrow" w:cs="Arial"/>
                <w:sz w:val="18"/>
                <w:szCs w:val="18"/>
              </w:rPr>
            </w:pPr>
            <w:r w:rsidRPr="00C51C86">
              <w:rPr>
                <w:rFonts w:ascii="Arial Narrow" w:hAnsi="Arial Narrow" w:cs="Arial"/>
                <w:sz w:val="18"/>
                <w:szCs w:val="18"/>
              </w:rPr>
              <w:lastRenderedPageBreak/>
              <w:t>Multicenter, Naturalistic, Observational Study</w:t>
            </w:r>
          </w:p>
          <w:p w14:paraId="76CEAC4A" w14:textId="77777777" w:rsidR="00AF7FCA" w:rsidRPr="00C51C86" w:rsidRDefault="00AF7FCA" w:rsidP="00C42A71">
            <w:pPr>
              <w:keepNext/>
              <w:tabs>
                <w:tab w:val="left" w:pos="342"/>
              </w:tabs>
              <w:autoSpaceDE w:val="0"/>
              <w:autoSpaceDN w:val="0"/>
              <w:adjustRightInd w:val="0"/>
              <w:spacing w:before="40" w:after="40"/>
              <w:ind w:left="0"/>
              <w:rPr>
                <w:rFonts w:ascii="Arial Narrow" w:hAnsi="Arial Narrow" w:cs="Arial"/>
                <w:sz w:val="18"/>
                <w:szCs w:val="18"/>
              </w:rPr>
            </w:pPr>
          </w:p>
          <w:p w14:paraId="71B4878B" w14:textId="77777777" w:rsidR="00AF7FCA" w:rsidRPr="00C51C86" w:rsidRDefault="00AF7FCA" w:rsidP="00C42A71">
            <w:pPr>
              <w:keepNext/>
              <w:tabs>
                <w:tab w:val="left" w:pos="342"/>
              </w:tabs>
              <w:autoSpaceDE w:val="0"/>
              <w:autoSpaceDN w:val="0"/>
              <w:adjustRightInd w:val="0"/>
              <w:spacing w:before="40" w:after="40"/>
              <w:ind w:left="0"/>
              <w:rPr>
                <w:rFonts w:ascii="Arial Narrow" w:hAnsi="Arial Narrow" w:cs="Arial"/>
                <w:sz w:val="18"/>
                <w:szCs w:val="18"/>
              </w:rPr>
            </w:pPr>
          </w:p>
          <w:p w14:paraId="35C0D8A8" w14:textId="77777777" w:rsidR="00AF7FCA" w:rsidRPr="00C51C86" w:rsidRDefault="00AF7FCA" w:rsidP="00C42A71">
            <w:pPr>
              <w:keepNext/>
              <w:tabs>
                <w:tab w:val="left" w:pos="342"/>
              </w:tabs>
              <w:autoSpaceDE w:val="0"/>
              <w:autoSpaceDN w:val="0"/>
              <w:adjustRightInd w:val="0"/>
              <w:spacing w:before="40" w:after="40"/>
              <w:ind w:left="0"/>
              <w:rPr>
                <w:rFonts w:ascii="Arial Narrow" w:hAnsi="Arial Narrow" w:cs="Arial"/>
                <w:color w:val="231F20"/>
                <w:sz w:val="18"/>
                <w:szCs w:val="18"/>
                <w:lang w:val="nl-NL"/>
              </w:rPr>
            </w:pPr>
            <w:r w:rsidRPr="00C51C86">
              <w:rPr>
                <w:rFonts w:ascii="Arial Narrow" w:hAnsi="Arial Narrow" w:cs="Arial"/>
                <w:color w:val="231F20"/>
                <w:sz w:val="18"/>
                <w:szCs w:val="18"/>
                <w:lang w:val="nl-NL"/>
              </w:rPr>
              <w:t xml:space="preserve">1. Carpenter, LL, et al.  </w:t>
            </w:r>
            <w:r w:rsidRPr="00C51C86">
              <w:rPr>
                <w:rFonts w:ascii="Arial Narrow" w:hAnsi="Arial Narrow" w:cs="Arial"/>
                <w:iCs/>
                <w:color w:val="231F20"/>
                <w:sz w:val="18"/>
                <w:szCs w:val="18"/>
                <w:lang w:val="nl-NL"/>
              </w:rPr>
              <w:t>Depression and Anxiety</w:t>
            </w:r>
            <w:r w:rsidRPr="00C51C86">
              <w:rPr>
                <w:rFonts w:ascii="Arial Narrow" w:hAnsi="Arial Narrow" w:cs="Arial"/>
                <w:color w:val="231F20"/>
                <w:sz w:val="18"/>
                <w:szCs w:val="18"/>
                <w:lang w:val="nl-NL"/>
              </w:rPr>
              <w:t xml:space="preserve"> (2012); 29:587-596.</w:t>
            </w:r>
          </w:p>
          <w:p w14:paraId="424473EE" w14:textId="77777777" w:rsidR="00AF7FCA" w:rsidRPr="00C51C86" w:rsidRDefault="00AF7FCA" w:rsidP="00C42A71">
            <w:pPr>
              <w:keepNext/>
              <w:autoSpaceDE w:val="0"/>
              <w:autoSpaceDN w:val="0"/>
              <w:adjustRightInd w:val="0"/>
              <w:spacing w:before="40" w:after="40"/>
              <w:ind w:left="0"/>
              <w:rPr>
                <w:rFonts w:ascii="Arial Narrow" w:hAnsi="Arial Narrow" w:cs="Arial"/>
                <w:sz w:val="18"/>
                <w:szCs w:val="18"/>
              </w:rPr>
            </w:pPr>
            <w:r w:rsidRPr="00C51C86">
              <w:rPr>
                <w:rFonts w:ascii="Arial Narrow" w:hAnsi="Arial Narrow" w:cs="Arial"/>
                <w:color w:val="231F20"/>
                <w:sz w:val="18"/>
                <w:szCs w:val="18"/>
                <w:lang w:val="nl-NL"/>
              </w:rPr>
              <w:t>2. Janicak, et al., CNS Spectrums (2013):1-11.</w:t>
            </w:r>
          </w:p>
        </w:tc>
        <w:tc>
          <w:tcPr>
            <w:tcW w:w="1847" w:type="pct"/>
            <w:tcMar>
              <w:left w:w="28" w:type="dxa"/>
              <w:right w:w="28" w:type="dxa"/>
            </w:tcMar>
          </w:tcPr>
          <w:p w14:paraId="57205590"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Sponsor:  Neuronetics, Inc.</w:t>
            </w:r>
          </w:p>
          <w:p w14:paraId="0E7F68EE"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Multicenter (42 sites), observational design</w:t>
            </w:r>
          </w:p>
          <w:p w14:paraId="48E9305A"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N=307 patients with primary clinical diagnosis of TRD (clinician-verified)</w:t>
            </w:r>
          </w:p>
          <w:p w14:paraId="34F0C7E2" w14:textId="77777777" w:rsidR="00AF7FCA" w:rsidRPr="00C51C86" w:rsidRDefault="00AF7FCA" w:rsidP="00C42A71">
            <w:pPr>
              <w:keepNext/>
              <w:tabs>
                <w:tab w:val="left" w:pos="342"/>
              </w:tabs>
              <w:autoSpaceDE w:val="0"/>
              <w:autoSpaceDN w:val="0"/>
              <w:adjustRightInd w:val="0"/>
              <w:spacing w:before="40" w:after="40"/>
              <w:ind w:left="0"/>
              <w:rPr>
                <w:rFonts w:ascii="Arial Narrow" w:hAnsi="Arial Narrow" w:cs="Arial"/>
                <w:sz w:val="18"/>
                <w:szCs w:val="18"/>
              </w:rPr>
            </w:pPr>
            <w:r w:rsidRPr="00C51C86">
              <w:rPr>
                <w:rFonts w:ascii="Arial Narrow" w:hAnsi="Arial Narrow" w:cs="Arial"/>
                <w:sz w:val="18"/>
                <w:szCs w:val="18"/>
              </w:rPr>
              <w:t xml:space="preserve">- Acute phase treatment per labelled guidelines; </w:t>
            </w:r>
          </w:p>
          <w:p w14:paraId="1431051E"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duration of treatment defined by clinician-determined clinical outcome</w:t>
            </w:r>
          </w:p>
          <w:p w14:paraId="379E0579"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Primary efficacy outcome:  CGI-S; change from baseline at end of acute treatment</w:t>
            </w:r>
          </w:p>
          <w:p w14:paraId="4444C7ED"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r w:rsidRPr="00C51C86">
              <w:rPr>
                <w:rFonts w:ascii="Arial Narrow" w:hAnsi="Arial Narrow" w:cs="Arial"/>
                <w:sz w:val="18"/>
                <w:szCs w:val="18"/>
              </w:rPr>
              <w:t>- Key secondary outcomes:  IDS-SR change from baseline; PHQ-9 change from baseline; Response and remission outcomes (CGI-S, IDS-SR and PHQ-9) at end of acute treatment; Quality of Life (Euro QOL EQ5-D) and Functional Status (SF-36 v1)</w:t>
            </w:r>
          </w:p>
          <w:p w14:paraId="1DB6A831" w14:textId="77777777" w:rsidR="00AF7FCA" w:rsidRPr="00C51C86" w:rsidRDefault="00AF7FCA" w:rsidP="00C42A71">
            <w:pPr>
              <w:keepNext/>
              <w:autoSpaceDE w:val="0"/>
              <w:autoSpaceDN w:val="0"/>
              <w:adjustRightInd w:val="0"/>
              <w:spacing w:before="40" w:after="40"/>
              <w:ind w:left="0"/>
              <w:contextualSpacing/>
              <w:rPr>
                <w:rFonts w:ascii="Arial Narrow" w:hAnsi="Arial Narrow" w:cs="Arial"/>
                <w:sz w:val="18"/>
                <w:szCs w:val="18"/>
              </w:rPr>
            </w:pPr>
          </w:p>
          <w:p w14:paraId="035F1228" w14:textId="77777777" w:rsidR="00AF7FCA" w:rsidRPr="00C51C86" w:rsidRDefault="00AF7FCA" w:rsidP="00C42A71">
            <w:pPr>
              <w:keepNext/>
              <w:autoSpaceDE w:val="0"/>
              <w:autoSpaceDN w:val="0"/>
              <w:adjustRightInd w:val="0"/>
              <w:spacing w:before="40" w:after="40"/>
              <w:ind w:left="0"/>
              <w:rPr>
                <w:rFonts w:ascii="Arial Narrow" w:hAnsi="Arial Narrow" w:cs="Arial"/>
                <w:sz w:val="18"/>
                <w:szCs w:val="18"/>
              </w:rPr>
            </w:pPr>
          </w:p>
        </w:tc>
        <w:tc>
          <w:tcPr>
            <w:tcW w:w="2274" w:type="pct"/>
            <w:tcMar>
              <w:left w:w="28" w:type="dxa"/>
              <w:right w:w="28" w:type="dxa"/>
            </w:tcMar>
          </w:tcPr>
          <w:p w14:paraId="71483E67"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u w:val="single"/>
              </w:rPr>
              <w:t>Primary Outcome</w:t>
            </w:r>
            <w:r w:rsidRPr="00C51C86">
              <w:rPr>
                <w:rFonts w:ascii="Arial Narrow" w:hAnsi="Arial Narrow" w:cs="Arial"/>
                <w:bCs/>
                <w:color w:val="231F20"/>
                <w:sz w:val="18"/>
                <w:szCs w:val="18"/>
              </w:rPr>
              <w:t>:</w:t>
            </w:r>
          </w:p>
          <w:p w14:paraId="7B8EE642" w14:textId="77777777" w:rsidR="00AF7FCA" w:rsidRPr="00C51C86" w:rsidRDefault="00AF7FCA" w:rsidP="00C42A71">
            <w:pPr>
              <w:pStyle w:val="ListParagraph"/>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 xml:space="preserve">- Clinician-rated:  CGI-S change from baseline @ end of acute treatment (-1.9 points </w:t>
            </w:r>
            <w:r w:rsidRPr="00C51C86">
              <w:rPr>
                <w:rFonts w:ascii="Arial Narrow" w:hAnsi="Arial Narrow" w:cs="Arial"/>
                <w:bCs/>
                <w:color w:val="231F20"/>
                <w:sz w:val="18"/>
                <w:szCs w:val="18"/>
                <w:u w:val="single"/>
              </w:rPr>
              <w:t>+</w:t>
            </w:r>
            <w:r w:rsidRPr="00C51C86">
              <w:rPr>
                <w:rFonts w:ascii="Arial Narrow" w:hAnsi="Arial Narrow" w:cs="Arial"/>
                <w:bCs/>
                <w:color w:val="231F20"/>
                <w:sz w:val="18"/>
                <w:szCs w:val="18"/>
              </w:rPr>
              <w:t>1.4, P&lt;0.0001)</w:t>
            </w:r>
          </w:p>
          <w:p w14:paraId="34246119"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highlight w:val="yellow"/>
                <w:u w:val="single"/>
              </w:rPr>
            </w:pPr>
          </w:p>
          <w:p w14:paraId="72ADBDF1" w14:textId="77777777" w:rsidR="00AF7FCA" w:rsidRPr="00C51C86" w:rsidRDefault="00AF7FCA" w:rsidP="00C42A71">
            <w:pPr>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u w:val="single"/>
              </w:rPr>
              <w:t>Secondary Outcomes</w:t>
            </w:r>
            <w:r w:rsidRPr="00C51C86">
              <w:rPr>
                <w:rFonts w:ascii="Arial Narrow" w:hAnsi="Arial Narrow" w:cs="Arial"/>
                <w:bCs/>
                <w:color w:val="231F20"/>
                <w:sz w:val="18"/>
                <w:szCs w:val="18"/>
              </w:rPr>
              <w:t>:</w:t>
            </w:r>
          </w:p>
          <w:p w14:paraId="24D84811" w14:textId="749C6A79" w:rsidR="00AF7FCA" w:rsidRPr="00C51C86" w:rsidRDefault="00AF7FCA" w:rsidP="00C42A71">
            <w:pPr>
              <w:pStyle w:val="ListParagraph"/>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 CGI-S:</w:t>
            </w:r>
            <w:r w:rsidR="005A1090">
              <w:rPr>
                <w:rFonts w:ascii="Arial Narrow" w:hAnsi="Arial Narrow" w:cs="Arial"/>
                <w:bCs/>
                <w:color w:val="231F20"/>
                <w:sz w:val="18"/>
                <w:szCs w:val="18"/>
              </w:rPr>
              <w:t xml:space="preserve"> </w:t>
            </w:r>
            <w:r w:rsidRPr="00C51C86">
              <w:rPr>
                <w:rFonts w:ascii="Arial Narrow" w:hAnsi="Arial Narrow" w:cs="Arial"/>
                <w:bCs/>
                <w:color w:val="231F20"/>
                <w:sz w:val="18"/>
                <w:szCs w:val="18"/>
              </w:rPr>
              <w:t>Responder rate: 58.0%</w:t>
            </w:r>
            <w:r w:rsidR="005A1090">
              <w:rPr>
                <w:rFonts w:ascii="Arial Narrow" w:hAnsi="Arial Narrow" w:cs="Arial"/>
                <w:bCs/>
                <w:color w:val="231F20"/>
                <w:sz w:val="18"/>
                <w:szCs w:val="18"/>
              </w:rPr>
              <w:t xml:space="preserve">, </w:t>
            </w:r>
            <w:r w:rsidRPr="00C51C86">
              <w:rPr>
                <w:rFonts w:ascii="Arial Narrow" w:hAnsi="Arial Narrow" w:cs="Arial"/>
                <w:bCs/>
                <w:color w:val="231F20"/>
                <w:sz w:val="18"/>
                <w:szCs w:val="18"/>
              </w:rPr>
              <w:t>Remitter rate: 37.1%</w:t>
            </w:r>
          </w:p>
          <w:p w14:paraId="0A914ED6" w14:textId="42D24E64" w:rsidR="00AF7FCA" w:rsidRPr="00C51C86" w:rsidRDefault="00AF7FCA" w:rsidP="00FE7733">
            <w:pPr>
              <w:pStyle w:val="ListParagraph"/>
              <w:keepNext/>
              <w:tabs>
                <w:tab w:val="left" w:pos="876"/>
              </w:tabs>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 PHQ-9:</w:t>
            </w:r>
            <w:r w:rsidR="005A1090">
              <w:rPr>
                <w:rFonts w:ascii="Arial Narrow" w:hAnsi="Arial Narrow" w:cs="Arial"/>
                <w:bCs/>
                <w:color w:val="231F20"/>
                <w:sz w:val="18"/>
                <w:szCs w:val="18"/>
              </w:rPr>
              <w:t xml:space="preserve"> </w:t>
            </w:r>
            <w:r w:rsidRPr="00C51C86">
              <w:rPr>
                <w:rFonts w:ascii="Arial Narrow" w:hAnsi="Arial Narrow" w:cs="Arial"/>
                <w:bCs/>
                <w:color w:val="231F20"/>
                <w:sz w:val="18"/>
                <w:szCs w:val="18"/>
              </w:rPr>
              <w:t>Change from baseline @ end of acute treatment</w:t>
            </w:r>
            <w:r w:rsidR="00FE7733">
              <w:rPr>
                <w:rFonts w:ascii="Arial Narrow" w:hAnsi="Arial Narrow" w:cs="Arial"/>
                <w:bCs/>
                <w:color w:val="231F20"/>
                <w:sz w:val="18"/>
                <w:szCs w:val="18"/>
              </w:rPr>
              <w:tab/>
            </w:r>
            <w:r w:rsidRPr="00C51C86">
              <w:rPr>
                <w:rFonts w:ascii="Arial Narrow" w:hAnsi="Arial Narrow" w:cs="Arial"/>
                <w:bCs/>
                <w:color w:val="231F20"/>
                <w:sz w:val="18"/>
                <w:szCs w:val="18"/>
              </w:rPr>
              <w:t xml:space="preserve">(-8.7 points </w:t>
            </w:r>
            <w:r w:rsidRPr="00C51C86">
              <w:rPr>
                <w:rFonts w:ascii="Arial Narrow" w:hAnsi="Arial Narrow" w:cs="Arial"/>
                <w:bCs/>
                <w:color w:val="231F20"/>
                <w:sz w:val="18"/>
                <w:szCs w:val="18"/>
                <w:u w:val="single"/>
              </w:rPr>
              <w:t>+</w:t>
            </w:r>
            <w:r w:rsidRPr="00C51C86">
              <w:rPr>
                <w:rFonts w:ascii="Arial Narrow" w:hAnsi="Arial Narrow" w:cs="Arial"/>
                <w:bCs/>
                <w:color w:val="231F20"/>
                <w:sz w:val="18"/>
                <w:szCs w:val="18"/>
              </w:rPr>
              <w:t>7.2, P&lt;0.0001)</w:t>
            </w:r>
          </w:p>
          <w:p w14:paraId="666AEC2F" w14:textId="2CC48449" w:rsidR="00AF7FCA" w:rsidRPr="00C51C86" w:rsidRDefault="00AF7FCA" w:rsidP="00C42A71">
            <w:pPr>
              <w:pStyle w:val="ListParagraph"/>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Responder rate: 56.4%</w:t>
            </w:r>
            <w:r w:rsidR="005A1090">
              <w:rPr>
                <w:rFonts w:ascii="Arial Narrow" w:hAnsi="Arial Narrow" w:cs="Arial"/>
                <w:bCs/>
                <w:color w:val="231F20"/>
                <w:sz w:val="18"/>
                <w:szCs w:val="18"/>
              </w:rPr>
              <w:t xml:space="preserve"> </w:t>
            </w:r>
            <w:r w:rsidRPr="00C51C86">
              <w:rPr>
                <w:rFonts w:ascii="Arial Narrow" w:hAnsi="Arial Narrow" w:cs="Arial"/>
                <w:bCs/>
                <w:color w:val="231F20"/>
                <w:sz w:val="18"/>
                <w:szCs w:val="18"/>
              </w:rPr>
              <w:t>Remitter rate: 28.7%</w:t>
            </w:r>
          </w:p>
          <w:p w14:paraId="50A99643" w14:textId="6D23F62F" w:rsidR="00AF7FCA" w:rsidRPr="00C51C86" w:rsidRDefault="00AF7FCA" w:rsidP="00C42A71">
            <w:pPr>
              <w:pStyle w:val="ListParagraph"/>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 IDS-SR:</w:t>
            </w:r>
            <w:r w:rsidR="005A1090">
              <w:rPr>
                <w:rFonts w:ascii="Arial Narrow" w:hAnsi="Arial Narrow" w:cs="Arial"/>
                <w:bCs/>
                <w:color w:val="231F20"/>
                <w:sz w:val="18"/>
                <w:szCs w:val="18"/>
              </w:rPr>
              <w:t xml:space="preserve"> </w:t>
            </w:r>
            <w:r w:rsidRPr="00C51C86">
              <w:rPr>
                <w:rFonts w:ascii="Arial Narrow" w:hAnsi="Arial Narrow" w:cs="Arial"/>
                <w:bCs/>
                <w:color w:val="231F20"/>
                <w:sz w:val="18"/>
                <w:szCs w:val="18"/>
              </w:rPr>
              <w:t xml:space="preserve">Change from baseline @ end of acute treatment (-18.3 points </w:t>
            </w:r>
            <w:r w:rsidRPr="00C51C86">
              <w:rPr>
                <w:rFonts w:ascii="Arial Narrow" w:hAnsi="Arial Narrow" w:cs="Arial"/>
                <w:bCs/>
                <w:color w:val="231F20"/>
                <w:sz w:val="18"/>
                <w:szCs w:val="18"/>
                <w:u w:val="single"/>
              </w:rPr>
              <w:t>+</w:t>
            </w:r>
            <w:r w:rsidRPr="00C51C86">
              <w:rPr>
                <w:rFonts w:ascii="Arial Narrow" w:hAnsi="Arial Narrow" w:cs="Arial"/>
                <w:bCs/>
                <w:color w:val="231F20"/>
                <w:sz w:val="18"/>
                <w:szCs w:val="18"/>
              </w:rPr>
              <w:t>14.9, P&lt;0.0001)</w:t>
            </w:r>
          </w:p>
          <w:p w14:paraId="4E154E5F" w14:textId="31FE446D" w:rsidR="00AF7FCA" w:rsidRPr="00C51C86" w:rsidRDefault="00AF7FCA" w:rsidP="00C42A71">
            <w:pPr>
              <w:pStyle w:val="ListParagraph"/>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Responder rate: 41.5%</w:t>
            </w:r>
            <w:r w:rsidR="005A1090">
              <w:rPr>
                <w:rFonts w:ascii="Arial Narrow" w:hAnsi="Arial Narrow" w:cs="Arial"/>
                <w:bCs/>
                <w:color w:val="231F20"/>
                <w:sz w:val="18"/>
                <w:szCs w:val="18"/>
              </w:rPr>
              <w:t xml:space="preserve">, </w:t>
            </w:r>
            <w:r w:rsidRPr="00C51C86">
              <w:rPr>
                <w:rFonts w:ascii="Arial Narrow" w:hAnsi="Arial Narrow" w:cs="Arial"/>
                <w:bCs/>
                <w:color w:val="231F20"/>
                <w:sz w:val="18"/>
                <w:szCs w:val="18"/>
              </w:rPr>
              <w:t>Remitter rate: 26.5%</w:t>
            </w:r>
          </w:p>
          <w:p w14:paraId="33017BD4" w14:textId="7A47A25F" w:rsidR="00AF7FCA" w:rsidRPr="00C51C86" w:rsidRDefault="00AF7FCA" w:rsidP="00C42A71">
            <w:pPr>
              <w:pStyle w:val="ListParagraph"/>
              <w:keepNext/>
              <w:autoSpaceDE w:val="0"/>
              <w:autoSpaceDN w:val="0"/>
              <w:adjustRightInd w:val="0"/>
              <w:spacing w:before="40" w:after="40"/>
              <w:ind w:left="0"/>
              <w:rPr>
                <w:rFonts w:ascii="Arial Narrow" w:hAnsi="Arial Narrow" w:cs="Arial"/>
                <w:bCs/>
                <w:color w:val="231F20"/>
                <w:sz w:val="18"/>
                <w:szCs w:val="18"/>
              </w:rPr>
            </w:pPr>
            <w:r w:rsidRPr="00C51C86">
              <w:rPr>
                <w:rFonts w:ascii="Arial Narrow" w:hAnsi="Arial Narrow" w:cs="Arial"/>
                <w:bCs/>
                <w:color w:val="231F20"/>
                <w:sz w:val="18"/>
                <w:szCs w:val="18"/>
              </w:rPr>
              <w:t>- EQ-5D</w:t>
            </w:r>
            <w:r w:rsidR="005A1090">
              <w:rPr>
                <w:rFonts w:ascii="Arial Narrow" w:hAnsi="Arial Narrow" w:cs="Arial"/>
                <w:bCs/>
                <w:color w:val="231F20"/>
                <w:sz w:val="18"/>
                <w:szCs w:val="18"/>
              </w:rPr>
              <w:t xml:space="preserve"> </w:t>
            </w:r>
            <w:r w:rsidRPr="00C51C86">
              <w:rPr>
                <w:rFonts w:ascii="Arial Narrow" w:hAnsi="Arial Narrow" w:cs="Arial"/>
                <w:bCs/>
                <w:color w:val="231F20"/>
                <w:sz w:val="18"/>
                <w:szCs w:val="18"/>
              </w:rPr>
              <w:t>Statistically significant improvement in all domains, VAS General Health Perception Score and Health Utility Index score.</w:t>
            </w:r>
          </w:p>
          <w:p w14:paraId="7FE15DFB" w14:textId="401586DE" w:rsidR="00AF7FCA" w:rsidRPr="00C51C86" w:rsidRDefault="00AF7FCA" w:rsidP="005A1090">
            <w:pPr>
              <w:pStyle w:val="ListParagraph"/>
              <w:keepNext/>
              <w:autoSpaceDE w:val="0"/>
              <w:autoSpaceDN w:val="0"/>
              <w:adjustRightInd w:val="0"/>
              <w:spacing w:before="40" w:after="40"/>
              <w:ind w:left="0"/>
              <w:rPr>
                <w:rFonts w:ascii="Arial Narrow" w:hAnsi="Arial Narrow" w:cs="Arial"/>
                <w:bCs/>
                <w:color w:val="231F20"/>
                <w:sz w:val="18"/>
                <w:szCs w:val="18"/>
                <w:u w:val="single"/>
              </w:rPr>
            </w:pPr>
            <w:r w:rsidRPr="00C51C86">
              <w:rPr>
                <w:rFonts w:ascii="Arial Narrow" w:hAnsi="Arial Narrow" w:cs="Arial"/>
                <w:bCs/>
                <w:color w:val="231F20"/>
                <w:sz w:val="18"/>
                <w:szCs w:val="18"/>
              </w:rPr>
              <w:t>- SF-36</w:t>
            </w:r>
            <w:r w:rsidR="005A1090">
              <w:rPr>
                <w:rFonts w:ascii="Arial Narrow" w:hAnsi="Arial Narrow" w:cs="Arial"/>
                <w:bCs/>
                <w:color w:val="231F20"/>
                <w:sz w:val="18"/>
                <w:szCs w:val="18"/>
              </w:rPr>
              <w:t xml:space="preserve"> </w:t>
            </w:r>
            <w:r w:rsidRPr="00C51C86">
              <w:rPr>
                <w:rFonts w:ascii="Arial Narrow" w:hAnsi="Arial Narrow" w:cs="Arial"/>
                <w:bCs/>
                <w:color w:val="231F20"/>
                <w:sz w:val="18"/>
                <w:szCs w:val="18"/>
              </w:rPr>
              <w:t>Statistically significant improvement in Physical and Mental Component Scores</w:t>
            </w:r>
          </w:p>
        </w:tc>
      </w:tr>
    </w:tbl>
    <w:p w14:paraId="2C8D13F5" w14:textId="77777777" w:rsidR="00AF7FCA" w:rsidRDefault="00AF7FCA" w:rsidP="00C42A71">
      <w:pPr>
        <w:keepNext/>
        <w:spacing w:before="40" w:after="40"/>
        <w:rPr>
          <w:rFonts w:ascii="Arial Narrow" w:hAnsi="Arial Narrow" w:cs="Arial"/>
          <w:color w:val="000000"/>
          <w:sz w:val="18"/>
          <w:szCs w:val="18"/>
        </w:rPr>
      </w:pPr>
      <w:r w:rsidRPr="00C51C86">
        <w:rPr>
          <w:rFonts w:ascii="Arial Narrow" w:hAnsi="Arial Narrow" w:cs="Arial"/>
          <w:color w:val="000000"/>
          <w:sz w:val="18"/>
          <w:szCs w:val="18"/>
        </w:rPr>
        <w:t>ATHF = antidepressant treatment history form; CGI-S = Clinical Global Impression – Severity scale; CI = confidence interval; HAMD = Hamilton depression rating scale; IDS-SR = Inventory of Depressive Symptomatology – self-report; MADRS = Montgomery-Asberg depression rating scale; MDD = major depressive disorder; N= number; NIH = National Institutes of Health; PHQ-9 = patient health questionnaire; QOL = quality of life; RCT = randomised controlled trial; TMS = Transcranial Magnetic Stimulation;TRD =  VAS = visual analogue scale</w:t>
      </w:r>
    </w:p>
    <w:p w14:paraId="3B43682F" w14:textId="77777777" w:rsidR="00645BDA" w:rsidRDefault="00645BDA" w:rsidP="00645BDA"/>
    <w:p w14:paraId="47F3AA52" w14:textId="3F88983E" w:rsidR="00360E5A" w:rsidRPr="00AD6EF2" w:rsidRDefault="00360E5A" w:rsidP="00C51C86">
      <w:pPr>
        <w:pStyle w:val="Heading5"/>
      </w:pPr>
      <w:bookmarkStart w:id="86" w:name="_Toc319069009"/>
      <w:bookmarkStart w:id="87" w:name="_Toc367715540"/>
      <w:bookmarkStart w:id="88" w:name="_Toc367716673"/>
      <w:bookmarkStart w:id="89" w:name="_Toc367801987"/>
      <w:r w:rsidRPr="00AD6EF2">
        <w:t xml:space="preserve">Long </w:t>
      </w:r>
      <w:r w:rsidR="00C51C86">
        <w:t>t</w:t>
      </w:r>
      <w:r w:rsidR="00651C35" w:rsidRPr="00AD6EF2">
        <w:t xml:space="preserve">erm </w:t>
      </w:r>
      <w:bookmarkEnd w:id="86"/>
      <w:bookmarkEnd w:id="87"/>
      <w:bookmarkEnd w:id="88"/>
      <w:bookmarkEnd w:id="89"/>
      <w:r w:rsidR="00A97080">
        <w:t>effects of rTMS</w:t>
      </w:r>
      <w:r w:rsidR="005A7F15">
        <w:t xml:space="preserve"> vs sham</w:t>
      </w:r>
    </w:p>
    <w:p w14:paraId="69D9D870" w14:textId="3C42DCE1" w:rsidR="00360E5A" w:rsidRPr="00AD6EF2" w:rsidRDefault="00360E5A" w:rsidP="00C42A71">
      <w:pPr>
        <w:jc w:val="both"/>
      </w:pPr>
      <w:r w:rsidRPr="00AD6EF2">
        <w:rPr>
          <w:color w:val="000000"/>
        </w:rPr>
        <w:t>R</w:t>
      </w:r>
      <w:r w:rsidRPr="00AD6EF2">
        <w:t xml:space="preserve">eports of the sustained durability of effect with </w:t>
      </w:r>
      <w:r w:rsidR="008F4342">
        <w:t>r</w:t>
      </w:r>
      <w:r w:rsidRPr="00AD6EF2">
        <w:t xml:space="preserve">TMS using various devices and treatment protocols have been described in published reports that have intervals of observational follow up that extend for periods up to six years following successful acute treatment (Dannon, et al. 2002; Fitzgerald, et al. 2006; Demirtas-Tatlidede, et al. 2008; Cohen, et al, 2004). The specific long-term durability of effect outcomes of the NeuroStar </w:t>
      </w:r>
      <w:r w:rsidR="008F4342">
        <w:t>r</w:t>
      </w:r>
      <w:r w:rsidRPr="00AD6EF2">
        <w:t xml:space="preserve">TMS </w:t>
      </w:r>
      <w:r>
        <w:t>T</w:t>
      </w:r>
      <w:r w:rsidRPr="00AD6EF2">
        <w:t xml:space="preserve">herapy device following a standardized acute treatment course of high-frequency, left prefrontal </w:t>
      </w:r>
      <w:r w:rsidR="008F4342">
        <w:t>r</w:t>
      </w:r>
      <w:r w:rsidRPr="00AD6EF2">
        <w:t>TMS have been described in the peer-reviewed literature in two different open-label extension studies of research populations from each of the two multisite RCTs described above</w:t>
      </w:r>
      <w:r>
        <w:t xml:space="preserve"> (see Table </w:t>
      </w:r>
      <w:r w:rsidR="0001226F">
        <w:t>5</w:t>
      </w:r>
      <w:r>
        <w:t>)</w:t>
      </w:r>
      <w:r w:rsidRPr="00AD6EF2">
        <w:t xml:space="preserve">. These two reports describe outcomes over periods extending for </w:t>
      </w:r>
      <w:r>
        <w:t>three</w:t>
      </w:r>
      <w:r w:rsidRPr="00AD6EF2">
        <w:t xml:space="preserve"> months </w:t>
      </w:r>
      <w:r>
        <w:t>(Mantovani, et al., 2012), and six</w:t>
      </w:r>
      <w:r w:rsidRPr="00AD6EF2">
        <w:t xml:space="preserve"> months (Janicak, et al. 2010) following the end of acute treatment.  A third report has examined a longer duration of observation in a real-world clinical population for a period of 12 months following the end of acute treatment.  </w:t>
      </w:r>
    </w:p>
    <w:p w14:paraId="655139EB" w14:textId="3C77CCF2" w:rsidR="00360E5A" w:rsidRPr="00AD6EF2" w:rsidRDefault="00360E5A" w:rsidP="00C42A71">
      <w:pPr>
        <w:jc w:val="both"/>
        <w:rPr>
          <w:color w:val="000000"/>
        </w:rPr>
      </w:pPr>
      <w:r w:rsidRPr="00AD6EF2">
        <w:t xml:space="preserve">This latter dataset includes patients who participated in the large, multisite naturalistic study described previously (Carpenter, et al., 2012; Janicak, et al., 2013) and who separately consented to observation in long-term naturalistic clinical follow-up of treatment as usual (Dunner, et al., submitted for publication). </w:t>
      </w:r>
      <w:r w:rsidRPr="00AD6EF2">
        <w:rPr>
          <w:color w:val="000000"/>
        </w:rPr>
        <w:t xml:space="preserve">NeuroStar </w:t>
      </w:r>
      <w:r w:rsidR="008F4342">
        <w:rPr>
          <w:color w:val="000000"/>
        </w:rPr>
        <w:t>r</w:t>
      </w:r>
      <w:r w:rsidRPr="00AD6EF2">
        <w:rPr>
          <w:color w:val="000000"/>
        </w:rPr>
        <w:t xml:space="preserve">TMS </w:t>
      </w:r>
      <w:r>
        <w:rPr>
          <w:color w:val="000000"/>
        </w:rPr>
        <w:t>T</w:t>
      </w:r>
      <w:r w:rsidRPr="00AD6EF2">
        <w:rPr>
          <w:color w:val="000000"/>
        </w:rPr>
        <w:t>herapy has not been evaluated for durability of antidepressant effect in controlled clinical trials.</w:t>
      </w:r>
    </w:p>
    <w:p w14:paraId="7827E886" w14:textId="5913D8AB" w:rsidR="00360E5A" w:rsidRPr="00AD6EF2" w:rsidRDefault="00360E5A" w:rsidP="00C42A71">
      <w:pPr>
        <w:jc w:val="both"/>
      </w:pPr>
      <w:r w:rsidRPr="00AD6EF2">
        <w:t>The report by Mantovani, et al. (2012) followed a</w:t>
      </w:r>
      <w:r>
        <w:t xml:space="preserve"> cohort of patients (N=50) for three</w:t>
      </w:r>
      <w:r w:rsidRPr="00AD6EF2">
        <w:t xml:space="preserve"> months who had achieved remission (HAM</w:t>
      </w:r>
      <w:r>
        <w:t>-</w:t>
      </w:r>
      <w:r w:rsidRPr="00AD6EF2">
        <w:t xml:space="preserve">D24 &lt; 10) following acute treatment with NeuroStar TMS </w:t>
      </w:r>
      <w:r>
        <w:t>T</w:t>
      </w:r>
      <w:r w:rsidRPr="00AD6EF2">
        <w:t xml:space="preserve">herapy in either the RCT or open-label follow-on phase in the OPT-TMS Study and underwent a taper phase of </w:t>
      </w:r>
      <w:r w:rsidR="008F4342">
        <w:t>r</w:t>
      </w:r>
      <w:r w:rsidRPr="00AD6EF2">
        <w:t>TMS with transition to pharmacotherapy maintenance. Among this patient cohort, 29 of 50 patients (58.0%) remaine</w:t>
      </w:r>
      <w:r>
        <w:t>d in remission (HAM-D24 &lt;11) at three</w:t>
      </w:r>
      <w:r w:rsidRPr="00AD6EF2">
        <w:t xml:space="preserve"> months of observation. The investigators reported an overall relapse rate of 13.5% in this study population, defined as the emergence of a HAM</w:t>
      </w:r>
      <w:r>
        <w:t>-</w:t>
      </w:r>
      <w:r w:rsidR="00C51C86">
        <w:t>D24 total score &gt;</w:t>
      </w:r>
      <w:r w:rsidRPr="00AD6EF2">
        <w:t xml:space="preserve">20. They concluded that most patients experienced persistence </w:t>
      </w:r>
      <w:r w:rsidRPr="00AD6EF2">
        <w:lastRenderedPageBreak/>
        <w:t>of benefit from</w:t>
      </w:r>
      <w:r>
        <w:t xml:space="preserve"> acute treatment with </w:t>
      </w:r>
      <w:r w:rsidR="008F4342">
        <w:t>r</w:t>
      </w:r>
      <w:r>
        <w:t>TMS over three</w:t>
      </w:r>
      <w:r w:rsidRPr="00AD6EF2">
        <w:t xml:space="preserve"> months of follow-up. </w:t>
      </w:r>
      <w:r w:rsidRPr="00C51C86">
        <w:t xml:space="preserve">See </w:t>
      </w:r>
      <w:r w:rsidR="00C51C86" w:rsidRPr="00C51C86">
        <w:fldChar w:fldCharType="begin"/>
      </w:r>
      <w:r w:rsidR="00C51C86" w:rsidRPr="00C51C86">
        <w:instrText xml:space="preserve"> REF _Ref386027591 \h </w:instrText>
      </w:r>
      <w:r w:rsidR="00C51C86">
        <w:instrText xml:space="preserve"> \* MERGEFORMAT </w:instrText>
      </w:r>
      <w:r w:rsidR="00C51C86" w:rsidRPr="00C51C86">
        <w:fldChar w:fldCharType="separate"/>
      </w:r>
      <w:r w:rsidR="004C1C27" w:rsidRPr="00C42A71">
        <w:t xml:space="preserve">Table </w:t>
      </w:r>
      <w:r w:rsidR="00C51C86" w:rsidRPr="00C51C86">
        <w:fldChar w:fldCharType="end"/>
      </w:r>
      <w:r w:rsidRPr="00C51C86">
        <w:t xml:space="preserve"> for</w:t>
      </w:r>
      <w:r w:rsidRPr="00AD6EF2">
        <w:t xml:space="preserve"> details on trial design and results.</w:t>
      </w:r>
    </w:p>
    <w:p w14:paraId="2E105C0F" w14:textId="351F8CB5" w:rsidR="00AF7FCA" w:rsidRPr="00C42A71" w:rsidRDefault="00C51C86" w:rsidP="00645BDA">
      <w:pPr>
        <w:pStyle w:val="TableName"/>
        <w:keepNext w:val="0"/>
        <w:widowControl w:val="0"/>
      </w:pPr>
      <w:bookmarkStart w:id="90" w:name="_Ref386027591"/>
      <w:bookmarkStart w:id="91" w:name="_Toc389143582"/>
      <w:r w:rsidRPr="00C42A71">
        <w:t xml:space="preserve">Table </w:t>
      </w:r>
      <w:bookmarkEnd w:id="90"/>
      <w:r w:rsidR="0001226F">
        <w:t>8</w:t>
      </w:r>
      <w:r w:rsidRPr="00C42A71">
        <w:t xml:space="preserve">: </w:t>
      </w:r>
      <w:r w:rsidR="00AF7FCA" w:rsidRPr="00C42A71">
        <w:t>Overview of open-label clinical trials evaluating the long-term durability of effect of the NeuroStar TMS Therapy System in patients with TRD</w:t>
      </w:r>
      <w:bookmarkEnd w:id="91"/>
    </w:p>
    <w:tbl>
      <w:tblPr>
        <w:tblW w:w="4602" w:type="pct"/>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pen label studies: long term effect of NeuroStar TMS "/>
      </w:tblPr>
      <w:tblGrid>
        <w:gridCol w:w="1276"/>
        <w:gridCol w:w="3544"/>
        <w:gridCol w:w="3539"/>
      </w:tblGrid>
      <w:tr w:rsidR="00AF7FCA" w:rsidRPr="00BC032D" w14:paraId="4565D026" w14:textId="77777777" w:rsidTr="00EE1CDE">
        <w:trPr>
          <w:cantSplit/>
          <w:trHeight w:val="305"/>
          <w:tblHeader/>
        </w:trPr>
        <w:tc>
          <w:tcPr>
            <w:tcW w:w="763" w:type="pct"/>
            <w:shd w:val="clear" w:color="auto" w:fill="auto"/>
            <w:tcMar>
              <w:left w:w="28" w:type="dxa"/>
              <w:right w:w="28" w:type="dxa"/>
            </w:tcMar>
            <w:vAlign w:val="center"/>
          </w:tcPr>
          <w:p w14:paraId="44A87D32" w14:textId="77777777" w:rsidR="00AF7FCA" w:rsidRPr="00BC032D" w:rsidRDefault="00AF7FCA" w:rsidP="00645BDA">
            <w:pPr>
              <w:widowControl w:val="0"/>
              <w:autoSpaceDE w:val="0"/>
              <w:autoSpaceDN w:val="0"/>
              <w:adjustRightInd w:val="0"/>
              <w:spacing w:before="40" w:after="40"/>
              <w:ind w:left="0"/>
              <w:rPr>
                <w:rFonts w:ascii="Arial Narrow" w:hAnsi="Arial Narrow" w:cs="Arial"/>
                <w:b/>
                <w:bCs/>
                <w:color w:val="231F20"/>
                <w:sz w:val="18"/>
                <w:szCs w:val="18"/>
              </w:rPr>
            </w:pPr>
            <w:r w:rsidRPr="00BC032D">
              <w:rPr>
                <w:rFonts w:ascii="Arial Narrow" w:hAnsi="Arial Narrow" w:cs="Arial"/>
                <w:b/>
                <w:bCs/>
                <w:color w:val="231F20"/>
                <w:sz w:val="18"/>
                <w:szCs w:val="18"/>
              </w:rPr>
              <w:t>Trial Type</w:t>
            </w:r>
          </w:p>
        </w:tc>
        <w:tc>
          <w:tcPr>
            <w:tcW w:w="2120" w:type="pct"/>
            <w:shd w:val="clear" w:color="auto" w:fill="auto"/>
            <w:tcMar>
              <w:left w:w="28" w:type="dxa"/>
              <w:right w:w="28" w:type="dxa"/>
            </w:tcMar>
            <w:vAlign w:val="center"/>
          </w:tcPr>
          <w:p w14:paraId="0ED7C786" w14:textId="77777777" w:rsidR="00AF7FCA" w:rsidRPr="00BC032D" w:rsidRDefault="00AF7FCA" w:rsidP="00645BDA">
            <w:pPr>
              <w:widowControl w:val="0"/>
              <w:autoSpaceDE w:val="0"/>
              <w:autoSpaceDN w:val="0"/>
              <w:adjustRightInd w:val="0"/>
              <w:spacing w:before="40" w:after="40"/>
              <w:ind w:left="0"/>
              <w:rPr>
                <w:rFonts w:ascii="Arial Narrow" w:hAnsi="Arial Narrow" w:cs="Arial"/>
                <w:b/>
                <w:bCs/>
                <w:color w:val="231F20"/>
                <w:sz w:val="18"/>
                <w:szCs w:val="18"/>
              </w:rPr>
            </w:pPr>
            <w:r w:rsidRPr="00BC032D">
              <w:rPr>
                <w:rFonts w:ascii="Arial Narrow" w:hAnsi="Arial Narrow" w:cs="Arial"/>
                <w:b/>
                <w:bCs/>
                <w:color w:val="231F20"/>
                <w:sz w:val="18"/>
                <w:szCs w:val="18"/>
              </w:rPr>
              <w:t>Patient Population/Study Design</w:t>
            </w:r>
          </w:p>
        </w:tc>
        <w:tc>
          <w:tcPr>
            <w:tcW w:w="2117" w:type="pct"/>
            <w:shd w:val="clear" w:color="auto" w:fill="auto"/>
            <w:tcMar>
              <w:left w:w="28" w:type="dxa"/>
              <w:right w:w="28" w:type="dxa"/>
            </w:tcMar>
            <w:vAlign w:val="center"/>
          </w:tcPr>
          <w:p w14:paraId="070E29CA" w14:textId="77777777" w:rsidR="00AF7FCA" w:rsidRPr="00BC032D" w:rsidRDefault="00AF7FCA" w:rsidP="00645BDA">
            <w:pPr>
              <w:widowControl w:val="0"/>
              <w:autoSpaceDE w:val="0"/>
              <w:autoSpaceDN w:val="0"/>
              <w:adjustRightInd w:val="0"/>
              <w:spacing w:before="40" w:after="40"/>
              <w:ind w:left="0"/>
              <w:rPr>
                <w:rFonts w:ascii="Arial Narrow" w:hAnsi="Arial Narrow" w:cs="Arial"/>
                <w:b/>
                <w:bCs/>
                <w:color w:val="231F20"/>
                <w:sz w:val="18"/>
                <w:szCs w:val="18"/>
              </w:rPr>
            </w:pPr>
            <w:r w:rsidRPr="00BC032D">
              <w:rPr>
                <w:rFonts w:ascii="Arial Narrow" w:hAnsi="Arial Narrow" w:cs="Arial"/>
                <w:b/>
                <w:bCs/>
                <w:color w:val="231F20"/>
                <w:sz w:val="18"/>
                <w:szCs w:val="18"/>
              </w:rPr>
              <w:t>Key Findings</w:t>
            </w:r>
          </w:p>
        </w:tc>
      </w:tr>
      <w:tr w:rsidR="00AF7FCA" w:rsidRPr="00BC032D" w14:paraId="7E19A959" w14:textId="77777777" w:rsidTr="00EE1CDE">
        <w:trPr>
          <w:cantSplit/>
          <w:trHeight w:val="2064"/>
        </w:trPr>
        <w:tc>
          <w:tcPr>
            <w:tcW w:w="763" w:type="pct"/>
            <w:tcMar>
              <w:left w:w="28" w:type="dxa"/>
              <w:right w:w="28" w:type="dxa"/>
            </w:tcMar>
          </w:tcPr>
          <w:p w14:paraId="6DEF0A42" w14:textId="77777777" w:rsidR="00AF7FCA" w:rsidRDefault="00AF7FCA" w:rsidP="00645BDA">
            <w:pPr>
              <w:widowControl w:val="0"/>
              <w:autoSpaceDE w:val="0"/>
              <w:autoSpaceDN w:val="0"/>
              <w:adjustRightInd w:val="0"/>
              <w:spacing w:before="40" w:after="40"/>
              <w:ind w:left="0"/>
              <w:rPr>
                <w:rFonts w:ascii="Arial Narrow" w:hAnsi="Arial Narrow" w:cs="Arial"/>
                <w:color w:val="231F20"/>
                <w:sz w:val="18"/>
                <w:szCs w:val="18"/>
                <w:lang w:val="nl-NL"/>
              </w:rPr>
            </w:pPr>
            <w:r w:rsidRPr="00BC032D">
              <w:rPr>
                <w:rFonts w:ascii="Arial Narrow" w:hAnsi="Arial Narrow" w:cs="Arial"/>
                <w:sz w:val="18"/>
                <w:szCs w:val="18"/>
              </w:rPr>
              <w:t>Multicenter, open-label continuation study</w:t>
            </w:r>
            <w:r w:rsidRPr="00BC032D">
              <w:rPr>
                <w:rFonts w:ascii="Arial Narrow" w:hAnsi="Arial Narrow" w:cs="Arial"/>
                <w:color w:val="231F20"/>
                <w:sz w:val="18"/>
                <w:szCs w:val="18"/>
                <w:lang w:val="nl-NL"/>
              </w:rPr>
              <w:t xml:space="preserve"> </w:t>
            </w:r>
          </w:p>
          <w:p w14:paraId="0669789F" w14:textId="77777777" w:rsidR="00AF7FCA" w:rsidRDefault="00AF7FCA" w:rsidP="00645BDA">
            <w:pPr>
              <w:widowControl w:val="0"/>
              <w:autoSpaceDE w:val="0"/>
              <w:autoSpaceDN w:val="0"/>
              <w:adjustRightInd w:val="0"/>
              <w:spacing w:before="40" w:after="40"/>
              <w:ind w:left="0"/>
              <w:rPr>
                <w:rFonts w:ascii="Arial Narrow" w:hAnsi="Arial Narrow" w:cs="Arial"/>
                <w:color w:val="231F20"/>
                <w:sz w:val="18"/>
                <w:szCs w:val="18"/>
                <w:lang w:val="nl-NL"/>
              </w:rPr>
            </w:pPr>
          </w:p>
          <w:p w14:paraId="17451BF2" w14:textId="77777777" w:rsidR="00AF7FCA" w:rsidRPr="00BC032D" w:rsidRDefault="00AF7FCA" w:rsidP="00645BDA">
            <w:pPr>
              <w:widowControl w:val="0"/>
              <w:autoSpaceDE w:val="0"/>
              <w:autoSpaceDN w:val="0"/>
              <w:adjustRightInd w:val="0"/>
              <w:spacing w:before="40" w:after="40"/>
              <w:ind w:left="0"/>
              <w:rPr>
                <w:rFonts w:ascii="Arial Narrow" w:hAnsi="Arial Narrow" w:cs="Arial"/>
                <w:sz w:val="18"/>
                <w:szCs w:val="18"/>
              </w:rPr>
            </w:pPr>
            <w:r w:rsidRPr="00BC032D">
              <w:rPr>
                <w:rFonts w:ascii="Arial Narrow" w:hAnsi="Arial Narrow" w:cs="Arial"/>
                <w:color w:val="231F20"/>
                <w:sz w:val="18"/>
                <w:szCs w:val="18"/>
                <w:lang w:val="nl-NL"/>
              </w:rPr>
              <w:t>Mantovani, A, et al., (2012) Depression and Anxiety, 00:1-8.</w:t>
            </w:r>
          </w:p>
        </w:tc>
        <w:tc>
          <w:tcPr>
            <w:tcW w:w="2120" w:type="pct"/>
            <w:tcMar>
              <w:left w:w="28" w:type="dxa"/>
              <w:right w:w="28" w:type="dxa"/>
            </w:tcMar>
          </w:tcPr>
          <w:p w14:paraId="514DBE86"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Sponsor:  National Institute of Mental Health, NIH</w:t>
            </w:r>
          </w:p>
          <w:p w14:paraId="2E92E995"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Multicenter (4 sites), open-label extension study</w:t>
            </w:r>
          </w:p>
          <w:p w14:paraId="5517B6DE"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N=61 patients with primary clinical diagnosis of TRD MDD (clinician-verified), successfully remitted following acute phase treatment in RCT study</w:t>
            </w:r>
          </w:p>
          <w:p w14:paraId="09CF5644"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-Primary efficacy outcome:</w:t>
            </w:r>
          </w:p>
          <w:p w14:paraId="722D2C97"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Incidence of illness relapse during three month of follow-up (emergence of HAMD24 &gt; 20)</w:t>
            </w:r>
          </w:p>
          <w:p w14:paraId="4A149E68"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Secondary efficacy outcome:</w:t>
            </w:r>
          </w:p>
          <w:p w14:paraId="140DD7DF"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of patients remai</w:t>
            </w:r>
            <w:r>
              <w:rPr>
                <w:rFonts w:ascii="Arial Narrow" w:hAnsi="Arial Narrow" w:cs="Arial"/>
                <w:sz w:val="18"/>
                <w:szCs w:val="18"/>
              </w:rPr>
              <w:t>ning in remission (HAMD24 &lt; 11)</w:t>
            </w:r>
          </w:p>
        </w:tc>
        <w:tc>
          <w:tcPr>
            <w:tcW w:w="2117" w:type="pct"/>
            <w:tcMar>
              <w:left w:w="28" w:type="dxa"/>
              <w:right w:w="28" w:type="dxa"/>
            </w:tcMar>
          </w:tcPr>
          <w:p w14:paraId="721F428D"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u w:val="single"/>
              </w:rPr>
            </w:pPr>
            <w:r w:rsidRPr="00BC032D">
              <w:rPr>
                <w:rFonts w:ascii="Arial Narrow" w:hAnsi="Arial Narrow" w:cs="Arial"/>
                <w:bCs/>
                <w:color w:val="231F20"/>
                <w:sz w:val="18"/>
                <w:szCs w:val="18"/>
                <w:u w:val="single"/>
              </w:rPr>
              <w:t>Primary outcome:</w:t>
            </w:r>
          </w:p>
          <w:p w14:paraId="3449126F"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Among patients in remission at the end of acute treatment who completed 3 month follow-up, 13.5% of patients experienced relapse of illness</w:t>
            </w:r>
          </w:p>
          <w:p w14:paraId="725505DC"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p>
          <w:p w14:paraId="42CECB72"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u w:val="single"/>
              </w:rPr>
            </w:pPr>
            <w:r w:rsidRPr="00BC032D">
              <w:rPr>
                <w:rFonts w:ascii="Arial Narrow" w:hAnsi="Arial Narrow" w:cs="Arial"/>
                <w:bCs/>
                <w:color w:val="231F20"/>
                <w:sz w:val="18"/>
                <w:szCs w:val="18"/>
                <w:u w:val="single"/>
              </w:rPr>
              <w:t>Secondary outcome:</w:t>
            </w:r>
          </w:p>
          <w:p w14:paraId="125FBE71"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 xml:space="preserve">Among patients in remission at the end of acute treatment who completed 3 month follow-up, 29 of 50 </w:t>
            </w:r>
            <w:r>
              <w:rPr>
                <w:rFonts w:ascii="Arial Narrow" w:hAnsi="Arial Narrow" w:cs="Arial"/>
                <w:bCs/>
                <w:color w:val="231F20"/>
                <w:sz w:val="18"/>
                <w:szCs w:val="18"/>
              </w:rPr>
              <w:t>(58%) remained in remission</w:t>
            </w:r>
          </w:p>
        </w:tc>
      </w:tr>
      <w:tr w:rsidR="00AF7FCA" w:rsidRPr="00BC032D" w14:paraId="22EC6EB4" w14:textId="77777777" w:rsidTr="00EE1CDE">
        <w:trPr>
          <w:cantSplit/>
          <w:trHeight w:val="2391"/>
        </w:trPr>
        <w:tc>
          <w:tcPr>
            <w:tcW w:w="763" w:type="pct"/>
            <w:tcMar>
              <w:left w:w="28" w:type="dxa"/>
              <w:right w:w="28" w:type="dxa"/>
            </w:tcMar>
          </w:tcPr>
          <w:p w14:paraId="3982B34B" w14:textId="77777777" w:rsidR="00AF7FCA" w:rsidRPr="00BC032D" w:rsidRDefault="00AF7FCA" w:rsidP="00645BDA">
            <w:pPr>
              <w:widowControl w:val="0"/>
              <w:autoSpaceDE w:val="0"/>
              <w:autoSpaceDN w:val="0"/>
              <w:adjustRightInd w:val="0"/>
              <w:spacing w:before="40" w:after="40"/>
              <w:ind w:left="0"/>
              <w:rPr>
                <w:rFonts w:ascii="Arial Narrow" w:hAnsi="Arial Narrow" w:cs="Arial"/>
                <w:sz w:val="18"/>
                <w:szCs w:val="18"/>
              </w:rPr>
            </w:pPr>
            <w:r w:rsidRPr="00BC032D">
              <w:rPr>
                <w:rFonts w:ascii="Arial Narrow" w:hAnsi="Arial Narrow" w:cs="Arial"/>
                <w:sz w:val="18"/>
                <w:szCs w:val="18"/>
              </w:rPr>
              <w:t>Multicenter, open-label continuation study</w:t>
            </w:r>
          </w:p>
          <w:p w14:paraId="662516BD" w14:textId="77777777" w:rsidR="00AF7FCA" w:rsidRPr="00BC032D" w:rsidRDefault="00AF7FCA" w:rsidP="00645BDA">
            <w:pPr>
              <w:widowControl w:val="0"/>
              <w:autoSpaceDE w:val="0"/>
              <w:autoSpaceDN w:val="0"/>
              <w:adjustRightInd w:val="0"/>
              <w:spacing w:before="40" w:after="40"/>
              <w:ind w:left="0"/>
              <w:rPr>
                <w:rFonts w:ascii="Arial Narrow" w:hAnsi="Arial Narrow" w:cs="Arial"/>
                <w:sz w:val="18"/>
                <w:szCs w:val="18"/>
              </w:rPr>
            </w:pPr>
          </w:p>
          <w:p w14:paraId="019F5A8B" w14:textId="04F0C50B" w:rsidR="00AF7FCA" w:rsidRPr="00BC032D" w:rsidRDefault="00AF7FCA" w:rsidP="00FE7733">
            <w:pPr>
              <w:widowControl w:val="0"/>
              <w:autoSpaceDE w:val="0"/>
              <w:autoSpaceDN w:val="0"/>
              <w:adjustRightInd w:val="0"/>
              <w:spacing w:before="40" w:after="40"/>
              <w:ind w:left="0"/>
              <w:rPr>
                <w:rFonts w:ascii="Arial Narrow" w:hAnsi="Arial Narrow" w:cs="Arial"/>
                <w:b/>
                <w:bCs/>
                <w:color w:val="231F20"/>
                <w:sz w:val="18"/>
                <w:szCs w:val="18"/>
                <w:highlight w:val="yellow"/>
              </w:rPr>
            </w:pPr>
            <w:r w:rsidRPr="00BC032D">
              <w:rPr>
                <w:rFonts w:ascii="Arial Narrow" w:hAnsi="Arial Narrow" w:cs="Arial"/>
                <w:iCs/>
                <w:color w:val="231F20"/>
                <w:sz w:val="18"/>
                <w:szCs w:val="18"/>
              </w:rPr>
              <w:t>Janicak, et al, Brain Stimulation, 2010; 3(4): 187-199.</w:t>
            </w:r>
            <w:r w:rsidR="00FE7733" w:rsidRPr="00BC032D">
              <w:rPr>
                <w:rFonts w:ascii="Arial Narrow" w:hAnsi="Arial Narrow" w:cs="Arial"/>
                <w:b/>
                <w:bCs/>
                <w:color w:val="231F20"/>
                <w:sz w:val="18"/>
                <w:szCs w:val="18"/>
                <w:highlight w:val="yellow"/>
              </w:rPr>
              <w:t xml:space="preserve"> </w:t>
            </w:r>
          </w:p>
        </w:tc>
        <w:tc>
          <w:tcPr>
            <w:tcW w:w="2120" w:type="pct"/>
            <w:tcMar>
              <w:left w:w="28" w:type="dxa"/>
              <w:right w:w="28" w:type="dxa"/>
            </w:tcMar>
          </w:tcPr>
          <w:p w14:paraId="59614942"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Sponsor:  Neuronetics, Inc.</w:t>
            </w:r>
          </w:p>
          <w:p w14:paraId="04443CC0"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Multicenter (23 sites), open-label extension</w:t>
            </w:r>
          </w:p>
          <w:p w14:paraId="48DB5389" w14:textId="3A20D4A5"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xml:space="preserve">- N=99 patients with MDD who had participated in either the RCT or open-label Neuronetics studies, and had benefited from acute phase treatment (either active or sham </w:t>
            </w:r>
            <w:r w:rsidR="008F4342">
              <w:rPr>
                <w:rFonts w:ascii="Arial Narrow" w:hAnsi="Arial Narrow" w:cs="Arial"/>
                <w:sz w:val="18"/>
                <w:szCs w:val="18"/>
              </w:rPr>
              <w:t>r</w:t>
            </w:r>
            <w:r w:rsidRPr="00BC032D">
              <w:rPr>
                <w:rFonts w:ascii="Arial Narrow" w:hAnsi="Arial Narrow" w:cs="Arial"/>
                <w:sz w:val="18"/>
                <w:szCs w:val="18"/>
              </w:rPr>
              <w:t>TMS), demonstrated treatment resistance from 1 through 4 research-grade antidepressant medication in current episode (ATHF-verified)</w:t>
            </w:r>
          </w:p>
          <w:p w14:paraId="21209B0B" w14:textId="10E65FBD" w:rsidR="00AF7FCA" w:rsidRPr="00EE1CDE" w:rsidRDefault="00AF7FCA" w:rsidP="00645BDA">
            <w:pPr>
              <w:widowControl w:val="0"/>
              <w:autoSpaceDE w:val="0"/>
              <w:autoSpaceDN w:val="0"/>
              <w:adjustRightInd w:val="0"/>
              <w:spacing w:before="40" w:after="40"/>
              <w:ind w:left="0"/>
              <w:contextualSpacing/>
              <w:rPr>
                <w:rFonts w:ascii="Arial Narrow" w:hAnsi="Arial Narrow" w:cs="Arial"/>
                <w:bCs/>
                <w:color w:val="231F20"/>
                <w:sz w:val="18"/>
                <w:szCs w:val="18"/>
              </w:rPr>
            </w:pPr>
            <w:r w:rsidRPr="00BC032D">
              <w:rPr>
                <w:rFonts w:ascii="Arial Narrow" w:hAnsi="Arial Narrow" w:cs="Arial"/>
                <w:sz w:val="18"/>
                <w:szCs w:val="18"/>
              </w:rPr>
              <w:t xml:space="preserve">- Single antidepressant medication maintenance (no changes permitted); Access to </w:t>
            </w:r>
            <w:r w:rsidR="008F4342">
              <w:rPr>
                <w:rFonts w:ascii="Arial Narrow" w:hAnsi="Arial Narrow" w:cs="Arial"/>
                <w:sz w:val="18"/>
                <w:szCs w:val="18"/>
              </w:rPr>
              <w:t>r</w:t>
            </w:r>
            <w:r w:rsidRPr="00BC032D">
              <w:rPr>
                <w:rFonts w:ascii="Arial Narrow" w:hAnsi="Arial Narrow" w:cs="Arial"/>
                <w:sz w:val="18"/>
                <w:szCs w:val="18"/>
              </w:rPr>
              <w:t>TMS add-on permitted for symptom recurrence</w:t>
            </w:r>
          </w:p>
        </w:tc>
        <w:tc>
          <w:tcPr>
            <w:tcW w:w="2117" w:type="pct"/>
            <w:tcMar>
              <w:left w:w="28" w:type="dxa"/>
              <w:right w:w="28" w:type="dxa"/>
            </w:tcMar>
          </w:tcPr>
          <w:p w14:paraId="7AE8BA87" w14:textId="1FA78E3C"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 xml:space="preserve">- Through 6 months of follow-up after successful acute phase treatment with </w:t>
            </w:r>
            <w:r w:rsidR="008F4342">
              <w:rPr>
                <w:rFonts w:ascii="Arial Narrow" w:hAnsi="Arial Narrow" w:cs="Arial"/>
                <w:bCs/>
                <w:color w:val="231F20"/>
                <w:sz w:val="18"/>
                <w:szCs w:val="18"/>
              </w:rPr>
              <w:t>r</w:t>
            </w:r>
            <w:r w:rsidRPr="00BC032D">
              <w:rPr>
                <w:rFonts w:ascii="Arial Narrow" w:hAnsi="Arial Narrow" w:cs="Arial"/>
                <w:bCs/>
                <w:color w:val="231F20"/>
                <w:sz w:val="18"/>
                <w:szCs w:val="18"/>
              </w:rPr>
              <w:t>TMS:</w:t>
            </w:r>
          </w:p>
          <w:p w14:paraId="4D48BC76" w14:textId="77777777" w:rsidR="00AF7FCA" w:rsidRPr="00BC032D" w:rsidRDefault="00AF7FCA" w:rsidP="00645BDA">
            <w:pPr>
              <w:pStyle w:val="ListParagraph"/>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sz w:val="18"/>
                <w:szCs w:val="18"/>
              </w:rPr>
              <w:t xml:space="preserve">Ten of 99 (10%; Kaplan-Meier survival estimate = 12.9%) patients </w:t>
            </w:r>
            <w:r w:rsidRPr="00BC032D">
              <w:rPr>
                <w:rFonts w:ascii="Arial Narrow" w:hAnsi="Arial Narrow" w:cs="Arial"/>
                <w:i/>
                <w:sz w:val="18"/>
                <w:szCs w:val="18"/>
              </w:rPr>
              <w:t>relapsed</w:t>
            </w:r>
          </w:p>
          <w:p w14:paraId="7A72D899" w14:textId="0EEBEF96" w:rsidR="00AF7FCA" w:rsidRPr="00BC032D" w:rsidRDefault="00AF7FCA" w:rsidP="00645BDA">
            <w:pPr>
              <w:pStyle w:val="ListParagraph"/>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sz w:val="18"/>
                <w:szCs w:val="18"/>
              </w:rPr>
              <w:t xml:space="preserve">Thirty-eight (38.4%) patients met criteria for </w:t>
            </w:r>
            <w:r w:rsidRPr="00BC032D">
              <w:rPr>
                <w:rFonts w:ascii="Arial Narrow" w:hAnsi="Arial Narrow" w:cs="Arial"/>
                <w:i/>
                <w:sz w:val="18"/>
                <w:szCs w:val="18"/>
              </w:rPr>
              <w:t>symptom worsening</w:t>
            </w:r>
            <w:r w:rsidRPr="00BC032D">
              <w:rPr>
                <w:rFonts w:ascii="Arial Narrow" w:hAnsi="Arial Narrow" w:cs="Arial"/>
                <w:sz w:val="18"/>
                <w:szCs w:val="18"/>
              </w:rPr>
              <w:t xml:space="preserve"> and 32 of these 38 patients (84.2%) re-achieved symptomatic benefit with adjunctive </w:t>
            </w:r>
            <w:r w:rsidR="008F4342">
              <w:rPr>
                <w:rFonts w:ascii="Arial Narrow" w:hAnsi="Arial Narrow" w:cs="Arial"/>
                <w:sz w:val="18"/>
                <w:szCs w:val="18"/>
              </w:rPr>
              <w:t>r</w:t>
            </w:r>
            <w:r w:rsidRPr="00BC032D">
              <w:rPr>
                <w:rFonts w:ascii="Arial Narrow" w:hAnsi="Arial Narrow" w:cs="Arial"/>
                <w:sz w:val="18"/>
                <w:szCs w:val="18"/>
              </w:rPr>
              <w:t>TMS</w:t>
            </w:r>
          </w:p>
        </w:tc>
      </w:tr>
      <w:tr w:rsidR="00AF7FCA" w:rsidRPr="00BC032D" w14:paraId="6C6C1B70" w14:textId="77777777" w:rsidTr="00EE1CDE">
        <w:trPr>
          <w:cantSplit/>
          <w:trHeight w:val="378"/>
        </w:trPr>
        <w:tc>
          <w:tcPr>
            <w:tcW w:w="763" w:type="pct"/>
            <w:tcMar>
              <w:left w:w="28" w:type="dxa"/>
              <w:right w:w="28" w:type="dxa"/>
            </w:tcMar>
          </w:tcPr>
          <w:p w14:paraId="635FB273" w14:textId="77777777" w:rsidR="00AF7FCA" w:rsidRDefault="00AF7FCA" w:rsidP="00645BDA">
            <w:pPr>
              <w:widowControl w:val="0"/>
              <w:autoSpaceDE w:val="0"/>
              <w:autoSpaceDN w:val="0"/>
              <w:adjustRightInd w:val="0"/>
              <w:spacing w:before="40" w:after="40"/>
              <w:ind w:left="0"/>
              <w:rPr>
                <w:rFonts w:ascii="Arial Narrow" w:hAnsi="Arial Narrow" w:cs="Arial"/>
                <w:color w:val="231F20"/>
                <w:sz w:val="18"/>
                <w:szCs w:val="18"/>
                <w:lang w:val="nl-NL"/>
              </w:rPr>
            </w:pPr>
            <w:r w:rsidRPr="00BC032D">
              <w:rPr>
                <w:rFonts w:ascii="Arial Narrow" w:hAnsi="Arial Narrow" w:cs="Arial"/>
                <w:sz w:val="18"/>
                <w:szCs w:val="18"/>
              </w:rPr>
              <w:t>Multicenter, naturalistic, observational study</w:t>
            </w:r>
            <w:r w:rsidRPr="00BC032D">
              <w:rPr>
                <w:rFonts w:ascii="Arial Narrow" w:hAnsi="Arial Narrow" w:cs="Arial"/>
                <w:color w:val="231F20"/>
                <w:sz w:val="18"/>
                <w:szCs w:val="18"/>
                <w:lang w:val="nl-NL"/>
              </w:rPr>
              <w:t xml:space="preserve"> </w:t>
            </w:r>
          </w:p>
          <w:p w14:paraId="694DD56B" w14:textId="77777777" w:rsidR="00AF7FCA" w:rsidRDefault="00AF7FCA" w:rsidP="00645BDA">
            <w:pPr>
              <w:widowControl w:val="0"/>
              <w:autoSpaceDE w:val="0"/>
              <w:autoSpaceDN w:val="0"/>
              <w:adjustRightInd w:val="0"/>
              <w:spacing w:before="40" w:after="40"/>
              <w:ind w:left="0"/>
              <w:rPr>
                <w:rFonts w:ascii="Arial Narrow" w:hAnsi="Arial Narrow" w:cs="Arial"/>
                <w:color w:val="231F20"/>
                <w:sz w:val="18"/>
                <w:szCs w:val="18"/>
                <w:lang w:val="nl-NL"/>
              </w:rPr>
            </w:pPr>
          </w:p>
          <w:p w14:paraId="6A015C6F" w14:textId="77777777" w:rsidR="00AF7FCA" w:rsidRPr="00BC032D" w:rsidRDefault="00AF7FCA" w:rsidP="00645BDA">
            <w:pPr>
              <w:widowControl w:val="0"/>
              <w:autoSpaceDE w:val="0"/>
              <w:autoSpaceDN w:val="0"/>
              <w:adjustRightInd w:val="0"/>
              <w:spacing w:before="40" w:after="40"/>
              <w:ind w:left="0"/>
              <w:rPr>
                <w:rFonts w:ascii="Arial Narrow" w:hAnsi="Arial Narrow" w:cs="Arial"/>
                <w:sz w:val="18"/>
                <w:szCs w:val="18"/>
              </w:rPr>
            </w:pPr>
            <w:r w:rsidRPr="00BC032D">
              <w:rPr>
                <w:rFonts w:ascii="Arial Narrow" w:hAnsi="Arial Narrow" w:cs="Arial"/>
                <w:color w:val="231F20"/>
                <w:sz w:val="18"/>
                <w:szCs w:val="18"/>
                <w:lang w:val="nl-NL"/>
              </w:rPr>
              <w:t>Neuronetics, data on file (2013)</w:t>
            </w:r>
          </w:p>
        </w:tc>
        <w:tc>
          <w:tcPr>
            <w:tcW w:w="2120" w:type="pct"/>
            <w:tcMar>
              <w:left w:w="28" w:type="dxa"/>
              <w:right w:w="28" w:type="dxa"/>
            </w:tcMar>
          </w:tcPr>
          <w:p w14:paraId="5144041C"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Sponsor:  Neuronetics, Inc.</w:t>
            </w:r>
          </w:p>
          <w:p w14:paraId="395E94B1"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Multicenter (42 sites), observational design</w:t>
            </w:r>
          </w:p>
          <w:p w14:paraId="7C7B2110"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N=257 patients with primary clinical diagnosis of TRD (clinician-verified), who successfully completed acute phase treatment per labelled guidelines and were followed for one year</w:t>
            </w:r>
          </w:p>
          <w:p w14:paraId="1AB0700E"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Primary efficacy outcome:</w:t>
            </w:r>
          </w:p>
          <w:p w14:paraId="7DC78BB2"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Incidence of illness relapse during one year of follow-up among end of acute remitters</w:t>
            </w:r>
          </w:p>
          <w:p w14:paraId="6B4717DC"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 Key secondary outcomes:</w:t>
            </w:r>
          </w:p>
          <w:p w14:paraId="216B37DA"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r w:rsidRPr="00BC032D">
              <w:rPr>
                <w:rFonts w:ascii="Arial Narrow" w:hAnsi="Arial Narrow" w:cs="Arial"/>
                <w:sz w:val="18"/>
                <w:szCs w:val="18"/>
              </w:rPr>
              <w:t>CGI-S, PHQ-9 and IDS-SR total score change from baseline; Response and remission outcomes (CGI-S, IDS-SR and PHQ-9) at end of long term follow-up; Durability analysis (% of sustained responders; % of population requiring TMS reintroduction)</w:t>
            </w:r>
          </w:p>
          <w:p w14:paraId="294A7373"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p>
          <w:p w14:paraId="283BC0AB" w14:textId="77777777" w:rsidR="00AF7FCA" w:rsidRPr="00BC032D" w:rsidRDefault="00AF7FCA" w:rsidP="00645BDA">
            <w:pPr>
              <w:widowControl w:val="0"/>
              <w:autoSpaceDE w:val="0"/>
              <w:autoSpaceDN w:val="0"/>
              <w:adjustRightInd w:val="0"/>
              <w:spacing w:before="40" w:after="40"/>
              <w:ind w:left="0"/>
              <w:rPr>
                <w:rFonts w:ascii="Arial Narrow" w:hAnsi="Arial Narrow" w:cs="Arial"/>
                <w:sz w:val="18"/>
                <w:szCs w:val="18"/>
              </w:rPr>
            </w:pPr>
          </w:p>
          <w:p w14:paraId="175B3B50" w14:textId="77777777" w:rsidR="00AF7FCA" w:rsidRPr="00BC032D" w:rsidRDefault="00AF7FCA" w:rsidP="00645BDA">
            <w:pPr>
              <w:widowControl w:val="0"/>
              <w:autoSpaceDE w:val="0"/>
              <w:autoSpaceDN w:val="0"/>
              <w:adjustRightInd w:val="0"/>
              <w:spacing w:before="40" w:after="40"/>
              <w:ind w:left="0"/>
              <w:contextualSpacing/>
              <w:rPr>
                <w:rFonts w:ascii="Arial Narrow" w:hAnsi="Arial Narrow" w:cs="Arial"/>
                <w:sz w:val="18"/>
                <w:szCs w:val="18"/>
              </w:rPr>
            </w:pPr>
          </w:p>
        </w:tc>
        <w:tc>
          <w:tcPr>
            <w:tcW w:w="2117" w:type="pct"/>
            <w:tcMar>
              <w:left w:w="28" w:type="dxa"/>
              <w:right w:w="28" w:type="dxa"/>
            </w:tcMar>
          </w:tcPr>
          <w:p w14:paraId="21FF21B7"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u w:val="single"/>
              </w:rPr>
            </w:pPr>
            <w:r w:rsidRPr="00BC032D">
              <w:rPr>
                <w:rFonts w:ascii="Arial Narrow" w:hAnsi="Arial Narrow" w:cs="Arial"/>
                <w:bCs/>
                <w:color w:val="231F20"/>
                <w:sz w:val="18"/>
                <w:szCs w:val="18"/>
                <w:u w:val="single"/>
              </w:rPr>
              <w:t>Primary outcome:</w:t>
            </w:r>
          </w:p>
          <w:p w14:paraId="53BD1F0E"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 Among patients in remission at the end of acute treatment, 29.5% of patients experienced relapse of illness during 12 months of follow-up</w:t>
            </w:r>
          </w:p>
          <w:p w14:paraId="195D310F"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p>
          <w:p w14:paraId="272FBF2D"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u w:val="single"/>
              </w:rPr>
            </w:pPr>
            <w:r w:rsidRPr="00BC032D">
              <w:rPr>
                <w:rFonts w:ascii="Arial Narrow" w:hAnsi="Arial Narrow" w:cs="Arial"/>
                <w:bCs/>
                <w:color w:val="231F20"/>
                <w:sz w:val="18"/>
                <w:szCs w:val="18"/>
                <w:u w:val="single"/>
              </w:rPr>
              <w:t>Secondary outcomes:</w:t>
            </w:r>
          </w:p>
          <w:p w14:paraId="6DC5FA0F"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 Change from baseline at end of 12 months of follow-up:</w:t>
            </w:r>
          </w:p>
          <w:p w14:paraId="5F17140C"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 xml:space="preserve">CGI-Severity: (-2.2 points </w:t>
            </w:r>
            <w:r w:rsidRPr="00BC032D">
              <w:rPr>
                <w:rFonts w:ascii="Arial Narrow" w:hAnsi="Arial Narrow" w:cs="Arial"/>
                <w:bCs/>
                <w:color w:val="231F20"/>
                <w:sz w:val="18"/>
                <w:szCs w:val="18"/>
                <w:u w:val="single"/>
              </w:rPr>
              <w:t>+</w:t>
            </w:r>
            <w:r w:rsidRPr="00BC032D">
              <w:rPr>
                <w:rFonts w:ascii="Arial Narrow" w:hAnsi="Arial Narrow" w:cs="Arial"/>
                <w:bCs/>
                <w:color w:val="231F20"/>
                <w:sz w:val="18"/>
                <w:szCs w:val="18"/>
              </w:rPr>
              <w:t>1.55, P&lt;0.0001)</w:t>
            </w:r>
          </w:p>
          <w:p w14:paraId="13690148" w14:textId="77777777" w:rsidR="00AF7FCA" w:rsidRPr="00BC032D" w:rsidRDefault="00AF7FCA" w:rsidP="00645BDA">
            <w:pPr>
              <w:pStyle w:val="ListParagraph"/>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CGI-S Responder rate: 67.7%</w:t>
            </w:r>
          </w:p>
          <w:p w14:paraId="3E62D05E" w14:textId="77777777" w:rsidR="00AF7FCA" w:rsidRPr="00BC032D" w:rsidRDefault="00AF7FCA" w:rsidP="00645BDA">
            <w:pPr>
              <w:pStyle w:val="ListParagraph"/>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CGI-S Remitter rate: 45.1%</w:t>
            </w:r>
          </w:p>
          <w:p w14:paraId="6FE07C3D"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 xml:space="preserve">PHQ-9: (-9.5 points </w:t>
            </w:r>
            <w:r w:rsidRPr="00BC032D">
              <w:rPr>
                <w:rFonts w:ascii="Arial Narrow" w:hAnsi="Arial Narrow" w:cs="Arial"/>
                <w:bCs/>
                <w:color w:val="231F20"/>
                <w:sz w:val="18"/>
                <w:szCs w:val="18"/>
                <w:u w:val="single"/>
              </w:rPr>
              <w:t>+</w:t>
            </w:r>
            <w:r w:rsidRPr="00BC032D">
              <w:rPr>
                <w:rFonts w:ascii="Arial Narrow" w:hAnsi="Arial Narrow" w:cs="Arial"/>
                <w:bCs/>
                <w:color w:val="231F20"/>
                <w:sz w:val="18"/>
                <w:szCs w:val="18"/>
              </w:rPr>
              <w:t>7.7, P&lt;0.0001)</w:t>
            </w:r>
          </w:p>
          <w:p w14:paraId="120B250D" w14:textId="77777777" w:rsidR="00AF7FCA" w:rsidRPr="00BC032D" w:rsidRDefault="00AF7FCA" w:rsidP="00645BDA">
            <w:pPr>
              <w:pStyle w:val="ListParagraph"/>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PHQ-9 Responder rate: 60.7%</w:t>
            </w:r>
          </w:p>
          <w:p w14:paraId="509924FC" w14:textId="77777777" w:rsidR="00AF7FCA" w:rsidRPr="00BC032D" w:rsidRDefault="00AF7FCA" w:rsidP="00645BDA">
            <w:pPr>
              <w:pStyle w:val="ListParagraph"/>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PHQ-9 Remitter rate: 37.0%</w:t>
            </w:r>
          </w:p>
          <w:p w14:paraId="1E2CB968"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 xml:space="preserve">IDS-SR: (-19.4 points </w:t>
            </w:r>
            <w:r w:rsidRPr="00BC032D">
              <w:rPr>
                <w:rFonts w:ascii="Arial Narrow" w:hAnsi="Arial Narrow" w:cs="Arial"/>
                <w:bCs/>
                <w:color w:val="231F20"/>
                <w:sz w:val="18"/>
                <w:szCs w:val="18"/>
                <w:u w:val="single"/>
              </w:rPr>
              <w:t>+</w:t>
            </w:r>
            <w:r w:rsidRPr="00BC032D">
              <w:rPr>
                <w:rFonts w:ascii="Arial Narrow" w:hAnsi="Arial Narrow" w:cs="Arial"/>
                <w:bCs/>
                <w:color w:val="231F20"/>
                <w:sz w:val="18"/>
                <w:szCs w:val="18"/>
              </w:rPr>
              <w:t>16.0, P&lt;0.0001)</w:t>
            </w:r>
          </w:p>
          <w:p w14:paraId="34D186CD" w14:textId="77777777" w:rsidR="00AF7FCA" w:rsidRPr="00BC032D" w:rsidRDefault="00AF7FCA" w:rsidP="00645BDA">
            <w:pPr>
              <w:pStyle w:val="ListParagraph"/>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IDS-SR Responder rate: 44.1%</w:t>
            </w:r>
          </w:p>
          <w:p w14:paraId="652D2CE7" w14:textId="77777777" w:rsidR="00AF7FCA" w:rsidRPr="00BC032D" w:rsidRDefault="00AF7FCA" w:rsidP="00645BDA">
            <w:pPr>
              <w:pStyle w:val="ListParagraph"/>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IDS-SR Remitter rate: 29.3%</w:t>
            </w:r>
          </w:p>
          <w:p w14:paraId="1120903C" w14:textId="77777777"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 Among responders at the end of acute treatment, 62.5% remained in sustained response across every evaluation time point during 12 months of follow-up</w:t>
            </w:r>
          </w:p>
          <w:p w14:paraId="2949FA02" w14:textId="0C531859"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 xml:space="preserve">- 36.2% of patients experienced symptom recurrence and received NeuroStar </w:t>
            </w:r>
            <w:r w:rsidR="008F4342">
              <w:rPr>
                <w:rFonts w:ascii="Arial Narrow" w:hAnsi="Arial Narrow" w:cs="Arial"/>
                <w:bCs/>
                <w:color w:val="231F20"/>
                <w:sz w:val="18"/>
                <w:szCs w:val="18"/>
              </w:rPr>
              <w:t>r</w:t>
            </w:r>
            <w:r w:rsidRPr="00BC032D">
              <w:rPr>
                <w:rFonts w:ascii="Arial Narrow" w:hAnsi="Arial Narrow" w:cs="Arial"/>
                <w:bCs/>
                <w:color w:val="231F20"/>
                <w:sz w:val="18"/>
                <w:szCs w:val="18"/>
              </w:rPr>
              <w:t>TMS reintroduction through 12 months of follow-up</w:t>
            </w:r>
          </w:p>
          <w:p w14:paraId="1608D8A6" w14:textId="6AD9D36A" w:rsidR="00AF7FCA" w:rsidRPr="00BC032D" w:rsidRDefault="00AF7FCA" w:rsidP="00645BDA">
            <w:pPr>
              <w:widowControl w:val="0"/>
              <w:autoSpaceDE w:val="0"/>
              <w:autoSpaceDN w:val="0"/>
              <w:adjustRightInd w:val="0"/>
              <w:spacing w:before="40" w:after="40"/>
              <w:ind w:left="0"/>
              <w:rPr>
                <w:rFonts w:ascii="Arial Narrow" w:hAnsi="Arial Narrow" w:cs="Arial"/>
                <w:bCs/>
                <w:color w:val="231F20"/>
                <w:sz w:val="18"/>
                <w:szCs w:val="18"/>
              </w:rPr>
            </w:pPr>
            <w:r w:rsidRPr="00BC032D">
              <w:rPr>
                <w:rFonts w:ascii="Arial Narrow" w:hAnsi="Arial Narrow" w:cs="Arial"/>
                <w:bCs/>
                <w:color w:val="231F20"/>
                <w:sz w:val="18"/>
                <w:szCs w:val="18"/>
              </w:rPr>
              <w:t xml:space="preserve">- Average number of </w:t>
            </w:r>
            <w:r w:rsidR="008F4342">
              <w:rPr>
                <w:rFonts w:ascii="Arial Narrow" w:hAnsi="Arial Narrow" w:cs="Arial"/>
                <w:bCs/>
                <w:color w:val="231F20"/>
                <w:sz w:val="18"/>
                <w:szCs w:val="18"/>
              </w:rPr>
              <w:t>r</w:t>
            </w:r>
            <w:r w:rsidRPr="00BC032D">
              <w:rPr>
                <w:rFonts w:ascii="Arial Narrow" w:hAnsi="Arial Narrow" w:cs="Arial"/>
                <w:bCs/>
                <w:color w:val="231F20"/>
                <w:sz w:val="18"/>
                <w:szCs w:val="18"/>
              </w:rPr>
              <w:t>TMS treatment days/patient = 16.2</w:t>
            </w:r>
          </w:p>
        </w:tc>
      </w:tr>
    </w:tbl>
    <w:p w14:paraId="0A658E4D" w14:textId="77777777" w:rsidR="00AF7FCA" w:rsidRPr="00EE1CDE" w:rsidRDefault="00AF7FCA" w:rsidP="00645BDA">
      <w:pPr>
        <w:widowControl w:val="0"/>
        <w:spacing w:before="40" w:after="40"/>
        <w:jc w:val="both"/>
        <w:rPr>
          <w:rFonts w:ascii="Arial Narrow" w:hAnsi="Arial Narrow" w:cs="Arial"/>
          <w:color w:val="000000"/>
          <w:sz w:val="18"/>
          <w:szCs w:val="18"/>
        </w:rPr>
      </w:pPr>
      <w:r w:rsidRPr="00EE1CDE">
        <w:rPr>
          <w:rFonts w:ascii="Arial Narrow" w:hAnsi="Arial Narrow" w:cs="Arial"/>
          <w:color w:val="000000"/>
          <w:sz w:val="18"/>
          <w:szCs w:val="18"/>
        </w:rPr>
        <w:t xml:space="preserve">ATHF = antidepressant treatment history form; CGI-S = Clinical Global Impression – Severity scale; </w:t>
      </w:r>
      <w:r w:rsidRPr="00EE1CDE">
        <w:rPr>
          <w:rFonts w:ascii="Arial Narrow" w:hAnsi="Arial Narrow" w:cs="Arial"/>
          <w:sz w:val="18"/>
          <w:szCs w:val="18"/>
        </w:rPr>
        <w:t xml:space="preserve">HAMD = Hamilton depression rating scale; </w:t>
      </w:r>
      <w:r w:rsidRPr="00EE1CDE">
        <w:rPr>
          <w:rFonts w:ascii="Arial Narrow" w:hAnsi="Arial Narrow" w:cs="Arial"/>
          <w:color w:val="000000"/>
          <w:sz w:val="18"/>
          <w:szCs w:val="18"/>
        </w:rPr>
        <w:t xml:space="preserve">IDS-SR = Inventory of Depressive Symptomatology – self-report; </w:t>
      </w:r>
      <w:r w:rsidRPr="00EE1CDE">
        <w:rPr>
          <w:rFonts w:ascii="Arial Narrow" w:hAnsi="Arial Narrow" w:cs="Arial"/>
          <w:sz w:val="18"/>
          <w:szCs w:val="18"/>
        </w:rPr>
        <w:t xml:space="preserve">MDD = major depressive disorder; N= number; NIH = National Institutes of Health; </w:t>
      </w:r>
      <w:r w:rsidRPr="00EE1CDE">
        <w:rPr>
          <w:rFonts w:ascii="Arial Narrow" w:hAnsi="Arial Narrow" w:cs="Arial"/>
          <w:color w:val="000000"/>
          <w:sz w:val="18"/>
          <w:szCs w:val="18"/>
        </w:rPr>
        <w:t xml:space="preserve">PHQ-9 = patient health questionnaire; </w:t>
      </w:r>
      <w:r w:rsidRPr="00EE1CDE">
        <w:rPr>
          <w:rFonts w:ascii="Arial Narrow" w:hAnsi="Arial Narrow" w:cs="Arial"/>
          <w:sz w:val="18"/>
          <w:szCs w:val="18"/>
        </w:rPr>
        <w:t xml:space="preserve">RCT = randomised controlled trial; </w:t>
      </w:r>
      <w:r w:rsidRPr="00EE1CDE">
        <w:rPr>
          <w:rFonts w:ascii="Arial Narrow" w:hAnsi="Arial Narrow" w:cs="Arial"/>
          <w:color w:val="000000"/>
          <w:sz w:val="18"/>
          <w:szCs w:val="18"/>
        </w:rPr>
        <w:t>TMS = Transcranial Magnetic Stimulation; TRD = treatment resistant depression</w:t>
      </w:r>
    </w:p>
    <w:p w14:paraId="7510E820" w14:textId="77777777" w:rsidR="00C42A71" w:rsidRDefault="00C42A71" w:rsidP="00C42A71"/>
    <w:p w14:paraId="24A610C2" w14:textId="0661EF4D" w:rsidR="00360E5A" w:rsidRPr="00AD6EF2" w:rsidRDefault="00360E5A" w:rsidP="00C42A71">
      <w:pPr>
        <w:jc w:val="both"/>
      </w:pPr>
      <w:r w:rsidRPr="00AD6EF2">
        <w:t>The open label study by Janicak (2010) descr</w:t>
      </w:r>
      <w:r>
        <w:t>ibed the clinical outcome over six</w:t>
      </w:r>
      <w:r w:rsidRPr="00AD6EF2">
        <w:t xml:space="preserve"> months of follow up in a larger cohort of 99 patients who had benefited from acute treatment with </w:t>
      </w:r>
      <w:r w:rsidRPr="00AD6EF2">
        <w:lastRenderedPageBreak/>
        <w:t xml:space="preserve">NeuroStar </w:t>
      </w:r>
      <w:r w:rsidR="008F4342">
        <w:t>r</w:t>
      </w:r>
      <w:r w:rsidRPr="00AD6EF2">
        <w:t xml:space="preserve">TMS </w:t>
      </w:r>
      <w:r>
        <w:t>T</w:t>
      </w:r>
      <w:r w:rsidRPr="00AD6EF2">
        <w:t xml:space="preserve">herapy in the Neuronetics registration studies, and who then had successfully transitioned to maintenance antidepressant medication monotherapy during a </w:t>
      </w:r>
      <w:r>
        <w:t>three</w:t>
      </w:r>
      <w:r w:rsidRPr="00AD6EF2">
        <w:t xml:space="preserve"> week transition. Long-term durability of effect was then examined over the subsequent </w:t>
      </w:r>
      <w:r>
        <w:t>six</w:t>
      </w:r>
      <w:r w:rsidRPr="00AD6EF2">
        <w:t xml:space="preserve"> months. During this period of follow up, the chosen maintenance antidepressant medication could not be switched or combined with other </w:t>
      </w:r>
      <w:proofErr w:type="gramStart"/>
      <w:r w:rsidRPr="00AD6EF2">
        <w:t>medications,</w:t>
      </w:r>
      <w:proofErr w:type="gramEnd"/>
      <w:r w:rsidRPr="00AD6EF2">
        <w:t xml:space="preserve"> however, </w:t>
      </w:r>
      <w:r w:rsidR="008F4342">
        <w:t>r</w:t>
      </w:r>
      <w:r w:rsidRPr="00AD6EF2">
        <w:t xml:space="preserve">TMS was re-administered if patients met protocol-specified criteria for symptom re-emergence. Relapse was the primary outcome, defined as either the re-emergence of the full DSM-IIIR criteria for MDD at any point, or the failure of symptom resolution upon a </w:t>
      </w:r>
      <w:r>
        <w:t>six</w:t>
      </w:r>
      <w:r w:rsidRPr="00AD6EF2">
        <w:t xml:space="preserve"> week course of NeuroStar </w:t>
      </w:r>
      <w:r w:rsidR="008F4342">
        <w:t>r</w:t>
      </w:r>
      <w:r w:rsidRPr="00AD6EF2">
        <w:t xml:space="preserve">TMS reintroduction. In this analysis, 10 of 99 patients (10%; Kaplan-Meier survival estimate = 12.9%) met criteria for relapse during the </w:t>
      </w:r>
      <w:r>
        <w:t>six</w:t>
      </w:r>
      <w:r w:rsidRPr="00AD6EF2">
        <w:t xml:space="preserve"> months of follow-up. Thirty-eight (38.4%) met criteria for symptom worsening and 32/38 (84.2%) re-achieved symptomatic benefit with adjunctive NeuroStar </w:t>
      </w:r>
      <w:r w:rsidR="008F4342">
        <w:t>r</w:t>
      </w:r>
      <w:r w:rsidRPr="00AD6EF2">
        <w:t>TMS.</w:t>
      </w:r>
    </w:p>
    <w:p w14:paraId="7EC86C8C" w14:textId="696C073D" w:rsidR="00360E5A" w:rsidRPr="00AD6EF2" w:rsidRDefault="00360E5A" w:rsidP="00C42A71">
      <w:pPr>
        <w:jc w:val="both"/>
      </w:pPr>
      <w:r w:rsidRPr="00AD6EF2">
        <w:t xml:space="preserve">These data from a controlled research setting have recently been confirmed in a third, separate patient population treated in a routine clinical practice setting, in the prospective, naturalistic observational clinical trial with NeuroStar </w:t>
      </w:r>
      <w:r w:rsidR="008F4342">
        <w:t>r</w:t>
      </w:r>
      <w:r w:rsidRPr="00AD6EF2">
        <w:t xml:space="preserve">TMS Therapy described above (Carpenter, et al., 2012; Janicak, et al., 2013). The long term, 12 month follow-up data from this study were first reported in abstract form at the 2013 annual meeting of the American Psychiatric Association and have been submitted for publication (Dunner, et al., 2013). In this naturalistic observational study, N=257 patients who had participated in the acute treatment outcomes reported in Carpenter, et al. (2012), were tapered from their acute treatment </w:t>
      </w:r>
      <w:r w:rsidR="008F4342">
        <w:t>r</w:t>
      </w:r>
      <w:r w:rsidRPr="00AD6EF2">
        <w:t xml:space="preserve">TMS regimen, and consented to long-term follow up of their clinical and treatment outcomes over the next twelve months. Clinical assessments (CGI-Severity of Illness, PHQ-9 and IDS-SR) were obtained at 3, 6, 9, and 12 months.  A total of N=205 patients provided data across the entire study period.  Concurrent medication use and </w:t>
      </w:r>
      <w:r w:rsidR="008F4342">
        <w:t>r</w:t>
      </w:r>
      <w:r w:rsidRPr="00AD6EF2">
        <w:t>TMS reintroduction for recurrent symptoms was recorded and summarized during the long-term follow up.</w:t>
      </w:r>
    </w:p>
    <w:p w14:paraId="69F93A35" w14:textId="77777777" w:rsidR="00360E5A" w:rsidRPr="00AD6EF2" w:rsidRDefault="00360E5A" w:rsidP="00C42A71">
      <w:pPr>
        <w:jc w:val="both"/>
      </w:pPr>
      <w:r w:rsidRPr="00AD6EF2">
        <w:t>Compared with baseline scores obtained prior to acute treatment, there was a statistically significant reduction in mean [SD] CGI-S, PHQ-9 and IDS-SR total scores at the end of acute treatment (Baseline vs End of Acute Treatment:  5.0 [0.9] vs. 3.0 [1.4], 18.0 [5.3] vs. 8.8 [6.7], and 44.9 [11.1] vs. 25.7 [15.5] respectively, all P&lt;0.0001), which was sustained throughout the one year follow-up (End of 12 Months Follow-Up: 2.8 [1.5], 8.6 [6.9], and 25.6 [15.8] respectively, all P&lt;0.0001). The proportion of patients who achieved remission at the conclusion of acute treatment remained similar to that observed following the conclusion of the long-term follow-up phase: CGI-S (total score 1 or 2), 41.2% (end of acute) and 45.1% (end of long-term); PHQ-9 (total score &lt; 5), 31.1% (end of acute) and 37.0% (end of long-term); IDS-SR (total score &lt;15), 29.7% (end of acute) and 29.3% (end of long-term).</w:t>
      </w:r>
    </w:p>
    <w:p w14:paraId="193AED21" w14:textId="26D9E220" w:rsidR="00360E5A" w:rsidRPr="00AD6EF2" w:rsidRDefault="00360E5A" w:rsidP="00C42A71">
      <w:pPr>
        <w:jc w:val="both"/>
      </w:pPr>
      <w:r w:rsidRPr="00AD6EF2">
        <w:t xml:space="preserve">Durability of clinical benefit was examined by calculating the probability of patients maintaining a pattern of sustained response by IDS-SR criteria at each of the long term follow-up time points among those patients who had completed the acute phase as treatment responders. In this analysis, the criterion for maintaining sustained response was reduced to at least 40% improvement relative to baseline, and the patient was required to meet this criterion at every observation time point during the long term follow-up phase. A total of 120 (46.5%) patients met IDS-SR responder or remitter criteria at entry into long term follow up, and among these, 75 (62.5%) met criteria for sustained response by IDS-SR criteria at every time point during long term follow-up, indicating that a majority of patients who received acute benefit from NeuroStar </w:t>
      </w:r>
      <w:r w:rsidR="008F4342">
        <w:t>r</w:t>
      </w:r>
      <w:r w:rsidRPr="00AD6EF2">
        <w:t xml:space="preserve">TMS </w:t>
      </w:r>
      <w:r>
        <w:t>T</w:t>
      </w:r>
      <w:r w:rsidRPr="00AD6EF2">
        <w:t>herapy retained this benefit.</w:t>
      </w:r>
      <w:r w:rsidR="00EE1CDE">
        <w:t xml:space="preserve"> </w:t>
      </w:r>
    </w:p>
    <w:p w14:paraId="04A7D7B8" w14:textId="77DF9DF8" w:rsidR="00360E5A" w:rsidRDefault="00360E5A" w:rsidP="00C42A71">
      <w:pPr>
        <w:jc w:val="both"/>
      </w:pPr>
      <w:r w:rsidRPr="00AD6EF2">
        <w:lastRenderedPageBreak/>
        <w:t xml:space="preserve">As a further demonstration of the durability of the acute benefit of NeuroStar </w:t>
      </w:r>
      <w:r w:rsidR="008F4342">
        <w:t>r</w:t>
      </w:r>
      <w:r w:rsidRPr="00AD6EF2">
        <w:t xml:space="preserve">TMS </w:t>
      </w:r>
      <w:r>
        <w:t>T</w:t>
      </w:r>
      <w:r w:rsidRPr="00AD6EF2">
        <w:t>herapy, among those patients who had achieved complete remission of their illness at the end of the acute treatment phase (QIDS-SR end of acute treatment score &lt;6; N=78 patients), the proportion of patients who subsequently experienced illness relapse (defined as a QIDS-SR total score &gt; 11 at any observation time point during the long-term follow-up) was only 29.5% (N=23 patients), indicating that nearly three-quarters of patients who achieved remission at the end of acute treatment did not experience relapse of their illness over 12 months of long-term follow-up. These data are highlight the favo</w:t>
      </w:r>
      <w:r>
        <w:t>u</w:t>
      </w:r>
      <w:r w:rsidRPr="00AD6EF2">
        <w:t xml:space="preserve">rable long-term durability of NeuroStar </w:t>
      </w:r>
      <w:r w:rsidR="008F4342">
        <w:t>r</w:t>
      </w:r>
      <w:r w:rsidRPr="00AD6EF2">
        <w:t>TMS when compared to the published outcomes in 12 months of naturalistic follow-up of patients who achieved remission after acute phase treatment in the STAR*D study (Rush, et al., 2006). In that report, patients who had achieved remission after having failed to benefit from two to three prior antidepr</w:t>
      </w:r>
      <w:r>
        <w:t>essant treatment attempts (i.e.</w:t>
      </w:r>
      <w:r w:rsidRPr="00AD6EF2">
        <w:t xml:space="preserve"> those patients most comparable to the patients in the NeuroStar TMS </w:t>
      </w:r>
      <w:r>
        <w:t>T</w:t>
      </w:r>
      <w:r w:rsidRPr="00AD6EF2">
        <w:t xml:space="preserve">herapy long-term follow-up study), experienced relapse rates of 42.9% </w:t>
      </w:r>
      <w:r w:rsidRPr="0001226F">
        <w:t xml:space="preserve">(Level 3) and 50.0% (Level 4)(Rush, et al., 2006)(Figure </w:t>
      </w:r>
      <w:r w:rsidR="0001226F">
        <w:t>3</w:t>
      </w:r>
      <w:r w:rsidRPr="0001226F">
        <w:t>).</w:t>
      </w:r>
      <w:r w:rsidR="00C90289" w:rsidRPr="00C90289">
        <w:t xml:space="preserve"> </w:t>
      </w:r>
      <w:r w:rsidR="00C90289">
        <w:t>Patients who failed two adequate antidepressant courses in their current illness episode (Level 3, ATHF=2) can be considered as closely comparable to the MBS target population.</w:t>
      </w:r>
    </w:p>
    <w:p w14:paraId="360B6152" w14:textId="77777777" w:rsidR="00EE1CDE" w:rsidRPr="00397B17" w:rsidRDefault="00E216B1" w:rsidP="00397B17">
      <w:pPr>
        <w:pStyle w:val="Heading6"/>
        <w:rPr>
          <w:rStyle w:val="Strong"/>
          <w:b/>
          <w:bCs w:val="0"/>
        </w:rPr>
      </w:pPr>
      <w:bookmarkStart w:id="92" w:name="_Toc389042765"/>
      <w:bookmarkStart w:id="93" w:name="_Toc389154650"/>
      <w:r w:rsidRPr="00397B17">
        <w:rPr>
          <w:rStyle w:val="Strong"/>
          <w:b/>
          <w:bCs w:val="0"/>
        </w:rPr>
        <w:t xml:space="preserve">Figure </w:t>
      </w:r>
      <w:r w:rsidRPr="00397B17">
        <w:rPr>
          <w:rStyle w:val="Strong"/>
          <w:b/>
          <w:bCs w:val="0"/>
        </w:rPr>
        <w:fldChar w:fldCharType="begin"/>
      </w:r>
      <w:r w:rsidRPr="00397B17">
        <w:rPr>
          <w:rStyle w:val="Strong"/>
          <w:b/>
          <w:bCs w:val="0"/>
        </w:rPr>
        <w:instrText xml:space="preserve"> SEQ Figure \* ARABIC </w:instrText>
      </w:r>
      <w:r w:rsidRPr="00397B17">
        <w:rPr>
          <w:rStyle w:val="Strong"/>
          <w:b/>
          <w:bCs w:val="0"/>
        </w:rPr>
        <w:fldChar w:fldCharType="separate"/>
      </w:r>
      <w:r w:rsidR="004C1C27">
        <w:rPr>
          <w:rStyle w:val="Strong"/>
          <w:b/>
          <w:bCs w:val="0"/>
          <w:noProof/>
        </w:rPr>
        <w:t>3</w:t>
      </w:r>
      <w:r w:rsidRPr="00397B17">
        <w:rPr>
          <w:rStyle w:val="Strong"/>
          <w:b/>
          <w:bCs w:val="0"/>
        </w:rPr>
        <w:fldChar w:fldCharType="end"/>
      </w:r>
      <w:r w:rsidRPr="00397B17">
        <w:rPr>
          <w:rStyle w:val="Strong"/>
          <w:b/>
          <w:bCs w:val="0"/>
        </w:rPr>
        <w:t>: Comparison of relapse rate over 12 months of naturalistic, long-term follow-up:  NeuroStar Outcomes Study versus STAR*D Study levels 1 through 4</w:t>
      </w:r>
      <w:bookmarkEnd w:id="92"/>
      <w:bookmarkEnd w:id="93"/>
    </w:p>
    <w:p w14:paraId="57043247" w14:textId="77777777" w:rsidR="00FA0B4D" w:rsidRPr="004878A2" w:rsidRDefault="004878A2" w:rsidP="004878A2">
      <w:pPr>
        <w:spacing w:before="40" w:after="40"/>
        <w:jc w:val="center"/>
      </w:pPr>
      <w:r>
        <w:rPr>
          <w:noProof/>
          <w:lang w:eastAsia="en-AU"/>
        </w:rPr>
        <w:drawing>
          <wp:inline distT="0" distB="0" distL="0" distR="0" wp14:anchorId="11D2DE7A" wp14:editId="61AD9E59">
            <wp:extent cx="4722685" cy="2230734"/>
            <wp:effectExtent l="0" t="0" r="1905" b="0"/>
            <wp:docPr id="11" name="Picture 11" title="Relapse rate over 12 months NeuroStar and 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rotWithShape="1">
                    <a:blip r:embed="rId21">
                      <a:extLst>
                        <a:ext uri="{28A0092B-C50C-407E-A947-70E740481C1C}">
                          <a14:useLocalDpi xmlns:a14="http://schemas.microsoft.com/office/drawing/2010/main" val="0"/>
                        </a:ext>
                      </a:extLst>
                    </a:blip>
                    <a:srcRect t="13129" b="23892"/>
                    <a:stretch/>
                  </pic:blipFill>
                  <pic:spPr bwMode="auto">
                    <a:xfrm>
                      <a:off x="0" y="0"/>
                      <a:ext cx="4736610" cy="2237311"/>
                    </a:xfrm>
                    <a:prstGeom prst="rect">
                      <a:avLst/>
                    </a:prstGeom>
                    <a:ln>
                      <a:noFill/>
                    </a:ln>
                    <a:extLst>
                      <a:ext uri="{53640926-AAD7-44D8-BBD7-CCE9431645EC}">
                        <a14:shadowObscured xmlns:a14="http://schemas.microsoft.com/office/drawing/2010/main"/>
                      </a:ext>
                    </a:extLst>
                  </pic:spPr>
                </pic:pic>
              </a:graphicData>
            </a:graphic>
          </wp:inline>
        </w:drawing>
      </w:r>
    </w:p>
    <w:p w14:paraId="5709A083" w14:textId="77777777" w:rsidR="00C90289" w:rsidRDefault="00FA0B4D" w:rsidP="004878A2">
      <w:pPr>
        <w:keepNext/>
        <w:spacing w:before="40" w:after="40"/>
        <w:jc w:val="both"/>
        <w:rPr>
          <w:rFonts w:ascii="Arial Narrow" w:hAnsi="Arial Narrow" w:cs="Arial"/>
          <w:sz w:val="18"/>
          <w:szCs w:val="18"/>
        </w:rPr>
      </w:pPr>
      <w:r w:rsidRPr="00EE1CDE">
        <w:rPr>
          <w:rFonts w:ascii="Arial Narrow" w:hAnsi="Arial Narrow" w:cs="Arial"/>
          <w:sz w:val="18"/>
          <w:szCs w:val="18"/>
        </w:rPr>
        <w:t>NOTE: All patients entered long-term follow-up in either the Outcomes Study or the STAR*D Study in remission defined by a QIDS-SR score of &lt; 6.  Relapse was defined as the emergence of a QIDS-SR score &gt; 11 at any point during 12 months of long-term follow-up in either study.</w:t>
      </w:r>
    </w:p>
    <w:p w14:paraId="275FAFD0" w14:textId="77777777" w:rsidR="00E216B1" w:rsidRPr="00E216B1" w:rsidRDefault="00E216B1" w:rsidP="00E216B1">
      <w:pPr>
        <w:keepNext/>
        <w:spacing w:after="0"/>
        <w:jc w:val="both"/>
        <w:rPr>
          <w:rFonts w:ascii="Arial Narrow" w:hAnsi="Arial Narrow" w:cs="Arial"/>
          <w:sz w:val="18"/>
          <w:szCs w:val="18"/>
        </w:rPr>
      </w:pPr>
    </w:p>
    <w:p w14:paraId="58BC1F10" w14:textId="77777777" w:rsidR="0001226F" w:rsidRDefault="00360E5A" w:rsidP="002F3701">
      <w:pPr>
        <w:jc w:val="both"/>
      </w:pPr>
      <w:r w:rsidRPr="00AD6EF2">
        <w:t xml:space="preserve">Finally, following completion of tapering of acute treatment with NeuroStar </w:t>
      </w:r>
      <w:r w:rsidR="008F4342">
        <w:t>r</w:t>
      </w:r>
      <w:r w:rsidRPr="00AD6EF2">
        <w:t xml:space="preserve">TMS </w:t>
      </w:r>
      <w:r>
        <w:t>T</w:t>
      </w:r>
      <w:r w:rsidRPr="00AD6EF2">
        <w:t xml:space="preserve">herapy, only 93 of the 257 patients in long-term follow-up (36.2% of all patients) subsequently received reintroduction of </w:t>
      </w:r>
      <w:r w:rsidR="008F4342">
        <w:t>r</w:t>
      </w:r>
      <w:r w:rsidRPr="00AD6EF2">
        <w:t xml:space="preserve">TMS based on clinician decision for clinical worsening. In this group, the mean [SD] number of </w:t>
      </w:r>
      <w:r w:rsidR="008F4342">
        <w:t>r</w:t>
      </w:r>
      <w:r w:rsidRPr="00AD6EF2">
        <w:t>TMS treatment days was 16.2 [21.1] over the</w:t>
      </w:r>
      <w:r w:rsidR="00EE1CDE">
        <w:t xml:space="preserve"> period of long-term follow-up.</w:t>
      </w:r>
    </w:p>
    <w:p w14:paraId="1D884E81" w14:textId="44009F46" w:rsidR="007E3C8E" w:rsidRPr="00AD6EF2" w:rsidRDefault="007E3C8E" w:rsidP="0001226F">
      <w:pPr>
        <w:pStyle w:val="Heading4"/>
      </w:pPr>
      <w:r w:rsidRPr="006678AF">
        <w:t>Is</w:t>
      </w:r>
      <w:r>
        <w:t xml:space="preserve"> rTMS effective</w:t>
      </w:r>
      <w:r w:rsidRPr="00AD6EF2">
        <w:t xml:space="preserve"> versus </w:t>
      </w:r>
      <w:r>
        <w:t>antidepressant m</w:t>
      </w:r>
      <w:r w:rsidRPr="00AD6EF2">
        <w:t>edication</w:t>
      </w:r>
      <w:r>
        <w:t>?</w:t>
      </w:r>
    </w:p>
    <w:p w14:paraId="11386BE7" w14:textId="16C13DF2" w:rsidR="007E3C8E" w:rsidRPr="008110B5" w:rsidRDefault="007E3C8E" w:rsidP="00C42A71">
      <w:pPr>
        <w:pStyle w:val="NoSpacing"/>
        <w:spacing w:after="240"/>
        <w:jc w:val="both"/>
      </w:pPr>
      <w:r w:rsidRPr="008110B5">
        <w:t xml:space="preserve">The established alternative to </w:t>
      </w:r>
      <w:r w:rsidR="008F4342">
        <w:t>r</w:t>
      </w:r>
      <w:r w:rsidRPr="008110B5">
        <w:t xml:space="preserve">TMS </w:t>
      </w:r>
      <w:r>
        <w:t>t</w:t>
      </w:r>
      <w:r w:rsidRPr="008110B5">
        <w:t xml:space="preserve">herapy is an additional trial of antidepressant medication. Since head-to-head comparative trials have not been conducted between TMS </w:t>
      </w:r>
      <w:r>
        <w:t>t</w:t>
      </w:r>
      <w:r w:rsidRPr="008110B5">
        <w:t xml:space="preserve">herapy and antidepressant medication, comparative analysis requires an indirect comparison of TMS study outcomes against large, established reference benchmark outcomes from studies using antidepressant medications. This is similar to the situation </w:t>
      </w:r>
      <w:r w:rsidRPr="008110B5">
        <w:lastRenderedPageBreak/>
        <w:t>with different classes of drug therapy, because, as is the case for NeuroStar TMS, antidepressant registration trials are placebo-controlled for purposes of regulatory approval and are not conducted as comparative trials. Therefore, comparison among antidepressant drug alternatives commonly also requires an indirect comparison among different classes of drugs.</w:t>
      </w:r>
    </w:p>
    <w:p w14:paraId="3C9049DF" w14:textId="1468F7E5" w:rsidR="007E3C8E" w:rsidRPr="008110B5" w:rsidRDefault="007E3C8E" w:rsidP="00C42A71">
      <w:pPr>
        <w:pStyle w:val="NoSpacing"/>
        <w:spacing w:after="120"/>
        <w:jc w:val="both"/>
      </w:pPr>
      <w:r w:rsidRPr="008110B5">
        <w:t xml:space="preserve">In this section, we review the comparative effectiveness of </w:t>
      </w:r>
      <w:r w:rsidR="00B553BF">
        <w:t>r</w:t>
      </w:r>
      <w:r w:rsidRPr="008110B5">
        <w:t xml:space="preserve">TMS </w:t>
      </w:r>
      <w:r>
        <w:t>t</w:t>
      </w:r>
      <w:r w:rsidRPr="008110B5">
        <w:t>herapy and antidepressant medication using two separate types of study designs:</w:t>
      </w:r>
    </w:p>
    <w:p w14:paraId="066EB865" w14:textId="7FC6EE51" w:rsidR="007E3C8E" w:rsidRPr="008110B5" w:rsidRDefault="00244EC9" w:rsidP="00C42A71">
      <w:pPr>
        <w:pStyle w:val="NoSpacing"/>
        <w:numPr>
          <w:ilvl w:val="0"/>
          <w:numId w:val="12"/>
        </w:numPr>
        <w:spacing w:after="120"/>
        <w:ind w:left="1077" w:hanging="357"/>
        <w:jc w:val="both"/>
      </w:pPr>
      <w:r>
        <w:t xml:space="preserve">RCTs with sham/placebo as the common comparator (Demitrack and Thase 2009). This </w:t>
      </w:r>
      <w:r w:rsidR="007E3C8E" w:rsidRPr="008110B5">
        <w:t>comparative analysis</w:t>
      </w:r>
      <w:r w:rsidR="0001226F">
        <w:t xml:space="preserve"> </w:t>
      </w:r>
      <w:r>
        <w:t>uses</w:t>
      </w:r>
      <w:r w:rsidR="007E3C8E" w:rsidRPr="008110B5">
        <w:t xml:space="preserve"> valid statistical methods to compare the results of </w:t>
      </w:r>
      <w:r>
        <w:t>RCTs</w:t>
      </w:r>
      <w:r w:rsidR="007E3C8E" w:rsidRPr="008110B5">
        <w:t xml:space="preserve"> for TMS </w:t>
      </w:r>
      <w:r w:rsidR="007E3C8E">
        <w:t>t</w:t>
      </w:r>
      <w:r w:rsidR="007E3C8E" w:rsidRPr="008110B5">
        <w:t>herapy (using data from the NeuroStar clinical evaluation program) versus sham TMS, against various antidepressant medications studied in randomized controlled trials against a medication placebo control.</w:t>
      </w:r>
    </w:p>
    <w:p w14:paraId="60A4C000" w14:textId="23A83BAE" w:rsidR="007E3C8E" w:rsidRPr="008110B5" w:rsidRDefault="00244EC9" w:rsidP="00C42A71">
      <w:pPr>
        <w:pStyle w:val="NoSpacing"/>
        <w:numPr>
          <w:ilvl w:val="0"/>
          <w:numId w:val="12"/>
        </w:numPr>
        <w:spacing w:after="240"/>
        <w:ind w:left="1077" w:hanging="357"/>
        <w:jc w:val="both"/>
      </w:pPr>
      <w:r>
        <w:t>Long term open label trials using sham/placebo as the common comparator (Bonne-Barkay 2013 Conference Abstract). These</w:t>
      </w:r>
      <w:r w:rsidR="007E3C8E" w:rsidRPr="008110B5">
        <w:t xml:space="preserve"> </w:t>
      </w:r>
      <w:r w:rsidR="00651C35">
        <w:t xml:space="preserve">pooled analyses </w:t>
      </w:r>
      <w:r w:rsidR="007E3C8E" w:rsidRPr="008110B5">
        <w:t xml:space="preserve">provide a confirmatory analysis of the controlled trials by examining the comparative outcomes of NeuroStar </w:t>
      </w:r>
      <w:r w:rsidR="00B553BF">
        <w:t>r</w:t>
      </w:r>
      <w:r w:rsidR="007E3C8E" w:rsidRPr="008110B5">
        <w:t xml:space="preserve">TMS used in open-label studies against the acute and long-term results of similar reference datasets of open-label studies of antidepressant medications. This analysis specifically examines the outcomes of NeuroStar </w:t>
      </w:r>
      <w:r w:rsidR="00B553BF">
        <w:t>r</w:t>
      </w:r>
      <w:r w:rsidR="007E3C8E" w:rsidRPr="008110B5">
        <w:t xml:space="preserve">TMS </w:t>
      </w:r>
      <w:r w:rsidR="007E3C8E">
        <w:t>T</w:t>
      </w:r>
      <w:r w:rsidR="007E3C8E" w:rsidRPr="008110B5">
        <w:t>herapy in the large, multisite naturalistic observational study (Carpenter, et al., 2012; Janicak, et al., 2013) compared with similar outcomes in the large, multisite naturalistic Sequenced Treatment Alternatives to Relieve Depression (STAR*D) Study (Rush, et al., 2006).</w:t>
      </w:r>
    </w:p>
    <w:p w14:paraId="03D9CAB4" w14:textId="0DB188FF" w:rsidR="007E3C8E" w:rsidRPr="008110B5" w:rsidRDefault="00244EC9" w:rsidP="00C42A71">
      <w:pPr>
        <w:pStyle w:val="NoSpacing"/>
        <w:spacing w:after="240"/>
        <w:jc w:val="both"/>
      </w:pPr>
      <w:r>
        <w:t>I</w:t>
      </w:r>
      <w:r w:rsidR="007E3C8E" w:rsidRPr="008110B5">
        <w:t xml:space="preserve">t is important to appreciate patients in the NeuroStar </w:t>
      </w:r>
      <w:r w:rsidR="00B553BF">
        <w:t>r</w:t>
      </w:r>
      <w:r w:rsidR="007E3C8E" w:rsidRPr="008110B5">
        <w:t xml:space="preserve">TMS registration trial and most </w:t>
      </w:r>
      <w:r w:rsidR="00B553BF">
        <w:t>r</w:t>
      </w:r>
      <w:r w:rsidR="007E3C8E" w:rsidRPr="008110B5">
        <w:t>TMS studies had failed to benefit from exposure to multiple adequate d</w:t>
      </w:r>
      <w:r w:rsidR="00EE1CDE">
        <w:t xml:space="preserve">rug trials, while in contrast, </w:t>
      </w:r>
      <w:r w:rsidR="007E3C8E" w:rsidRPr="008110B5">
        <w:t xml:space="preserve">patients in the drug registration trials were typically receiving first line drug therapy. Therefore, patients in the NeuroStar </w:t>
      </w:r>
      <w:r w:rsidR="00B553BF">
        <w:t>r</w:t>
      </w:r>
      <w:r w:rsidR="007E3C8E" w:rsidRPr="008110B5">
        <w:t xml:space="preserve">TMS registration trial had a treatment resistant form of depression, representing a negative bias against </w:t>
      </w:r>
      <w:r w:rsidR="00B553BF">
        <w:t>r</w:t>
      </w:r>
      <w:r w:rsidR="007E3C8E" w:rsidRPr="008110B5">
        <w:t>TMS when compared to antidepressant medicati</w:t>
      </w:r>
      <w:r w:rsidR="00EE1CDE">
        <w:t xml:space="preserve">on controlled trial outcomes.  </w:t>
      </w:r>
      <w:r w:rsidR="007E3C8E" w:rsidRPr="008110B5">
        <w:t xml:space="preserve">In both randomized studies of the NeuroStar </w:t>
      </w:r>
      <w:r w:rsidR="00B553BF">
        <w:t>r</w:t>
      </w:r>
      <w:r w:rsidR="007E3C8E" w:rsidRPr="008110B5">
        <w:t xml:space="preserve">TMS </w:t>
      </w:r>
      <w:r w:rsidR="007E3C8E">
        <w:t>S</w:t>
      </w:r>
      <w:r w:rsidR="007E3C8E" w:rsidRPr="008110B5">
        <w:t xml:space="preserve">ystem, all patients had to meet the stringent ATHF definition of prior antidepressant treatment with at least 1 and as many as 4 adequate antidepressant medication treatment failures. Treatment efficacy of a second or more courses of antidepressant drug therapy have been assessed in the recently completed STAR*D Study. This landmark study has clearly shown that once resistance to an adequately dosed and administered initial intervention has been established, the subsequent likelihood of benefit is substantially diminished (Rush, et al., 2006). With each successive failure, the likelihood of benefit with future treatment attempts diminishes even further. Therefore, the NeuroStar </w:t>
      </w:r>
      <w:r w:rsidR="00B553BF">
        <w:t>r</w:t>
      </w:r>
      <w:r w:rsidR="007E3C8E" w:rsidRPr="008110B5">
        <w:t>TMS studies evaluated a patient population who would be expected to show lower likelihood of benefit as compared to antidepressant medication trials that do not enrol these patients.</w:t>
      </w:r>
    </w:p>
    <w:p w14:paraId="554206A0" w14:textId="77777777" w:rsidR="007E3C8E" w:rsidRDefault="007E3C8E" w:rsidP="006678AF">
      <w:pPr>
        <w:pStyle w:val="Heading4"/>
      </w:pPr>
      <w:bookmarkStart w:id="94" w:name="_Toc319069020"/>
      <w:bookmarkStart w:id="95" w:name="_Toc367715551"/>
      <w:bookmarkStart w:id="96" w:name="_Toc367716684"/>
      <w:bookmarkStart w:id="97" w:name="_Toc367801998"/>
      <w:r w:rsidRPr="006678AF">
        <w:t>Indirect</w:t>
      </w:r>
      <w:r w:rsidRPr="00AD6EF2">
        <w:t xml:space="preserve"> </w:t>
      </w:r>
      <w:r>
        <w:t>c</w:t>
      </w:r>
      <w:r w:rsidRPr="00AD6EF2">
        <w:t xml:space="preserve">omparison to </w:t>
      </w:r>
      <w:r>
        <w:t>d</w:t>
      </w:r>
      <w:r w:rsidRPr="00AD6EF2">
        <w:t xml:space="preserve">rug </w:t>
      </w:r>
      <w:r>
        <w:t>t</w:t>
      </w:r>
      <w:r w:rsidRPr="00AD6EF2">
        <w:t xml:space="preserve">herapy: </w:t>
      </w:r>
      <w:r>
        <w:t>a</w:t>
      </w:r>
      <w:r w:rsidRPr="00AD6EF2">
        <w:t xml:space="preserve">cute </w:t>
      </w:r>
      <w:r>
        <w:t>e</w:t>
      </w:r>
      <w:r w:rsidRPr="00AD6EF2">
        <w:t>fficacy</w:t>
      </w:r>
      <w:bookmarkEnd w:id="94"/>
      <w:r w:rsidRPr="00AD6EF2">
        <w:t xml:space="preserve"> in </w:t>
      </w:r>
      <w:r>
        <w:t>r</w:t>
      </w:r>
      <w:r w:rsidRPr="00AD6EF2">
        <w:t>andomi</w:t>
      </w:r>
      <w:r>
        <w:t>s</w:t>
      </w:r>
      <w:r w:rsidRPr="00AD6EF2">
        <w:t xml:space="preserve">ed </w:t>
      </w:r>
      <w:r>
        <w:t>c</w:t>
      </w:r>
      <w:r w:rsidRPr="00AD6EF2">
        <w:t xml:space="preserve">ontrolled </w:t>
      </w:r>
      <w:r>
        <w:t>t</w:t>
      </w:r>
      <w:r w:rsidRPr="00AD6EF2">
        <w:t>rials</w:t>
      </w:r>
      <w:bookmarkEnd w:id="95"/>
      <w:bookmarkEnd w:id="96"/>
      <w:bookmarkEnd w:id="97"/>
    </w:p>
    <w:p w14:paraId="6104FA8B" w14:textId="77777777" w:rsidR="007E3C8E" w:rsidRPr="00AD6EF2" w:rsidRDefault="007E3C8E" w:rsidP="00C42A71">
      <w:pPr>
        <w:jc w:val="both"/>
      </w:pPr>
      <w:r w:rsidRPr="00AD6EF2">
        <w:t>The published data of over 70 placebo-controlled, randomized registration studies of 11 major pharmaceutical antidepressants that are currently FDA-approved as first-line treatment for patients provide comprehensive benchmarks that can be used as a reference “gold standard” for indirectly comparing the results of NeuroStar TMS and antidepressant medications. These benchmarks are important because of their size, comprehensiveness, and the fact that they have been well-established in the peer-</w:t>
      </w:r>
      <w:r w:rsidRPr="00AD6EF2">
        <w:lastRenderedPageBreak/>
        <w:t>reviewed literature. For example, the data from randomized controlled trials of antidepressants have been reported in several large summaries of FDA registration submission databases (Khan, et al, 2000, 2001, and 2007; Turner, et al, 2008). The comprehensive dataset utilized in the report by Turner and colleagues (2008) is of particular interest because the authors also summarized standardized effect sizes for the standard outcome of change from baseline in total depression symptom scores, enabling a valid statistical comparison of treatment e</w:t>
      </w:r>
      <w:r>
        <w:t xml:space="preserve">ffects across various studies. </w:t>
      </w:r>
      <w:r w:rsidRPr="00AD6EF2">
        <w:t>The NeuroStar TMS registration study also reported the same outcomes, thus facilitating a similarly statistically valid indirect comparison.</w:t>
      </w:r>
    </w:p>
    <w:p w14:paraId="5A447FA1" w14:textId="0D449C43" w:rsidR="007E3C8E" w:rsidRDefault="007E3C8E" w:rsidP="00C42A71">
      <w:pPr>
        <w:spacing w:after="120"/>
        <w:jc w:val="both"/>
      </w:pPr>
      <w:r w:rsidRPr="00AD6EF2">
        <w:t xml:space="preserve">A comprehensive comparative discussion of the NeuroStar </w:t>
      </w:r>
      <w:r w:rsidR="004C098E">
        <w:t>r</w:t>
      </w:r>
      <w:r w:rsidRPr="00AD6EF2">
        <w:t xml:space="preserve">TMS registration clinical trial results have been reported in a peer-reviewed publication (Demitrack and Thase, 2009). In that manuscript, the following observations were noted: </w:t>
      </w:r>
    </w:p>
    <w:p w14:paraId="56631679" w14:textId="77777777" w:rsidR="004C1C27" w:rsidRPr="004C1C27" w:rsidRDefault="007E3C8E" w:rsidP="004C1C27">
      <w:pPr>
        <w:pStyle w:val="ListParagraph"/>
        <w:numPr>
          <w:ilvl w:val="0"/>
          <w:numId w:val="14"/>
        </w:numPr>
        <w:spacing w:after="240"/>
        <w:ind w:left="1134" w:hanging="414"/>
        <w:jc w:val="both"/>
        <w:rPr>
          <w:rFonts w:ascii="Garamond" w:hAnsi="Garamond"/>
        </w:rPr>
      </w:pPr>
      <w:r w:rsidRPr="00712071">
        <w:rPr>
          <w:rFonts w:ascii="Garamond" w:hAnsi="Garamond"/>
        </w:rPr>
        <w:t xml:space="preserve">NeuroStar </w:t>
      </w:r>
      <w:r w:rsidR="004C098E">
        <w:rPr>
          <w:rFonts w:ascii="Garamond" w:hAnsi="Garamond"/>
        </w:rPr>
        <w:t>r</w:t>
      </w:r>
      <w:r w:rsidRPr="00712071">
        <w:rPr>
          <w:rFonts w:ascii="Garamond" w:hAnsi="Garamond"/>
        </w:rPr>
        <w:t xml:space="preserve">TMS </w:t>
      </w:r>
      <w:r>
        <w:rPr>
          <w:rFonts w:ascii="Garamond" w:hAnsi="Garamond"/>
        </w:rPr>
        <w:t>T</w:t>
      </w:r>
      <w:r w:rsidRPr="00712071">
        <w:rPr>
          <w:rFonts w:ascii="Garamond" w:hAnsi="Garamond"/>
        </w:rPr>
        <w:t xml:space="preserve">herapy </w:t>
      </w:r>
      <w:r w:rsidRPr="00712071">
        <w:rPr>
          <w:rFonts w:ascii="Garamond" w:hAnsi="Garamond"/>
          <w:i/>
        </w:rPr>
        <w:t>treatment effects for mean change from baseline meet or exceed the treatment effects reported</w:t>
      </w:r>
      <w:r w:rsidRPr="00712071">
        <w:rPr>
          <w:rFonts w:ascii="Garamond" w:hAnsi="Garamond"/>
        </w:rPr>
        <w:t xml:space="preserve"> for 8 of 11 FDA-approved first-line pharmaceutical antidepressants (</w:t>
      </w:r>
      <w:r w:rsidR="003B24C6" w:rsidRPr="003B24C6">
        <w:rPr>
          <w:rFonts w:ascii="Garamond" w:hAnsi="Garamond"/>
        </w:rPr>
        <w:fldChar w:fldCharType="begin"/>
      </w:r>
      <w:r w:rsidR="003B24C6">
        <w:rPr>
          <w:rFonts w:ascii="Garamond" w:hAnsi="Garamond"/>
        </w:rPr>
        <w:instrText xml:space="preserve"> REF _Ref386029603 \h  \* MERGEFORMAT </w:instrText>
      </w:r>
      <w:r w:rsidR="003B24C6" w:rsidRPr="003B24C6">
        <w:rPr>
          <w:rFonts w:ascii="Garamond" w:hAnsi="Garamond"/>
        </w:rPr>
      </w:r>
      <w:r w:rsidR="003B24C6" w:rsidRPr="003B24C6">
        <w:rPr>
          <w:rFonts w:ascii="Garamond" w:hAnsi="Garamond"/>
        </w:rPr>
        <w:fldChar w:fldCharType="separate"/>
      </w:r>
      <w:r w:rsidR="004C1C27" w:rsidRPr="004C1C27">
        <w:rPr>
          <w:rFonts w:ascii="Garamond" w:hAnsi="Garamond"/>
        </w:rPr>
        <w:br w:type="page"/>
      </w:r>
    </w:p>
    <w:p w14:paraId="10E1395B" w14:textId="6F5AE65E" w:rsidR="007E3C8E" w:rsidRDefault="004C1C27" w:rsidP="00C42A71">
      <w:pPr>
        <w:pStyle w:val="ListParagraph"/>
        <w:numPr>
          <w:ilvl w:val="0"/>
          <w:numId w:val="14"/>
        </w:numPr>
        <w:spacing w:after="240"/>
        <w:ind w:left="1134" w:hanging="414"/>
        <w:jc w:val="both"/>
        <w:rPr>
          <w:rFonts w:ascii="Garamond" w:hAnsi="Garamond"/>
        </w:rPr>
      </w:pPr>
      <w:r w:rsidRPr="004C1C27">
        <w:rPr>
          <w:rFonts w:ascii="Garamond" w:hAnsi="Garamond"/>
        </w:rPr>
        <w:lastRenderedPageBreak/>
        <w:t>Figure</w:t>
      </w:r>
      <w:r w:rsidRPr="004C1C27">
        <w:rPr>
          <w:rStyle w:val="Strong"/>
          <w:b w:val="0"/>
          <w:bCs w:val="0"/>
        </w:rPr>
        <w:t xml:space="preserve"> </w:t>
      </w:r>
      <w:r>
        <w:rPr>
          <w:rStyle w:val="Strong"/>
          <w:b w:val="0"/>
          <w:bCs w:val="0"/>
          <w:noProof/>
        </w:rPr>
        <w:t>4</w:t>
      </w:r>
      <w:r w:rsidR="003B24C6" w:rsidRPr="003B24C6">
        <w:rPr>
          <w:rFonts w:ascii="Garamond" w:hAnsi="Garamond"/>
        </w:rPr>
        <w:fldChar w:fldCharType="end"/>
      </w:r>
      <w:r w:rsidR="007E3C8E" w:rsidRPr="00712071">
        <w:rPr>
          <w:rFonts w:ascii="Garamond" w:hAnsi="Garamond"/>
        </w:rPr>
        <w:t xml:space="preserve">), even though the NeuroStar TMS </w:t>
      </w:r>
      <w:r w:rsidR="007E3C8E">
        <w:rPr>
          <w:rFonts w:ascii="Garamond" w:hAnsi="Garamond"/>
        </w:rPr>
        <w:t>T</w:t>
      </w:r>
      <w:r w:rsidR="007E3C8E" w:rsidRPr="00712071">
        <w:rPr>
          <w:rFonts w:ascii="Garamond" w:hAnsi="Garamond"/>
        </w:rPr>
        <w:t>herapy trial studied a patient sample comparable in treatment resistance severity to those patients treated in research studies of ECT (Prudic 2004).</w:t>
      </w:r>
    </w:p>
    <w:p w14:paraId="2B6200D2" w14:textId="1C2B7069" w:rsidR="003B24C6" w:rsidRDefault="007E3C8E" w:rsidP="00C42A71">
      <w:pPr>
        <w:pStyle w:val="ListParagraph"/>
        <w:numPr>
          <w:ilvl w:val="0"/>
          <w:numId w:val="14"/>
        </w:numPr>
        <w:spacing w:after="240"/>
        <w:ind w:left="1134" w:hanging="414"/>
        <w:jc w:val="both"/>
        <w:rPr>
          <w:rFonts w:ascii="Garamond" w:hAnsi="Garamond"/>
        </w:rPr>
      </w:pPr>
      <w:r>
        <w:rPr>
          <w:rFonts w:ascii="Garamond" w:hAnsi="Garamond"/>
        </w:rPr>
        <w:t xml:space="preserve">NeuroStar </w:t>
      </w:r>
      <w:r w:rsidR="004C098E">
        <w:rPr>
          <w:rFonts w:ascii="Garamond" w:hAnsi="Garamond"/>
        </w:rPr>
        <w:t>r</w:t>
      </w:r>
      <w:r>
        <w:rPr>
          <w:rFonts w:ascii="Garamond" w:hAnsi="Garamond"/>
        </w:rPr>
        <w:t>TMS T</w:t>
      </w:r>
      <w:r w:rsidRPr="00712071">
        <w:rPr>
          <w:rFonts w:ascii="Garamond" w:hAnsi="Garamond"/>
        </w:rPr>
        <w:t xml:space="preserve">herapy treatment effects for </w:t>
      </w:r>
      <w:r w:rsidRPr="00712071">
        <w:rPr>
          <w:rFonts w:ascii="Garamond" w:hAnsi="Garamond"/>
          <w:i/>
        </w:rPr>
        <w:t>mean change from baseline exceed the treatment effects for atypical antipsychotic augmentation</w:t>
      </w:r>
      <w:r w:rsidRPr="00712071">
        <w:rPr>
          <w:rFonts w:ascii="Garamond" w:hAnsi="Garamond"/>
        </w:rPr>
        <w:t>, the only pharmaceutical treatments that are FDA approved</w:t>
      </w:r>
      <w:r w:rsidRPr="00712071">
        <w:rPr>
          <w:rFonts w:ascii="Garamond" w:hAnsi="Garamond"/>
          <w:i/>
        </w:rPr>
        <w:t xml:space="preserve"> </w:t>
      </w:r>
      <w:r w:rsidRPr="00712071">
        <w:rPr>
          <w:rFonts w:ascii="Garamond" w:hAnsi="Garamond"/>
        </w:rPr>
        <w:t>for the treatment of patients with treatment resistant major depression (</w:t>
      </w:r>
      <w:r w:rsidR="003B24C6">
        <w:rPr>
          <w:rFonts w:ascii="Garamond" w:hAnsi="Garamond"/>
        </w:rPr>
        <w:fldChar w:fldCharType="begin"/>
      </w:r>
      <w:r w:rsidR="003B24C6">
        <w:rPr>
          <w:rFonts w:ascii="Garamond" w:hAnsi="Garamond"/>
        </w:rPr>
        <w:instrText xml:space="preserve"> REF _Ref386029611 \h  \* MERGEFORMAT </w:instrText>
      </w:r>
      <w:r w:rsidR="003B24C6">
        <w:rPr>
          <w:rFonts w:ascii="Garamond" w:hAnsi="Garamond"/>
        </w:rPr>
      </w:r>
      <w:r w:rsidR="003B24C6">
        <w:rPr>
          <w:rFonts w:ascii="Garamond" w:hAnsi="Garamond"/>
        </w:rPr>
        <w:fldChar w:fldCharType="separate"/>
      </w:r>
      <w:r w:rsidR="004C1C27" w:rsidRPr="004C1C27">
        <w:rPr>
          <w:rFonts w:ascii="Garamond" w:hAnsi="Garamond"/>
        </w:rPr>
        <w:t>Figure 5</w:t>
      </w:r>
      <w:r w:rsidR="003B24C6">
        <w:rPr>
          <w:rFonts w:ascii="Garamond" w:hAnsi="Garamond"/>
        </w:rPr>
        <w:fldChar w:fldCharType="end"/>
      </w:r>
      <w:r w:rsidRPr="00712071">
        <w:rPr>
          <w:rFonts w:ascii="Garamond" w:hAnsi="Garamond"/>
        </w:rPr>
        <w:t>).</w:t>
      </w:r>
    </w:p>
    <w:p w14:paraId="69C64AEF" w14:textId="465BFC68" w:rsidR="007E3C8E" w:rsidRPr="0001226F" w:rsidRDefault="007E3C8E" w:rsidP="00C42A71">
      <w:pPr>
        <w:pStyle w:val="ListParagraph"/>
        <w:numPr>
          <w:ilvl w:val="0"/>
          <w:numId w:val="14"/>
        </w:numPr>
        <w:spacing w:after="240"/>
        <w:ind w:left="1134" w:hanging="414"/>
        <w:jc w:val="both"/>
        <w:rPr>
          <w:rFonts w:ascii="Garamond" w:hAnsi="Garamond"/>
        </w:rPr>
      </w:pPr>
      <w:r w:rsidRPr="0001226F">
        <w:rPr>
          <w:rFonts w:ascii="Garamond" w:hAnsi="Garamond"/>
        </w:rPr>
        <w:t xml:space="preserve">A comparison of the standardized effect sizes shows that the NeuroStar </w:t>
      </w:r>
      <w:r w:rsidR="004C098E" w:rsidRPr="0001226F">
        <w:rPr>
          <w:rFonts w:ascii="Garamond" w:hAnsi="Garamond"/>
        </w:rPr>
        <w:t>r</w:t>
      </w:r>
      <w:r w:rsidRPr="0001226F">
        <w:rPr>
          <w:rFonts w:ascii="Garamond" w:hAnsi="Garamond"/>
        </w:rPr>
        <w:t>TMS results are large and range on the higher end of effect sizes reported for FDA-approved pharmaceutical antidepressants (</w:t>
      </w:r>
      <w:r w:rsidR="003B24C6" w:rsidRPr="0001226F">
        <w:rPr>
          <w:rFonts w:ascii="Garamond" w:hAnsi="Garamond"/>
        </w:rPr>
        <w:fldChar w:fldCharType="begin"/>
      </w:r>
      <w:r w:rsidR="003B24C6" w:rsidRPr="0001226F">
        <w:rPr>
          <w:rFonts w:ascii="Garamond" w:hAnsi="Garamond"/>
        </w:rPr>
        <w:instrText xml:space="preserve"> REF _Ref386029737 \h  \* MERGEFORMAT </w:instrText>
      </w:r>
      <w:r w:rsidR="003B24C6" w:rsidRPr="0001226F">
        <w:rPr>
          <w:rFonts w:ascii="Garamond" w:hAnsi="Garamond"/>
        </w:rPr>
        <w:fldChar w:fldCharType="separate"/>
      </w:r>
      <w:r w:rsidR="004C1C27">
        <w:rPr>
          <w:rFonts w:ascii="Garamond" w:hAnsi="Garamond"/>
          <w:b/>
          <w:bCs/>
          <w:lang w:val="en-US"/>
        </w:rPr>
        <w:t>Error! Reference source not found.</w:t>
      </w:r>
      <w:r w:rsidR="003B24C6" w:rsidRPr="0001226F">
        <w:rPr>
          <w:rFonts w:ascii="Garamond" w:hAnsi="Garamond"/>
        </w:rPr>
        <w:fldChar w:fldCharType="end"/>
      </w:r>
      <w:r w:rsidR="003B24C6" w:rsidRPr="0001226F">
        <w:rPr>
          <w:rFonts w:ascii="Garamond" w:hAnsi="Garamond"/>
        </w:rPr>
        <w:t xml:space="preserve"> </w:t>
      </w:r>
      <w:proofErr w:type="gramStart"/>
      <w:r w:rsidR="003B24C6" w:rsidRPr="0001226F">
        <w:rPr>
          <w:rFonts w:ascii="Garamond" w:hAnsi="Garamond"/>
        </w:rPr>
        <w:t>and</w:t>
      </w:r>
      <w:proofErr w:type="gramEnd"/>
      <w:r w:rsidR="0001226F">
        <w:rPr>
          <w:rFonts w:ascii="Garamond" w:hAnsi="Garamond"/>
        </w:rPr>
        <w:t xml:space="preserve"> </w:t>
      </w:r>
      <w:r w:rsidR="0001226F" w:rsidRPr="0001226F">
        <w:rPr>
          <w:rFonts w:ascii="Garamond" w:hAnsi="Garamond"/>
        </w:rPr>
        <w:fldChar w:fldCharType="begin"/>
      </w:r>
      <w:r w:rsidR="0001226F" w:rsidRPr="0001226F">
        <w:rPr>
          <w:rFonts w:ascii="Garamond" w:hAnsi="Garamond"/>
        </w:rPr>
        <w:instrText xml:space="preserve"> REF _Ref386029737 \h  \* MERGEFORMAT </w:instrText>
      </w:r>
      <w:r w:rsidR="0001226F" w:rsidRPr="0001226F">
        <w:rPr>
          <w:rFonts w:ascii="Garamond" w:hAnsi="Garamond"/>
        </w:rPr>
        <w:fldChar w:fldCharType="separate"/>
      </w:r>
      <w:r w:rsidR="004C1C27">
        <w:rPr>
          <w:rFonts w:ascii="Garamond" w:hAnsi="Garamond"/>
          <w:b/>
          <w:bCs/>
          <w:lang w:val="en-US"/>
        </w:rPr>
        <w:t>Error! Reference source not found.</w:t>
      </w:r>
      <w:r w:rsidR="0001226F" w:rsidRPr="0001226F">
        <w:rPr>
          <w:rFonts w:ascii="Garamond" w:hAnsi="Garamond"/>
        </w:rPr>
        <w:fldChar w:fldCharType="end"/>
      </w:r>
      <w:r w:rsidR="0001226F">
        <w:rPr>
          <w:rFonts w:ascii="Garamond" w:hAnsi="Garamond"/>
        </w:rPr>
        <w:t>).</w:t>
      </w:r>
    </w:p>
    <w:p w14:paraId="77359A13" w14:textId="6C02508B" w:rsidR="006678AF" w:rsidRDefault="007E3C8E" w:rsidP="00645BDA">
      <w:pPr>
        <w:jc w:val="both"/>
      </w:pPr>
      <w:r w:rsidRPr="00AD6EF2">
        <w:t xml:space="preserve">This analysis provides evidence that </w:t>
      </w:r>
      <w:r w:rsidR="004C098E">
        <w:t>r</w:t>
      </w:r>
      <w:r w:rsidRPr="00AD6EF2">
        <w:t xml:space="preserve">TMS is at least as effective as common antidepressant drug therapies, exceeding effects for 8 of the 11 antidepressant drugs used for first line therapy, despite the fact that, unlike </w:t>
      </w:r>
      <w:r w:rsidR="004C098E">
        <w:t>r</w:t>
      </w:r>
      <w:r w:rsidRPr="00AD6EF2">
        <w:t xml:space="preserve">TMS, these drugs were not studied in a treatment resistant population. Additionally, </w:t>
      </w:r>
      <w:r w:rsidR="004C098E">
        <w:t>r</w:t>
      </w:r>
      <w:r w:rsidRPr="00AD6EF2">
        <w:t xml:space="preserve">TMS exceeded the treatment effects for second generation antipsychotic augmentation, </w:t>
      </w:r>
      <w:r w:rsidR="00397B17">
        <w:t xml:space="preserve">for </w:t>
      </w:r>
      <w:r w:rsidRPr="00AD6EF2">
        <w:t>a patient group that is more directly comparable in treatment resistance to the TMS study population.</w:t>
      </w:r>
    </w:p>
    <w:p w14:paraId="0783F4C1" w14:textId="77777777" w:rsidR="00397B17" w:rsidRDefault="00397B17">
      <w:pPr>
        <w:spacing w:after="0"/>
        <w:ind w:left="0"/>
        <w:rPr>
          <w:rStyle w:val="Strong"/>
          <w:rFonts w:ascii="Tahoma" w:hAnsi="Tahoma"/>
          <w:bCs w:val="0"/>
          <w:sz w:val="20"/>
        </w:rPr>
      </w:pPr>
      <w:bookmarkStart w:id="98" w:name="_Ref386029603"/>
      <w:bookmarkStart w:id="99" w:name="_Toc389042766"/>
      <w:r>
        <w:rPr>
          <w:rStyle w:val="Strong"/>
          <w:b w:val="0"/>
          <w:bCs w:val="0"/>
        </w:rPr>
        <w:br w:type="page"/>
      </w:r>
    </w:p>
    <w:p w14:paraId="5E64B047" w14:textId="5755895F" w:rsidR="006678AF" w:rsidRPr="00397B17" w:rsidRDefault="006678AF" w:rsidP="00397B17">
      <w:pPr>
        <w:pStyle w:val="Heading6"/>
        <w:spacing w:after="0"/>
        <w:rPr>
          <w:rStyle w:val="Strong"/>
          <w:b/>
          <w:bCs w:val="0"/>
        </w:rPr>
      </w:pPr>
      <w:bookmarkStart w:id="100" w:name="_Toc389154651"/>
      <w:r w:rsidRPr="00397B17">
        <w:rPr>
          <w:rStyle w:val="Strong"/>
          <w:b/>
          <w:bCs w:val="0"/>
        </w:rPr>
        <w:lastRenderedPageBreak/>
        <w:t xml:space="preserve">Figure </w:t>
      </w:r>
      <w:r w:rsidRPr="00397B17">
        <w:rPr>
          <w:rStyle w:val="Strong"/>
          <w:b/>
          <w:bCs w:val="0"/>
        </w:rPr>
        <w:fldChar w:fldCharType="begin"/>
      </w:r>
      <w:r w:rsidRPr="00397B17">
        <w:rPr>
          <w:rStyle w:val="Strong"/>
          <w:b/>
          <w:bCs w:val="0"/>
        </w:rPr>
        <w:instrText xml:space="preserve"> SEQ Figure \* ARABIC </w:instrText>
      </w:r>
      <w:r w:rsidRPr="00397B17">
        <w:rPr>
          <w:rStyle w:val="Strong"/>
          <w:b/>
          <w:bCs w:val="0"/>
        </w:rPr>
        <w:fldChar w:fldCharType="separate"/>
      </w:r>
      <w:r w:rsidR="004C1C27">
        <w:rPr>
          <w:rStyle w:val="Strong"/>
          <w:b/>
          <w:bCs w:val="0"/>
          <w:noProof/>
        </w:rPr>
        <w:t>4</w:t>
      </w:r>
      <w:r w:rsidRPr="00397B17">
        <w:rPr>
          <w:rStyle w:val="Strong"/>
          <w:b/>
          <w:bCs w:val="0"/>
        </w:rPr>
        <w:fldChar w:fldCharType="end"/>
      </w:r>
      <w:bookmarkEnd w:id="98"/>
      <w:r w:rsidRPr="00397B17">
        <w:rPr>
          <w:rStyle w:val="Strong"/>
          <w:b/>
          <w:bCs w:val="0"/>
        </w:rPr>
        <w:t>: Treatment effects in randomised controlled trials - Change from baseline in HAMD17 total score (mean difference active vs. placebo)</w:t>
      </w:r>
      <w:bookmarkEnd w:id="99"/>
      <w:bookmarkEnd w:id="100"/>
    </w:p>
    <w:p w14:paraId="57CB8ADA" w14:textId="77777777" w:rsidR="00EE1CDE" w:rsidRDefault="004878A2" w:rsidP="00C42A71">
      <w:pPr>
        <w:keepNext/>
        <w:spacing w:before="40" w:after="40"/>
        <w:jc w:val="center"/>
      </w:pPr>
      <w:r>
        <w:rPr>
          <w:noProof/>
          <w:lang w:eastAsia="en-AU"/>
        </w:rPr>
        <w:drawing>
          <wp:inline distT="0" distB="0" distL="0" distR="0" wp14:anchorId="5CA0A6BB" wp14:editId="5906075E">
            <wp:extent cx="4418056" cy="3313786"/>
            <wp:effectExtent l="0" t="0" r="1905" b="1270"/>
            <wp:docPr id="12" name="Picture 12" title="Change from baseline HAMD17 NeuroStar 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1658" cy="3323988"/>
                    </a:xfrm>
                    <a:prstGeom prst="rect">
                      <a:avLst/>
                    </a:prstGeom>
                  </pic:spPr>
                </pic:pic>
              </a:graphicData>
            </a:graphic>
          </wp:inline>
        </w:drawing>
      </w:r>
    </w:p>
    <w:p w14:paraId="369ABF16" w14:textId="77777777" w:rsidR="007E3C8E" w:rsidRPr="00F30B5F" w:rsidRDefault="007E3C8E" w:rsidP="00C42A71">
      <w:pPr>
        <w:keepNext/>
        <w:spacing w:before="40" w:after="40"/>
        <w:jc w:val="both"/>
        <w:rPr>
          <w:sz w:val="18"/>
          <w:szCs w:val="18"/>
        </w:rPr>
      </w:pPr>
      <w:r w:rsidRPr="00F30B5F">
        <w:rPr>
          <w:rFonts w:ascii="Arial Narrow" w:hAnsi="Arial Narrow" w:cs="Arial"/>
          <w:sz w:val="18"/>
          <w:szCs w:val="18"/>
        </w:rPr>
        <w:t xml:space="preserve">NOTE: Data in figure from the following sources: Khan, et al. </w:t>
      </w:r>
      <w:r w:rsidRPr="00F30B5F">
        <w:rPr>
          <w:rFonts w:ascii="Arial Narrow" w:hAnsi="Arial Narrow" w:cs="Arial"/>
          <w:sz w:val="18"/>
          <w:szCs w:val="18"/>
          <w:lang w:val="fr-FR"/>
        </w:rPr>
        <w:t xml:space="preserve">(2000, 2001, and 2007); Detke, et al. (2002a, 2002b); Goldstein, et al. </w:t>
      </w:r>
      <w:r w:rsidRPr="00F30B5F">
        <w:rPr>
          <w:rFonts w:ascii="Arial Narrow" w:hAnsi="Arial Narrow" w:cs="Arial"/>
          <w:sz w:val="18"/>
          <w:szCs w:val="18"/>
        </w:rPr>
        <w:t>(2002, 2004); Perahia, et al. (2006); Feiger, et al. (2006); Bodkin, et al. (2002). Each antidepressant medication shown represents the average of all available registration studies.</w:t>
      </w:r>
    </w:p>
    <w:p w14:paraId="69A18C6D" w14:textId="77777777" w:rsidR="007E3C8E" w:rsidRDefault="007E3C8E" w:rsidP="00C42A71">
      <w:pPr>
        <w:keepNext/>
        <w:spacing w:before="40" w:after="40"/>
        <w:rPr>
          <w:rFonts w:ascii="Arial Narrow" w:hAnsi="Arial Narrow" w:cs="Arial"/>
          <w:sz w:val="18"/>
          <w:szCs w:val="18"/>
        </w:rPr>
      </w:pPr>
      <w:r w:rsidRPr="00F30B5F">
        <w:rPr>
          <w:rFonts w:ascii="Arial Narrow" w:hAnsi="Arial Narrow" w:cs="Arial"/>
          <w:sz w:val="18"/>
          <w:szCs w:val="18"/>
        </w:rPr>
        <w:t>HAMD = Hamilton depression rating score; TMS = Transcranial Magnetic Stimulation</w:t>
      </w:r>
    </w:p>
    <w:p w14:paraId="74CD17DC" w14:textId="77777777" w:rsidR="006678AF" w:rsidRPr="00397B17" w:rsidRDefault="006678AF" w:rsidP="00397B17">
      <w:pPr>
        <w:pStyle w:val="Heading6"/>
        <w:rPr>
          <w:rStyle w:val="Strong"/>
          <w:b/>
          <w:bCs w:val="0"/>
        </w:rPr>
      </w:pPr>
      <w:bookmarkStart w:id="101" w:name="_Ref386029611"/>
      <w:bookmarkStart w:id="102" w:name="_Toc389042767"/>
      <w:bookmarkStart w:id="103" w:name="_Toc389154652"/>
      <w:r w:rsidRPr="00397B17">
        <w:rPr>
          <w:rStyle w:val="Strong"/>
          <w:b/>
          <w:bCs w:val="0"/>
        </w:rPr>
        <w:t xml:space="preserve">Figure </w:t>
      </w:r>
      <w:r w:rsidRPr="00397B17">
        <w:rPr>
          <w:rStyle w:val="Strong"/>
          <w:b/>
          <w:bCs w:val="0"/>
        </w:rPr>
        <w:fldChar w:fldCharType="begin"/>
      </w:r>
      <w:r w:rsidRPr="00397B17">
        <w:rPr>
          <w:rStyle w:val="Strong"/>
          <w:b/>
          <w:bCs w:val="0"/>
        </w:rPr>
        <w:instrText xml:space="preserve"> SEQ Figure \* ARABIC </w:instrText>
      </w:r>
      <w:r w:rsidRPr="00397B17">
        <w:rPr>
          <w:rStyle w:val="Strong"/>
          <w:b/>
          <w:bCs w:val="0"/>
        </w:rPr>
        <w:fldChar w:fldCharType="separate"/>
      </w:r>
      <w:r w:rsidR="004C1C27">
        <w:rPr>
          <w:rStyle w:val="Strong"/>
          <w:b/>
          <w:bCs w:val="0"/>
          <w:noProof/>
        </w:rPr>
        <w:t>5</w:t>
      </w:r>
      <w:r w:rsidRPr="00397B17">
        <w:rPr>
          <w:rStyle w:val="Strong"/>
          <w:b/>
          <w:bCs w:val="0"/>
        </w:rPr>
        <w:fldChar w:fldCharType="end"/>
      </w:r>
      <w:bookmarkEnd w:id="101"/>
      <w:r w:rsidRPr="00397B17">
        <w:rPr>
          <w:rStyle w:val="Strong"/>
          <w:b/>
          <w:bCs w:val="0"/>
        </w:rPr>
        <w:t>: Treatment effects in randomised controlled trials: Change from baseline in MADRS total score (mean difference active vs. placebo [treatment-resistant study population])</w:t>
      </w:r>
      <w:bookmarkEnd w:id="102"/>
      <w:bookmarkEnd w:id="103"/>
    </w:p>
    <w:p w14:paraId="7B195991" w14:textId="77777777" w:rsidR="00F30B5F" w:rsidRDefault="004878A2" w:rsidP="00C42A71">
      <w:pPr>
        <w:keepNext/>
        <w:spacing w:before="40" w:after="40"/>
        <w:jc w:val="center"/>
      </w:pPr>
      <w:r>
        <w:rPr>
          <w:noProof/>
          <w:lang w:eastAsia="en-AU"/>
        </w:rPr>
        <w:drawing>
          <wp:inline distT="0" distB="0" distL="0" distR="0" wp14:anchorId="38665B42" wp14:editId="49C7C745">
            <wp:extent cx="4185139" cy="3139087"/>
            <wp:effectExtent l="0" t="0" r="6350" b="4445"/>
            <wp:docPr id="13" name="Picture 13" title="Change from baseline MADRS NeuroStar 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TIF"/>
                    <pic:cNvPicPr/>
                  </pic:nvPicPr>
                  <pic:blipFill>
                    <a:blip r:embed="rId22">
                      <a:extLst>
                        <a:ext uri="{28A0092B-C50C-407E-A947-70E740481C1C}">
                          <a14:useLocalDpi xmlns:a14="http://schemas.microsoft.com/office/drawing/2010/main" val="0"/>
                        </a:ext>
                      </a:extLst>
                    </a:blip>
                    <a:stretch>
                      <a:fillRect/>
                    </a:stretch>
                  </pic:blipFill>
                  <pic:spPr>
                    <a:xfrm>
                      <a:off x="0" y="0"/>
                      <a:ext cx="4188312" cy="3141467"/>
                    </a:xfrm>
                    <a:prstGeom prst="rect">
                      <a:avLst/>
                    </a:prstGeom>
                  </pic:spPr>
                </pic:pic>
              </a:graphicData>
            </a:graphic>
          </wp:inline>
        </w:drawing>
      </w:r>
    </w:p>
    <w:p w14:paraId="168DF941" w14:textId="77777777" w:rsidR="007E3C8E" w:rsidRPr="00F30B5F" w:rsidRDefault="007E3C8E" w:rsidP="00C42A71">
      <w:pPr>
        <w:keepNext/>
        <w:spacing w:before="40" w:after="40"/>
        <w:jc w:val="both"/>
        <w:rPr>
          <w:rFonts w:ascii="Arial Narrow" w:hAnsi="Arial Narrow" w:cs="Arial"/>
          <w:sz w:val="18"/>
          <w:szCs w:val="18"/>
        </w:rPr>
      </w:pPr>
      <w:r w:rsidRPr="00F30B5F">
        <w:rPr>
          <w:rFonts w:ascii="Arial Narrow" w:hAnsi="Arial Narrow" w:cs="Arial"/>
          <w:sz w:val="18"/>
          <w:szCs w:val="18"/>
        </w:rPr>
        <w:t xml:space="preserve">NOTE: Data in figure from the following sources: Shelton, et al. </w:t>
      </w:r>
      <w:r w:rsidRPr="00F30B5F">
        <w:rPr>
          <w:rFonts w:ascii="Arial Narrow" w:hAnsi="Arial Narrow" w:cs="Arial"/>
          <w:sz w:val="18"/>
          <w:szCs w:val="18"/>
          <w:lang w:val="fr-FR"/>
        </w:rPr>
        <w:t xml:space="preserve">(2005); Corya, et al. (2006); Thase, et al. (2007); Berman, et al. (2007); Marcus, et al. </w:t>
      </w:r>
      <w:r w:rsidRPr="00F30B5F">
        <w:rPr>
          <w:rFonts w:ascii="Arial Narrow" w:hAnsi="Arial Narrow" w:cs="Arial"/>
          <w:sz w:val="18"/>
          <w:szCs w:val="18"/>
        </w:rPr>
        <w:t>(2008). Each antidepressant shown represents a single study result.</w:t>
      </w:r>
    </w:p>
    <w:p w14:paraId="5F9FE38A" w14:textId="77777777" w:rsidR="00F30B5F" w:rsidRDefault="007E3C8E" w:rsidP="00C42A71">
      <w:pPr>
        <w:keepNext/>
        <w:spacing w:before="40" w:after="40"/>
        <w:jc w:val="both"/>
        <w:rPr>
          <w:rFonts w:ascii="Arial Narrow" w:hAnsi="Arial Narrow" w:cs="Arial"/>
          <w:sz w:val="18"/>
          <w:szCs w:val="18"/>
        </w:rPr>
      </w:pPr>
      <w:r w:rsidRPr="00F30B5F">
        <w:rPr>
          <w:rFonts w:ascii="Arial Narrow" w:hAnsi="Arial Narrow" w:cs="Arial"/>
          <w:sz w:val="18"/>
          <w:szCs w:val="18"/>
        </w:rPr>
        <w:t>MADRS = Montgomery-Asberg depression rating scale; TMS = Transcranial Magnetic Stimulation</w:t>
      </w:r>
    </w:p>
    <w:p w14:paraId="13E9166D" w14:textId="77777777" w:rsidR="00F30B5F" w:rsidRPr="00F30B5F" w:rsidRDefault="00F30B5F" w:rsidP="00F30B5F">
      <w:pPr>
        <w:widowControl w:val="0"/>
      </w:pPr>
    </w:p>
    <w:p w14:paraId="4F217F05" w14:textId="77777777" w:rsidR="00C42A71" w:rsidRDefault="00C42A71" w:rsidP="00C42A71">
      <w:bookmarkStart w:id="104" w:name="_Ref386029739"/>
    </w:p>
    <w:p w14:paraId="5312CF63" w14:textId="55E1EF55" w:rsidR="006678AF" w:rsidRPr="00397B17" w:rsidRDefault="006678AF" w:rsidP="00397B17">
      <w:pPr>
        <w:pStyle w:val="Heading6"/>
        <w:rPr>
          <w:rStyle w:val="Strong"/>
          <w:b/>
          <w:bCs w:val="0"/>
        </w:rPr>
      </w:pPr>
      <w:bookmarkStart w:id="105" w:name="_Toc389042769"/>
      <w:bookmarkStart w:id="106" w:name="_Toc389154653"/>
      <w:r w:rsidRPr="00397B17">
        <w:rPr>
          <w:rStyle w:val="Strong"/>
          <w:b/>
          <w:bCs w:val="0"/>
        </w:rPr>
        <w:t xml:space="preserve">Figure </w:t>
      </w:r>
      <w:bookmarkEnd w:id="104"/>
      <w:r w:rsidR="0001226F" w:rsidRPr="00397B17">
        <w:rPr>
          <w:rStyle w:val="Strong"/>
          <w:b/>
          <w:bCs w:val="0"/>
        </w:rPr>
        <w:t>6</w:t>
      </w:r>
      <w:r w:rsidRPr="00397B17">
        <w:rPr>
          <w:rStyle w:val="Strong"/>
          <w:b/>
          <w:bCs w:val="0"/>
        </w:rPr>
        <w:t>: Summary of effect sizes (Hedge’s g) in randomised controlled trials of antidepressant medications and for NeuroStar TMS Therapy (treatment-resistant study populations)</w:t>
      </w:r>
      <w:bookmarkEnd w:id="105"/>
      <w:bookmarkEnd w:id="106"/>
    </w:p>
    <w:p w14:paraId="13AAEA60" w14:textId="77777777" w:rsidR="00F30B5F" w:rsidRDefault="004878A2" w:rsidP="00C42A71">
      <w:pPr>
        <w:keepNext/>
        <w:spacing w:before="40" w:after="40"/>
        <w:jc w:val="center"/>
      </w:pPr>
      <w:r>
        <w:rPr>
          <w:noProof/>
          <w:lang w:eastAsia="en-AU"/>
        </w:rPr>
        <w:drawing>
          <wp:inline distT="0" distB="0" distL="0" distR="0" wp14:anchorId="074B54AE" wp14:editId="6FFC5B05">
            <wp:extent cx="4389120" cy="2614152"/>
            <wp:effectExtent l="0" t="0" r="0" b="0"/>
            <wp:docPr id="68" name="Picture 68" title="Effect size of AntiDep and NeuroStar 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
                    <pic:cNvPicPr/>
                  </pic:nvPicPr>
                  <pic:blipFill rotWithShape="1">
                    <a:blip r:embed="rId23" cstate="print">
                      <a:extLst>
                        <a:ext uri="{28A0092B-C50C-407E-A947-70E740481C1C}">
                          <a14:useLocalDpi xmlns:a14="http://schemas.microsoft.com/office/drawing/2010/main" val="0"/>
                        </a:ext>
                      </a:extLst>
                    </a:blip>
                    <a:srcRect l="5774" t="16038" r="4914" b="13041"/>
                    <a:stretch/>
                  </pic:blipFill>
                  <pic:spPr bwMode="auto">
                    <a:xfrm>
                      <a:off x="0" y="0"/>
                      <a:ext cx="4393688" cy="2616873"/>
                    </a:xfrm>
                    <a:prstGeom prst="rect">
                      <a:avLst/>
                    </a:prstGeom>
                    <a:ln>
                      <a:noFill/>
                    </a:ln>
                    <a:extLst>
                      <a:ext uri="{53640926-AAD7-44D8-BBD7-CCE9431645EC}">
                        <a14:shadowObscured xmlns:a14="http://schemas.microsoft.com/office/drawing/2010/main"/>
                      </a:ext>
                    </a:extLst>
                  </pic:spPr>
                </pic:pic>
              </a:graphicData>
            </a:graphic>
          </wp:inline>
        </w:drawing>
      </w:r>
    </w:p>
    <w:p w14:paraId="1EEE1D73" w14:textId="77777777" w:rsidR="007E3C8E" w:rsidRPr="00F30B5F" w:rsidRDefault="007E3C8E" w:rsidP="00C42A71">
      <w:pPr>
        <w:keepNext/>
        <w:spacing w:before="40" w:after="40"/>
        <w:jc w:val="both"/>
        <w:rPr>
          <w:rFonts w:ascii="Arial Narrow" w:hAnsi="Arial Narrow" w:cs="Arial"/>
          <w:sz w:val="18"/>
          <w:szCs w:val="18"/>
        </w:rPr>
      </w:pPr>
      <w:r w:rsidRPr="00F30B5F">
        <w:rPr>
          <w:rFonts w:ascii="Arial Narrow" w:hAnsi="Arial Narrow" w:cs="Arial"/>
          <w:sz w:val="18"/>
          <w:szCs w:val="18"/>
          <w:lang w:val="fr-FR"/>
        </w:rPr>
        <w:t>NOTE: Antidepressant medication reference sources - Shelton, et al</w:t>
      </w:r>
      <w:proofErr w:type="gramStart"/>
      <w:r w:rsidRPr="00F30B5F">
        <w:rPr>
          <w:rFonts w:ascii="Arial Narrow" w:hAnsi="Arial Narrow" w:cs="Arial"/>
          <w:sz w:val="18"/>
          <w:szCs w:val="18"/>
          <w:lang w:val="fr-FR"/>
        </w:rPr>
        <w:t>.(</w:t>
      </w:r>
      <w:proofErr w:type="gramEnd"/>
      <w:r w:rsidRPr="00F30B5F">
        <w:rPr>
          <w:rFonts w:ascii="Arial Narrow" w:hAnsi="Arial Narrow" w:cs="Arial"/>
          <w:sz w:val="18"/>
          <w:szCs w:val="18"/>
          <w:lang w:val="fr-FR"/>
        </w:rPr>
        <w:t>2005); Corya, et al. (2006); Thase, et al. (2007); Berman, et al</w:t>
      </w:r>
      <w:proofErr w:type="gramStart"/>
      <w:r w:rsidRPr="00F30B5F">
        <w:rPr>
          <w:rFonts w:ascii="Arial Narrow" w:hAnsi="Arial Narrow" w:cs="Arial"/>
          <w:sz w:val="18"/>
          <w:szCs w:val="18"/>
          <w:lang w:val="fr-FR"/>
        </w:rPr>
        <w:t>.</w:t>
      </w:r>
      <w:r w:rsidRPr="00F30B5F">
        <w:rPr>
          <w:rFonts w:ascii="Arial Narrow" w:hAnsi="Arial Narrow" w:cs="Arial"/>
          <w:sz w:val="18"/>
          <w:szCs w:val="18"/>
        </w:rPr>
        <w:t>(</w:t>
      </w:r>
      <w:proofErr w:type="gramEnd"/>
      <w:r w:rsidRPr="00F30B5F">
        <w:rPr>
          <w:rFonts w:ascii="Arial Narrow" w:hAnsi="Arial Narrow" w:cs="Arial"/>
          <w:sz w:val="18"/>
          <w:szCs w:val="18"/>
        </w:rPr>
        <w:t>2007); Marcus, et al. (2008). Method for standardized effect size computation (Hedge’s g) as reported in Turner, et al. (2008).</w:t>
      </w:r>
    </w:p>
    <w:p w14:paraId="2FEC7D93" w14:textId="77777777" w:rsidR="007E3C8E" w:rsidRDefault="007E3C8E" w:rsidP="00C42A71">
      <w:pPr>
        <w:keepNext/>
        <w:spacing w:before="40" w:after="40"/>
        <w:rPr>
          <w:rFonts w:ascii="Arial Narrow" w:hAnsi="Arial Narrow" w:cs="Arial"/>
          <w:sz w:val="18"/>
          <w:szCs w:val="18"/>
        </w:rPr>
      </w:pPr>
      <w:r w:rsidRPr="00F30B5F">
        <w:rPr>
          <w:rFonts w:ascii="Arial Narrow" w:hAnsi="Arial Narrow" w:cs="Arial"/>
          <w:sz w:val="18"/>
          <w:szCs w:val="18"/>
        </w:rPr>
        <w:t>CI = confidence interval; TMS = Transcranial Magnetic Stimulation</w:t>
      </w:r>
    </w:p>
    <w:p w14:paraId="1E9A3E1B" w14:textId="77777777" w:rsidR="007E3C8E" w:rsidRPr="00AD6EF2" w:rsidRDefault="007E3C8E" w:rsidP="00443B40">
      <w:pPr>
        <w:pStyle w:val="Heading4"/>
      </w:pPr>
      <w:bookmarkStart w:id="107" w:name="_Toc367715552"/>
      <w:bookmarkStart w:id="108" w:name="_Toc367716685"/>
      <w:bookmarkStart w:id="109" w:name="_Toc367801999"/>
      <w:r w:rsidRPr="00443B40">
        <w:t>Indirect</w:t>
      </w:r>
      <w:r w:rsidRPr="00AD6EF2">
        <w:t xml:space="preserve"> </w:t>
      </w:r>
      <w:r>
        <w:t>c</w:t>
      </w:r>
      <w:r w:rsidRPr="00AD6EF2">
        <w:t xml:space="preserve">omparison to </w:t>
      </w:r>
      <w:r>
        <w:t>d</w:t>
      </w:r>
      <w:r w:rsidRPr="00AD6EF2">
        <w:t xml:space="preserve">rug </w:t>
      </w:r>
      <w:r>
        <w:t>t</w:t>
      </w:r>
      <w:r w:rsidRPr="00AD6EF2">
        <w:t xml:space="preserve">herapy: </w:t>
      </w:r>
      <w:r>
        <w:t>a</w:t>
      </w:r>
      <w:r w:rsidRPr="00AD6EF2">
        <w:t xml:space="preserve">cute </w:t>
      </w:r>
      <w:r>
        <w:t>e</w:t>
      </w:r>
      <w:r w:rsidRPr="00AD6EF2">
        <w:t xml:space="preserve">fficacy to </w:t>
      </w:r>
      <w:r>
        <w:t>open-l</w:t>
      </w:r>
      <w:r w:rsidRPr="00AD6EF2">
        <w:t xml:space="preserve">abel </w:t>
      </w:r>
      <w:r>
        <w:t>n</w:t>
      </w:r>
      <w:r w:rsidRPr="00AD6EF2">
        <w:t xml:space="preserve">aturalistic </w:t>
      </w:r>
      <w:r>
        <w:t>c</w:t>
      </w:r>
      <w:r w:rsidRPr="00AD6EF2">
        <w:t xml:space="preserve">linical </w:t>
      </w:r>
      <w:r>
        <w:t>t</w:t>
      </w:r>
      <w:r w:rsidRPr="00AD6EF2">
        <w:t>rials</w:t>
      </w:r>
      <w:bookmarkEnd w:id="107"/>
      <w:bookmarkEnd w:id="108"/>
      <w:bookmarkEnd w:id="109"/>
    </w:p>
    <w:p w14:paraId="1E4D5326" w14:textId="2838353D" w:rsidR="00F30B5F" w:rsidRDefault="007E3C8E" w:rsidP="00F30B5F">
      <w:pPr>
        <w:jc w:val="both"/>
      </w:pPr>
      <w:r w:rsidRPr="00AD6EF2">
        <w:t xml:space="preserve">We have completed a comparative analysis of the outcomes observed in the large, multisite naturalistic outcomes study with NeuroStar </w:t>
      </w:r>
      <w:r w:rsidR="001162FF">
        <w:t>r</w:t>
      </w:r>
      <w:r w:rsidRPr="00AD6EF2">
        <w:t xml:space="preserve">TMS </w:t>
      </w:r>
      <w:r>
        <w:t>T</w:t>
      </w:r>
      <w:r w:rsidRPr="00AD6EF2">
        <w:t>herapy (Carpenter, et al., 2012; Janicak, et al., 2013) against the results observed in the STAR*D study</w:t>
      </w:r>
      <w:r w:rsidR="008279A4">
        <w:t>,</w:t>
      </w:r>
      <w:r w:rsidR="008279A4" w:rsidRPr="008279A4">
        <w:t xml:space="preserve"> </w:t>
      </w:r>
      <w:r w:rsidR="008279A4" w:rsidRPr="00AD6EF2">
        <w:t>an authoritative benchmark of expected real-world treatment outcomes with antidepressant medication in routine clinical practice.</w:t>
      </w:r>
      <w:r w:rsidRPr="00AD6EF2">
        <w:t xml:space="preserve">. These results have been </w:t>
      </w:r>
      <w:r w:rsidR="001162FF">
        <w:t>presented</w:t>
      </w:r>
      <w:r w:rsidRPr="00AD6EF2">
        <w:t xml:space="preserve"> at the Institute for Psychiatric Services annual meeting, 2013 (Bonneh-Barkay, et al., 2013). </w:t>
      </w:r>
    </w:p>
    <w:p w14:paraId="177B9B45" w14:textId="77777777" w:rsidR="00F30B5F" w:rsidRDefault="007E3C8E" w:rsidP="00F30B5F">
      <w:pPr>
        <w:jc w:val="both"/>
      </w:pPr>
      <w:r w:rsidRPr="00AD6EF2">
        <w:t>In this analysis, the matching was performed using a greedy algorithm of propensity score matching on measures of gender, age, income level, treatment resistance staging, symptom burden (QIDS-16 scores), and functional status (SF-12 physical and mental component scores) as matching criteria. Matching was conducted using two different strategies, either forward matching (Neuronetics Outcomes Study versus STAR*D) or reverse matching (STAR*D versus Neuronetics Outcomes Study). A logistic regression model was used for constructing propensity scores, and a 1:1 population matching was completed using both the forward and reverse matching strategies. Clinical outcomes were then compared at a standard time</w:t>
      </w:r>
      <w:r>
        <w:t xml:space="preserve"> </w:t>
      </w:r>
      <w:r w:rsidRPr="00AD6EF2">
        <w:t>point of 6 weeks exposure to either NeuroStar TMS Therapy or STAR*D medication assignment between groups. Outcome categories were defined using standard severity cut</w:t>
      </w:r>
      <w:r>
        <w:t xml:space="preserve"> </w:t>
      </w:r>
      <w:r w:rsidRPr="00AD6EF2">
        <w:t xml:space="preserve">points established for the QIDS-16. </w:t>
      </w:r>
    </w:p>
    <w:p w14:paraId="7C005DF6" w14:textId="5DDF5D67" w:rsidR="007E3C8E" w:rsidRDefault="007E3C8E" w:rsidP="00F30B5F">
      <w:pPr>
        <w:jc w:val="both"/>
      </w:pPr>
      <w:r w:rsidRPr="00AD6EF2">
        <w:t xml:space="preserve">Using the forward matching approach, at baseline, 69.4% and 72.2% of patients were categorized as severely ill or worse (QIDS-16 &gt;16) for the NeuroStar </w:t>
      </w:r>
      <w:r w:rsidR="001162FF">
        <w:t>r</w:t>
      </w:r>
      <w:r w:rsidRPr="00AD6EF2">
        <w:t>TMS and STAR*D groups, respectively. At the six week time</w:t>
      </w:r>
      <w:r>
        <w:t xml:space="preserve"> </w:t>
      </w:r>
      <w:r w:rsidRPr="00AD6EF2">
        <w:t>point 27.0% (95%</w:t>
      </w:r>
      <w:r>
        <w:t xml:space="preserve"> </w:t>
      </w:r>
      <w:r w:rsidRPr="00AD6EF2">
        <w:t>CI: 22.0</w:t>
      </w:r>
      <w:r>
        <w:t xml:space="preserve">, </w:t>
      </w:r>
      <w:r w:rsidRPr="00AD6EF2">
        <w:t>32.0) of the NeuroStar group vs 5.2% (95%</w:t>
      </w:r>
      <w:r>
        <w:t xml:space="preserve"> </w:t>
      </w:r>
      <w:r w:rsidRPr="00AD6EF2">
        <w:t>CI: 2.7</w:t>
      </w:r>
      <w:r>
        <w:t xml:space="preserve">, </w:t>
      </w:r>
      <w:r w:rsidRPr="00AD6EF2">
        <w:t xml:space="preserve">7.7) of the STAR*D group were categorized </w:t>
      </w:r>
      <w:r w:rsidRPr="00AD6EF2">
        <w:lastRenderedPageBreak/>
        <w:t>with n</w:t>
      </w:r>
      <w:r>
        <w:t xml:space="preserve">o symptoms (QIDS-16 score &lt;6). </w:t>
      </w:r>
      <w:r w:rsidRPr="00AD6EF2">
        <w:t>Using the more conservative approach of reverse matching of these populations, similar observations were obtained. Specifically, at the six week time</w:t>
      </w:r>
      <w:r>
        <w:t xml:space="preserve"> </w:t>
      </w:r>
      <w:r w:rsidRPr="00AD6EF2">
        <w:t>point 53.0% (95%</w:t>
      </w:r>
      <w:r>
        <w:t xml:space="preserve"> </w:t>
      </w:r>
      <w:r w:rsidRPr="00AD6EF2">
        <w:t>CI: 47.4</w:t>
      </w:r>
      <w:r>
        <w:t xml:space="preserve">, </w:t>
      </w:r>
      <w:r w:rsidRPr="00AD6EF2">
        <w:t>58.6) of the NeuroStar group vs 38.0% (95%</w:t>
      </w:r>
      <w:r>
        <w:t xml:space="preserve"> </w:t>
      </w:r>
      <w:r w:rsidRPr="00AD6EF2">
        <w:t>CI: 32.6</w:t>
      </w:r>
      <w:r>
        <w:t xml:space="preserve">, </w:t>
      </w:r>
      <w:r w:rsidRPr="00AD6EF2">
        <w:t xml:space="preserve">43.5) of the STAR*D group were categorized with mild or no symptoms (QIDS-16 score &lt;11).  </w:t>
      </w:r>
    </w:p>
    <w:p w14:paraId="3521938A" w14:textId="280DEAB3" w:rsidR="007E3C8E" w:rsidRPr="00AD6EF2" w:rsidRDefault="007E3C8E" w:rsidP="007E3C8E">
      <w:pPr>
        <w:jc w:val="both"/>
      </w:pPr>
      <w:r w:rsidRPr="00AD6EF2">
        <w:t xml:space="preserve">These data confirm the evidence discussed above that, in general, treatment with </w:t>
      </w:r>
      <w:r w:rsidR="001162FF">
        <w:t>r</w:t>
      </w:r>
      <w:r w:rsidRPr="00AD6EF2">
        <w:t xml:space="preserve">TMS </w:t>
      </w:r>
      <w:r>
        <w:t>t</w:t>
      </w:r>
      <w:r w:rsidRPr="00AD6EF2">
        <w:t>herapy compares favo</w:t>
      </w:r>
      <w:r>
        <w:t>u</w:t>
      </w:r>
      <w:r w:rsidRPr="00AD6EF2">
        <w:t>rably to treatment with antidepressant medications as a next alternative</w:t>
      </w:r>
      <w:r w:rsidR="001162FF">
        <w:t xml:space="preserve"> for patients with treatment resistant depression</w:t>
      </w:r>
      <w:r w:rsidRPr="00AD6EF2">
        <w:t>.</w:t>
      </w:r>
    </w:p>
    <w:p w14:paraId="6425E1A2" w14:textId="77777777" w:rsidR="007E3C8E" w:rsidRPr="00AD6EF2" w:rsidRDefault="007E3C8E" w:rsidP="00D22942">
      <w:pPr>
        <w:pStyle w:val="Heading3"/>
      </w:pPr>
      <w:bookmarkStart w:id="110" w:name="_Toc367802025"/>
      <w:bookmarkStart w:id="111" w:name="_Toc389142050"/>
      <w:r>
        <w:t xml:space="preserve">Is rTMS effective versus </w:t>
      </w:r>
      <w:r w:rsidRPr="00AD6EF2">
        <w:t>ECT</w:t>
      </w:r>
      <w:bookmarkEnd w:id="110"/>
      <w:r>
        <w:t>?</w:t>
      </w:r>
      <w:bookmarkEnd w:id="111"/>
    </w:p>
    <w:p w14:paraId="1C4DEF27" w14:textId="425103C2" w:rsidR="007E3C8E" w:rsidRDefault="007E3C8E" w:rsidP="007E3C8E">
      <w:pPr>
        <w:jc w:val="both"/>
      </w:pPr>
      <w:r w:rsidRPr="00AD6EF2">
        <w:t xml:space="preserve">To date, there have been eight </w:t>
      </w:r>
      <w:proofErr w:type="gramStart"/>
      <w:r w:rsidRPr="00AD6EF2">
        <w:t>random-assignment</w:t>
      </w:r>
      <w:proofErr w:type="gramEnd"/>
      <w:r w:rsidRPr="00AD6EF2">
        <w:t xml:space="preserve">, open-label studies (ranging in sample size from 30 to 46 patients each) that have directly compared the clinical outcomes of patients assigned to either </w:t>
      </w:r>
      <w:r w:rsidR="001162FF">
        <w:t>r</w:t>
      </w:r>
      <w:r w:rsidRPr="00AD6EF2">
        <w:t xml:space="preserve">TMS or ECT for treatment of severe major depression. These data have been reviewed by Janicak and colleagues (2007), and are summarized in </w:t>
      </w:r>
      <w:r w:rsidR="003B24C6" w:rsidRPr="003B24C6">
        <w:fldChar w:fldCharType="begin"/>
      </w:r>
      <w:r w:rsidR="003B24C6">
        <w:instrText xml:space="preserve"> REF _Ref386029791 \h  \* MERGEFORMAT </w:instrText>
      </w:r>
      <w:r w:rsidR="003B24C6" w:rsidRPr="003B24C6">
        <w:fldChar w:fldCharType="separate"/>
      </w:r>
      <w:proofErr w:type="gramStart"/>
      <w:r w:rsidR="004C1C27" w:rsidRPr="00C42A71">
        <w:t xml:space="preserve">Table </w:t>
      </w:r>
      <w:proofErr w:type="gramEnd"/>
      <w:r w:rsidR="003B24C6" w:rsidRPr="003B24C6">
        <w:fldChar w:fldCharType="end"/>
      </w:r>
      <w:r w:rsidRPr="00AD6EF2">
        <w:t xml:space="preserve">. They noted that five of the eight studies reported antidepressant equivalence between </w:t>
      </w:r>
      <w:r w:rsidR="001162FF">
        <w:t>r</w:t>
      </w:r>
      <w:r w:rsidRPr="00AD6EF2">
        <w:t>TMS and ECT.</w:t>
      </w:r>
    </w:p>
    <w:p w14:paraId="74DC62D6" w14:textId="4D794B44" w:rsidR="005E0C40" w:rsidRPr="00C42A71" w:rsidRDefault="003B24C6" w:rsidP="00C42A71">
      <w:pPr>
        <w:pStyle w:val="TableName"/>
      </w:pPr>
      <w:bookmarkStart w:id="112" w:name="_Ref386029791"/>
      <w:bookmarkStart w:id="113" w:name="_Toc389143583"/>
      <w:r w:rsidRPr="00C42A71">
        <w:lastRenderedPageBreak/>
        <w:t xml:space="preserve">Table </w:t>
      </w:r>
      <w:bookmarkEnd w:id="112"/>
      <w:r w:rsidR="006C19DA">
        <w:t>9</w:t>
      </w:r>
      <w:r w:rsidRPr="00C42A71">
        <w:t xml:space="preserve">: </w:t>
      </w:r>
      <w:r w:rsidR="005E0C40" w:rsidRPr="00C42A71">
        <w:t>Summary of clinical trials comparing TMS therapy and ECT in patients with major depressive disorder (Janicak, et al., 2007)</w:t>
      </w:r>
      <w:bookmarkEnd w:id="113"/>
    </w:p>
    <w:tbl>
      <w:tblPr>
        <w:tblStyle w:val="TableGrid"/>
        <w:tblW w:w="4604" w:type="pct"/>
        <w:tblInd w:w="737" w:type="dxa"/>
        <w:tblLook w:val="04A0" w:firstRow="1" w:lastRow="0" w:firstColumn="1" w:lastColumn="0" w:noHBand="0" w:noVBand="1"/>
        <w:tblCaption w:val="Clinical trials comparing rTMS and ECT"/>
      </w:tblPr>
      <w:tblGrid>
        <w:gridCol w:w="1122"/>
        <w:gridCol w:w="3155"/>
        <w:gridCol w:w="1984"/>
        <w:gridCol w:w="2102"/>
      </w:tblGrid>
      <w:tr w:rsidR="003B24C6" w:rsidRPr="00A97080" w14:paraId="78FE02EC" w14:textId="77777777" w:rsidTr="00C42A71">
        <w:trPr>
          <w:tblHeader/>
        </w:trPr>
        <w:tc>
          <w:tcPr>
            <w:tcW w:w="671" w:type="pct"/>
            <w:shd w:val="clear" w:color="auto" w:fill="auto"/>
            <w:tcMar>
              <w:left w:w="28" w:type="dxa"/>
              <w:right w:w="28" w:type="dxa"/>
            </w:tcMar>
            <w:vAlign w:val="center"/>
          </w:tcPr>
          <w:p w14:paraId="45C8AA5F" w14:textId="77777777" w:rsidR="005E0C40" w:rsidRPr="00A97080" w:rsidRDefault="005E0C40" w:rsidP="00A97080">
            <w:pPr>
              <w:pStyle w:val="TableText"/>
              <w:rPr>
                <w:b/>
              </w:rPr>
            </w:pPr>
            <w:r w:rsidRPr="00A97080">
              <w:rPr>
                <w:b/>
              </w:rPr>
              <w:t>Trial</w:t>
            </w:r>
          </w:p>
        </w:tc>
        <w:tc>
          <w:tcPr>
            <w:tcW w:w="1886" w:type="pct"/>
            <w:shd w:val="clear" w:color="auto" w:fill="auto"/>
            <w:tcMar>
              <w:left w:w="28" w:type="dxa"/>
              <w:right w:w="28" w:type="dxa"/>
            </w:tcMar>
            <w:vAlign w:val="center"/>
          </w:tcPr>
          <w:p w14:paraId="3E3CD774" w14:textId="77777777" w:rsidR="005E0C40" w:rsidRPr="00A97080" w:rsidRDefault="005E0C40" w:rsidP="00A97080">
            <w:pPr>
              <w:pStyle w:val="TableText"/>
              <w:rPr>
                <w:b/>
              </w:rPr>
            </w:pPr>
            <w:r w:rsidRPr="00A97080">
              <w:rPr>
                <w:b/>
              </w:rPr>
              <w:t>Study design</w:t>
            </w:r>
          </w:p>
        </w:tc>
        <w:tc>
          <w:tcPr>
            <w:tcW w:w="1186" w:type="pct"/>
            <w:shd w:val="clear" w:color="auto" w:fill="auto"/>
            <w:tcMar>
              <w:left w:w="28" w:type="dxa"/>
              <w:right w:w="28" w:type="dxa"/>
            </w:tcMar>
            <w:vAlign w:val="center"/>
          </w:tcPr>
          <w:p w14:paraId="3F2247EB" w14:textId="77777777" w:rsidR="005E0C40" w:rsidRPr="00A97080" w:rsidRDefault="005E0C40" w:rsidP="00A97080">
            <w:pPr>
              <w:pStyle w:val="TableText"/>
              <w:rPr>
                <w:b/>
              </w:rPr>
            </w:pPr>
            <w:r w:rsidRPr="00A97080">
              <w:rPr>
                <w:b/>
              </w:rPr>
              <w:t>TMS treatment parameters</w:t>
            </w:r>
          </w:p>
        </w:tc>
        <w:tc>
          <w:tcPr>
            <w:tcW w:w="1257" w:type="pct"/>
            <w:shd w:val="clear" w:color="auto" w:fill="auto"/>
            <w:tcMar>
              <w:left w:w="28" w:type="dxa"/>
              <w:right w:w="28" w:type="dxa"/>
            </w:tcMar>
            <w:vAlign w:val="center"/>
          </w:tcPr>
          <w:p w14:paraId="212DE6DA" w14:textId="77777777" w:rsidR="005E0C40" w:rsidRPr="00A97080" w:rsidRDefault="005E0C40" w:rsidP="00A97080">
            <w:pPr>
              <w:pStyle w:val="TableText"/>
              <w:rPr>
                <w:b/>
              </w:rPr>
            </w:pPr>
            <w:r w:rsidRPr="00A97080">
              <w:rPr>
                <w:b/>
              </w:rPr>
              <w:t>Outcome</w:t>
            </w:r>
          </w:p>
        </w:tc>
      </w:tr>
      <w:tr w:rsidR="003B24C6" w:rsidRPr="003B24C6" w14:paraId="117FCA02" w14:textId="77777777" w:rsidTr="00C42A71">
        <w:tc>
          <w:tcPr>
            <w:tcW w:w="671" w:type="pct"/>
            <w:tcMar>
              <w:left w:w="28" w:type="dxa"/>
              <w:right w:w="28" w:type="dxa"/>
            </w:tcMar>
            <w:vAlign w:val="center"/>
          </w:tcPr>
          <w:p w14:paraId="43C30DBF" w14:textId="77777777" w:rsidR="005E0C40" w:rsidRPr="003B24C6" w:rsidRDefault="005E0C40" w:rsidP="00A97080">
            <w:pPr>
              <w:pStyle w:val="TableText"/>
            </w:pPr>
            <w:r w:rsidRPr="003B24C6">
              <w:t>Grunhaus (2000)</w:t>
            </w:r>
          </w:p>
        </w:tc>
        <w:tc>
          <w:tcPr>
            <w:tcW w:w="1886" w:type="pct"/>
            <w:tcMar>
              <w:left w:w="28" w:type="dxa"/>
              <w:right w:w="28" w:type="dxa"/>
            </w:tcMar>
            <w:vAlign w:val="center"/>
          </w:tcPr>
          <w:p w14:paraId="2CF33586" w14:textId="77777777" w:rsidR="005E0C40" w:rsidRPr="003B24C6" w:rsidRDefault="005E0C40" w:rsidP="00A97080">
            <w:pPr>
              <w:pStyle w:val="TableText"/>
            </w:pPr>
            <w:r w:rsidRPr="003B24C6">
              <w:t>N=40</w:t>
            </w:r>
          </w:p>
          <w:p w14:paraId="0959270E" w14:textId="77777777" w:rsidR="005E0C40" w:rsidRPr="003B24C6" w:rsidRDefault="005E0C40" w:rsidP="00A97080">
            <w:pPr>
              <w:pStyle w:val="TableText"/>
            </w:pPr>
            <w:r w:rsidRPr="003B24C6">
              <w:t xml:space="preserve">Random assignment: UL ECT (8 patients also received BL ECT) or TMS </w:t>
            </w:r>
          </w:p>
          <w:p w14:paraId="3C3C019A" w14:textId="77777777" w:rsidR="005E0C40" w:rsidRPr="003B24C6" w:rsidRDefault="005E0C40" w:rsidP="00A97080">
            <w:pPr>
              <w:pStyle w:val="TableText"/>
            </w:pPr>
            <w:r w:rsidRPr="003B24C6">
              <w:t>Outcome: HAMD Scale</w:t>
            </w:r>
          </w:p>
        </w:tc>
        <w:tc>
          <w:tcPr>
            <w:tcW w:w="1186" w:type="pct"/>
            <w:tcMar>
              <w:left w:w="28" w:type="dxa"/>
              <w:right w:w="28" w:type="dxa"/>
            </w:tcMar>
            <w:vAlign w:val="center"/>
          </w:tcPr>
          <w:p w14:paraId="65164FA7" w14:textId="77777777" w:rsidR="005E0C40" w:rsidRPr="003B24C6" w:rsidRDefault="005E0C40" w:rsidP="00A97080">
            <w:pPr>
              <w:pStyle w:val="TableText"/>
            </w:pPr>
            <w:r w:rsidRPr="003B24C6">
              <w:t>LDPFC</w:t>
            </w:r>
          </w:p>
          <w:p w14:paraId="23FAAA4A" w14:textId="77777777" w:rsidR="005E0C40" w:rsidRPr="003B24C6" w:rsidRDefault="005E0C40" w:rsidP="00A97080">
            <w:pPr>
              <w:pStyle w:val="TableText"/>
            </w:pPr>
            <w:r w:rsidRPr="003B24C6">
              <w:t>10 pps, 90% MT</w:t>
            </w:r>
          </w:p>
          <w:p w14:paraId="62638C95" w14:textId="77777777" w:rsidR="005E0C40" w:rsidRPr="003B24C6" w:rsidRDefault="005E0C40" w:rsidP="00A97080">
            <w:pPr>
              <w:pStyle w:val="TableText"/>
            </w:pPr>
            <w:r w:rsidRPr="003B24C6">
              <w:t>Up to 20 sessions</w:t>
            </w:r>
          </w:p>
        </w:tc>
        <w:tc>
          <w:tcPr>
            <w:tcW w:w="1257" w:type="pct"/>
            <w:tcMar>
              <w:left w:w="28" w:type="dxa"/>
              <w:right w:w="28" w:type="dxa"/>
            </w:tcMar>
            <w:vAlign w:val="center"/>
          </w:tcPr>
          <w:p w14:paraId="201516B5" w14:textId="77777777" w:rsidR="005E0C40" w:rsidRPr="003B24C6" w:rsidRDefault="005E0C40" w:rsidP="00A97080">
            <w:pPr>
              <w:pStyle w:val="TableText"/>
              <w:rPr>
                <w:lang w:val="fr-FR"/>
              </w:rPr>
            </w:pPr>
            <w:r w:rsidRPr="003B24C6">
              <w:rPr>
                <w:lang w:val="fr-FR"/>
              </w:rPr>
              <w:t>TMS = ECT (non-psychotic patients)</w:t>
            </w:r>
          </w:p>
          <w:p w14:paraId="6414EAC7" w14:textId="77777777" w:rsidR="005E0C40" w:rsidRPr="003B24C6" w:rsidRDefault="005E0C40" w:rsidP="00A97080">
            <w:pPr>
              <w:pStyle w:val="TableText"/>
            </w:pPr>
            <w:r w:rsidRPr="003B24C6">
              <w:t>ECT + meds/ antipsychotics  &gt; TMS (psychotic patients)</w:t>
            </w:r>
          </w:p>
        </w:tc>
      </w:tr>
      <w:tr w:rsidR="003B24C6" w:rsidRPr="003B24C6" w14:paraId="37DD2661" w14:textId="77777777" w:rsidTr="00C42A71">
        <w:tc>
          <w:tcPr>
            <w:tcW w:w="671" w:type="pct"/>
            <w:tcMar>
              <w:left w:w="28" w:type="dxa"/>
              <w:right w:w="28" w:type="dxa"/>
            </w:tcMar>
            <w:vAlign w:val="center"/>
          </w:tcPr>
          <w:p w14:paraId="6E756FE9" w14:textId="77777777" w:rsidR="005E0C40" w:rsidRPr="003B24C6" w:rsidRDefault="005E0C40" w:rsidP="00A97080">
            <w:pPr>
              <w:pStyle w:val="TableText"/>
            </w:pPr>
            <w:r w:rsidRPr="003B24C6">
              <w:t>Pridmore (2000)</w:t>
            </w:r>
          </w:p>
        </w:tc>
        <w:tc>
          <w:tcPr>
            <w:tcW w:w="1886" w:type="pct"/>
            <w:tcMar>
              <w:left w:w="28" w:type="dxa"/>
              <w:right w:w="28" w:type="dxa"/>
            </w:tcMar>
            <w:vAlign w:val="center"/>
          </w:tcPr>
          <w:p w14:paraId="2A533EE6" w14:textId="77777777" w:rsidR="005E0C40" w:rsidRPr="003B24C6" w:rsidRDefault="005E0C40" w:rsidP="00A97080">
            <w:pPr>
              <w:pStyle w:val="TableText"/>
            </w:pPr>
            <w:r w:rsidRPr="003B24C6">
              <w:t>N=32</w:t>
            </w:r>
          </w:p>
          <w:p w14:paraId="56A0BDC4" w14:textId="77777777" w:rsidR="005E0C40" w:rsidRPr="003B24C6" w:rsidRDefault="005E0C40" w:rsidP="00A97080">
            <w:pPr>
              <w:pStyle w:val="TableText"/>
            </w:pPr>
            <w:r w:rsidRPr="003B24C6">
              <w:t>Random assignment: Unilateral ECT or TMS</w:t>
            </w:r>
          </w:p>
          <w:p w14:paraId="6F9CFB97" w14:textId="77777777" w:rsidR="005E0C40" w:rsidRPr="003B24C6" w:rsidRDefault="005E0C40" w:rsidP="00A97080">
            <w:pPr>
              <w:pStyle w:val="TableText"/>
            </w:pPr>
            <w:r w:rsidRPr="003B24C6">
              <w:t>Outcomes: HAMD, BDI, VAS</w:t>
            </w:r>
          </w:p>
        </w:tc>
        <w:tc>
          <w:tcPr>
            <w:tcW w:w="1186" w:type="pct"/>
            <w:tcMar>
              <w:left w:w="28" w:type="dxa"/>
              <w:right w:w="28" w:type="dxa"/>
            </w:tcMar>
            <w:vAlign w:val="center"/>
          </w:tcPr>
          <w:p w14:paraId="746CC591" w14:textId="77777777" w:rsidR="005E0C40" w:rsidRPr="003B24C6" w:rsidRDefault="005E0C40" w:rsidP="00A97080">
            <w:pPr>
              <w:pStyle w:val="TableText"/>
              <w:rPr>
                <w:lang w:val="fr-FR"/>
              </w:rPr>
            </w:pPr>
            <w:r w:rsidRPr="003B24C6">
              <w:rPr>
                <w:lang w:val="fr-FR"/>
              </w:rPr>
              <w:t>LDPFC</w:t>
            </w:r>
          </w:p>
          <w:p w14:paraId="0BE4334E" w14:textId="77777777" w:rsidR="005E0C40" w:rsidRPr="003B24C6" w:rsidRDefault="005E0C40" w:rsidP="00A97080">
            <w:pPr>
              <w:pStyle w:val="TableText"/>
              <w:rPr>
                <w:lang w:val="fr-FR"/>
              </w:rPr>
            </w:pPr>
            <w:r w:rsidRPr="003B24C6">
              <w:rPr>
                <w:lang w:val="fr-FR"/>
              </w:rPr>
              <w:t>20 pps, 100% MT</w:t>
            </w:r>
          </w:p>
          <w:p w14:paraId="4C90F2E7" w14:textId="77777777" w:rsidR="005E0C40" w:rsidRPr="003B24C6" w:rsidRDefault="005E0C40" w:rsidP="00A97080">
            <w:pPr>
              <w:pStyle w:val="TableText"/>
              <w:rPr>
                <w:lang w:val="fr-FR"/>
              </w:rPr>
            </w:pPr>
            <w:r w:rsidRPr="003B24C6">
              <w:rPr>
                <w:lang w:val="fr-FR"/>
              </w:rPr>
              <w:t>Avg 12 sessions</w:t>
            </w:r>
          </w:p>
        </w:tc>
        <w:tc>
          <w:tcPr>
            <w:tcW w:w="1257" w:type="pct"/>
            <w:tcMar>
              <w:left w:w="28" w:type="dxa"/>
              <w:right w:w="28" w:type="dxa"/>
            </w:tcMar>
            <w:vAlign w:val="center"/>
          </w:tcPr>
          <w:p w14:paraId="6FC37144" w14:textId="77777777" w:rsidR="005E0C40" w:rsidRPr="003B24C6" w:rsidRDefault="005E0C40" w:rsidP="00A97080">
            <w:pPr>
              <w:pStyle w:val="TableText"/>
            </w:pPr>
            <w:r w:rsidRPr="003B24C6">
              <w:t>TMS = ECT</w:t>
            </w:r>
          </w:p>
        </w:tc>
      </w:tr>
      <w:tr w:rsidR="003B24C6" w:rsidRPr="003B24C6" w14:paraId="7609AA61" w14:textId="77777777" w:rsidTr="00C42A71">
        <w:tc>
          <w:tcPr>
            <w:tcW w:w="671" w:type="pct"/>
            <w:tcMar>
              <w:left w:w="28" w:type="dxa"/>
              <w:right w:w="28" w:type="dxa"/>
            </w:tcMar>
            <w:vAlign w:val="center"/>
          </w:tcPr>
          <w:p w14:paraId="3A1627A3" w14:textId="77777777" w:rsidR="005E0C40" w:rsidRPr="003B24C6" w:rsidRDefault="005E0C40" w:rsidP="00A97080">
            <w:pPr>
              <w:pStyle w:val="TableText"/>
            </w:pPr>
            <w:r w:rsidRPr="003B24C6">
              <w:t>Janicak (2002)</w:t>
            </w:r>
          </w:p>
        </w:tc>
        <w:tc>
          <w:tcPr>
            <w:tcW w:w="1886" w:type="pct"/>
            <w:tcMar>
              <w:left w:w="28" w:type="dxa"/>
              <w:right w:w="28" w:type="dxa"/>
            </w:tcMar>
            <w:vAlign w:val="center"/>
          </w:tcPr>
          <w:p w14:paraId="7EFB6E3B" w14:textId="77777777" w:rsidR="005E0C40" w:rsidRPr="003B24C6" w:rsidRDefault="005E0C40" w:rsidP="00A97080">
            <w:pPr>
              <w:pStyle w:val="TableText"/>
            </w:pPr>
            <w:r w:rsidRPr="003B24C6">
              <w:t>N=31</w:t>
            </w:r>
          </w:p>
          <w:p w14:paraId="0EC0BB5B" w14:textId="77777777" w:rsidR="005E0C40" w:rsidRPr="003B24C6" w:rsidRDefault="005E0C40" w:rsidP="00A97080">
            <w:pPr>
              <w:pStyle w:val="TableText"/>
            </w:pPr>
            <w:r w:rsidRPr="003B24C6">
              <w:t>Random assignment: BL ECT or TMS, w/crossover option available</w:t>
            </w:r>
          </w:p>
          <w:p w14:paraId="12E05785" w14:textId="77777777" w:rsidR="005E0C40" w:rsidRPr="003B24C6" w:rsidRDefault="005E0C40" w:rsidP="00A97080">
            <w:pPr>
              <w:pStyle w:val="TableText"/>
            </w:pPr>
            <w:r w:rsidRPr="003B24C6">
              <w:t>Outcome: HAMD</w:t>
            </w:r>
          </w:p>
        </w:tc>
        <w:tc>
          <w:tcPr>
            <w:tcW w:w="1186" w:type="pct"/>
            <w:tcMar>
              <w:left w:w="28" w:type="dxa"/>
              <w:right w:w="28" w:type="dxa"/>
            </w:tcMar>
            <w:vAlign w:val="center"/>
          </w:tcPr>
          <w:p w14:paraId="438A4B67" w14:textId="77777777" w:rsidR="005E0C40" w:rsidRPr="003B24C6" w:rsidRDefault="005E0C40" w:rsidP="00A97080">
            <w:pPr>
              <w:pStyle w:val="TableText"/>
              <w:rPr>
                <w:lang w:val="fr-FR"/>
              </w:rPr>
            </w:pPr>
            <w:r w:rsidRPr="003B24C6">
              <w:rPr>
                <w:lang w:val="fr-FR"/>
              </w:rPr>
              <w:t>LDPFC</w:t>
            </w:r>
          </w:p>
          <w:p w14:paraId="2B7B9033" w14:textId="77777777" w:rsidR="005E0C40" w:rsidRPr="003B24C6" w:rsidRDefault="005E0C40" w:rsidP="00A97080">
            <w:pPr>
              <w:pStyle w:val="TableText"/>
              <w:rPr>
                <w:lang w:val="fr-FR"/>
              </w:rPr>
            </w:pPr>
            <w:r w:rsidRPr="003B24C6">
              <w:rPr>
                <w:lang w:val="fr-FR"/>
              </w:rPr>
              <w:t>10 pps, 110% MT</w:t>
            </w:r>
          </w:p>
          <w:p w14:paraId="3E57CFF1" w14:textId="77777777" w:rsidR="005E0C40" w:rsidRPr="003B24C6" w:rsidRDefault="005E0C40" w:rsidP="00A97080">
            <w:pPr>
              <w:pStyle w:val="TableText"/>
              <w:rPr>
                <w:lang w:val="fr-FR"/>
              </w:rPr>
            </w:pPr>
            <w:r w:rsidRPr="003B24C6">
              <w:rPr>
                <w:lang w:val="fr-FR"/>
              </w:rPr>
              <w:t>Avg 14 sessions</w:t>
            </w:r>
          </w:p>
        </w:tc>
        <w:tc>
          <w:tcPr>
            <w:tcW w:w="1257" w:type="pct"/>
            <w:tcMar>
              <w:left w:w="28" w:type="dxa"/>
              <w:right w:w="28" w:type="dxa"/>
            </w:tcMar>
            <w:vAlign w:val="center"/>
          </w:tcPr>
          <w:p w14:paraId="49D11B1B" w14:textId="77777777" w:rsidR="005E0C40" w:rsidRPr="003B24C6" w:rsidRDefault="005E0C40" w:rsidP="00A97080">
            <w:pPr>
              <w:pStyle w:val="TableText"/>
            </w:pPr>
            <w:r w:rsidRPr="003B24C6">
              <w:t>TMS = ECT</w:t>
            </w:r>
          </w:p>
        </w:tc>
      </w:tr>
      <w:tr w:rsidR="003B24C6" w:rsidRPr="003B24C6" w14:paraId="5F4419AD" w14:textId="77777777" w:rsidTr="00C42A71">
        <w:tc>
          <w:tcPr>
            <w:tcW w:w="671" w:type="pct"/>
            <w:tcMar>
              <w:left w:w="28" w:type="dxa"/>
              <w:right w:w="28" w:type="dxa"/>
            </w:tcMar>
            <w:vAlign w:val="center"/>
          </w:tcPr>
          <w:p w14:paraId="6BDA47B1" w14:textId="77777777" w:rsidR="005E0C40" w:rsidRPr="003B24C6" w:rsidRDefault="005E0C40" w:rsidP="00A97080">
            <w:pPr>
              <w:pStyle w:val="TableText"/>
            </w:pPr>
            <w:r w:rsidRPr="003B24C6">
              <w:t>Grunhaus (2003)</w:t>
            </w:r>
          </w:p>
        </w:tc>
        <w:tc>
          <w:tcPr>
            <w:tcW w:w="1886" w:type="pct"/>
            <w:tcMar>
              <w:left w:w="28" w:type="dxa"/>
              <w:right w:w="28" w:type="dxa"/>
            </w:tcMar>
            <w:vAlign w:val="center"/>
          </w:tcPr>
          <w:p w14:paraId="2FFD4644" w14:textId="77777777" w:rsidR="005E0C40" w:rsidRPr="003B24C6" w:rsidRDefault="005E0C40" w:rsidP="00A97080">
            <w:pPr>
              <w:pStyle w:val="TableText"/>
            </w:pPr>
            <w:r w:rsidRPr="003B24C6">
              <w:t>N=40</w:t>
            </w:r>
          </w:p>
          <w:p w14:paraId="227D6703" w14:textId="77777777" w:rsidR="005E0C40" w:rsidRPr="003B24C6" w:rsidRDefault="005E0C40" w:rsidP="00A97080">
            <w:pPr>
              <w:pStyle w:val="TableText"/>
            </w:pPr>
            <w:r w:rsidRPr="003B24C6">
              <w:t>Random assignment: UL ECT (7 patients also received BL ECT) or TMS</w:t>
            </w:r>
          </w:p>
          <w:p w14:paraId="3FE59C6E" w14:textId="77777777" w:rsidR="005E0C40" w:rsidRPr="003B24C6" w:rsidRDefault="005E0C40" w:rsidP="00A97080">
            <w:pPr>
              <w:pStyle w:val="TableText"/>
            </w:pPr>
            <w:r w:rsidRPr="003B24C6">
              <w:t>Outcomes: HAMD, GAF scale</w:t>
            </w:r>
          </w:p>
        </w:tc>
        <w:tc>
          <w:tcPr>
            <w:tcW w:w="1186" w:type="pct"/>
            <w:tcMar>
              <w:left w:w="28" w:type="dxa"/>
              <w:right w:w="28" w:type="dxa"/>
            </w:tcMar>
            <w:vAlign w:val="center"/>
          </w:tcPr>
          <w:p w14:paraId="66AF0698" w14:textId="77777777" w:rsidR="005E0C40" w:rsidRPr="003B24C6" w:rsidRDefault="005E0C40" w:rsidP="00A97080">
            <w:pPr>
              <w:pStyle w:val="TableText"/>
            </w:pPr>
            <w:r w:rsidRPr="003B24C6">
              <w:t>LDPFC</w:t>
            </w:r>
          </w:p>
          <w:p w14:paraId="639CDEDE" w14:textId="77777777" w:rsidR="005E0C40" w:rsidRPr="003B24C6" w:rsidRDefault="005E0C40" w:rsidP="00A97080">
            <w:pPr>
              <w:pStyle w:val="TableText"/>
            </w:pPr>
            <w:r w:rsidRPr="003B24C6">
              <w:t>10 pps, 90% MT</w:t>
            </w:r>
          </w:p>
          <w:p w14:paraId="141EC8D6" w14:textId="77777777" w:rsidR="005E0C40" w:rsidRPr="003B24C6" w:rsidRDefault="005E0C40" w:rsidP="00A97080">
            <w:pPr>
              <w:pStyle w:val="TableText"/>
            </w:pPr>
            <w:r w:rsidRPr="003B24C6">
              <w:t>Up to 20 sessions</w:t>
            </w:r>
          </w:p>
        </w:tc>
        <w:tc>
          <w:tcPr>
            <w:tcW w:w="1257" w:type="pct"/>
            <w:tcMar>
              <w:left w:w="28" w:type="dxa"/>
              <w:right w:w="28" w:type="dxa"/>
            </w:tcMar>
            <w:vAlign w:val="center"/>
          </w:tcPr>
          <w:p w14:paraId="7C0B7994" w14:textId="77777777" w:rsidR="005E0C40" w:rsidRPr="003B24C6" w:rsidRDefault="005E0C40" w:rsidP="00A97080">
            <w:pPr>
              <w:pStyle w:val="TableText"/>
            </w:pPr>
            <w:r w:rsidRPr="003B24C6">
              <w:t>TMS = ECT</w:t>
            </w:r>
          </w:p>
        </w:tc>
      </w:tr>
      <w:tr w:rsidR="003B24C6" w:rsidRPr="003B24C6" w14:paraId="4A187A6C" w14:textId="77777777" w:rsidTr="00C42A71">
        <w:tc>
          <w:tcPr>
            <w:tcW w:w="671" w:type="pct"/>
            <w:tcMar>
              <w:left w:w="28" w:type="dxa"/>
              <w:right w:w="28" w:type="dxa"/>
            </w:tcMar>
            <w:vAlign w:val="center"/>
          </w:tcPr>
          <w:p w14:paraId="5299E5E0" w14:textId="77777777" w:rsidR="005E0C40" w:rsidRPr="003B24C6" w:rsidRDefault="005E0C40" w:rsidP="00A97080">
            <w:pPr>
              <w:pStyle w:val="TableText"/>
            </w:pPr>
            <w:r w:rsidRPr="003B24C6">
              <w:t>O’Connor (2003)</w:t>
            </w:r>
          </w:p>
        </w:tc>
        <w:tc>
          <w:tcPr>
            <w:tcW w:w="1886" w:type="pct"/>
            <w:tcMar>
              <w:left w:w="28" w:type="dxa"/>
              <w:right w:w="28" w:type="dxa"/>
            </w:tcMar>
            <w:vAlign w:val="center"/>
          </w:tcPr>
          <w:p w14:paraId="7514AF05" w14:textId="77777777" w:rsidR="005E0C40" w:rsidRPr="003B24C6" w:rsidRDefault="005E0C40" w:rsidP="00A97080">
            <w:pPr>
              <w:pStyle w:val="TableText"/>
            </w:pPr>
            <w:r w:rsidRPr="003B24C6">
              <w:t>N=28</w:t>
            </w:r>
          </w:p>
          <w:p w14:paraId="358B3B31" w14:textId="77777777" w:rsidR="005E0C40" w:rsidRPr="003B24C6" w:rsidRDefault="005E0C40" w:rsidP="00A97080">
            <w:pPr>
              <w:pStyle w:val="TableText"/>
            </w:pPr>
            <w:r w:rsidRPr="003B24C6">
              <w:t>Non-random assignment: UL ECT + meds or TMS</w:t>
            </w:r>
          </w:p>
          <w:p w14:paraId="396AA1B1" w14:textId="77777777" w:rsidR="005E0C40" w:rsidRPr="003B24C6" w:rsidRDefault="005E0C40" w:rsidP="00A97080">
            <w:pPr>
              <w:pStyle w:val="TableText"/>
            </w:pPr>
            <w:r w:rsidRPr="003B24C6">
              <w:t>Outcomes: HAMD, Cognitive battery</w:t>
            </w:r>
          </w:p>
        </w:tc>
        <w:tc>
          <w:tcPr>
            <w:tcW w:w="1186" w:type="pct"/>
            <w:tcMar>
              <w:left w:w="28" w:type="dxa"/>
              <w:right w:w="28" w:type="dxa"/>
            </w:tcMar>
            <w:vAlign w:val="center"/>
          </w:tcPr>
          <w:p w14:paraId="4AC9C370" w14:textId="77777777" w:rsidR="005E0C40" w:rsidRPr="003B24C6" w:rsidRDefault="005E0C40" w:rsidP="00A97080">
            <w:pPr>
              <w:pStyle w:val="TableText"/>
            </w:pPr>
            <w:r w:rsidRPr="003B24C6">
              <w:t>LDPFC</w:t>
            </w:r>
          </w:p>
          <w:p w14:paraId="395B8C1C" w14:textId="77777777" w:rsidR="005E0C40" w:rsidRPr="003B24C6" w:rsidRDefault="005E0C40" w:rsidP="00A97080">
            <w:pPr>
              <w:pStyle w:val="TableText"/>
            </w:pPr>
            <w:r w:rsidRPr="003B24C6">
              <w:t>10 pps, 90% MT</w:t>
            </w:r>
          </w:p>
          <w:p w14:paraId="081AE1A5" w14:textId="77777777" w:rsidR="005E0C40" w:rsidRPr="003B24C6" w:rsidRDefault="005E0C40" w:rsidP="00A97080">
            <w:pPr>
              <w:pStyle w:val="TableText"/>
            </w:pPr>
            <w:r w:rsidRPr="003B24C6">
              <w:t>Up to 10 sessions</w:t>
            </w:r>
          </w:p>
        </w:tc>
        <w:tc>
          <w:tcPr>
            <w:tcW w:w="1257" w:type="pct"/>
            <w:tcMar>
              <w:left w:w="28" w:type="dxa"/>
              <w:right w:w="28" w:type="dxa"/>
            </w:tcMar>
            <w:vAlign w:val="center"/>
          </w:tcPr>
          <w:p w14:paraId="0A4F37C2" w14:textId="77777777" w:rsidR="005E0C40" w:rsidRPr="003B24C6" w:rsidRDefault="005E0C40" w:rsidP="00A97080">
            <w:pPr>
              <w:pStyle w:val="TableText"/>
            </w:pPr>
            <w:r w:rsidRPr="003B24C6">
              <w:t>ECT + meds &gt; TMS alone</w:t>
            </w:r>
          </w:p>
          <w:p w14:paraId="1C1AC587" w14:textId="77777777" w:rsidR="005E0C40" w:rsidRPr="003B24C6" w:rsidRDefault="005E0C40" w:rsidP="00A97080">
            <w:pPr>
              <w:pStyle w:val="TableText"/>
            </w:pPr>
            <w:r w:rsidRPr="003B24C6">
              <w:t>NOTE:  Greater cognitive dysfunction with ECT</w:t>
            </w:r>
          </w:p>
        </w:tc>
      </w:tr>
      <w:tr w:rsidR="003B24C6" w:rsidRPr="003B24C6" w14:paraId="1CE0404B" w14:textId="77777777" w:rsidTr="00C42A71">
        <w:tc>
          <w:tcPr>
            <w:tcW w:w="671" w:type="pct"/>
            <w:tcMar>
              <w:left w:w="28" w:type="dxa"/>
              <w:right w:w="28" w:type="dxa"/>
            </w:tcMar>
            <w:vAlign w:val="center"/>
          </w:tcPr>
          <w:p w14:paraId="281D6BC9" w14:textId="77777777" w:rsidR="005E0C40" w:rsidRPr="003B24C6" w:rsidRDefault="005E0C40" w:rsidP="00A97080">
            <w:pPr>
              <w:pStyle w:val="TableText"/>
            </w:pPr>
            <w:r w:rsidRPr="003B24C6">
              <w:t>Eranti (2007)</w:t>
            </w:r>
          </w:p>
        </w:tc>
        <w:tc>
          <w:tcPr>
            <w:tcW w:w="1886" w:type="pct"/>
            <w:tcMar>
              <w:left w:w="28" w:type="dxa"/>
              <w:right w:w="28" w:type="dxa"/>
            </w:tcMar>
            <w:vAlign w:val="center"/>
          </w:tcPr>
          <w:p w14:paraId="0BBCBCBD" w14:textId="77777777" w:rsidR="005E0C40" w:rsidRPr="003B24C6" w:rsidRDefault="005E0C40" w:rsidP="00A97080">
            <w:pPr>
              <w:pStyle w:val="TableText"/>
            </w:pPr>
            <w:r w:rsidRPr="003B24C6">
              <w:t>N=46</w:t>
            </w:r>
          </w:p>
          <w:p w14:paraId="62A15368" w14:textId="77777777" w:rsidR="005E0C40" w:rsidRPr="003B24C6" w:rsidRDefault="005E0C40" w:rsidP="00A97080">
            <w:pPr>
              <w:pStyle w:val="TableText"/>
            </w:pPr>
            <w:r w:rsidRPr="003B24C6">
              <w:t>Random assignment: BL ECT or TMS</w:t>
            </w:r>
          </w:p>
          <w:p w14:paraId="6209B830" w14:textId="77777777" w:rsidR="005E0C40" w:rsidRPr="003B24C6" w:rsidRDefault="005E0C40" w:rsidP="00A97080">
            <w:pPr>
              <w:pStyle w:val="TableText"/>
            </w:pPr>
            <w:r w:rsidRPr="003B24C6">
              <w:t>Outcomes: HAMD, BDI-II</w:t>
            </w:r>
          </w:p>
        </w:tc>
        <w:tc>
          <w:tcPr>
            <w:tcW w:w="1186" w:type="pct"/>
            <w:tcMar>
              <w:left w:w="28" w:type="dxa"/>
              <w:right w:w="28" w:type="dxa"/>
            </w:tcMar>
            <w:vAlign w:val="center"/>
          </w:tcPr>
          <w:p w14:paraId="29EBE97F" w14:textId="77777777" w:rsidR="005E0C40" w:rsidRPr="003B24C6" w:rsidRDefault="005E0C40" w:rsidP="00A97080">
            <w:pPr>
              <w:pStyle w:val="TableText"/>
            </w:pPr>
            <w:r w:rsidRPr="003B24C6">
              <w:t>LDPFC</w:t>
            </w:r>
          </w:p>
          <w:p w14:paraId="5A6981BB" w14:textId="77777777" w:rsidR="005E0C40" w:rsidRPr="003B24C6" w:rsidRDefault="005E0C40" w:rsidP="00A97080">
            <w:pPr>
              <w:pStyle w:val="TableText"/>
            </w:pPr>
            <w:r w:rsidRPr="003B24C6">
              <w:t>10 pps, 110% MT</w:t>
            </w:r>
          </w:p>
          <w:p w14:paraId="1CA2BF8C" w14:textId="77777777" w:rsidR="005E0C40" w:rsidRPr="003B24C6" w:rsidRDefault="005E0C40" w:rsidP="00A97080">
            <w:pPr>
              <w:pStyle w:val="TableText"/>
            </w:pPr>
            <w:r w:rsidRPr="003B24C6">
              <w:t>Up to 15 sessions</w:t>
            </w:r>
          </w:p>
        </w:tc>
        <w:tc>
          <w:tcPr>
            <w:tcW w:w="1257" w:type="pct"/>
            <w:tcMar>
              <w:left w:w="28" w:type="dxa"/>
              <w:right w:w="28" w:type="dxa"/>
            </w:tcMar>
            <w:vAlign w:val="center"/>
          </w:tcPr>
          <w:p w14:paraId="2A9B24D1" w14:textId="77777777" w:rsidR="005E0C40" w:rsidRPr="003B24C6" w:rsidRDefault="005E0C40" w:rsidP="00A97080">
            <w:pPr>
              <w:pStyle w:val="TableText"/>
            </w:pPr>
            <w:r w:rsidRPr="003B24C6">
              <w:t>BL ECT &gt; TMS, with both groups showing improvement</w:t>
            </w:r>
          </w:p>
        </w:tc>
      </w:tr>
      <w:tr w:rsidR="003B24C6" w:rsidRPr="003B24C6" w14:paraId="6BEF88FB" w14:textId="77777777" w:rsidTr="00C42A71">
        <w:tc>
          <w:tcPr>
            <w:tcW w:w="671" w:type="pct"/>
            <w:tcMar>
              <w:left w:w="28" w:type="dxa"/>
              <w:right w:w="28" w:type="dxa"/>
            </w:tcMar>
            <w:vAlign w:val="center"/>
          </w:tcPr>
          <w:p w14:paraId="620F32F8" w14:textId="77777777" w:rsidR="005E0C40" w:rsidRPr="003B24C6" w:rsidRDefault="005E0C40" w:rsidP="00A97080">
            <w:pPr>
              <w:pStyle w:val="TableText"/>
            </w:pPr>
            <w:r w:rsidRPr="003B24C6">
              <w:t>Schulze-Rauschenbach (2005)</w:t>
            </w:r>
          </w:p>
        </w:tc>
        <w:tc>
          <w:tcPr>
            <w:tcW w:w="1886" w:type="pct"/>
            <w:tcMar>
              <w:left w:w="28" w:type="dxa"/>
              <w:right w:w="28" w:type="dxa"/>
            </w:tcMar>
            <w:vAlign w:val="center"/>
          </w:tcPr>
          <w:p w14:paraId="7C2336FF" w14:textId="77777777" w:rsidR="005E0C40" w:rsidRPr="003B24C6" w:rsidRDefault="005E0C40" w:rsidP="00A97080">
            <w:pPr>
              <w:pStyle w:val="TableText"/>
            </w:pPr>
            <w:r w:rsidRPr="003B24C6">
              <w:t>N=30</w:t>
            </w:r>
          </w:p>
          <w:p w14:paraId="6E01CBD8" w14:textId="77777777" w:rsidR="005E0C40" w:rsidRPr="003B24C6" w:rsidRDefault="005E0C40" w:rsidP="00A97080">
            <w:pPr>
              <w:pStyle w:val="TableText"/>
            </w:pPr>
            <w:r w:rsidRPr="003B24C6">
              <w:t>Non-random assignment: UL ECT + meds or TMS + meds</w:t>
            </w:r>
          </w:p>
          <w:p w14:paraId="55F61D5F" w14:textId="77777777" w:rsidR="005E0C40" w:rsidRPr="003B24C6" w:rsidRDefault="005E0C40" w:rsidP="00A97080">
            <w:pPr>
              <w:pStyle w:val="TableText"/>
            </w:pPr>
            <w:r w:rsidRPr="003B24C6">
              <w:t>Outcome: HAMD</w:t>
            </w:r>
          </w:p>
        </w:tc>
        <w:tc>
          <w:tcPr>
            <w:tcW w:w="1186" w:type="pct"/>
            <w:tcMar>
              <w:left w:w="28" w:type="dxa"/>
              <w:right w:w="28" w:type="dxa"/>
            </w:tcMar>
            <w:vAlign w:val="center"/>
          </w:tcPr>
          <w:p w14:paraId="5DD1A1BF" w14:textId="77777777" w:rsidR="005E0C40" w:rsidRPr="003B24C6" w:rsidRDefault="005E0C40" w:rsidP="00A97080">
            <w:pPr>
              <w:pStyle w:val="TableText"/>
              <w:rPr>
                <w:lang w:val="fr-FR"/>
              </w:rPr>
            </w:pPr>
            <w:r w:rsidRPr="003B24C6">
              <w:rPr>
                <w:lang w:val="fr-FR"/>
              </w:rPr>
              <w:t>LDPFC</w:t>
            </w:r>
          </w:p>
          <w:p w14:paraId="4E370D3A" w14:textId="77777777" w:rsidR="005E0C40" w:rsidRPr="003B24C6" w:rsidRDefault="005E0C40" w:rsidP="00A97080">
            <w:pPr>
              <w:pStyle w:val="TableText"/>
              <w:rPr>
                <w:lang w:val="fr-FR"/>
              </w:rPr>
            </w:pPr>
            <w:r w:rsidRPr="003B24C6">
              <w:rPr>
                <w:lang w:val="fr-FR"/>
              </w:rPr>
              <w:t>10 pps, 100% MT</w:t>
            </w:r>
          </w:p>
          <w:p w14:paraId="3103590A" w14:textId="77777777" w:rsidR="005E0C40" w:rsidRPr="003B24C6" w:rsidRDefault="005E0C40" w:rsidP="00A97080">
            <w:pPr>
              <w:pStyle w:val="TableText"/>
              <w:rPr>
                <w:lang w:val="fr-FR"/>
              </w:rPr>
            </w:pPr>
            <w:r w:rsidRPr="003B24C6">
              <w:rPr>
                <w:lang w:val="fr-FR"/>
              </w:rPr>
              <w:t>Avg 11 sessions</w:t>
            </w:r>
          </w:p>
        </w:tc>
        <w:tc>
          <w:tcPr>
            <w:tcW w:w="1257" w:type="pct"/>
            <w:tcMar>
              <w:left w:w="28" w:type="dxa"/>
              <w:right w:w="28" w:type="dxa"/>
            </w:tcMar>
            <w:vAlign w:val="center"/>
          </w:tcPr>
          <w:p w14:paraId="687BAED8" w14:textId="77777777" w:rsidR="005E0C40" w:rsidRPr="003B24C6" w:rsidRDefault="005E0C40" w:rsidP="00A97080">
            <w:pPr>
              <w:pStyle w:val="TableText"/>
            </w:pPr>
            <w:r w:rsidRPr="003B24C6">
              <w:t>TMS = ECT</w:t>
            </w:r>
          </w:p>
        </w:tc>
      </w:tr>
      <w:tr w:rsidR="003B24C6" w:rsidRPr="003B24C6" w14:paraId="4D63C8C7" w14:textId="77777777" w:rsidTr="00C42A71">
        <w:tc>
          <w:tcPr>
            <w:tcW w:w="671" w:type="pct"/>
            <w:tcMar>
              <w:left w:w="28" w:type="dxa"/>
              <w:right w:w="28" w:type="dxa"/>
            </w:tcMar>
            <w:vAlign w:val="center"/>
          </w:tcPr>
          <w:p w14:paraId="5F66F054" w14:textId="77777777" w:rsidR="005E0C40" w:rsidRPr="003B24C6" w:rsidRDefault="005E0C40" w:rsidP="00A97080">
            <w:pPr>
              <w:pStyle w:val="TableText"/>
            </w:pPr>
            <w:r w:rsidRPr="003B24C6">
              <w:t>Rosa (2006)</w:t>
            </w:r>
          </w:p>
        </w:tc>
        <w:tc>
          <w:tcPr>
            <w:tcW w:w="1886" w:type="pct"/>
            <w:tcMar>
              <w:left w:w="28" w:type="dxa"/>
              <w:right w:w="28" w:type="dxa"/>
            </w:tcMar>
            <w:vAlign w:val="center"/>
          </w:tcPr>
          <w:p w14:paraId="0B1EBD21" w14:textId="77777777" w:rsidR="005E0C40" w:rsidRPr="003B24C6" w:rsidRDefault="005E0C40" w:rsidP="00A97080">
            <w:pPr>
              <w:pStyle w:val="TableText"/>
            </w:pPr>
            <w:r w:rsidRPr="003B24C6">
              <w:t>N=42</w:t>
            </w:r>
          </w:p>
          <w:p w14:paraId="354A6312" w14:textId="77777777" w:rsidR="005E0C40" w:rsidRPr="003B24C6" w:rsidRDefault="005E0C40" w:rsidP="00A97080">
            <w:pPr>
              <w:pStyle w:val="TableText"/>
            </w:pPr>
            <w:r w:rsidRPr="003B24C6">
              <w:t>Random assignment: UL ECT (2 patients received BL ECT) or TMS</w:t>
            </w:r>
          </w:p>
          <w:p w14:paraId="01C77958" w14:textId="77777777" w:rsidR="005E0C40" w:rsidRPr="003B24C6" w:rsidRDefault="005E0C40" w:rsidP="00A97080">
            <w:pPr>
              <w:pStyle w:val="TableText"/>
            </w:pPr>
            <w:r w:rsidRPr="003B24C6">
              <w:t>Outcomes: HAMD, VAS, CGI, Cognitive battery</w:t>
            </w:r>
          </w:p>
        </w:tc>
        <w:tc>
          <w:tcPr>
            <w:tcW w:w="1186" w:type="pct"/>
            <w:tcMar>
              <w:left w:w="28" w:type="dxa"/>
              <w:right w:w="28" w:type="dxa"/>
            </w:tcMar>
            <w:vAlign w:val="center"/>
          </w:tcPr>
          <w:p w14:paraId="5C86C33D" w14:textId="77777777" w:rsidR="005E0C40" w:rsidRPr="003B24C6" w:rsidRDefault="005E0C40" w:rsidP="00A97080">
            <w:pPr>
              <w:pStyle w:val="TableText"/>
            </w:pPr>
            <w:r w:rsidRPr="003B24C6">
              <w:t>LDPFC</w:t>
            </w:r>
          </w:p>
          <w:p w14:paraId="38FCE3B0" w14:textId="77777777" w:rsidR="005E0C40" w:rsidRPr="003B24C6" w:rsidRDefault="005E0C40" w:rsidP="00A97080">
            <w:pPr>
              <w:pStyle w:val="TableText"/>
            </w:pPr>
            <w:r w:rsidRPr="003B24C6">
              <w:t>10 pps, 100% MT</w:t>
            </w:r>
          </w:p>
          <w:p w14:paraId="58B7B053" w14:textId="77777777" w:rsidR="005E0C40" w:rsidRPr="003B24C6" w:rsidRDefault="005E0C40" w:rsidP="00A97080">
            <w:pPr>
              <w:pStyle w:val="TableText"/>
            </w:pPr>
            <w:r w:rsidRPr="003B24C6">
              <w:t>Up to 20 sessions</w:t>
            </w:r>
          </w:p>
        </w:tc>
        <w:tc>
          <w:tcPr>
            <w:tcW w:w="1257" w:type="pct"/>
            <w:tcMar>
              <w:left w:w="28" w:type="dxa"/>
              <w:right w:w="28" w:type="dxa"/>
            </w:tcMar>
            <w:vAlign w:val="center"/>
          </w:tcPr>
          <w:p w14:paraId="19F454BE" w14:textId="77777777" w:rsidR="005E0C40" w:rsidRPr="003B24C6" w:rsidRDefault="005E0C40" w:rsidP="00A97080">
            <w:pPr>
              <w:pStyle w:val="TableText"/>
            </w:pPr>
            <w:r w:rsidRPr="003B24C6">
              <w:t>TMS = ECT</w:t>
            </w:r>
          </w:p>
        </w:tc>
      </w:tr>
    </w:tbl>
    <w:p w14:paraId="081A4646" w14:textId="77777777" w:rsidR="005E0C40" w:rsidRPr="003B24C6" w:rsidRDefault="005E0C40" w:rsidP="00F74297">
      <w:pPr>
        <w:keepNext/>
        <w:spacing w:before="40" w:after="40"/>
        <w:rPr>
          <w:rFonts w:ascii="Arial Narrow" w:hAnsi="Arial Narrow" w:cs="Arial"/>
          <w:sz w:val="18"/>
          <w:szCs w:val="18"/>
        </w:rPr>
      </w:pPr>
      <w:r w:rsidRPr="003B24C6">
        <w:rPr>
          <w:rFonts w:ascii="Arial Narrow" w:hAnsi="Arial Narrow" w:cs="Arial"/>
          <w:sz w:val="18"/>
          <w:szCs w:val="18"/>
        </w:rPr>
        <w:t>Source: Table adapted from Janicak, et al (2007).</w:t>
      </w:r>
    </w:p>
    <w:p w14:paraId="7306A5F2" w14:textId="77777777" w:rsidR="005E0C40" w:rsidRDefault="005E0C40" w:rsidP="00F74297">
      <w:pPr>
        <w:keepNext/>
        <w:spacing w:before="40" w:after="40"/>
        <w:jc w:val="both"/>
        <w:rPr>
          <w:rFonts w:ascii="Arial Narrow" w:hAnsi="Arial Narrow" w:cs="Arial"/>
          <w:sz w:val="18"/>
          <w:szCs w:val="18"/>
        </w:rPr>
      </w:pPr>
      <w:r w:rsidRPr="003B24C6">
        <w:rPr>
          <w:rFonts w:ascii="Arial Narrow" w:hAnsi="Arial Narrow" w:cs="Arial"/>
          <w:sz w:val="18"/>
          <w:szCs w:val="18"/>
        </w:rPr>
        <w:t>BDI = Beck depression inventory; BL = bilateral; CGI = Clinical Global Impression; ECT = electroconvulsive therapy; GAF = Global assessment of functioning; HAMD = Hamilton depression rating score; LDPFC = left dorsolateral prefrontal cortex; MT = motor threshold; N = number; pps = pulses per second, TMS = Transcranial Magnetic Stimulation; UL = unilateral; VAS = visual analogue scale</w:t>
      </w:r>
    </w:p>
    <w:p w14:paraId="61192FCB" w14:textId="77777777" w:rsidR="00F74297" w:rsidRPr="003B24C6" w:rsidRDefault="00F74297" w:rsidP="00F74297"/>
    <w:p w14:paraId="1E4B7AC1" w14:textId="40BB23E9" w:rsidR="007E3C8E" w:rsidRPr="00AD6EF2" w:rsidRDefault="008279A4" w:rsidP="007E3C8E">
      <w:pPr>
        <w:jc w:val="both"/>
        <w:rPr>
          <w:i/>
          <w:iCs/>
        </w:rPr>
      </w:pPr>
      <w:r>
        <w:t>T</w:t>
      </w:r>
      <w:r w:rsidR="007E3C8E" w:rsidRPr="00AD6EF2">
        <w:t>hese studies were generally small in size, often performed at one investigative site, and usually diagnostically heterogeneous</w:t>
      </w:r>
      <w:r>
        <w:t>.</w:t>
      </w:r>
      <w:r w:rsidR="007E3C8E" w:rsidRPr="00AD6EF2">
        <w:t xml:space="preserve"> </w:t>
      </w:r>
    </w:p>
    <w:p w14:paraId="50B10931" w14:textId="03B627C0" w:rsidR="007E3C8E" w:rsidRPr="00AD6EF2" w:rsidRDefault="007E3C8E" w:rsidP="007E3C8E">
      <w:pPr>
        <w:jc w:val="both"/>
      </w:pPr>
      <w:r w:rsidRPr="00AD6EF2">
        <w:t xml:space="preserve">Berlim and colleagues (2013) have added to this comparative discussion in a recent systematic review and meta-analysis comparing the efficacy and acceptability of high-frequency </w:t>
      </w:r>
      <w:r w:rsidR="003F5EE0">
        <w:t>r</w:t>
      </w:r>
      <w:r w:rsidRPr="00AD6EF2">
        <w:t>TMS versus ECT for major depres</w:t>
      </w:r>
      <w:r>
        <w:t>sion. They analysed data from seven</w:t>
      </w:r>
      <w:r w:rsidRPr="00AD6EF2">
        <w:t xml:space="preserve"> randomized trials (including 6 of the 8 studies reviewed by Janicak and colleagues above) involving 294 subjects. They reported that after an average of only 15.2 TMS sessions compared with an average of 8.2 ECT sessions, 33.6% of </w:t>
      </w:r>
      <w:r w:rsidR="003F5EE0">
        <w:t>r</w:t>
      </w:r>
      <w:r w:rsidRPr="00AD6EF2">
        <w:t xml:space="preserve">TMS subjects and 52% of ECT subjects were classified as remitters. They concluded that these data suggest that ECT may be more effective than </w:t>
      </w:r>
      <w:proofErr w:type="gramStart"/>
      <w:r w:rsidR="003F5EE0">
        <w:t>r</w:t>
      </w:r>
      <w:r w:rsidRPr="00AD6EF2">
        <w:t>TMS,</w:t>
      </w:r>
      <w:proofErr w:type="gramEnd"/>
      <w:r w:rsidRPr="00AD6EF2">
        <w:t xml:space="preserve"> however they also acknowledged the drawbacks of the study designs that warrant further work based on currently accepted advancements in the practice of </w:t>
      </w:r>
      <w:r w:rsidR="003F5EE0">
        <w:t>r</w:t>
      </w:r>
      <w:r w:rsidRPr="00AD6EF2">
        <w:t xml:space="preserve">TMS </w:t>
      </w:r>
      <w:r>
        <w:t>t</w:t>
      </w:r>
      <w:r w:rsidRPr="00AD6EF2">
        <w:t xml:space="preserve">herapy. </w:t>
      </w:r>
    </w:p>
    <w:p w14:paraId="68BB9B6B" w14:textId="77777777" w:rsidR="007E3C8E" w:rsidRPr="00AD6EF2" w:rsidRDefault="007E3C8E" w:rsidP="00D22942">
      <w:pPr>
        <w:pStyle w:val="Heading3"/>
      </w:pPr>
      <w:bookmarkStart w:id="114" w:name="_Toc389142051"/>
      <w:r>
        <w:lastRenderedPageBreak/>
        <w:t>Is rTMS effective versus p</w:t>
      </w:r>
      <w:r w:rsidRPr="00AD6EF2">
        <w:t>sychotherapy</w:t>
      </w:r>
      <w:r>
        <w:t>?</w:t>
      </w:r>
      <w:bookmarkEnd w:id="114"/>
    </w:p>
    <w:p w14:paraId="00464D37" w14:textId="38D04A95" w:rsidR="007E3C8E" w:rsidRPr="003B3518" w:rsidRDefault="007E3C8E" w:rsidP="007E3C8E">
      <w:pPr>
        <w:pStyle w:val="NoSpacing"/>
        <w:spacing w:after="240"/>
        <w:jc w:val="both"/>
      </w:pPr>
      <w:r w:rsidRPr="003B3518">
        <w:t xml:space="preserve">No clinical studies have directly compared the efficacy of </w:t>
      </w:r>
      <w:r w:rsidR="00C7565E">
        <w:t>r</w:t>
      </w:r>
      <w:r w:rsidRPr="003B3518">
        <w:t>TMS treatment to any form of psychotherapy. As such, an indirect comparison of effectiveness can only be made comparing clinical data for effectiveness of both treatments in similar populations.</w:t>
      </w:r>
    </w:p>
    <w:p w14:paraId="240CD554" w14:textId="77777777" w:rsidR="007E3C8E" w:rsidRPr="003B3518" w:rsidRDefault="007E3C8E" w:rsidP="007E3C8E">
      <w:pPr>
        <w:pStyle w:val="NoSpacing"/>
        <w:spacing w:after="240"/>
        <w:jc w:val="both"/>
      </w:pPr>
      <w:r w:rsidRPr="003B3518">
        <w:t>The clinical role/effectiveness of psychotherapy, in particular, cognitive behavioural therapy (CBT) and interpersonal therapy (IPT) have predominately been established in non-medication resistant or non-treatment resistant depressed patients. However, some authors have suggested that these treatments can be used after antidepressant medication failure and as such it is valid to consider the possibility of these treatments as a comparator for rTMS in this patient group.</w:t>
      </w:r>
    </w:p>
    <w:p w14:paraId="369C35BE" w14:textId="1DDF9692" w:rsidR="005E0C40" w:rsidRDefault="007E3C8E" w:rsidP="00C90F85">
      <w:pPr>
        <w:pStyle w:val="NoSpacing"/>
        <w:spacing w:after="240"/>
        <w:jc w:val="both"/>
        <w:rPr>
          <w:rFonts w:ascii="Arial Narrow" w:hAnsi="Arial Narrow" w:cs="Arial"/>
          <w:color w:val="000000"/>
          <w:sz w:val="18"/>
          <w:szCs w:val="18"/>
        </w:rPr>
      </w:pPr>
      <w:r w:rsidRPr="003B3518">
        <w:t xml:space="preserve">The use of these psychotherapies was considered by </w:t>
      </w:r>
      <w:bookmarkStart w:id="115" w:name="OLE_LINK9"/>
      <w:bookmarkStart w:id="116" w:name="OLE_LINK10"/>
      <w:r w:rsidRPr="003B3518">
        <w:t xml:space="preserve">the </w:t>
      </w:r>
      <w:r w:rsidR="008279A4">
        <w:t xml:space="preserve">AHRQ 2011 review. No studies were identified that directly compared rTMS and CBT or psychotherapy. </w:t>
      </w:r>
      <w:r w:rsidR="006F48F3">
        <w:t>Therefore an assessment of effectiveness or safety between these strategies is not possible.</w:t>
      </w:r>
      <w:bookmarkEnd w:id="115"/>
      <w:bookmarkEnd w:id="116"/>
    </w:p>
    <w:p w14:paraId="237F2E71" w14:textId="77777777" w:rsidR="00F302BD" w:rsidRPr="00AD6EF2" w:rsidRDefault="007E3C8E" w:rsidP="00D22942">
      <w:pPr>
        <w:pStyle w:val="Heading3"/>
      </w:pPr>
      <w:bookmarkStart w:id="117" w:name="_Toc389142052"/>
      <w:bookmarkEnd w:id="60"/>
      <w:bookmarkEnd w:id="61"/>
      <w:bookmarkEnd w:id="62"/>
      <w:bookmarkEnd w:id="63"/>
      <w:r>
        <w:t>Evidence for safety of rTMS</w:t>
      </w:r>
      <w:bookmarkEnd w:id="117"/>
    </w:p>
    <w:p w14:paraId="74B5D730" w14:textId="1686A796" w:rsidR="00F121FD" w:rsidRDefault="004151CF" w:rsidP="00CA0A85">
      <w:pPr>
        <w:pStyle w:val="NoSpacing"/>
        <w:spacing w:after="240"/>
        <w:jc w:val="both"/>
      </w:pPr>
      <w:r>
        <w:t xml:space="preserve">The evidence in the literature indicates different toxicity profiles for rTMS, antidepressants and ECT.  A summary of the main types of adverse events for the three options is presented in </w:t>
      </w:r>
      <w:r w:rsidR="009F335A">
        <w:fldChar w:fldCharType="begin"/>
      </w:r>
      <w:r w:rsidR="009F335A">
        <w:instrText xml:space="preserve"> REF _Ref386030344 \h  \* MERGEFORMAT </w:instrText>
      </w:r>
      <w:r w:rsidR="009F335A">
        <w:fldChar w:fldCharType="separate"/>
      </w:r>
      <w:proofErr w:type="gramStart"/>
      <w:r w:rsidR="004C1C27" w:rsidRPr="009F335A">
        <w:t xml:space="preserve">Table </w:t>
      </w:r>
      <w:proofErr w:type="gramEnd"/>
      <w:r w:rsidR="009F335A">
        <w:fldChar w:fldCharType="end"/>
      </w:r>
      <w:r w:rsidR="009F335A">
        <w:t xml:space="preserve">. </w:t>
      </w:r>
    </w:p>
    <w:p w14:paraId="7F0D5361" w14:textId="260BDAE7" w:rsidR="00315BF6" w:rsidRDefault="009F335A" w:rsidP="002528B4">
      <w:pPr>
        <w:pStyle w:val="TableName"/>
      </w:pPr>
      <w:bookmarkStart w:id="118" w:name="_Ref386030344"/>
      <w:bookmarkStart w:id="119" w:name="_Toc389143584"/>
      <w:r w:rsidRPr="009F335A">
        <w:t xml:space="preserve">Table </w:t>
      </w:r>
      <w:bookmarkEnd w:id="118"/>
      <w:r w:rsidR="006C19DA">
        <w:t>10</w:t>
      </w:r>
      <w:r w:rsidRPr="009F335A">
        <w:t xml:space="preserve">: </w:t>
      </w:r>
      <w:r w:rsidR="00315BF6">
        <w:t>Summary of common adverse events for rTMS, antidepressants and ECT</w:t>
      </w:r>
      <w:bookmarkEnd w:id="119"/>
    </w:p>
    <w:tbl>
      <w:tblPr>
        <w:tblStyle w:val="TableGrid"/>
        <w:tblW w:w="0" w:type="auto"/>
        <w:tblInd w:w="760" w:type="dxa"/>
        <w:tblLook w:val="04A0" w:firstRow="1" w:lastRow="0" w:firstColumn="1" w:lastColumn="0" w:noHBand="0" w:noVBand="1"/>
        <w:tblCaption w:val="Adverse events for rTMS, AntiDep and ECT"/>
      </w:tblPr>
      <w:tblGrid>
        <w:gridCol w:w="2203"/>
        <w:gridCol w:w="6119"/>
      </w:tblGrid>
      <w:tr w:rsidR="004151CF" w:rsidRPr="009F335A" w14:paraId="279956D1" w14:textId="77777777" w:rsidTr="009F335A">
        <w:trPr>
          <w:cantSplit/>
          <w:tblHeader/>
        </w:trPr>
        <w:tc>
          <w:tcPr>
            <w:tcW w:w="2203" w:type="dxa"/>
            <w:tcMar>
              <w:left w:w="28" w:type="dxa"/>
              <w:right w:w="28" w:type="dxa"/>
            </w:tcMar>
          </w:tcPr>
          <w:p w14:paraId="3D44B5B0" w14:textId="77777777" w:rsidR="00F121FD" w:rsidRPr="009F335A" w:rsidRDefault="00F121FD" w:rsidP="002528B4">
            <w:pPr>
              <w:pStyle w:val="TableText"/>
              <w:rPr>
                <w:b/>
                <w:szCs w:val="18"/>
              </w:rPr>
            </w:pPr>
            <w:r w:rsidRPr="009F335A">
              <w:rPr>
                <w:b/>
                <w:szCs w:val="18"/>
              </w:rPr>
              <w:t>Treatment</w:t>
            </w:r>
          </w:p>
        </w:tc>
        <w:tc>
          <w:tcPr>
            <w:tcW w:w="6119" w:type="dxa"/>
            <w:tcMar>
              <w:left w:w="28" w:type="dxa"/>
              <w:right w:w="28" w:type="dxa"/>
            </w:tcMar>
          </w:tcPr>
          <w:p w14:paraId="0FFAE7BF" w14:textId="77777777" w:rsidR="00F121FD" w:rsidRPr="009F335A" w:rsidRDefault="00F121FD" w:rsidP="002528B4">
            <w:pPr>
              <w:pStyle w:val="TableText"/>
              <w:rPr>
                <w:b/>
                <w:szCs w:val="18"/>
              </w:rPr>
            </w:pPr>
            <w:r w:rsidRPr="009F335A">
              <w:rPr>
                <w:b/>
                <w:szCs w:val="18"/>
              </w:rPr>
              <w:t>Common adverse events</w:t>
            </w:r>
          </w:p>
        </w:tc>
      </w:tr>
      <w:tr w:rsidR="00F121FD" w:rsidRPr="009F335A" w14:paraId="77EB6C6F" w14:textId="77777777" w:rsidTr="009F335A">
        <w:trPr>
          <w:cantSplit/>
        </w:trPr>
        <w:tc>
          <w:tcPr>
            <w:tcW w:w="2203" w:type="dxa"/>
            <w:tcBorders>
              <w:bottom w:val="single" w:sz="4" w:space="0" w:color="auto"/>
            </w:tcBorders>
            <w:tcMar>
              <w:left w:w="28" w:type="dxa"/>
              <w:right w:w="28" w:type="dxa"/>
            </w:tcMar>
          </w:tcPr>
          <w:p w14:paraId="40A44DE4" w14:textId="77777777" w:rsidR="00F121FD" w:rsidRPr="009F335A" w:rsidRDefault="00F121FD" w:rsidP="002528B4">
            <w:pPr>
              <w:pStyle w:val="TableText"/>
              <w:rPr>
                <w:b/>
                <w:szCs w:val="18"/>
              </w:rPr>
            </w:pPr>
            <w:r w:rsidRPr="009F335A">
              <w:rPr>
                <w:b/>
                <w:szCs w:val="18"/>
              </w:rPr>
              <w:t>rTMS</w:t>
            </w:r>
          </w:p>
        </w:tc>
        <w:tc>
          <w:tcPr>
            <w:tcW w:w="6119" w:type="dxa"/>
            <w:tcBorders>
              <w:bottom w:val="single" w:sz="4" w:space="0" w:color="auto"/>
            </w:tcBorders>
            <w:tcMar>
              <w:left w:w="28" w:type="dxa"/>
              <w:right w:w="28" w:type="dxa"/>
            </w:tcMar>
          </w:tcPr>
          <w:p w14:paraId="7A4D05FB" w14:textId="27A3FD0D" w:rsidR="00F121FD" w:rsidRPr="009F335A" w:rsidRDefault="004151CF" w:rsidP="00400226">
            <w:pPr>
              <w:pStyle w:val="TableText"/>
              <w:rPr>
                <w:szCs w:val="18"/>
              </w:rPr>
            </w:pPr>
            <w:r w:rsidRPr="009F335A">
              <w:rPr>
                <w:szCs w:val="18"/>
              </w:rPr>
              <w:t>Pain at si</w:t>
            </w:r>
            <w:r w:rsidR="00C7565E">
              <w:rPr>
                <w:szCs w:val="18"/>
              </w:rPr>
              <w:t>te</w:t>
            </w:r>
            <w:r w:rsidRPr="009F335A">
              <w:rPr>
                <w:szCs w:val="18"/>
              </w:rPr>
              <w:t>, headaches, application site discomfort, eye pain, muscle twitching</w:t>
            </w:r>
          </w:p>
        </w:tc>
      </w:tr>
      <w:tr w:rsidR="00F121FD" w:rsidRPr="009F335A" w14:paraId="5425E006" w14:textId="77777777" w:rsidTr="009F335A">
        <w:trPr>
          <w:cantSplit/>
        </w:trPr>
        <w:tc>
          <w:tcPr>
            <w:tcW w:w="2203" w:type="dxa"/>
            <w:tcBorders>
              <w:bottom w:val="nil"/>
            </w:tcBorders>
            <w:tcMar>
              <w:left w:w="28" w:type="dxa"/>
              <w:right w:w="28" w:type="dxa"/>
            </w:tcMar>
          </w:tcPr>
          <w:p w14:paraId="1DABE114" w14:textId="77777777" w:rsidR="00F121FD" w:rsidRPr="009F335A" w:rsidRDefault="00F121FD" w:rsidP="002528B4">
            <w:pPr>
              <w:pStyle w:val="TableText"/>
              <w:rPr>
                <w:b/>
                <w:szCs w:val="18"/>
              </w:rPr>
            </w:pPr>
            <w:r w:rsidRPr="009F335A">
              <w:rPr>
                <w:b/>
                <w:szCs w:val="18"/>
              </w:rPr>
              <w:t>Antidepressant therapies</w:t>
            </w:r>
            <w:r w:rsidR="004151CF" w:rsidRPr="009F335A">
              <w:rPr>
                <w:b/>
                <w:szCs w:val="18"/>
              </w:rPr>
              <w:t>:</w:t>
            </w:r>
          </w:p>
        </w:tc>
        <w:tc>
          <w:tcPr>
            <w:tcW w:w="6119" w:type="dxa"/>
            <w:tcBorders>
              <w:bottom w:val="nil"/>
            </w:tcBorders>
            <w:tcMar>
              <w:left w:w="28" w:type="dxa"/>
              <w:right w:w="28" w:type="dxa"/>
            </w:tcMar>
          </w:tcPr>
          <w:p w14:paraId="65E66E64" w14:textId="77777777" w:rsidR="00F121FD" w:rsidRPr="009F335A" w:rsidRDefault="00F121FD" w:rsidP="002528B4">
            <w:pPr>
              <w:pStyle w:val="TableText"/>
              <w:rPr>
                <w:szCs w:val="18"/>
              </w:rPr>
            </w:pPr>
          </w:p>
        </w:tc>
      </w:tr>
      <w:tr w:rsidR="004151CF" w:rsidRPr="009F335A" w14:paraId="37DBD62D" w14:textId="77777777" w:rsidTr="009F335A">
        <w:trPr>
          <w:cantSplit/>
        </w:trPr>
        <w:tc>
          <w:tcPr>
            <w:tcW w:w="2203" w:type="dxa"/>
            <w:tcBorders>
              <w:top w:val="nil"/>
              <w:bottom w:val="nil"/>
            </w:tcBorders>
            <w:tcMar>
              <w:left w:w="28" w:type="dxa"/>
              <w:right w:w="28" w:type="dxa"/>
            </w:tcMar>
          </w:tcPr>
          <w:p w14:paraId="4C101D05" w14:textId="77777777" w:rsidR="004151CF" w:rsidRPr="009F335A" w:rsidRDefault="004151CF" w:rsidP="002528B4">
            <w:pPr>
              <w:pStyle w:val="TableText"/>
              <w:rPr>
                <w:szCs w:val="18"/>
              </w:rPr>
            </w:pPr>
            <w:r w:rsidRPr="009F335A">
              <w:rPr>
                <w:szCs w:val="18"/>
              </w:rPr>
              <w:t xml:space="preserve">  SSRI </w:t>
            </w:r>
          </w:p>
        </w:tc>
        <w:tc>
          <w:tcPr>
            <w:tcW w:w="6119" w:type="dxa"/>
            <w:tcBorders>
              <w:top w:val="nil"/>
              <w:bottom w:val="nil"/>
            </w:tcBorders>
            <w:tcMar>
              <w:left w:w="28" w:type="dxa"/>
              <w:right w:w="28" w:type="dxa"/>
            </w:tcMar>
          </w:tcPr>
          <w:p w14:paraId="213636AA" w14:textId="77777777" w:rsidR="004151CF" w:rsidRPr="009F335A" w:rsidRDefault="004151CF" w:rsidP="002528B4">
            <w:pPr>
              <w:pStyle w:val="TableText"/>
              <w:rPr>
                <w:szCs w:val="18"/>
              </w:rPr>
            </w:pPr>
            <w:r w:rsidRPr="009F335A">
              <w:rPr>
                <w:szCs w:val="18"/>
              </w:rPr>
              <w:t>Nausea</w:t>
            </w:r>
            <w:r w:rsidR="0035014E" w:rsidRPr="009F335A">
              <w:rPr>
                <w:szCs w:val="18"/>
              </w:rPr>
              <w:t>,</w:t>
            </w:r>
            <w:r w:rsidRPr="009F335A">
              <w:rPr>
                <w:szCs w:val="18"/>
              </w:rPr>
              <w:t xml:space="preserve"> agitation</w:t>
            </w:r>
            <w:r w:rsidR="0035014E" w:rsidRPr="009F335A">
              <w:rPr>
                <w:szCs w:val="18"/>
              </w:rPr>
              <w:t>,</w:t>
            </w:r>
            <w:r w:rsidRPr="009F335A">
              <w:rPr>
                <w:szCs w:val="18"/>
              </w:rPr>
              <w:t xml:space="preserve"> sleep disturbance</w:t>
            </w:r>
            <w:r w:rsidR="0035014E" w:rsidRPr="009F335A">
              <w:rPr>
                <w:szCs w:val="18"/>
              </w:rPr>
              <w:t>,</w:t>
            </w:r>
            <w:r w:rsidRPr="009F335A">
              <w:rPr>
                <w:szCs w:val="18"/>
              </w:rPr>
              <w:t xml:space="preserve"> sexual dysfunction</w:t>
            </w:r>
            <w:r w:rsidR="0035014E" w:rsidRPr="009F335A">
              <w:rPr>
                <w:szCs w:val="18"/>
              </w:rPr>
              <w:t>,</w:t>
            </w:r>
            <w:r w:rsidRPr="009F335A">
              <w:rPr>
                <w:szCs w:val="18"/>
              </w:rPr>
              <w:t xml:space="preserve"> headaches</w:t>
            </w:r>
          </w:p>
        </w:tc>
      </w:tr>
      <w:tr w:rsidR="004151CF" w:rsidRPr="009F335A" w14:paraId="5838D160" w14:textId="77777777" w:rsidTr="009F335A">
        <w:trPr>
          <w:cantSplit/>
        </w:trPr>
        <w:tc>
          <w:tcPr>
            <w:tcW w:w="2203" w:type="dxa"/>
            <w:tcBorders>
              <w:top w:val="nil"/>
              <w:bottom w:val="nil"/>
            </w:tcBorders>
            <w:tcMar>
              <w:left w:w="28" w:type="dxa"/>
              <w:right w:w="28" w:type="dxa"/>
            </w:tcMar>
          </w:tcPr>
          <w:p w14:paraId="07B43B97" w14:textId="77777777" w:rsidR="004151CF" w:rsidRPr="009F335A" w:rsidRDefault="004151CF" w:rsidP="002528B4">
            <w:pPr>
              <w:pStyle w:val="TableText"/>
              <w:rPr>
                <w:szCs w:val="18"/>
              </w:rPr>
            </w:pPr>
            <w:r w:rsidRPr="009F335A">
              <w:rPr>
                <w:szCs w:val="18"/>
              </w:rPr>
              <w:t xml:space="preserve">  SNRI </w:t>
            </w:r>
          </w:p>
        </w:tc>
        <w:tc>
          <w:tcPr>
            <w:tcW w:w="6119" w:type="dxa"/>
            <w:tcBorders>
              <w:top w:val="nil"/>
              <w:bottom w:val="nil"/>
            </w:tcBorders>
            <w:tcMar>
              <w:left w:w="28" w:type="dxa"/>
              <w:right w:w="28" w:type="dxa"/>
            </w:tcMar>
          </w:tcPr>
          <w:p w14:paraId="285ECF06" w14:textId="77777777" w:rsidR="004151CF" w:rsidRPr="009F335A" w:rsidRDefault="004151CF" w:rsidP="002528B4">
            <w:pPr>
              <w:pStyle w:val="TableText"/>
              <w:rPr>
                <w:szCs w:val="18"/>
              </w:rPr>
            </w:pPr>
            <w:r w:rsidRPr="009F335A">
              <w:rPr>
                <w:szCs w:val="18"/>
              </w:rPr>
              <w:t>Nausea</w:t>
            </w:r>
            <w:r w:rsidR="0035014E" w:rsidRPr="009F335A">
              <w:rPr>
                <w:szCs w:val="18"/>
              </w:rPr>
              <w:t>,</w:t>
            </w:r>
            <w:r w:rsidRPr="009F335A">
              <w:rPr>
                <w:szCs w:val="18"/>
              </w:rPr>
              <w:t xml:space="preserve"> anxiety</w:t>
            </w:r>
            <w:r w:rsidR="0035014E" w:rsidRPr="009F335A">
              <w:rPr>
                <w:szCs w:val="18"/>
              </w:rPr>
              <w:t>,</w:t>
            </w:r>
            <w:r w:rsidRPr="009F335A">
              <w:rPr>
                <w:szCs w:val="18"/>
              </w:rPr>
              <w:t xml:space="preserve"> fatigue</w:t>
            </w:r>
            <w:r w:rsidR="0035014E" w:rsidRPr="009F335A">
              <w:rPr>
                <w:szCs w:val="18"/>
              </w:rPr>
              <w:t>,</w:t>
            </w:r>
            <w:r w:rsidRPr="009F335A">
              <w:rPr>
                <w:szCs w:val="18"/>
              </w:rPr>
              <w:t xml:space="preserve"> sexual dysfunction</w:t>
            </w:r>
            <w:r w:rsidR="0035014E" w:rsidRPr="009F335A">
              <w:rPr>
                <w:szCs w:val="18"/>
              </w:rPr>
              <w:t>,</w:t>
            </w:r>
            <w:r w:rsidRPr="009F335A">
              <w:rPr>
                <w:szCs w:val="18"/>
              </w:rPr>
              <w:t xml:space="preserve"> headaches</w:t>
            </w:r>
          </w:p>
        </w:tc>
      </w:tr>
      <w:tr w:rsidR="004151CF" w:rsidRPr="009F335A" w14:paraId="4D6C37A8" w14:textId="77777777" w:rsidTr="009F335A">
        <w:trPr>
          <w:cantSplit/>
        </w:trPr>
        <w:tc>
          <w:tcPr>
            <w:tcW w:w="2203" w:type="dxa"/>
            <w:tcBorders>
              <w:top w:val="nil"/>
              <w:bottom w:val="nil"/>
            </w:tcBorders>
            <w:tcMar>
              <w:left w:w="28" w:type="dxa"/>
              <w:right w:w="28" w:type="dxa"/>
            </w:tcMar>
          </w:tcPr>
          <w:p w14:paraId="16C5328F" w14:textId="77777777" w:rsidR="004151CF" w:rsidRPr="009F335A" w:rsidRDefault="004151CF" w:rsidP="002528B4">
            <w:pPr>
              <w:pStyle w:val="TableText"/>
              <w:rPr>
                <w:szCs w:val="18"/>
              </w:rPr>
            </w:pPr>
            <w:r w:rsidRPr="009F335A">
              <w:rPr>
                <w:szCs w:val="18"/>
              </w:rPr>
              <w:t xml:space="preserve">  RIMA</w:t>
            </w:r>
          </w:p>
        </w:tc>
        <w:tc>
          <w:tcPr>
            <w:tcW w:w="6119" w:type="dxa"/>
            <w:tcBorders>
              <w:top w:val="nil"/>
              <w:bottom w:val="nil"/>
            </w:tcBorders>
            <w:tcMar>
              <w:left w:w="28" w:type="dxa"/>
              <w:right w:w="28" w:type="dxa"/>
            </w:tcMar>
          </w:tcPr>
          <w:p w14:paraId="263153E5" w14:textId="77777777" w:rsidR="004151CF" w:rsidRPr="009F335A" w:rsidRDefault="004151CF" w:rsidP="002528B4">
            <w:pPr>
              <w:pStyle w:val="TableText"/>
              <w:rPr>
                <w:szCs w:val="18"/>
              </w:rPr>
            </w:pPr>
            <w:r w:rsidRPr="009F335A">
              <w:rPr>
                <w:szCs w:val="18"/>
              </w:rPr>
              <w:t>Headaches</w:t>
            </w:r>
            <w:r w:rsidR="0035014E" w:rsidRPr="009F335A">
              <w:rPr>
                <w:szCs w:val="18"/>
              </w:rPr>
              <w:t>,</w:t>
            </w:r>
            <w:r w:rsidRPr="009F335A">
              <w:rPr>
                <w:szCs w:val="18"/>
              </w:rPr>
              <w:t xml:space="preserve"> nausea or heartburn</w:t>
            </w:r>
            <w:r w:rsidR="0035014E" w:rsidRPr="009F335A">
              <w:rPr>
                <w:szCs w:val="18"/>
              </w:rPr>
              <w:t>,</w:t>
            </w:r>
            <w:r w:rsidRPr="009F335A">
              <w:rPr>
                <w:szCs w:val="18"/>
              </w:rPr>
              <w:t xml:space="preserve"> dizziness</w:t>
            </w:r>
            <w:r w:rsidR="0035014E" w:rsidRPr="009F335A">
              <w:rPr>
                <w:szCs w:val="18"/>
              </w:rPr>
              <w:t>,</w:t>
            </w:r>
            <w:r w:rsidRPr="009F335A">
              <w:rPr>
                <w:szCs w:val="18"/>
              </w:rPr>
              <w:t xml:space="preserve"> increased sweating</w:t>
            </w:r>
          </w:p>
        </w:tc>
      </w:tr>
      <w:tr w:rsidR="004151CF" w:rsidRPr="009F335A" w14:paraId="6D0ACE61" w14:textId="77777777" w:rsidTr="009F335A">
        <w:trPr>
          <w:cantSplit/>
        </w:trPr>
        <w:tc>
          <w:tcPr>
            <w:tcW w:w="2203" w:type="dxa"/>
            <w:tcBorders>
              <w:top w:val="nil"/>
              <w:bottom w:val="nil"/>
            </w:tcBorders>
            <w:tcMar>
              <w:left w:w="28" w:type="dxa"/>
              <w:right w:w="28" w:type="dxa"/>
            </w:tcMar>
          </w:tcPr>
          <w:p w14:paraId="4B9FFC1A" w14:textId="77777777" w:rsidR="004151CF" w:rsidRPr="009F335A" w:rsidRDefault="004151CF" w:rsidP="002528B4">
            <w:pPr>
              <w:pStyle w:val="TableText"/>
              <w:rPr>
                <w:szCs w:val="18"/>
              </w:rPr>
            </w:pPr>
            <w:r w:rsidRPr="009F335A">
              <w:rPr>
                <w:szCs w:val="18"/>
              </w:rPr>
              <w:t xml:space="preserve">  TCA </w:t>
            </w:r>
          </w:p>
        </w:tc>
        <w:tc>
          <w:tcPr>
            <w:tcW w:w="6119" w:type="dxa"/>
            <w:tcBorders>
              <w:top w:val="nil"/>
              <w:bottom w:val="nil"/>
            </w:tcBorders>
            <w:tcMar>
              <w:left w:w="28" w:type="dxa"/>
              <w:right w:w="28" w:type="dxa"/>
            </w:tcMar>
          </w:tcPr>
          <w:p w14:paraId="539743A4" w14:textId="77777777" w:rsidR="004151CF" w:rsidRPr="009F335A" w:rsidRDefault="004151CF" w:rsidP="002528B4">
            <w:pPr>
              <w:pStyle w:val="TableText"/>
              <w:rPr>
                <w:szCs w:val="18"/>
              </w:rPr>
            </w:pPr>
            <w:r w:rsidRPr="009F335A">
              <w:rPr>
                <w:szCs w:val="18"/>
              </w:rPr>
              <w:t>Sedation</w:t>
            </w:r>
            <w:r w:rsidR="0035014E" w:rsidRPr="009F335A">
              <w:rPr>
                <w:szCs w:val="18"/>
              </w:rPr>
              <w:t>,</w:t>
            </w:r>
            <w:r w:rsidRPr="009F335A">
              <w:rPr>
                <w:szCs w:val="18"/>
              </w:rPr>
              <w:t xml:space="preserve"> sleepiness</w:t>
            </w:r>
            <w:r w:rsidR="0035014E" w:rsidRPr="009F335A">
              <w:rPr>
                <w:szCs w:val="18"/>
              </w:rPr>
              <w:t>,</w:t>
            </w:r>
            <w:r w:rsidRPr="009F335A">
              <w:rPr>
                <w:szCs w:val="18"/>
              </w:rPr>
              <w:t xml:space="preserve"> dry mouth</w:t>
            </w:r>
            <w:r w:rsidR="0035014E" w:rsidRPr="009F335A">
              <w:rPr>
                <w:szCs w:val="18"/>
              </w:rPr>
              <w:t>,</w:t>
            </w:r>
            <w:r w:rsidRPr="009F335A">
              <w:rPr>
                <w:szCs w:val="18"/>
              </w:rPr>
              <w:t xml:space="preserve"> constipation</w:t>
            </w:r>
            <w:r w:rsidR="0035014E" w:rsidRPr="009F335A">
              <w:rPr>
                <w:szCs w:val="18"/>
              </w:rPr>
              <w:t>,</w:t>
            </w:r>
            <w:r w:rsidRPr="009F335A">
              <w:rPr>
                <w:szCs w:val="18"/>
              </w:rPr>
              <w:t xml:space="preserve"> low blood pressure</w:t>
            </w:r>
            <w:r w:rsidR="0035014E" w:rsidRPr="009F335A">
              <w:rPr>
                <w:szCs w:val="18"/>
              </w:rPr>
              <w:t>,</w:t>
            </w:r>
            <w:r w:rsidRPr="009F335A">
              <w:rPr>
                <w:szCs w:val="18"/>
              </w:rPr>
              <w:t xml:space="preserve"> falls</w:t>
            </w:r>
          </w:p>
        </w:tc>
      </w:tr>
      <w:tr w:rsidR="004151CF" w:rsidRPr="009F335A" w14:paraId="7FB03486" w14:textId="77777777" w:rsidTr="009F335A">
        <w:trPr>
          <w:cantSplit/>
        </w:trPr>
        <w:tc>
          <w:tcPr>
            <w:tcW w:w="2203" w:type="dxa"/>
            <w:tcBorders>
              <w:top w:val="nil"/>
              <w:bottom w:val="nil"/>
            </w:tcBorders>
            <w:tcMar>
              <w:left w:w="28" w:type="dxa"/>
              <w:right w:w="28" w:type="dxa"/>
            </w:tcMar>
          </w:tcPr>
          <w:p w14:paraId="529C5D57" w14:textId="77777777" w:rsidR="004151CF" w:rsidRPr="009F335A" w:rsidRDefault="004151CF" w:rsidP="002528B4">
            <w:pPr>
              <w:pStyle w:val="TableText"/>
              <w:rPr>
                <w:szCs w:val="18"/>
              </w:rPr>
            </w:pPr>
            <w:r w:rsidRPr="009F335A">
              <w:rPr>
                <w:szCs w:val="18"/>
              </w:rPr>
              <w:t xml:space="preserve">  NaSSA </w:t>
            </w:r>
          </w:p>
        </w:tc>
        <w:tc>
          <w:tcPr>
            <w:tcW w:w="6119" w:type="dxa"/>
            <w:tcBorders>
              <w:top w:val="nil"/>
              <w:bottom w:val="nil"/>
            </w:tcBorders>
            <w:tcMar>
              <w:left w:w="28" w:type="dxa"/>
              <w:right w:w="28" w:type="dxa"/>
            </w:tcMar>
          </w:tcPr>
          <w:p w14:paraId="53B5C76B" w14:textId="77777777" w:rsidR="004151CF" w:rsidRPr="009F335A" w:rsidRDefault="004151CF" w:rsidP="002528B4">
            <w:pPr>
              <w:pStyle w:val="TableText"/>
              <w:rPr>
                <w:szCs w:val="18"/>
              </w:rPr>
            </w:pPr>
            <w:r w:rsidRPr="009F335A">
              <w:rPr>
                <w:szCs w:val="18"/>
              </w:rPr>
              <w:t>Sedation</w:t>
            </w:r>
            <w:r w:rsidR="0035014E" w:rsidRPr="009F335A">
              <w:rPr>
                <w:szCs w:val="18"/>
              </w:rPr>
              <w:t>,</w:t>
            </w:r>
            <w:r w:rsidRPr="009F335A">
              <w:rPr>
                <w:szCs w:val="18"/>
              </w:rPr>
              <w:t xml:space="preserve"> dizziness</w:t>
            </w:r>
            <w:r w:rsidR="0035014E" w:rsidRPr="009F335A">
              <w:rPr>
                <w:szCs w:val="18"/>
              </w:rPr>
              <w:t>,</w:t>
            </w:r>
            <w:r w:rsidRPr="009F335A">
              <w:rPr>
                <w:szCs w:val="18"/>
              </w:rPr>
              <w:t xml:space="preserve"> increased appetite</w:t>
            </w:r>
            <w:r w:rsidR="0035014E" w:rsidRPr="009F335A">
              <w:rPr>
                <w:szCs w:val="18"/>
              </w:rPr>
              <w:t>,</w:t>
            </w:r>
            <w:r w:rsidRPr="009F335A">
              <w:rPr>
                <w:szCs w:val="18"/>
              </w:rPr>
              <w:t xml:space="preserve"> and weight gain</w:t>
            </w:r>
          </w:p>
        </w:tc>
      </w:tr>
      <w:tr w:rsidR="004151CF" w:rsidRPr="009F335A" w14:paraId="5979B27A" w14:textId="77777777" w:rsidTr="009F335A">
        <w:trPr>
          <w:cantSplit/>
        </w:trPr>
        <w:tc>
          <w:tcPr>
            <w:tcW w:w="2203" w:type="dxa"/>
            <w:tcBorders>
              <w:top w:val="nil"/>
              <w:bottom w:val="nil"/>
            </w:tcBorders>
            <w:tcMar>
              <w:left w:w="28" w:type="dxa"/>
              <w:right w:w="28" w:type="dxa"/>
            </w:tcMar>
          </w:tcPr>
          <w:p w14:paraId="25DC0506" w14:textId="77777777" w:rsidR="004151CF" w:rsidRPr="009F335A" w:rsidRDefault="004151CF" w:rsidP="002528B4">
            <w:pPr>
              <w:pStyle w:val="TableText"/>
              <w:rPr>
                <w:szCs w:val="18"/>
              </w:rPr>
            </w:pPr>
            <w:r w:rsidRPr="009F335A">
              <w:rPr>
                <w:szCs w:val="18"/>
              </w:rPr>
              <w:t xml:space="preserve">  NARI </w:t>
            </w:r>
          </w:p>
        </w:tc>
        <w:tc>
          <w:tcPr>
            <w:tcW w:w="6119" w:type="dxa"/>
            <w:tcBorders>
              <w:top w:val="nil"/>
              <w:bottom w:val="nil"/>
            </w:tcBorders>
            <w:tcMar>
              <w:left w:w="28" w:type="dxa"/>
              <w:right w:w="28" w:type="dxa"/>
            </w:tcMar>
          </w:tcPr>
          <w:p w14:paraId="04B972E7" w14:textId="77777777" w:rsidR="004151CF" w:rsidRPr="009F335A" w:rsidRDefault="004151CF" w:rsidP="002528B4">
            <w:pPr>
              <w:pStyle w:val="TableText"/>
              <w:rPr>
                <w:szCs w:val="18"/>
              </w:rPr>
            </w:pPr>
            <w:r w:rsidRPr="009F335A">
              <w:rPr>
                <w:szCs w:val="18"/>
              </w:rPr>
              <w:t>Dry mouth</w:t>
            </w:r>
            <w:r w:rsidR="0035014E" w:rsidRPr="009F335A">
              <w:rPr>
                <w:szCs w:val="18"/>
              </w:rPr>
              <w:t>,</w:t>
            </w:r>
            <w:r w:rsidRPr="009F335A">
              <w:rPr>
                <w:szCs w:val="18"/>
              </w:rPr>
              <w:t xml:space="preserve"> constipation</w:t>
            </w:r>
            <w:r w:rsidR="0035014E" w:rsidRPr="009F335A">
              <w:rPr>
                <w:szCs w:val="18"/>
              </w:rPr>
              <w:t>,</w:t>
            </w:r>
            <w:r w:rsidRPr="009F335A">
              <w:rPr>
                <w:szCs w:val="18"/>
              </w:rPr>
              <w:t xml:space="preserve"> agitation</w:t>
            </w:r>
            <w:r w:rsidR="0035014E" w:rsidRPr="009F335A">
              <w:rPr>
                <w:szCs w:val="18"/>
              </w:rPr>
              <w:t>,</w:t>
            </w:r>
            <w:r w:rsidRPr="009F335A">
              <w:rPr>
                <w:szCs w:val="18"/>
              </w:rPr>
              <w:t xml:space="preserve"> dizziness</w:t>
            </w:r>
            <w:r w:rsidR="0035014E" w:rsidRPr="009F335A">
              <w:rPr>
                <w:szCs w:val="18"/>
              </w:rPr>
              <w:t>,</w:t>
            </w:r>
            <w:r w:rsidRPr="009F335A">
              <w:rPr>
                <w:szCs w:val="18"/>
              </w:rPr>
              <w:t xml:space="preserve"> headache</w:t>
            </w:r>
            <w:r w:rsidR="0035014E" w:rsidRPr="009F335A">
              <w:rPr>
                <w:szCs w:val="18"/>
              </w:rPr>
              <w:t>,</w:t>
            </w:r>
            <w:r w:rsidRPr="009F335A">
              <w:rPr>
                <w:szCs w:val="18"/>
              </w:rPr>
              <w:t xml:space="preserve"> sexual difficulties</w:t>
            </w:r>
            <w:r w:rsidR="0035014E" w:rsidRPr="009F335A">
              <w:rPr>
                <w:szCs w:val="18"/>
              </w:rPr>
              <w:t>,</w:t>
            </w:r>
            <w:r w:rsidRPr="009F335A">
              <w:rPr>
                <w:szCs w:val="18"/>
              </w:rPr>
              <w:t xml:space="preserve"> difficulty urinating increased heart rate</w:t>
            </w:r>
            <w:r w:rsidR="0035014E" w:rsidRPr="009F335A">
              <w:rPr>
                <w:szCs w:val="18"/>
              </w:rPr>
              <w:t>,</w:t>
            </w:r>
            <w:r w:rsidRPr="009F335A">
              <w:rPr>
                <w:szCs w:val="18"/>
              </w:rPr>
              <w:t xml:space="preserve"> increased sweating</w:t>
            </w:r>
          </w:p>
        </w:tc>
      </w:tr>
      <w:tr w:rsidR="004151CF" w:rsidRPr="009F335A" w14:paraId="57BA8471" w14:textId="77777777" w:rsidTr="009F335A">
        <w:trPr>
          <w:cantSplit/>
        </w:trPr>
        <w:tc>
          <w:tcPr>
            <w:tcW w:w="2203" w:type="dxa"/>
            <w:tcBorders>
              <w:top w:val="nil"/>
            </w:tcBorders>
            <w:tcMar>
              <w:left w:w="28" w:type="dxa"/>
              <w:right w:w="28" w:type="dxa"/>
            </w:tcMar>
          </w:tcPr>
          <w:p w14:paraId="2CC0D2C1" w14:textId="77777777" w:rsidR="004151CF" w:rsidRPr="009F335A" w:rsidRDefault="004151CF" w:rsidP="002528B4">
            <w:pPr>
              <w:pStyle w:val="TableText"/>
              <w:rPr>
                <w:szCs w:val="18"/>
              </w:rPr>
            </w:pPr>
            <w:r w:rsidRPr="009F335A">
              <w:rPr>
                <w:szCs w:val="18"/>
              </w:rPr>
              <w:t xml:space="preserve">  MAOI </w:t>
            </w:r>
          </w:p>
        </w:tc>
        <w:tc>
          <w:tcPr>
            <w:tcW w:w="6119" w:type="dxa"/>
            <w:tcBorders>
              <w:top w:val="nil"/>
            </w:tcBorders>
            <w:tcMar>
              <w:left w:w="28" w:type="dxa"/>
              <w:right w:w="28" w:type="dxa"/>
            </w:tcMar>
          </w:tcPr>
          <w:p w14:paraId="7C62072F" w14:textId="77777777" w:rsidR="004151CF" w:rsidRPr="009F335A" w:rsidRDefault="004151CF" w:rsidP="002528B4">
            <w:pPr>
              <w:pStyle w:val="TableText"/>
              <w:rPr>
                <w:szCs w:val="18"/>
              </w:rPr>
            </w:pPr>
            <w:r w:rsidRPr="009F335A">
              <w:rPr>
                <w:szCs w:val="18"/>
              </w:rPr>
              <w:t>Drowsiness</w:t>
            </w:r>
            <w:r w:rsidR="0035014E" w:rsidRPr="009F335A">
              <w:rPr>
                <w:szCs w:val="18"/>
              </w:rPr>
              <w:t>,</w:t>
            </w:r>
            <w:r w:rsidRPr="009F335A">
              <w:rPr>
                <w:szCs w:val="18"/>
              </w:rPr>
              <w:t xml:space="preserve"> lethargy</w:t>
            </w:r>
            <w:r w:rsidR="0035014E" w:rsidRPr="009F335A">
              <w:rPr>
                <w:szCs w:val="18"/>
              </w:rPr>
              <w:t>,</w:t>
            </w:r>
            <w:r w:rsidRPr="009F335A">
              <w:rPr>
                <w:szCs w:val="18"/>
              </w:rPr>
              <w:t xml:space="preserve"> insomnia</w:t>
            </w:r>
            <w:r w:rsidR="0035014E" w:rsidRPr="009F335A">
              <w:rPr>
                <w:szCs w:val="18"/>
              </w:rPr>
              <w:t>,</w:t>
            </w:r>
            <w:r w:rsidRPr="009F335A">
              <w:rPr>
                <w:szCs w:val="18"/>
              </w:rPr>
              <w:t xml:space="preserve"> headache</w:t>
            </w:r>
            <w:r w:rsidR="0035014E" w:rsidRPr="009F335A">
              <w:rPr>
                <w:szCs w:val="18"/>
              </w:rPr>
              <w:t>,</w:t>
            </w:r>
            <w:r w:rsidRPr="009F335A">
              <w:rPr>
                <w:szCs w:val="18"/>
              </w:rPr>
              <w:t xml:space="preserve"> dizziness</w:t>
            </w:r>
            <w:r w:rsidR="0035014E" w:rsidRPr="009F335A">
              <w:rPr>
                <w:szCs w:val="18"/>
              </w:rPr>
              <w:t>,</w:t>
            </w:r>
            <w:r w:rsidRPr="009F335A">
              <w:rPr>
                <w:szCs w:val="18"/>
              </w:rPr>
              <w:t xml:space="preserve"> nausea or heartburn</w:t>
            </w:r>
            <w:r w:rsidR="0035014E" w:rsidRPr="009F335A">
              <w:rPr>
                <w:szCs w:val="18"/>
              </w:rPr>
              <w:t>,</w:t>
            </w:r>
            <w:r w:rsidRPr="009F335A">
              <w:rPr>
                <w:szCs w:val="18"/>
              </w:rPr>
              <w:t xml:space="preserve"> dry mouth</w:t>
            </w:r>
            <w:r w:rsidR="0035014E" w:rsidRPr="009F335A">
              <w:rPr>
                <w:szCs w:val="18"/>
              </w:rPr>
              <w:t>,</w:t>
            </w:r>
            <w:r w:rsidRPr="009F335A">
              <w:rPr>
                <w:szCs w:val="18"/>
              </w:rPr>
              <w:t xml:space="preserve"> blurred vision</w:t>
            </w:r>
            <w:r w:rsidR="0035014E" w:rsidRPr="009F335A">
              <w:rPr>
                <w:szCs w:val="18"/>
              </w:rPr>
              <w:t>,</w:t>
            </w:r>
            <w:r w:rsidRPr="009F335A">
              <w:rPr>
                <w:szCs w:val="18"/>
              </w:rPr>
              <w:t xml:space="preserve"> constipation</w:t>
            </w:r>
            <w:r w:rsidR="0035014E" w:rsidRPr="009F335A">
              <w:rPr>
                <w:szCs w:val="18"/>
              </w:rPr>
              <w:t>,</w:t>
            </w:r>
            <w:r w:rsidRPr="009F335A">
              <w:rPr>
                <w:szCs w:val="18"/>
              </w:rPr>
              <w:t xml:space="preserve"> increased sweating</w:t>
            </w:r>
            <w:r w:rsidR="0035014E" w:rsidRPr="009F335A">
              <w:rPr>
                <w:szCs w:val="18"/>
              </w:rPr>
              <w:t>,</w:t>
            </w:r>
            <w:r w:rsidRPr="009F335A">
              <w:rPr>
                <w:szCs w:val="18"/>
              </w:rPr>
              <w:t xml:space="preserve"> muscle tremor</w:t>
            </w:r>
            <w:r w:rsidR="0035014E" w:rsidRPr="009F335A">
              <w:rPr>
                <w:szCs w:val="18"/>
              </w:rPr>
              <w:t>,</w:t>
            </w:r>
            <w:r w:rsidRPr="009F335A">
              <w:rPr>
                <w:szCs w:val="18"/>
              </w:rPr>
              <w:t xml:space="preserve"> loss of appetite</w:t>
            </w:r>
          </w:p>
        </w:tc>
      </w:tr>
      <w:tr w:rsidR="004151CF" w:rsidRPr="009F335A" w14:paraId="60127C9E" w14:textId="77777777" w:rsidTr="009F335A">
        <w:trPr>
          <w:cantSplit/>
        </w:trPr>
        <w:tc>
          <w:tcPr>
            <w:tcW w:w="2203" w:type="dxa"/>
            <w:tcMar>
              <w:left w:w="28" w:type="dxa"/>
              <w:right w:w="28" w:type="dxa"/>
            </w:tcMar>
          </w:tcPr>
          <w:p w14:paraId="2977D252" w14:textId="77777777" w:rsidR="004151CF" w:rsidRPr="009F335A" w:rsidRDefault="004151CF" w:rsidP="002528B4">
            <w:pPr>
              <w:pStyle w:val="TableText"/>
              <w:rPr>
                <w:b/>
                <w:szCs w:val="18"/>
              </w:rPr>
            </w:pPr>
            <w:r w:rsidRPr="009F335A">
              <w:rPr>
                <w:b/>
                <w:szCs w:val="18"/>
              </w:rPr>
              <w:t>ECT</w:t>
            </w:r>
          </w:p>
        </w:tc>
        <w:tc>
          <w:tcPr>
            <w:tcW w:w="6119" w:type="dxa"/>
            <w:tcMar>
              <w:left w:w="28" w:type="dxa"/>
              <w:right w:w="28" w:type="dxa"/>
            </w:tcMar>
          </w:tcPr>
          <w:p w14:paraId="74CC6383" w14:textId="4B674A60" w:rsidR="004151CF" w:rsidRPr="009F335A" w:rsidRDefault="004151CF" w:rsidP="002528B4">
            <w:pPr>
              <w:pStyle w:val="TableText"/>
              <w:rPr>
                <w:szCs w:val="18"/>
              </w:rPr>
            </w:pPr>
            <w:r w:rsidRPr="009F335A">
              <w:rPr>
                <w:szCs w:val="18"/>
              </w:rPr>
              <w:t xml:space="preserve">Cognitive problems, retrograde and anterograde amnesia, post-ictal delirium, myalgia, </w:t>
            </w:r>
            <w:r w:rsidR="00400226">
              <w:rPr>
                <w:szCs w:val="18"/>
              </w:rPr>
              <w:t xml:space="preserve">headache, falls, </w:t>
            </w:r>
            <w:r w:rsidRPr="009F335A">
              <w:rPr>
                <w:szCs w:val="18"/>
              </w:rPr>
              <w:t>cardiovascular, pulmonary and dental complications, and death.</w:t>
            </w:r>
          </w:p>
        </w:tc>
      </w:tr>
    </w:tbl>
    <w:p w14:paraId="4043A61F" w14:textId="77777777" w:rsidR="009F335A" w:rsidRPr="009F335A" w:rsidRDefault="009F335A" w:rsidP="002528B4">
      <w:pPr>
        <w:keepNext/>
        <w:autoSpaceDE w:val="0"/>
        <w:autoSpaceDN w:val="0"/>
        <w:adjustRightInd w:val="0"/>
        <w:spacing w:before="40" w:after="40"/>
        <w:ind w:left="709"/>
        <w:rPr>
          <w:rFonts w:ascii="Arial Narrow" w:hAnsi="Arial Narrow" w:cs="ArialNarrow"/>
          <w:sz w:val="18"/>
          <w:szCs w:val="18"/>
        </w:rPr>
      </w:pPr>
      <w:r w:rsidRPr="009F335A">
        <w:rPr>
          <w:rFonts w:ascii="Arial Narrow" w:hAnsi="Arial Narrow" w:cs="ArialNarrow"/>
          <w:sz w:val="18"/>
          <w:szCs w:val="18"/>
        </w:rPr>
        <w:t>Source: MSAC 1101, 2007</w:t>
      </w:r>
    </w:p>
    <w:p w14:paraId="7E48BC3D" w14:textId="77777777" w:rsidR="009F335A" w:rsidRDefault="004151CF" w:rsidP="002528B4">
      <w:pPr>
        <w:keepNext/>
        <w:autoSpaceDE w:val="0"/>
        <w:autoSpaceDN w:val="0"/>
        <w:adjustRightInd w:val="0"/>
        <w:spacing w:before="40" w:after="40"/>
        <w:ind w:left="709"/>
        <w:rPr>
          <w:rFonts w:ascii="Arial Narrow" w:hAnsi="Arial Narrow" w:cs="ArialNarrow"/>
          <w:sz w:val="18"/>
          <w:szCs w:val="18"/>
        </w:rPr>
      </w:pPr>
      <w:r w:rsidRPr="009F335A">
        <w:rPr>
          <w:rFonts w:ascii="Arial Narrow" w:hAnsi="Arial Narrow" w:cs="ArialNarrow"/>
          <w:sz w:val="18"/>
          <w:szCs w:val="18"/>
        </w:rPr>
        <w:t>ECT = electro convulsive therapy; MAOI=Monoamine Oxidase Inhibitors; TCA= Tricyclic Anti-depressants; SSRI= Selective Serotonin Reuptake Inhibitors; NARI= Noradrenaline Reuptake Inhibitors; SNRI= Serotonin and Noradrenaline Reuptake Inhibitors; RIMA=Reversible Inhibitors of Monoamine Oxidase– A; rTMS = repetitive Transcranial Magnetic Stimulation; NaSSA=Noradrenaline Serotonin Specific Anti-depressants</w:t>
      </w:r>
    </w:p>
    <w:p w14:paraId="476A6D37" w14:textId="77777777" w:rsidR="00BC0A4E" w:rsidRPr="00BC0A4E" w:rsidRDefault="00BC0A4E" w:rsidP="00BC0A4E">
      <w:pPr>
        <w:keepNext/>
        <w:autoSpaceDE w:val="0"/>
        <w:autoSpaceDN w:val="0"/>
        <w:adjustRightInd w:val="0"/>
        <w:spacing w:after="0"/>
        <w:ind w:left="709"/>
        <w:rPr>
          <w:rFonts w:ascii="Arial Narrow" w:hAnsi="Arial Narrow" w:cs="ArialNarrow"/>
          <w:sz w:val="18"/>
          <w:szCs w:val="18"/>
        </w:rPr>
      </w:pPr>
    </w:p>
    <w:p w14:paraId="58ECB6F6" w14:textId="3AA5BF94" w:rsidR="00F302BD" w:rsidRPr="00374B0F" w:rsidRDefault="00F302BD" w:rsidP="00CA0A85">
      <w:pPr>
        <w:pStyle w:val="NoSpacing"/>
        <w:spacing w:after="240"/>
        <w:jc w:val="both"/>
      </w:pPr>
      <w:r w:rsidRPr="00374B0F">
        <w:t>A summary of the adverse eve</w:t>
      </w:r>
      <w:r w:rsidR="00DB0D3D">
        <w:t xml:space="preserve">nts noted in the NeuroStar </w:t>
      </w:r>
      <w:r w:rsidR="00400226">
        <w:t>r</w:t>
      </w:r>
      <w:r w:rsidR="00DB0D3D">
        <w:t>TMS T</w:t>
      </w:r>
      <w:r w:rsidRPr="00374B0F">
        <w:t>herapy registration study is found in</w:t>
      </w:r>
      <w:r w:rsidR="009F335A">
        <w:t xml:space="preserve"> </w:t>
      </w:r>
      <w:r w:rsidR="00632D26">
        <w:fldChar w:fldCharType="begin"/>
      </w:r>
      <w:r w:rsidR="00632D26">
        <w:instrText xml:space="preserve"> REF _Ref386031015 \h  \* MERGEFORMAT </w:instrText>
      </w:r>
      <w:r w:rsidR="00632D26">
        <w:fldChar w:fldCharType="separate"/>
      </w:r>
      <w:proofErr w:type="gramStart"/>
      <w:r w:rsidR="004C1C27" w:rsidRPr="002528B4">
        <w:t xml:space="preserve">Table </w:t>
      </w:r>
      <w:proofErr w:type="gramEnd"/>
      <w:r w:rsidR="00632D26">
        <w:fldChar w:fldCharType="end"/>
      </w:r>
      <w:r w:rsidR="00632D26">
        <w:t xml:space="preserve">. </w:t>
      </w:r>
      <w:r w:rsidRPr="00374B0F">
        <w:t>Additionally, a comprehensive review of the s</w:t>
      </w:r>
      <w:r w:rsidR="00DB0D3D">
        <w:t xml:space="preserve">afety profile of NeuroStar </w:t>
      </w:r>
      <w:r w:rsidR="00400226">
        <w:t>r</w:t>
      </w:r>
      <w:r w:rsidR="00DB0D3D">
        <w:t>TMS T</w:t>
      </w:r>
      <w:r w:rsidRPr="00374B0F">
        <w:t>herapy is provided by Janicak and colleagues (2008)</w:t>
      </w:r>
      <w:r w:rsidR="00F121FD">
        <w:t xml:space="preserve"> and discussed here</w:t>
      </w:r>
      <w:r w:rsidRPr="00374B0F">
        <w:t xml:space="preserve">. </w:t>
      </w:r>
    </w:p>
    <w:p w14:paraId="0C33EF5C" w14:textId="750E5273" w:rsidR="00851CF6" w:rsidRPr="002528B4" w:rsidRDefault="009F335A" w:rsidP="002528B4">
      <w:pPr>
        <w:pStyle w:val="TableName"/>
      </w:pPr>
      <w:bookmarkStart w:id="120" w:name="_Ref386031015"/>
      <w:bookmarkStart w:id="121" w:name="_Toc389143585"/>
      <w:r w:rsidRPr="002528B4">
        <w:lastRenderedPageBreak/>
        <w:t xml:space="preserve">Table </w:t>
      </w:r>
      <w:bookmarkEnd w:id="120"/>
      <w:r w:rsidR="006C19DA">
        <w:t>11</w:t>
      </w:r>
      <w:r w:rsidRPr="002528B4">
        <w:t xml:space="preserve">: </w:t>
      </w:r>
      <w:r w:rsidR="00F302BD" w:rsidRPr="002528B4">
        <w:t xml:space="preserve">NeuroStar </w:t>
      </w:r>
      <w:r w:rsidR="00400226">
        <w:t>r</w:t>
      </w:r>
      <w:r w:rsidR="00F302BD" w:rsidRPr="002528B4">
        <w:t xml:space="preserve">TMS Therapy: </w:t>
      </w:r>
      <w:r w:rsidR="00374B0F" w:rsidRPr="002528B4">
        <w:t>c</w:t>
      </w:r>
      <w:r w:rsidR="00F302BD" w:rsidRPr="002528B4">
        <w:t xml:space="preserve">ommon </w:t>
      </w:r>
      <w:r w:rsidR="00374B0F" w:rsidRPr="002528B4">
        <w:t>a</w:t>
      </w:r>
      <w:r w:rsidR="00F302BD" w:rsidRPr="002528B4">
        <w:t xml:space="preserve">dverse </w:t>
      </w:r>
      <w:r w:rsidR="00374B0F" w:rsidRPr="002528B4">
        <w:t>e</w:t>
      </w:r>
      <w:r w:rsidR="00F302BD" w:rsidRPr="002528B4">
        <w:t>vents</w:t>
      </w:r>
      <w:r w:rsidR="002111F6" w:rsidRPr="002528B4">
        <w:t xml:space="preserve"> (acute treatment phase)</w:t>
      </w:r>
      <w:bookmarkEnd w:id="121"/>
    </w:p>
    <w:tbl>
      <w:tblPr>
        <w:tblStyle w:val="TableGrid"/>
        <w:tblW w:w="8363" w:type="dxa"/>
        <w:tblInd w:w="760" w:type="dxa"/>
        <w:tblLook w:val="04A0" w:firstRow="1" w:lastRow="0" w:firstColumn="1" w:lastColumn="0" w:noHBand="0" w:noVBand="1"/>
        <w:tblCaption w:val="Table 11: NeuroStar rTMS Therapy: common adverse events (acute treatment phase)"/>
      </w:tblPr>
      <w:tblGrid>
        <w:gridCol w:w="3743"/>
        <w:gridCol w:w="1775"/>
        <w:gridCol w:w="1556"/>
        <w:gridCol w:w="1289"/>
      </w:tblGrid>
      <w:tr w:rsidR="009E06B4" w:rsidRPr="009E06B4" w14:paraId="44DAC3EB" w14:textId="77777777" w:rsidTr="00194AED">
        <w:trPr>
          <w:cantSplit/>
          <w:trHeight w:val="399"/>
          <w:tblHeader/>
        </w:trPr>
        <w:tc>
          <w:tcPr>
            <w:tcW w:w="3743" w:type="dxa"/>
            <w:tcMar>
              <w:left w:w="28" w:type="dxa"/>
              <w:right w:w="28" w:type="dxa"/>
            </w:tcMar>
            <w:vAlign w:val="center"/>
          </w:tcPr>
          <w:p w14:paraId="3F7256CB" w14:textId="77777777" w:rsidR="009E06B4" w:rsidRPr="009E06B4" w:rsidRDefault="009E06B4" w:rsidP="002528B4">
            <w:pPr>
              <w:pStyle w:val="TableText"/>
              <w:rPr>
                <w:b/>
              </w:rPr>
            </w:pPr>
            <w:r w:rsidRPr="009E06B4">
              <w:rPr>
                <w:b/>
              </w:rPr>
              <w:t>Adverse event</w:t>
            </w:r>
          </w:p>
        </w:tc>
        <w:tc>
          <w:tcPr>
            <w:tcW w:w="1775" w:type="dxa"/>
            <w:tcMar>
              <w:left w:w="28" w:type="dxa"/>
              <w:right w:w="28" w:type="dxa"/>
            </w:tcMar>
            <w:vAlign w:val="center"/>
          </w:tcPr>
          <w:p w14:paraId="20787055" w14:textId="40D6D627" w:rsidR="009E06B4" w:rsidRPr="009E06B4" w:rsidRDefault="009E06B4" w:rsidP="002528B4">
            <w:pPr>
              <w:pStyle w:val="TableText"/>
              <w:jc w:val="center"/>
              <w:rPr>
                <w:b/>
              </w:rPr>
            </w:pPr>
            <w:r w:rsidRPr="009E06B4">
              <w:rPr>
                <w:b/>
              </w:rPr>
              <w:t xml:space="preserve">NeuroStar </w:t>
            </w:r>
            <w:r w:rsidR="00400226">
              <w:rPr>
                <w:b/>
              </w:rPr>
              <w:t>r</w:t>
            </w:r>
            <w:r w:rsidRPr="009E06B4">
              <w:rPr>
                <w:b/>
              </w:rPr>
              <w:t>TMS (n=165)</w:t>
            </w:r>
          </w:p>
          <w:p w14:paraId="477A2467" w14:textId="77777777" w:rsidR="009E06B4" w:rsidRPr="009E06B4" w:rsidRDefault="009E06B4" w:rsidP="002528B4">
            <w:pPr>
              <w:pStyle w:val="TableText"/>
              <w:jc w:val="center"/>
              <w:rPr>
                <w:b/>
              </w:rPr>
            </w:pPr>
            <w:r w:rsidRPr="009E06B4">
              <w:rPr>
                <w:b/>
              </w:rPr>
              <w:t>N (%)</w:t>
            </w:r>
          </w:p>
        </w:tc>
        <w:tc>
          <w:tcPr>
            <w:tcW w:w="1556" w:type="dxa"/>
            <w:tcMar>
              <w:left w:w="28" w:type="dxa"/>
              <w:right w:w="28" w:type="dxa"/>
            </w:tcMar>
            <w:vAlign w:val="center"/>
          </w:tcPr>
          <w:p w14:paraId="33D34DBF" w14:textId="77777777" w:rsidR="009E06B4" w:rsidRPr="009E06B4" w:rsidRDefault="009E06B4" w:rsidP="002528B4">
            <w:pPr>
              <w:pStyle w:val="TableText"/>
              <w:jc w:val="center"/>
              <w:rPr>
                <w:b/>
              </w:rPr>
            </w:pPr>
            <w:r w:rsidRPr="009E06B4">
              <w:rPr>
                <w:b/>
              </w:rPr>
              <w:t>Sham TMS (n=158)</w:t>
            </w:r>
          </w:p>
          <w:p w14:paraId="4C5A796B" w14:textId="77777777" w:rsidR="009E06B4" w:rsidRPr="009E06B4" w:rsidRDefault="009E06B4" w:rsidP="002528B4">
            <w:pPr>
              <w:pStyle w:val="TableText"/>
              <w:jc w:val="center"/>
              <w:rPr>
                <w:b/>
              </w:rPr>
            </w:pPr>
            <w:r w:rsidRPr="009E06B4">
              <w:rPr>
                <w:b/>
              </w:rPr>
              <w:t>N (%)</w:t>
            </w:r>
          </w:p>
        </w:tc>
        <w:tc>
          <w:tcPr>
            <w:tcW w:w="1289" w:type="dxa"/>
            <w:tcMar>
              <w:left w:w="28" w:type="dxa"/>
              <w:right w:w="28" w:type="dxa"/>
            </w:tcMar>
            <w:vAlign w:val="center"/>
          </w:tcPr>
          <w:p w14:paraId="45F0E054" w14:textId="77777777" w:rsidR="009E06B4" w:rsidRPr="009E06B4" w:rsidRDefault="009E06B4" w:rsidP="002528B4">
            <w:pPr>
              <w:pStyle w:val="TableText"/>
              <w:jc w:val="center"/>
              <w:rPr>
                <w:b/>
              </w:rPr>
            </w:pPr>
            <w:r>
              <w:rPr>
                <w:b/>
              </w:rPr>
              <w:t>NNH</w:t>
            </w:r>
            <w:r w:rsidR="00651C35">
              <w:rPr>
                <w:b/>
              </w:rPr>
              <w:t xml:space="preserve"> (95% CI)</w:t>
            </w:r>
          </w:p>
        </w:tc>
      </w:tr>
      <w:tr w:rsidR="009E06B4" w14:paraId="79EF598F" w14:textId="77777777" w:rsidTr="00194AED">
        <w:trPr>
          <w:cantSplit/>
          <w:trHeight w:val="399"/>
          <w:tblHeader/>
        </w:trPr>
        <w:tc>
          <w:tcPr>
            <w:tcW w:w="3743" w:type="dxa"/>
            <w:tcMar>
              <w:left w:w="28" w:type="dxa"/>
              <w:right w:w="28" w:type="dxa"/>
            </w:tcMar>
            <w:vAlign w:val="center"/>
          </w:tcPr>
          <w:p w14:paraId="179ADA34" w14:textId="77777777" w:rsidR="009E06B4" w:rsidRPr="006839C4" w:rsidRDefault="009E06B4" w:rsidP="002528B4">
            <w:pPr>
              <w:pStyle w:val="TableText"/>
            </w:pPr>
            <w:r w:rsidRPr="006839C4">
              <w:t>Eye disorders</w:t>
            </w:r>
          </w:p>
          <w:p w14:paraId="2AB1A979" w14:textId="77777777" w:rsidR="009E06B4" w:rsidRPr="006839C4" w:rsidRDefault="009E06B4" w:rsidP="002528B4">
            <w:pPr>
              <w:pStyle w:val="TableText"/>
            </w:pPr>
            <w:r w:rsidRPr="006839C4">
              <w:t>- Eye pain</w:t>
            </w:r>
          </w:p>
        </w:tc>
        <w:tc>
          <w:tcPr>
            <w:tcW w:w="1775" w:type="dxa"/>
            <w:tcMar>
              <w:left w:w="28" w:type="dxa"/>
              <w:right w:w="28" w:type="dxa"/>
            </w:tcMar>
            <w:vAlign w:val="center"/>
          </w:tcPr>
          <w:p w14:paraId="7CBF63B7" w14:textId="77777777" w:rsidR="009E06B4" w:rsidRPr="006839C4" w:rsidRDefault="009E06B4" w:rsidP="002528B4">
            <w:pPr>
              <w:pStyle w:val="TableText"/>
              <w:jc w:val="center"/>
            </w:pPr>
          </w:p>
          <w:p w14:paraId="55615EBD" w14:textId="77777777" w:rsidR="009E06B4" w:rsidRPr="006839C4" w:rsidRDefault="009E06B4" w:rsidP="002528B4">
            <w:pPr>
              <w:pStyle w:val="TableText"/>
              <w:jc w:val="center"/>
            </w:pPr>
            <w:r w:rsidRPr="006839C4">
              <w:t>10 (6.1%)</w:t>
            </w:r>
          </w:p>
        </w:tc>
        <w:tc>
          <w:tcPr>
            <w:tcW w:w="1556" w:type="dxa"/>
            <w:tcMar>
              <w:left w:w="28" w:type="dxa"/>
              <w:right w:w="28" w:type="dxa"/>
            </w:tcMar>
            <w:vAlign w:val="center"/>
          </w:tcPr>
          <w:p w14:paraId="137C4ADC" w14:textId="77777777" w:rsidR="009E06B4" w:rsidRPr="006839C4" w:rsidRDefault="009E06B4" w:rsidP="002528B4">
            <w:pPr>
              <w:pStyle w:val="TableText"/>
              <w:jc w:val="center"/>
            </w:pPr>
          </w:p>
          <w:p w14:paraId="2250975D" w14:textId="77777777" w:rsidR="009E06B4" w:rsidRPr="006839C4" w:rsidRDefault="009E06B4" w:rsidP="002528B4">
            <w:pPr>
              <w:pStyle w:val="TableText"/>
              <w:jc w:val="center"/>
            </w:pPr>
            <w:r w:rsidRPr="006839C4">
              <w:t>3 (1.9%)</w:t>
            </w:r>
          </w:p>
        </w:tc>
        <w:tc>
          <w:tcPr>
            <w:tcW w:w="1289" w:type="dxa"/>
            <w:tcMar>
              <w:left w:w="28" w:type="dxa"/>
              <w:right w:w="28" w:type="dxa"/>
            </w:tcMar>
            <w:vAlign w:val="center"/>
          </w:tcPr>
          <w:p w14:paraId="08CBA288" w14:textId="77777777" w:rsidR="009E06B4" w:rsidRDefault="009E06B4" w:rsidP="002528B4">
            <w:pPr>
              <w:pStyle w:val="TableText"/>
              <w:jc w:val="center"/>
            </w:pPr>
          </w:p>
          <w:p w14:paraId="0726E36C" w14:textId="77777777" w:rsidR="009E06B4" w:rsidRPr="006839C4" w:rsidRDefault="009E06B4" w:rsidP="002528B4">
            <w:pPr>
              <w:pStyle w:val="TableText"/>
              <w:jc w:val="center"/>
            </w:pPr>
            <w:r>
              <w:t>24 (-1000, 12)</w:t>
            </w:r>
          </w:p>
        </w:tc>
      </w:tr>
      <w:tr w:rsidR="009E06B4" w14:paraId="31F059BF" w14:textId="77777777" w:rsidTr="00194AED">
        <w:trPr>
          <w:cantSplit/>
          <w:trHeight w:val="410"/>
          <w:tblHeader/>
        </w:trPr>
        <w:tc>
          <w:tcPr>
            <w:tcW w:w="3743" w:type="dxa"/>
            <w:tcMar>
              <w:left w:w="28" w:type="dxa"/>
              <w:right w:w="28" w:type="dxa"/>
            </w:tcMar>
            <w:vAlign w:val="center"/>
          </w:tcPr>
          <w:p w14:paraId="6E4BAD0C" w14:textId="77777777" w:rsidR="009E06B4" w:rsidRPr="006839C4" w:rsidRDefault="009E06B4" w:rsidP="002528B4">
            <w:pPr>
              <w:pStyle w:val="TableText"/>
              <w:keepNext w:val="0"/>
              <w:widowControl w:val="0"/>
            </w:pPr>
            <w:r w:rsidRPr="006839C4">
              <w:t>Gastrointestinal disorders</w:t>
            </w:r>
          </w:p>
          <w:p w14:paraId="683A86FD" w14:textId="77777777" w:rsidR="009E06B4" w:rsidRPr="006839C4" w:rsidRDefault="009E06B4" w:rsidP="002528B4">
            <w:pPr>
              <w:pStyle w:val="TableText"/>
              <w:keepNext w:val="0"/>
              <w:widowControl w:val="0"/>
            </w:pPr>
            <w:r w:rsidRPr="006839C4">
              <w:t>- Toothache</w:t>
            </w:r>
          </w:p>
        </w:tc>
        <w:tc>
          <w:tcPr>
            <w:tcW w:w="1775" w:type="dxa"/>
            <w:tcMar>
              <w:left w:w="28" w:type="dxa"/>
              <w:right w:w="28" w:type="dxa"/>
            </w:tcMar>
            <w:vAlign w:val="center"/>
          </w:tcPr>
          <w:p w14:paraId="28598BD3" w14:textId="77777777" w:rsidR="009E06B4" w:rsidRPr="006839C4" w:rsidRDefault="009E06B4" w:rsidP="002528B4">
            <w:pPr>
              <w:pStyle w:val="TableText"/>
              <w:keepNext w:val="0"/>
              <w:widowControl w:val="0"/>
              <w:jc w:val="center"/>
            </w:pPr>
          </w:p>
          <w:p w14:paraId="0E55F76B" w14:textId="77777777" w:rsidR="009E06B4" w:rsidRPr="006839C4" w:rsidRDefault="009E06B4" w:rsidP="002528B4">
            <w:pPr>
              <w:pStyle w:val="TableText"/>
              <w:keepNext w:val="0"/>
              <w:widowControl w:val="0"/>
              <w:jc w:val="center"/>
            </w:pPr>
            <w:r w:rsidRPr="006839C4">
              <w:t>12 (7.3%)</w:t>
            </w:r>
          </w:p>
        </w:tc>
        <w:tc>
          <w:tcPr>
            <w:tcW w:w="1556" w:type="dxa"/>
            <w:tcMar>
              <w:left w:w="28" w:type="dxa"/>
              <w:right w:w="28" w:type="dxa"/>
            </w:tcMar>
            <w:vAlign w:val="center"/>
          </w:tcPr>
          <w:p w14:paraId="13018E94" w14:textId="77777777" w:rsidR="009E06B4" w:rsidRPr="006839C4" w:rsidRDefault="009E06B4" w:rsidP="002528B4">
            <w:pPr>
              <w:pStyle w:val="TableText"/>
              <w:keepNext w:val="0"/>
              <w:widowControl w:val="0"/>
              <w:jc w:val="center"/>
            </w:pPr>
          </w:p>
          <w:p w14:paraId="3DC77AEA" w14:textId="77777777" w:rsidR="009E06B4" w:rsidRPr="006839C4" w:rsidRDefault="009E06B4" w:rsidP="002528B4">
            <w:pPr>
              <w:pStyle w:val="TableText"/>
              <w:keepNext w:val="0"/>
              <w:widowControl w:val="0"/>
              <w:jc w:val="center"/>
            </w:pPr>
            <w:r w:rsidRPr="006839C4">
              <w:t>1 (0.6%)</w:t>
            </w:r>
          </w:p>
        </w:tc>
        <w:tc>
          <w:tcPr>
            <w:tcW w:w="1289" w:type="dxa"/>
            <w:tcMar>
              <w:left w:w="28" w:type="dxa"/>
              <w:right w:w="28" w:type="dxa"/>
            </w:tcMar>
            <w:vAlign w:val="center"/>
          </w:tcPr>
          <w:p w14:paraId="28C330DC" w14:textId="77777777" w:rsidR="00651C35" w:rsidRDefault="00651C35" w:rsidP="002528B4">
            <w:pPr>
              <w:pStyle w:val="TableText"/>
              <w:keepNext w:val="0"/>
              <w:widowControl w:val="0"/>
              <w:jc w:val="center"/>
            </w:pPr>
          </w:p>
          <w:p w14:paraId="63363732" w14:textId="77777777" w:rsidR="009E06B4" w:rsidRPr="006839C4" w:rsidRDefault="009E06B4" w:rsidP="002528B4">
            <w:pPr>
              <w:pStyle w:val="TableText"/>
              <w:keepNext w:val="0"/>
              <w:widowControl w:val="0"/>
              <w:jc w:val="center"/>
            </w:pPr>
            <w:r>
              <w:t>15 (40, 9)</w:t>
            </w:r>
          </w:p>
        </w:tc>
      </w:tr>
      <w:tr w:rsidR="009E06B4" w14:paraId="331278C3" w14:textId="77777777" w:rsidTr="00194AED">
        <w:trPr>
          <w:cantSplit/>
          <w:trHeight w:val="809"/>
          <w:tblHeader/>
        </w:trPr>
        <w:tc>
          <w:tcPr>
            <w:tcW w:w="3743" w:type="dxa"/>
            <w:tcMar>
              <w:left w:w="28" w:type="dxa"/>
              <w:right w:w="28" w:type="dxa"/>
            </w:tcMar>
            <w:vAlign w:val="center"/>
          </w:tcPr>
          <w:p w14:paraId="6CAFD365" w14:textId="77777777" w:rsidR="009E06B4" w:rsidRPr="006839C4" w:rsidRDefault="009E06B4" w:rsidP="002528B4">
            <w:pPr>
              <w:pStyle w:val="TableText"/>
              <w:keepNext w:val="0"/>
              <w:widowControl w:val="0"/>
            </w:pPr>
            <w:r w:rsidRPr="006839C4">
              <w:t>General disorders and site-administration conditions</w:t>
            </w:r>
          </w:p>
          <w:p w14:paraId="304DAFD2" w14:textId="77777777" w:rsidR="009E06B4" w:rsidRPr="006839C4" w:rsidRDefault="009E06B4" w:rsidP="002528B4">
            <w:pPr>
              <w:pStyle w:val="TableText"/>
              <w:keepNext w:val="0"/>
              <w:widowControl w:val="0"/>
            </w:pPr>
            <w:r w:rsidRPr="006839C4">
              <w:t>- Application site discomfort</w:t>
            </w:r>
          </w:p>
          <w:p w14:paraId="2F5ED4F2" w14:textId="77777777" w:rsidR="009E06B4" w:rsidRPr="006839C4" w:rsidRDefault="009E06B4" w:rsidP="002528B4">
            <w:pPr>
              <w:pStyle w:val="TableText"/>
              <w:keepNext w:val="0"/>
              <w:widowControl w:val="0"/>
            </w:pPr>
            <w:r w:rsidRPr="006839C4">
              <w:t>- Application site pain</w:t>
            </w:r>
          </w:p>
          <w:p w14:paraId="641C1098" w14:textId="77777777" w:rsidR="009E06B4" w:rsidRPr="006839C4" w:rsidRDefault="009E06B4" w:rsidP="002528B4">
            <w:pPr>
              <w:pStyle w:val="TableText"/>
              <w:keepNext w:val="0"/>
              <w:widowControl w:val="0"/>
            </w:pPr>
            <w:r w:rsidRPr="006839C4">
              <w:t>- Facial pain</w:t>
            </w:r>
          </w:p>
        </w:tc>
        <w:tc>
          <w:tcPr>
            <w:tcW w:w="1775" w:type="dxa"/>
            <w:tcMar>
              <w:left w:w="28" w:type="dxa"/>
              <w:right w:w="28" w:type="dxa"/>
            </w:tcMar>
            <w:vAlign w:val="center"/>
          </w:tcPr>
          <w:p w14:paraId="23B57867" w14:textId="77777777" w:rsidR="009E06B4" w:rsidRDefault="009E06B4" w:rsidP="002528B4">
            <w:pPr>
              <w:pStyle w:val="TableText"/>
              <w:keepNext w:val="0"/>
              <w:widowControl w:val="0"/>
            </w:pPr>
          </w:p>
          <w:p w14:paraId="03D8D173" w14:textId="77777777" w:rsidR="009E06B4" w:rsidRPr="006839C4" w:rsidRDefault="009E06B4" w:rsidP="002528B4">
            <w:pPr>
              <w:pStyle w:val="TableText"/>
              <w:keepNext w:val="0"/>
              <w:widowControl w:val="0"/>
              <w:jc w:val="center"/>
            </w:pPr>
            <w:r w:rsidRPr="006839C4">
              <w:t>18 (10.9%)</w:t>
            </w:r>
          </w:p>
          <w:p w14:paraId="2FE7EDF0" w14:textId="77777777" w:rsidR="009E06B4" w:rsidRPr="006839C4" w:rsidRDefault="009E06B4" w:rsidP="002528B4">
            <w:pPr>
              <w:pStyle w:val="TableText"/>
              <w:keepNext w:val="0"/>
              <w:widowControl w:val="0"/>
              <w:jc w:val="center"/>
            </w:pPr>
            <w:r w:rsidRPr="006839C4">
              <w:t>59 (35.8%)</w:t>
            </w:r>
          </w:p>
          <w:p w14:paraId="6F9FDCC3" w14:textId="77777777" w:rsidR="009E06B4" w:rsidRPr="006839C4" w:rsidRDefault="009E06B4" w:rsidP="002528B4">
            <w:pPr>
              <w:pStyle w:val="TableText"/>
              <w:keepNext w:val="0"/>
              <w:widowControl w:val="0"/>
              <w:jc w:val="center"/>
            </w:pPr>
            <w:r w:rsidRPr="006839C4">
              <w:t>11 (6.7%)</w:t>
            </w:r>
          </w:p>
        </w:tc>
        <w:tc>
          <w:tcPr>
            <w:tcW w:w="1556" w:type="dxa"/>
            <w:tcMar>
              <w:left w:w="28" w:type="dxa"/>
              <w:right w:w="28" w:type="dxa"/>
            </w:tcMar>
            <w:vAlign w:val="center"/>
          </w:tcPr>
          <w:p w14:paraId="62E5171B" w14:textId="77777777" w:rsidR="009E06B4" w:rsidRDefault="009E06B4" w:rsidP="002528B4">
            <w:pPr>
              <w:pStyle w:val="TableText"/>
              <w:keepNext w:val="0"/>
              <w:widowControl w:val="0"/>
              <w:jc w:val="center"/>
            </w:pPr>
          </w:p>
          <w:p w14:paraId="09B440CD" w14:textId="77777777" w:rsidR="009E06B4" w:rsidRPr="006839C4" w:rsidRDefault="009E06B4" w:rsidP="002528B4">
            <w:pPr>
              <w:pStyle w:val="TableText"/>
              <w:keepNext w:val="0"/>
              <w:widowControl w:val="0"/>
              <w:jc w:val="center"/>
            </w:pPr>
            <w:r w:rsidRPr="006839C4">
              <w:t>2 (1.3%)</w:t>
            </w:r>
          </w:p>
          <w:p w14:paraId="6326B1B7" w14:textId="77777777" w:rsidR="009E06B4" w:rsidRPr="006839C4" w:rsidRDefault="009E06B4" w:rsidP="002528B4">
            <w:pPr>
              <w:pStyle w:val="TableText"/>
              <w:keepNext w:val="0"/>
              <w:widowControl w:val="0"/>
              <w:jc w:val="center"/>
            </w:pPr>
            <w:r w:rsidRPr="006839C4">
              <w:t>6 (3.8%)</w:t>
            </w:r>
          </w:p>
          <w:p w14:paraId="5E7CB0FD" w14:textId="77777777" w:rsidR="009E06B4" w:rsidRPr="006839C4" w:rsidRDefault="009E06B4" w:rsidP="002528B4">
            <w:pPr>
              <w:pStyle w:val="TableText"/>
              <w:keepNext w:val="0"/>
              <w:widowControl w:val="0"/>
              <w:jc w:val="center"/>
            </w:pPr>
            <w:r w:rsidRPr="006839C4">
              <w:t>5 (3.2%)</w:t>
            </w:r>
          </w:p>
        </w:tc>
        <w:tc>
          <w:tcPr>
            <w:tcW w:w="1289" w:type="dxa"/>
            <w:tcMar>
              <w:left w:w="28" w:type="dxa"/>
              <w:right w:w="28" w:type="dxa"/>
            </w:tcMar>
            <w:vAlign w:val="center"/>
          </w:tcPr>
          <w:p w14:paraId="709ECF3F" w14:textId="77777777" w:rsidR="009E06B4" w:rsidRDefault="009E06B4" w:rsidP="002528B4">
            <w:pPr>
              <w:pStyle w:val="TableText"/>
              <w:keepNext w:val="0"/>
              <w:widowControl w:val="0"/>
            </w:pPr>
          </w:p>
          <w:p w14:paraId="17818EF6" w14:textId="77777777" w:rsidR="009E06B4" w:rsidRDefault="009E06B4" w:rsidP="002528B4">
            <w:pPr>
              <w:pStyle w:val="TableText"/>
              <w:keepNext w:val="0"/>
              <w:widowControl w:val="0"/>
              <w:jc w:val="center"/>
            </w:pPr>
            <w:r>
              <w:t>10 (22, 7)</w:t>
            </w:r>
          </w:p>
          <w:p w14:paraId="60563C92" w14:textId="77777777" w:rsidR="009E06B4" w:rsidRDefault="009E06B4" w:rsidP="002528B4">
            <w:pPr>
              <w:pStyle w:val="TableText"/>
              <w:keepNext w:val="0"/>
              <w:widowControl w:val="0"/>
              <w:jc w:val="center"/>
            </w:pPr>
            <w:r>
              <w:t>3 (4, 3)</w:t>
            </w:r>
          </w:p>
          <w:p w14:paraId="675E98A2" w14:textId="77777777" w:rsidR="009E06B4" w:rsidRDefault="009E06B4" w:rsidP="002528B4">
            <w:pPr>
              <w:pStyle w:val="TableText"/>
              <w:keepNext w:val="0"/>
              <w:widowControl w:val="0"/>
              <w:jc w:val="center"/>
            </w:pPr>
            <w:r>
              <w:t>29 (-83, 12)</w:t>
            </w:r>
          </w:p>
        </w:tc>
      </w:tr>
      <w:tr w:rsidR="009E06B4" w14:paraId="33919694" w14:textId="77777777" w:rsidTr="00194AED">
        <w:trPr>
          <w:cantSplit/>
          <w:trHeight w:val="399"/>
          <w:tblHeader/>
        </w:trPr>
        <w:tc>
          <w:tcPr>
            <w:tcW w:w="3743" w:type="dxa"/>
            <w:tcMar>
              <w:left w:w="28" w:type="dxa"/>
              <w:right w:w="28" w:type="dxa"/>
            </w:tcMar>
            <w:vAlign w:val="center"/>
          </w:tcPr>
          <w:p w14:paraId="66AF989E" w14:textId="77777777" w:rsidR="009E06B4" w:rsidRPr="006839C4" w:rsidRDefault="009E06B4" w:rsidP="002528B4">
            <w:pPr>
              <w:pStyle w:val="TableText"/>
              <w:keepNext w:val="0"/>
              <w:widowControl w:val="0"/>
            </w:pPr>
            <w:r w:rsidRPr="006839C4">
              <w:t>Musculoskeletal and connective tissue disorders</w:t>
            </w:r>
          </w:p>
          <w:p w14:paraId="797EE60C" w14:textId="77777777" w:rsidR="009E06B4" w:rsidRPr="006839C4" w:rsidRDefault="009E06B4" w:rsidP="002528B4">
            <w:pPr>
              <w:pStyle w:val="TableText"/>
              <w:keepNext w:val="0"/>
              <w:widowControl w:val="0"/>
            </w:pPr>
            <w:r w:rsidRPr="006839C4">
              <w:t>- Muscle twitching</w:t>
            </w:r>
          </w:p>
        </w:tc>
        <w:tc>
          <w:tcPr>
            <w:tcW w:w="1775" w:type="dxa"/>
            <w:tcMar>
              <w:left w:w="28" w:type="dxa"/>
              <w:right w:w="28" w:type="dxa"/>
            </w:tcMar>
            <w:vAlign w:val="center"/>
          </w:tcPr>
          <w:p w14:paraId="144C55D8" w14:textId="77777777" w:rsidR="009E06B4" w:rsidRPr="006839C4" w:rsidRDefault="009E06B4" w:rsidP="002528B4">
            <w:pPr>
              <w:pStyle w:val="TableText"/>
              <w:keepNext w:val="0"/>
              <w:widowControl w:val="0"/>
              <w:jc w:val="center"/>
            </w:pPr>
          </w:p>
          <w:p w14:paraId="4F860022" w14:textId="77777777" w:rsidR="009E06B4" w:rsidRPr="006839C4" w:rsidRDefault="009E06B4" w:rsidP="002528B4">
            <w:pPr>
              <w:pStyle w:val="TableText"/>
              <w:keepNext w:val="0"/>
              <w:widowControl w:val="0"/>
              <w:jc w:val="center"/>
            </w:pPr>
            <w:r w:rsidRPr="006839C4">
              <w:t>34 (20.6%)</w:t>
            </w:r>
          </w:p>
        </w:tc>
        <w:tc>
          <w:tcPr>
            <w:tcW w:w="1556" w:type="dxa"/>
            <w:tcMar>
              <w:left w:w="28" w:type="dxa"/>
              <w:right w:w="28" w:type="dxa"/>
            </w:tcMar>
            <w:vAlign w:val="center"/>
          </w:tcPr>
          <w:p w14:paraId="62BFE8D3" w14:textId="77777777" w:rsidR="009E06B4" w:rsidRPr="006839C4" w:rsidRDefault="009E06B4" w:rsidP="002528B4">
            <w:pPr>
              <w:pStyle w:val="TableText"/>
              <w:keepNext w:val="0"/>
              <w:widowControl w:val="0"/>
              <w:jc w:val="center"/>
            </w:pPr>
          </w:p>
          <w:p w14:paraId="7753C3A3" w14:textId="77777777" w:rsidR="009E06B4" w:rsidRPr="006839C4" w:rsidRDefault="009E06B4" w:rsidP="002528B4">
            <w:pPr>
              <w:pStyle w:val="TableText"/>
              <w:keepNext w:val="0"/>
              <w:widowControl w:val="0"/>
              <w:jc w:val="center"/>
            </w:pPr>
            <w:r w:rsidRPr="006839C4">
              <w:t>5 (3.2%)</w:t>
            </w:r>
          </w:p>
        </w:tc>
        <w:tc>
          <w:tcPr>
            <w:tcW w:w="1289" w:type="dxa"/>
            <w:tcMar>
              <w:left w:w="28" w:type="dxa"/>
              <w:right w:w="28" w:type="dxa"/>
            </w:tcMar>
            <w:vAlign w:val="center"/>
          </w:tcPr>
          <w:p w14:paraId="63852E03" w14:textId="77777777" w:rsidR="009E06B4" w:rsidRDefault="009E06B4" w:rsidP="002528B4">
            <w:pPr>
              <w:pStyle w:val="TableText"/>
              <w:keepNext w:val="0"/>
              <w:widowControl w:val="0"/>
              <w:jc w:val="center"/>
            </w:pPr>
          </w:p>
          <w:p w14:paraId="07431537" w14:textId="77777777" w:rsidR="009E06B4" w:rsidRPr="006839C4" w:rsidRDefault="009E06B4" w:rsidP="002528B4">
            <w:pPr>
              <w:pStyle w:val="TableText"/>
              <w:keepNext w:val="0"/>
              <w:widowControl w:val="0"/>
              <w:jc w:val="center"/>
            </w:pPr>
            <w:r>
              <w:t>6 (9, 4)</w:t>
            </w:r>
          </w:p>
        </w:tc>
      </w:tr>
      <w:tr w:rsidR="009E06B4" w14:paraId="3C69ECB1" w14:textId="77777777" w:rsidTr="00194AED">
        <w:trPr>
          <w:cantSplit/>
          <w:trHeight w:val="410"/>
          <w:tblHeader/>
        </w:trPr>
        <w:tc>
          <w:tcPr>
            <w:tcW w:w="3743" w:type="dxa"/>
            <w:tcMar>
              <w:left w:w="28" w:type="dxa"/>
              <w:right w:w="28" w:type="dxa"/>
            </w:tcMar>
            <w:vAlign w:val="center"/>
          </w:tcPr>
          <w:p w14:paraId="734A7D0F" w14:textId="77777777" w:rsidR="009E06B4" w:rsidRPr="006839C4" w:rsidRDefault="009E06B4" w:rsidP="002528B4">
            <w:pPr>
              <w:pStyle w:val="TableText"/>
            </w:pPr>
            <w:r w:rsidRPr="006839C4">
              <w:t>Skin and subcutaneous tissue disorders</w:t>
            </w:r>
          </w:p>
          <w:p w14:paraId="0BACABBA" w14:textId="77777777" w:rsidR="009E06B4" w:rsidRPr="006839C4" w:rsidRDefault="009E06B4" w:rsidP="002528B4">
            <w:pPr>
              <w:pStyle w:val="TableText"/>
            </w:pPr>
            <w:r w:rsidRPr="006839C4">
              <w:t>- Pain of skin</w:t>
            </w:r>
          </w:p>
        </w:tc>
        <w:tc>
          <w:tcPr>
            <w:tcW w:w="1775" w:type="dxa"/>
            <w:tcMar>
              <w:left w:w="28" w:type="dxa"/>
              <w:right w:w="28" w:type="dxa"/>
            </w:tcMar>
            <w:vAlign w:val="center"/>
          </w:tcPr>
          <w:p w14:paraId="7A44BB09" w14:textId="77777777" w:rsidR="009E06B4" w:rsidRPr="006839C4" w:rsidRDefault="009E06B4" w:rsidP="002528B4">
            <w:pPr>
              <w:pStyle w:val="TableText"/>
              <w:jc w:val="center"/>
            </w:pPr>
          </w:p>
          <w:p w14:paraId="39C83883" w14:textId="77777777" w:rsidR="009E06B4" w:rsidRPr="006839C4" w:rsidRDefault="009E06B4" w:rsidP="002528B4">
            <w:pPr>
              <w:pStyle w:val="TableText"/>
              <w:jc w:val="center"/>
            </w:pPr>
            <w:r w:rsidRPr="006839C4">
              <w:t>14 (8.5%)</w:t>
            </w:r>
          </w:p>
        </w:tc>
        <w:tc>
          <w:tcPr>
            <w:tcW w:w="1556" w:type="dxa"/>
            <w:tcMar>
              <w:left w:w="28" w:type="dxa"/>
              <w:right w:w="28" w:type="dxa"/>
            </w:tcMar>
            <w:vAlign w:val="center"/>
          </w:tcPr>
          <w:p w14:paraId="512CD753" w14:textId="77777777" w:rsidR="009E06B4" w:rsidRPr="006839C4" w:rsidRDefault="009E06B4" w:rsidP="002528B4">
            <w:pPr>
              <w:pStyle w:val="TableText"/>
              <w:jc w:val="center"/>
            </w:pPr>
          </w:p>
          <w:p w14:paraId="404D6DE8" w14:textId="77777777" w:rsidR="009E06B4" w:rsidRPr="006839C4" w:rsidRDefault="009E06B4" w:rsidP="002528B4">
            <w:pPr>
              <w:pStyle w:val="TableText"/>
              <w:jc w:val="center"/>
            </w:pPr>
            <w:r w:rsidRPr="006839C4">
              <w:t>1 (0.6%)</w:t>
            </w:r>
          </w:p>
        </w:tc>
        <w:tc>
          <w:tcPr>
            <w:tcW w:w="1289" w:type="dxa"/>
            <w:tcMar>
              <w:left w:w="28" w:type="dxa"/>
              <w:right w:w="28" w:type="dxa"/>
            </w:tcMar>
            <w:vAlign w:val="center"/>
          </w:tcPr>
          <w:p w14:paraId="757E468D" w14:textId="77777777" w:rsidR="009E06B4" w:rsidRDefault="009E06B4" w:rsidP="002528B4">
            <w:pPr>
              <w:pStyle w:val="TableText"/>
              <w:jc w:val="center"/>
            </w:pPr>
          </w:p>
          <w:p w14:paraId="0865974C" w14:textId="77777777" w:rsidR="009E06B4" w:rsidRPr="006839C4" w:rsidRDefault="009E06B4" w:rsidP="002528B4">
            <w:pPr>
              <w:pStyle w:val="TableText"/>
              <w:jc w:val="center"/>
            </w:pPr>
            <w:r>
              <w:t>13 (29, 8)</w:t>
            </w:r>
          </w:p>
        </w:tc>
      </w:tr>
    </w:tbl>
    <w:p w14:paraId="46AA10FA" w14:textId="77777777" w:rsidR="002111F6" w:rsidRPr="009F335A" w:rsidRDefault="002111F6" w:rsidP="002528B4">
      <w:pPr>
        <w:pStyle w:val="NoSpacing"/>
        <w:keepNext/>
        <w:spacing w:before="40" w:after="40"/>
        <w:jc w:val="both"/>
        <w:rPr>
          <w:rFonts w:ascii="Arial Narrow" w:hAnsi="Arial Narrow" w:cs="Arial"/>
          <w:sz w:val="18"/>
          <w:szCs w:val="18"/>
        </w:rPr>
      </w:pPr>
      <w:r w:rsidRPr="009F335A">
        <w:rPr>
          <w:rFonts w:ascii="Arial Narrow" w:hAnsi="Arial Narrow" w:cs="Arial"/>
          <w:sz w:val="18"/>
          <w:szCs w:val="18"/>
        </w:rPr>
        <w:t xml:space="preserve">NOTE: Includes only adverse events occurring in the active treatment group at a rate of ≥ 5% and at least twice the rate of sham </w:t>
      </w:r>
    </w:p>
    <w:p w14:paraId="055A1606" w14:textId="0CE269CB" w:rsidR="002111F6" w:rsidRDefault="002111F6" w:rsidP="002528B4">
      <w:pPr>
        <w:pStyle w:val="NoSpacing"/>
        <w:keepNext/>
        <w:spacing w:before="40" w:after="40"/>
        <w:jc w:val="both"/>
        <w:rPr>
          <w:rFonts w:ascii="Arial Narrow" w:hAnsi="Arial Narrow" w:cs="Arial"/>
          <w:sz w:val="18"/>
          <w:szCs w:val="18"/>
        </w:rPr>
      </w:pPr>
      <w:r w:rsidRPr="009F335A">
        <w:rPr>
          <w:rFonts w:ascii="Arial Narrow" w:hAnsi="Arial Narrow" w:cs="Arial"/>
          <w:sz w:val="18"/>
          <w:szCs w:val="18"/>
        </w:rPr>
        <w:t>N</w:t>
      </w:r>
      <w:r w:rsidR="009E06B4" w:rsidRPr="009F335A">
        <w:rPr>
          <w:rFonts w:ascii="Arial Narrow" w:hAnsi="Arial Narrow" w:cs="Arial"/>
          <w:sz w:val="18"/>
          <w:szCs w:val="18"/>
        </w:rPr>
        <w:t>NH</w:t>
      </w:r>
      <w:r w:rsidRPr="009F335A">
        <w:rPr>
          <w:rFonts w:ascii="Arial Narrow" w:hAnsi="Arial Narrow" w:cs="Arial"/>
          <w:sz w:val="18"/>
          <w:szCs w:val="18"/>
        </w:rPr>
        <w:t xml:space="preserve"> = number</w:t>
      </w:r>
      <w:r w:rsidR="009E06B4" w:rsidRPr="009F335A">
        <w:rPr>
          <w:rFonts w:ascii="Arial Narrow" w:hAnsi="Arial Narrow" w:cs="Arial"/>
          <w:sz w:val="18"/>
          <w:szCs w:val="18"/>
        </w:rPr>
        <w:t xml:space="preserve"> needed to harm</w:t>
      </w:r>
      <w:r w:rsidRPr="009F335A">
        <w:rPr>
          <w:rFonts w:ascii="Arial Narrow" w:hAnsi="Arial Narrow" w:cs="Arial"/>
          <w:sz w:val="18"/>
          <w:szCs w:val="18"/>
        </w:rPr>
        <w:t xml:space="preserve">; </w:t>
      </w:r>
      <w:r w:rsidR="00400226">
        <w:rPr>
          <w:rFonts w:ascii="Arial Narrow" w:hAnsi="Arial Narrow" w:cs="Arial"/>
          <w:sz w:val="18"/>
          <w:szCs w:val="18"/>
        </w:rPr>
        <w:t>r</w:t>
      </w:r>
      <w:r w:rsidRPr="009F335A">
        <w:rPr>
          <w:rFonts w:ascii="Arial Narrow" w:hAnsi="Arial Narrow" w:cs="Arial"/>
          <w:sz w:val="18"/>
          <w:szCs w:val="18"/>
        </w:rPr>
        <w:t>TMS = Transcranial Magnetic Stimulation</w:t>
      </w:r>
    </w:p>
    <w:p w14:paraId="6C0B976E" w14:textId="77777777" w:rsidR="002528B4" w:rsidRPr="009F335A" w:rsidRDefault="002528B4" w:rsidP="002528B4"/>
    <w:p w14:paraId="13BD3A18" w14:textId="5602FACF" w:rsidR="00F302BD" w:rsidRPr="00374B0F" w:rsidRDefault="00F302BD" w:rsidP="00CA0A85">
      <w:pPr>
        <w:pStyle w:val="NoSpacing"/>
        <w:spacing w:after="240"/>
        <w:jc w:val="both"/>
      </w:pPr>
      <w:r w:rsidRPr="00374B0F">
        <w:t xml:space="preserve">The impact of NeuroStar </w:t>
      </w:r>
      <w:r w:rsidR="00400226">
        <w:t>r</w:t>
      </w:r>
      <w:r w:rsidRPr="00374B0F">
        <w:t xml:space="preserve">TMS </w:t>
      </w:r>
      <w:r w:rsidR="002D7899">
        <w:t>T</w:t>
      </w:r>
      <w:r w:rsidRPr="00374B0F">
        <w:t>herapy on cognitive function was examined in the registration trials of this device.  General cognitive function was assessed using the Mini Mental Status Examination, attention and short-term memory w</w:t>
      </w:r>
      <w:r w:rsidR="00380315">
        <w:t>as</w:t>
      </w:r>
      <w:r w:rsidRPr="00374B0F">
        <w:t xml:space="preserve"> assessed with the Buschke Selective Reminding Test, and long-term memory was evaluated with the Short Form of the Autobiographical Memory Interview. NeuroStar </w:t>
      </w:r>
      <w:r w:rsidR="00400226">
        <w:t>r</w:t>
      </w:r>
      <w:r w:rsidRPr="00374B0F">
        <w:t xml:space="preserve">TMS </w:t>
      </w:r>
      <w:r w:rsidR="002D7899">
        <w:t>T</w:t>
      </w:r>
      <w:r w:rsidRPr="00374B0F">
        <w:t xml:space="preserve">herapy was shown to have no effect on cognitive function in either acute treatment or in 6 months of long-term follow-up (Janicak, et al., 2008). These data are consistent with the larger research literature on </w:t>
      </w:r>
      <w:r w:rsidR="00400226">
        <w:t>r</w:t>
      </w:r>
      <w:r w:rsidRPr="00374B0F">
        <w:t>TMS. For instance, in a comprehensive review, Guse and colleagues (2010) specifically examined the peer reviewed literature base regarding cognitive function following the administration of high frequency TMS. The authors found no evidence of negative effects on cognition.</w:t>
      </w:r>
    </w:p>
    <w:p w14:paraId="5D6A6A2E" w14:textId="150E060E" w:rsidR="00197D58" w:rsidRDefault="00F302BD" w:rsidP="00CA0A85">
      <w:pPr>
        <w:pStyle w:val="NoSpacing"/>
        <w:spacing w:after="240"/>
        <w:jc w:val="both"/>
      </w:pPr>
      <w:r w:rsidRPr="00374B0F">
        <w:t xml:space="preserve">A well-known medical risk associated with the use of </w:t>
      </w:r>
      <w:r w:rsidR="006162A4">
        <w:t>r</w:t>
      </w:r>
      <w:r w:rsidRPr="00374B0F">
        <w:t xml:space="preserve">TMS is the risk of inadvertent induction of a generalized seizure. The aggregate use of the NeuroStar </w:t>
      </w:r>
      <w:r w:rsidR="006162A4">
        <w:t>r</w:t>
      </w:r>
      <w:r w:rsidRPr="00374B0F">
        <w:t xml:space="preserve">TMS Therapy System in two large randomized, controlled clinical trials (O’Reardon, et al., 2007; Demitrack and Thase, 2009; George, et al., 2010) and in real world clinical use since product launch in 2008. No seizures were reported in the research clinical trials of the NeuroStar </w:t>
      </w:r>
      <w:r w:rsidR="006162A4">
        <w:t>r</w:t>
      </w:r>
      <w:r w:rsidRPr="00374B0F">
        <w:t xml:space="preserve">TMS Therapy </w:t>
      </w:r>
      <w:r w:rsidR="00380315">
        <w:t>S</w:t>
      </w:r>
      <w:r w:rsidRPr="00374B0F">
        <w:t xml:space="preserve">ystem (Janicak, et al., 2008; George, et al., 2010). Since market introduction of the NeuroStar </w:t>
      </w:r>
      <w:r w:rsidR="006162A4">
        <w:t>r</w:t>
      </w:r>
      <w:r w:rsidRPr="00374B0F">
        <w:t xml:space="preserve">TMS device, the incidence of seizures with this device has been rare. In post-market use, the incident risk of seizure with the NeuroStar </w:t>
      </w:r>
      <w:r w:rsidR="006162A4">
        <w:t>r</w:t>
      </w:r>
      <w:r w:rsidRPr="00374B0F">
        <w:t xml:space="preserve">TMS Therapy </w:t>
      </w:r>
      <w:r w:rsidR="00380315">
        <w:t>S</w:t>
      </w:r>
      <w:r w:rsidRPr="00374B0F">
        <w:t xml:space="preserve">ystem under recommended operating conditions is estimated to be less than </w:t>
      </w:r>
      <w:r w:rsidRPr="006C19DA">
        <w:t xml:space="preserve">0.1% </w:t>
      </w:r>
      <w:r w:rsidR="00580F8D" w:rsidRPr="006C19DA">
        <w:t>per</w:t>
      </w:r>
      <w:r w:rsidRPr="006C19DA">
        <w:t xml:space="preserve"> patient.</w:t>
      </w:r>
      <w:r w:rsidRPr="00374B0F">
        <w:t xml:space="preserve"> This rate of seizure occurrence is lower than what is typically seen with the use of commercially available antidepressant medications (Ref: Medication Product Labels for fluoxetine, paroxetine, sertraline, citalopram, escitalopram, venlafaxine, desvenlafaxine, duloxetine, bupropion, mirtazapine, tranylcypromine combination). </w:t>
      </w:r>
    </w:p>
    <w:p w14:paraId="56786125" w14:textId="475D5A2B" w:rsidR="00F302BD" w:rsidRPr="00374B0F" w:rsidRDefault="00F302BD" w:rsidP="00CA0A85">
      <w:pPr>
        <w:pStyle w:val="NoSpacing"/>
        <w:spacing w:after="240"/>
        <w:jc w:val="both"/>
      </w:pPr>
      <w:r w:rsidRPr="00374B0F">
        <w:t xml:space="preserve">It should be noted that because the technical and design characteristics of </w:t>
      </w:r>
      <w:r w:rsidR="006162A4">
        <w:t>r</w:t>
      </w:r>
      <w:r w:rsidRPr="00374B0F">
        <w:t xml:space="preserve">TMS devices from different manufacturers vary in magnetic coil design and product specifications, the general safety profile of a specific </w:t>
      </w:r>
      <w:r w:rsidR="006162A4">
        <w:t>r</w:t>
      </w:r>
      <w:r w:rsidRPr="00374B0F">
        <w:t xml:space="preserve">TMS device should be appraised based on the experience with that specific </w:t>
      </w:r>
      <w:r w:rsidR="006162A4">
        <w:t>r</w:t>
      </w:r>
      <w:r w:rsidRPr="00374B0F">
        <w:t xml:space="preserve">TMS device design and indication for use. The cumulative safety experience in registration studies and in post-market surveillance with the </w:t>
      </w:r>
      <w:r w:rsidRPr="00374B0F">
        <w:lastRenderedPageBreak/>
        <w:t xml:space="preserve">NeuroStar </w:t>
      </w:r>
      <w:r w:rsidR="006162A4">
        <w:t>r</w:t>
      </w:r>
      <w:r w:rsidRPr="00374B0F">
        <w:t xml:space="preserve">TMS Therapy </w:t>
      </w:r>
      <w:r w:rsidR="00380315">
        <w:t>S</w:t>
      </w:r>
      <w:r w:rsidRPr="00374B0F">
        <w:t xml:space="preserve">ystem is the largest such safety database of any commercially available </w:t>
      </w:r>
      <w:r w:rsidR="006162A4">
        <w:t>r</w:t>
      </w:r>
      <w:r w:rsidRPr="00374B0F">
        <w:t>TMS device indicated for therapeutic use.</w:t>
      </w:r>
    </w:p>
    <w:p w14:paraId="63339AA3" w14:textId="4146313A" w:rsidR="004B1445" w:rsidRDefault="00F302BD" w:rsidP="000450CA">
      <w:pPr>
        <w:pStyle w:val="NoSpacing"/>
        <w:spacing w:after="240"/>
        <w:jc w:val="both"/>
      </w:pPr>
      <w:r w:rsidRPr="00374B0F">
        <w:t xml:space="preserve">In the development of a new antidepressant, a compulsory area of safety concern is to determine whether or not patients experience emergent worsening of their depressive symptoms during acute treatment. All currently marketed pharmaceutical antidepressants carry a “black box” warning for this phenomenon for adolescent and young adult patient populations, though the incidence of this event is rare. Assessment for emergent suicidal ideation was performed in the NeuroStar study safety analysis by determining what percentage of patients who reported no or minimal suicidal ideation (as defined by a rating of 0 or 1 on the Suicidal Ideation Item 3 of the Hamilton Depression Rating Scale) at study entry subsequently experienced an abrupt worsening to the most extreme suicide rating (HAMD Item of 3 or 4) at any later time point. These results are shown graphically in </w:t>
      </w:r>
      <w:r w:rsidR="001507E1">
        <w:fldChar w:fldCharType="begin"/>
      </w:r>
      <w:r w:rsidR="001507E1">
        <w:instrText xml:space="preserve"> REF _Ref386031366 \h  \* MERGEFORMAT </w:instrText>
      </w:r>
      <w:r w:rsidR="001507E1">
        <w:fldChar w:fldCharType="separate"/>
      </w:r>
      <w:r w:rsidR="004C1C27" w:rsidRPr="004C1C27">
        <w:t xml:space="preserve">Figure </w:t>
      </w:r>
      <w:r w:rsidR="001507E1">
        <w:fldChar w:fldCharType="end"/>
      </w:r>
      <w:r w:rsidR="001507E1">
        <w:t xml:space="preserve"> </w:t>
      </w:r>
      <w:r w:rsidRPr="00374B0F">
        <w:t xml:space="preserve">and demonstrate that there is no evidence of emergent suicidal ideation during acute treatment with the NeuroStar </w:t>
      </w:r>
      <w:r w:rsidR="006162A4">
        <w:t>r</w:t>
      </w:r>
      <w:r w:rsidRPr="00374B0F">
        <w:t xml:space="preserve">TMS Therapy </w:t>
      </w:r>
      <w:r w:rsidR="00380315">
        <w:t>S</w:t>
      </w:r>
      <w:r w:rsidR="000450CA">
        <w:t>ystem.</w:t>
      </w:r>
    </w:p>
    <w:p w14:paraId="4DC04305" w14:textId="41F72DE1" w:rsidR="005353DF" w:rsidRPr="00397B17" w:rsidRDefault="00BC0A4E" w:rsidP="00397B17">
      <w:pPr>
        <w:pStyle w:val="Heading6"/>
        <w:rPr>
          <w:rStyle w:val="Strong"/>
          <w:b/>
          <w:bCs w:val="0"/>
        </w:rPr>
      </w:pPr>
      <w:bookmarkStart w:id="122" w:name="_Ref386031366"/>
      <w:bookmarkStart w:id="123" w:name="_Toc389042770"/>
      <w:bookmarkStart w:id="124" w:name="_Toc389154654"/>
      <w:r w:rsidRPr="00397B17">
        <w:rPr>
          <w:rStyle w:val="Strong"/>
          <w:b/>
          <w:bCs w:val="0"/>
        </w:rPr>
        <w:t xml:space="preserve">Figure </w:t>
      </w:r>
      <w:bookmarkEnd w:id="122"/>
      <w:r w:rsidR="008474A0">
        <w:rPr>
          <w:rStyle w:val="Strong"/>
          <w:b/>
          <w:bCs w:val="0"/>
        </w:rPr>
        <w:t>7</w:t>
      </w:r>
      <w:r w:rsidRPr="00397B17">
        <w:rPr>
          <w:rStyle w:val="Strong"/>
          <w:b/>
          <w:bCs w:val="0"/>
        </w:rPr>
        <w:t>: Absence of emergent suicidal ideation during acute treatment with the NeuroStar TMS Therapy</w:t>
      </w:r>
      <w:bookmarkEnd w:id="123"/>
      <w:bookmarkEnd w:id="124"/>
    </w:p>
    <w:p w14:paraId="63D7EE8E" w14:textId="77777777" w:rsidR="000450CA" w:rsidRDefault="000A1CB2" w:rsidP="00315E26">
      <w:pPr>
        <w:keepNext/>
        <w:spacing w:before="40" w:after="40"/>
        <w:jc w:val="center"/>
        <w:rPr>
          <w:noProof/>
        </w:rPr>
      </w:pPr>
      <w:r>
        <w:rPr>
          <w:noProof/>
          <w:lang w:eastAsia="en-AU"/>
        </w:rPr>
        <w:drawing>
          <wp:inline distT="0" distB="0" distL="0" distR="0" wp14:anchorId="5807DF27" wp14:editId="4108CCFC">
            <wp:extent cx="3931920" cy="2762804"/>
            <wp:effectExtent l="0" t="0" r="0" b="0"/>
            <wp:docPr id="72" name="Picture 72" title="Suicidal ideation during treatment NeuroStar 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tif"/>
                    <pic:cNvPicPr/>
                  </pic:nvPicPr>
                  <pic:blipFill rotWithShape="1">
                    <a:blip r:embed="rId24">
                      <a:extLst>
                        <a:ext uri="{28A0092B-C50C-407E-A947-70E740481C1C}">
                          <a14:useLocalDpi xmlns:a14="http://schemas.microsoft.com/office/drawing/2010/main" val="0"/>
                        </a:ext>
                      </a:extLst>
                    </a:blip>
                    <a:srcRect l="12776" t="18167" r="8722" b="8292"/>
                    <a:stretch/>
                  </pic:blipFill>
                  <pic:spPr bwMode="auto">
                    <a:xfrm>
                      <a:off x="0" y="0"/>
                      <a:ext cx="3936013" cy="2765680"/>
                    </a:xfrm>
                    <a:prstGeom prst="rect">
                      <a:avLst/>
                    </a:prstGeom>
                    <a:ln>
                      <a:noFill/>
                    </a:ln>
                    <a:extLst>
                      <a:ext uri="{53640926-AAD7-44D8-BBD7-CCE9431645EC}">
                        <a14:shadowObscured xmlns:a14="http://schemas.microsoft.com/office/drawing/2010/main"/>
                      </a:ext>
                    </a:extLst>
                  </pic:spPr>
                </pic:pic>
              </a:graphicData>
            </a:graphic>
          </wp:inline>
        </w:drawing>
      </w:r>
    </w:p>
    <w:p w14:paraId="6DE7B252" w14:textId="77777777" w:rsidR="00BC0A4E" w:rsidRDefault="00374B0F" w:rsidP="00315E26">
      <w:pPr>
        <w:pStyle w:val="NoSpacing"/>
        <w:keepNext/>
        <w:spacing w:before="40" w:after="40"/>
        <w:ind w:left="709"/>
        <w:rPr>
          <w:rFonts w:ascii="Arial Narrow" w:hAnsi="Arial Narrow" w:cs="Arial"/>
          <w:sz w:val="18"/>
          <w:szCs w:val="18"/>
        </w:rPr>
      </w:pPr>
      <w:r w:rsidRPr="000450CA">
        <w:rPr>
          <w:rFonts w:ascii="Arial Narrow" w:hAnsi="Arial Narrow" w:cs="Arial"/>
          <w:sz w:val="18"/>
          <w:szCs w:val="18"/>
        </w:rPr>
        <w:t xml:space="preserve">HAMD = Hamilton </w:t>
      </w:r>
      <w:r w:rsidR="00C24ADF" w:rsidRPr="000450CA">
        <w:rPr>
          <w:rFonts w:ascii="Arial Narrow" w:hAnsi="Arial Narrow" w:cs="Arial"/>
          <w:sz w:val="18"/>
          <w:szCs w:val="18"/>
        </w:rPr>
        <w:t>depression rating scale</w:t>
      </w:r>
      <w:r w:rsidR="008C4FB2" w:rsidRPr="000450CA">
        <w:rPr>
          <w:rFonts w:ascii="Arial Narrow" w:hAnsi="Arial Narrow" w:cs="Arial"/>
          <w:sz w:val="18"/>
          <w:szCs w:val="18"/>
        </w:rPr>
        <w:t xml:space="preserve">; </w:t>
      </w:r>
      <w:r w:rsidRPr="000450CA">
        <w:rPr>
          <w:rFonts w:ascii="Arial Narrow" w:hAnsi="Arial Narrow" w:cs="Arial"/>
          <w:sz w:val="18"/>
          <w:szCs w:val="18"/>
        </w:rPr>
        <w:t>TMS = Transcranial Magnetic Stimulation</w:t>
      </w:r>
    </w:p>
    <w:p w14:paraId="6CB0F3D7" w14:textId="77777777" w:rsidR="00F302BD" w:rsidRPr="000450CA" w:rsidRDefault="00374B0F" w:rsidP="00BC0A4E">
      <w:pPr>
        <w:pStyle w:val="NoSpacing"/>
        <w:keepNext/>
        <w:ind w:left="709"/>
        <w:rPr>
          <w:rFonts w:ascii="Arial Narrow" w:hAnsi="Arial Narrow" w:cs="Arial"/>
          <w:sz w:val="18"/>
          <w:szCs w:val="18"/>
        </w:rPr>
      </w:pPr>
      <w:r w:rsidRPr="000450CA">
        <w:rPr>
          <w:rFonts w:ascii="Arial Narrow" w:hAnsi="Arial Narrow" w:cs="Arial"/>
          <w:sz w:val="18"/>
          <w:szCs w:val="18"/>
        </w:rPr>
        <w:t xml:space="preserve"> </w:t>
      </w:r>
    </w:p>
    <w:p w14:paraId="5B876947" w14:textId="7E6EE0EC" w:rsidR="00F302BD" w:rsidRPr="008C4FB2" w:rsidRDefault="00F302BD" w:rsidP="00CA0A85">
      <w:pPr>
        <w:pStyle w:val="NoSpacing"/>
        <w:spacing w:after="240"/>
        <w:jc w:val="both"/>
      </w:pPr>
      <w:r w:rsidRPr="008C4FB2">
        <w:t xml:space="preserve">In clinical trials with the NeuroStar </w:t>
      </w:r>
      <w:r w:rsidR="006162A4">
        <w:t>r</w:t>
      </w:r>
      <w:r w:rsidRPr="008C4FB2">
        <w:t xml:space="preserve">TMS Therapy System, patient acceptance of and adherence to the prescribed treatment regimen is good. For example, the discontinuation rate due to intolerable adverse events due to NeuroStar </w:t>
      </w:r>
      <w:r w:rsidR="006162A4">
        <w:t>r</w:t>
      </w:r>
      <w:r w:rsidRPr="008C4FB2">
        <w:t xml:space="preserve">TMS </w:t>
      </w:r>
      <w:r w:rsidR="002D7899">
        <w:t>T</w:t>
      </w:r>
      <w:r w:rsidRPr="008C4FB2">
        <w:t xml:space="preserve">herapy in the NeuroStar TMS randomized controlled trials was less than 5% (Janicak, et al., 2008). A similar rate of discontinuation was reported in the NIMH-sponsored OPT-TMS study, which used the same device and treatment protocol as in the NeuroStar </w:t>
      </w:r>
      <w:r w:rsidR="006162A4">
        <w:t>r</w:t>
      </w:r>
      <w:r w:rsidRPr="008C4FB2">
        <w:t>TMS registration studies (George, et al., 2010)</w:t>
      </w:r>
      <w:r w:rsidR="007B0310">
        <w:t>.</w:t>
      </w:r>
      <w:r w:rsidRPr="008C4FB2">
        <w:t xml:space="preserve"> </w:t>
      </w:r>
    </w:p>
    <w:p w14:paraId="1E4B18EB" w14:textId="06739C20" w:rsidR="00F302BD" w:rsidRPr="00AD6EF2" w:rsidRDefault="00F302BD" w:rsidP="00404A6E">
      <w:pPr>
        <w:pStyle w:val="Heading4"/>
      </w:pPr>
      <w:r w:rsidRPr="00AD6EF2">
        <w:t>Saf</w:t>
      </w:r>
      <w:r w:rsidR="008C4FB2">
        <w:t xml:space="preserve">ety of </w:t>
      </w:r>
      <w:r w:rsidR="008C4FB2" w:rsidRPr="00404A6E">
        <w:t>NeuroStar</w:t>
      </w:r>
      <w:r w:rsidR="008C4FB2">
        <w:t xml:space="preserve"> </w:t>
      </w:r>
      <w:r w:rsidR="00640308">
        <w:t>r</w:t>
      </w:r>
      <w:r w:rsidR="008C4FB2">
        <w:t>TMS Therapy: p</w:t>
      </w:r>
      <w:r w:rsidRPr="00AD6EF2">
        <w:t xml:space="preserve">ost-market </w:t>
      </w:r>
      <w:r w:rsidR="008C4FB2">
        <w:t>d</w:t>
      </w:r>
      <w:r w:rsidRPr="00AD6EF2">
        <w:t xml:space="preserve">ata </w:t>
      </w:r>
    </w:p>
    <w:p w14:paraId="4207BE6C" w14:textId="7881F07C" w:rsidR="00F302BD" w:rsidRDefault="00F302BD" w:rsidP="00632D26">
      <w:pPr>
        <w:pStyle w:val="NoSpacing"/>
        <w:spacing w:after="240"/>
        <w:jc w:val="both"/>
      </w:pPr>
      <w:r w:rsidRPr="008C4FB2">
        <w:t xml:space="preserve">Commonly experienced non-serious adverse events observed with acute, extended or repeated courses of NeuroStar </w:t>
      </w:r>
      <w:r w:rsidR="00640308">
        <w:t>r</w:t>
      </w:r>
      <w:r w:rsidRPr="008C4FB2">
        <w:t xml:space="preserve">TMS are post-treatment headache and pain or discomfort at the treatment area which are generally mild to moderate in severity. </w:t>
      </w:r>
    </w:p>
    <w:p w14:paraId="3E2100EA" w14:textId="20E5AD7A" w:rsidR="00F302BD" w:rsidRDefault="00F302BD" w:rsidP="00CA0A85">
      <w:pPr>
        <w:pStyle w:val="NoSpacing"/>
        <w:spacing w:after="240"/>
        <w:jc w:val="both"/>
      </w:pPr>
      <w:r w:rsidRPr="008C4FB2">
        <w:lastRenderedPageBreak/>
        <w:t>The magnetic pulse produces an audible high-frequency clicking sound. Therefore, ear protection</w:t>
      </w:r>
      <w:r w:rsidR="00446351">
        <w:t xml:space="preserve"> (earplugs)</w:t>
      </w:r>
      <w:r w:rsidRPr="008C4FB2">
        <w:t xml:space="preserve"> of at least 30 dB sound reduction, is</w:t>
      </w:r>
      <w:r w:rsidR="006E41DE">
        <w:t xml:space="preserve"> used for both patients and administrators</w:t>
      </w:r>
      <w:r w:rsidRPr="008C4FB2">
        <w:t xml:space="preserve"> during NeuroStar </w:t>
      </w:r>
      <w:r w:rsidR="00446351">
        <w:t>r</w:t>
      </w:r>
      <w:r w:rsidRPr="008C4FB2">
        <w:t>TMS treatments.</w:t>
      </w:r>
    </w:p>
    <w:p w14:paraId="132CD605" w14:textId="6B9E72B5" w:rsidR="00F302BD" w:rsidRPr="008C4FB2" w:rsidRDefault="00F302BD" w:rsidP="00CA0A85">
      <w:pPr>
        <w:pStyle w:val="NoSpacing"/>
        <w:spacing w:after="240"/>
        <w:jc w:val="both"/>
      </w:pPr>
      <w:r w:rsidRPr="008C4FB2">
        <w:t xml:space="preserve">The most significant medical risk associated with the use of NeuroStar </w:t>
      </w:r>
      <w:r w:rsidR="00446351">
        <w:t>r</w:t>
      </w:r>
      <w:r w:rsidRPr="008C4FB2">
        <w:t xml:space="preserve">TMS </w:t>
      </w:r>
      <w:r w:rsidR="002D7899">
        <w:t>T</w:t>
      </w:r>
      <w:r w:rsidRPr="008C4FB2">
        <w:t xml:space="preserve">herapy is the inadvertent induction of a seizure. Since market introduction of the NeuroStar TMS Therapy </w:t>
      </w:r>
      <w:r w:rsidR="00380315">
        <w:t>S</w:t>
      </w:r>
      <w:r w:rsidRPr="008C4FB2">
        <w:t xml:space="preserve">ystem in </w:t>
      </w:r>
      <w:r w:rsidRPr="00632D26">
        <w:t xml:space="preserve">October 2008, seven seizures have been reported with NeuroStar TMS </w:t>
      </w:r>
      <w:r w:rsidR="002D7899" w:rsidRPr="00632D26">
        <w:t>T</w:t>
      </w:r>
      <w:r w:rsidRPr="00632D26">
        <w:t>herapy over a usage of more than 300,000 NeuroStar TMS treatment sessions, and over 14,000 patients. In</w:t>
      </w:r>
      <w:r w:rsidRPr="008C4FB2">
        <w:t xml:space="preserve"> </w:t>
      </w:r>
      <w:r w:rsidR="00380315">
        <w:t>five</w:t>
      </w:r>
      <w:r w:rsidRPr="008C4FB2">
        <w:t xml:space="preserve"> of the </w:t>
      </w:r>
      <w:r w:rsidR="00380315">
        <w:t>seven</w:t>
      </w:r>
      <w:r w:rsidRPr="008C4FB2">
        <w:t xml:space="preserve"> seizures, patients had concurrent use of medications that may have </w:t>
      </w:r>
      <w:r w:rsidR="00380315">
        <w:t>altered seizure threshold.</w:t>
      </w:r>
      <w:r w:rsidR="00736E78">
        <w:t xml:space="preserve"> </w:t>
      </w:r>
      <w:r w:rsidR="00380315">
        <w:t>In one</w:t>
      </w:r>
      <w:r w:rsidRPr="008C4FB2">
        <w:t xml:space="preserve"> of these events, and in </w:t>
      </w:r>
      <w:r w:rsidR="00380315">
        <w:t>one</w:t>
      </w:r>
      <w:r w:rsidRPr="008C4FB2">
        <w:t xml:space="preserve"> additional seizure, potential incorrect coil placement which may have contributed to the </w:t>
      </w:r>
      <w:r w:rsidR="00380315">
        <w:t>seizure. The remaining one</w:t>
      </w:r>
      <w:r w:rsidRPr="008C4FB2">
        <w:t xml:space="preserve"> seizure appeared to be characteristic of syncope.</w:t>
      </w:r>
    </w:p>
    <w:p w14:paraId="3A1B3C75" w14:textId="4D2F6C36" w:rsidR="00F302BD" w:rsidRDefault="00F302BD" w:rsidP="00CA0A85">
      <w:pPr>
        <w:pStyle w:val="NoSpacing"/>
        <w:spacing w:after="240"/>
        <w:jc w:val="both"/>
      </w:pPr>
      <w:r w:rsidRPr="008C4FB2">
        <w:t xml:space="preserve">In clinical use of NeuroStar </w:t>
      </w:r>
      <w:r w:rsidR="00142D26">
        <w:t>r</w:t>
      </w:r>
      <w:r w:rsidRPr="008C4FB2">
        <w:t xml:space="preserve">TMS, the use of procedure consent, pre-treatment clinical screening for potential seizure risk, clinical monitoring during </w:t>
      </w:r>
      <w:r w:rsidR="00142D26">
        <w:t>r</w:t>
      </w:r>
      <w:r w:rsidRPr="008C4FB2">
        <w:t xml:space="preserve">TMS treatment and appropriate seizure management, and use within the </w:t>
      </w:r>
      <w:r w:rsidR="00142D26">
        <w:t>r</w:t>
      </w:r>
      <w:r w:rsidRPr="008C4FB2">
        <w:t xml:space="preserve">TMS safety treatment parameters appear to minimize further the risk of seizure with </w:t>
      </w:r>
      <w:r w:rsidR="00142D26">
        <w:t>r</w:t>
      </w:r>
      <w:r w:rsidRPr="008C4FB2">
        <w:t xml:space="preserve">TMS </w:t>
      </w:r>
      <w:r w:rsidR="00380315">
        <w:t>t</w:t>
      </w:r>
      <w:r w:rsidRPr="008C4FB2">
        <w:t xml:space="preserve">herapy. </w:t>
      </w:r>
    </w:p>
    <w:p w14:paraId="41EB28A6" w14:textId="77777777" w:rsidR="00A43F66" w:rsidRPr="00632D26" w:rsidRDefault="00A43F66" w:rsidP="00632D26">
      <w:pPr>
        <w:pStyle w:val="Heading5"/>
      </w:pPr>
      <w:proofErr w:type="gramStart"/>
      <w:r w:rsidRPr="00632D26">
        <w:t>rTMS</w:t>
      </w:r>
      <w:proofErr w:type="gramEnd"/>
      <w:r w:rsidRPr="00632D26">
        <w:t xml:space="preserve"> vs</w:t>
      </w:r>
      <w:r w:rsidR="00640EBD">
        <w:t>.</w:t>
      </w:r>
      <w:r w:rsidRPr="00632D26">
        <w:t xml:space="preserve"> </w:t>
      </w:r>
      <w:r w:rsidR="00640EBD">
        <w:t>S</w:t>
      </w:r>
      <w:r w:rsidRPr="00632D26">
        <w:t>ham</w:t>
      </w:r>
    </w:p>
    <w:p w14:paraId="75834177" w14:textId="4CABD1CE" w:rsidR="00F302BD" w:rsidRDefault="00F302BD" w:rsidP="00CA0A85">
      <w:pPr>
        <w:pStyle w:val="NoSpacing"/>
        <w:spacing w:after="240"/>
        <w:jc w:val="both"/>
      </w:pPr>
      <w:r w:rsidRPr="008C4FB2">
        <w:t xml:space="preserve">NeuroStar Study 103 evaluated the long term safety of NeuroStar </w:t>
      </w:r>
      <w:r w:rsidR="00446351">
        <w:t>r</w:t>
      </w:r>
      <w:r w:rsidRPr="008C4FB2">
        <w:t>TMS Therapy in a 6-month durability of effect study (Janicak, et al., 2008) that identified no long term adverse effects. The safety information that has been obtained from the extensive published literature on the use of pulsed magnetic fields in the context of MR</w:t>
      </w:r>
      <w:r w:rsidR="00197D58">
        <w:t>I</w:t>
      </w:r>
      <w:r w:rsidRPr="008C4FB2">
        <w:t xml:space="preserve"> technology provides relevant data for the long-term safety considerations for </w:t>
      </w:r>
      <w:r w:rsidR="00446351">
        <w:t>r</w:t>
      </w:r>
      <w:r w:rsidRPr="008C4FB2">
        <w:t>TMS.</w:t>
      </w:r>
      <w:r w:rsidR="00736E78">
        <w:t xml:space="preserve"> </w:t>
      </w:r>
      <w:r w:rsidRPr="008C4FB2">
        <w:t xml:space="preserve">This is because </w:t>
      </w:r>
      <w:r w:rsidR="00446351">
        <w:t>r</w:t>
      </w:r>
      <w:r w:rsidRPr="008C4FB2">
        <w:t>TMS utilizes a magnetic field that is clinically comparable to the pulsed gradient field used in MR</w:t>
      </w:r>
      <w:r w:rsidR="00197D58">
        <w:t>I</w:t>
      </w:r>
      <w:r w:rsidRPr="008C4FB2">
        <w:t>. It is now well-established that there are no clinically significant long term safety issues with MR</w:t>
      </w:r>
      <w:r w:rsidR="00197D58">
        <w:t>I</w:t>
      </w:r>
      <w:r w:rsidRPr="008C4FB2">
        <w:t xml:space="preserve">, which is directly applicable to the safety of </w:t>
      </w:r>
      <w:r w:rsidR="00446351">
        <w:t>r</w:t>
      </w:r>
      <w:r w:rsidRPr="008C4FB2">
        <w:t>TMS devices.</w:t>
      </w:r>
    </w:p>
    <w:p w14:paraId="503D7C5E" w14:textId="127AF7EB" w:rsidR="00197D58" w:rsidRPr="008372C0" w:rsidRDefault="00197D58" w:rsidP="00632D26">
      <w:pPr>
        <w:pStyle w:val="Heading5"/>
      </w:pPr>
      <w:proofErr w:type="gramStart"/>
      <w:r w:rsidRPr="008372C0">
        <w:t>rTMS</w:t>
      </w:r>
      <w:proofErr w:type="gramEnd"/>
      <w:r w:rsidRPr="008372C0">
        <w:t xml:space="preserve"> vs</w:t>
      </w:r>
      <w:r w:rsidR="00640EBD">
        <w:t>.</w:t>
      </w:r>
      <w:r w:rsidRPr="008372C0">
        <w:t xml:space="preserve"> </w:t>
      </w:r>
      <w:r w:rsidR="00640EBD">
        <w:t>A</w:t>
      </w:r>
      <w:r w:rsidRPr="008372C0">
        <w:t>ntidepressant medications</w:t>
      </w:r>
    </w:p>
    <w:p w14:paraId="61D90979" w14:textId="77777777" w:rsidR="00197D58" w:rsidRDefault="00197D58" w:rsidP="00197D58">
      <w:pPr>
        <w:pStyle w:val="NoSpacing"/>
        <w:spacing w:after="240"/>
        <w:jc w:val="both"/>
      </w:pPr>
      <w:r w:rsidRPr="008C4FB2">
        <w:t>Compared to antidepressant med</w:t>
      </w:r>
      <w:r>
        <w:t>ication therapy, NeuroStar TMS T</w:t>
      </w:r>
      <w:r w:rsidRPr="008C4FB2">
        <w:t xml:space="preserve">herapy is free of the systemic side effects often associated with antidepressant medications including the medically serious side effects that can result from second generation antipsychotic use as an augmenting agent to </w:t>
      </w:r>
      <w:r>
        <w:t xml:space="preserve">an antidepressant. </w:t>
      </w:r>
    </w:p>
    <w:p w14:paraId="5E4D534D" w14:textId="392C97CA" w:rsidR="00F302BD" w:rsidRPr="00AD6EF2" w:rsidRDefault="00142D26" w:rsidP="00712071">
      <w:pPr>
        <w:jc w:val="both"/>
      </w:pPr>
      <w:r>
        <w:t>Adverse effects of antid</w:t>
      </w:r>
      <w:r w:rsidR="00C90F85">
        <w:t>e</w:t>
      </w:r>
      <w:r>
        <w:t>presssant therapy include</w:t>
      </w:r>
      <w:r w:rsidR="00A43F66">
        <w:t xml:space="preserve"> </w:t>
      </w:r>
      <w:r w:rsidR="00F302BD" w:rsidRPr="00AD6EF2">
        <w:t>weight gain, dry mouth, constipation, nausea, reduced libido, agitation, insomnia, diarrh</w:t>
      </w:r>
      <w:r w:rsidR="00DB0D3D">
        <w:t>o</w:t>
      </w:r>
      <w:r w:rsidR="00F302BD" w:rsidRPr="00AD6EF2">
        <w:t xml:space="preserve">ea, dizziness, fatigue, abnormal ejaculation, sweating, impotence, anxiety, weakness, and tremor. </w:t>
      </w:r>
      <w:proofErr w:type="gramStart"/>
      <w:r w:rsidR="00D84749">
        <w:t>r</w:t>
      </w:r>
      <w:r w:rsidR="00F302BD" w:rsidRPr="00AD6EF2">
        <w:t>TMS</w:t>
      </w:r>
      <w:proofErr w:type="gramEnd"/>
      <w:r w:rsidR="00F302BD" w:rsidRPr="00AD6EF2">
        <w:t xml:space="preserve"> </w:t>
      </w:r>
      <w:r w:rsidR="00712071">
        <w:t>t</w:t>
      </w:r>
      <w:r w:rsidR="00F302BD" w:rsidRPr="00AD6EF2">
        <w:t xml:space="preserve">herapy is also not associated with many of the more medically serious side effects that can result from atypical antipsychotic use as </w:t>
      </w:r>
      <w:r w:rsidR="00197D58">
        <w:t>augmentation to</w:t>
      </w:r>
      <w:r w:rsidR="00F302BD" w:rsidRPr="00AD6EF2">
        <w:t xml:space="preserve"> an antidepressant (tardive dyskinesia, hyperglyc</w:t>
      </w:r>
      <w:r w:rsidR="00712071">
        <w:t>a</w:t>
      </w:r>
      <w:r w:rsidR="00F302BD" w:rsidRPr="00AD6EF2">
        <w:t xml:space="preserve">emia, </w:t>
      </w:r>
      <w:r w:rsidR="004436CA">
        <w:t xml:space="preserve">weight gain, metabolic syndrome, </w:t>
      </w:r>
      <w:r w:rsidR="00F302BD" w:rsidRPr="00AD6EF2">
        <w:t xml:space="preserve">blood dyscrasias, neuroleptic malignant syndrome, cognitive and motor impairment, coma and death). The most clinically significant side effect associated with </w:t>
      </w:r>
      <w:r w:rsidR="004436CA">
        <w:t>r</w:t>
      </w:r>
      <w:r w:rsidR="00F302BD" w:rsidRPr="00AD6EF2">
        <w:t>TMS is seizure. However, the incident risk of seizure under recommended operating conditions is estimated to be less than 0.1% per patient fo</w:t>
      </w:r>
      <w:r w:rsidR="00712071">
        <w:t>r NeuroStar TMS, based on over four</w:t>
      </w:r>
      <w:r w:rsidR="00F302BD" w:rsidRPr="00AD6EF2">
        <w:t xml:space="preserve"> years of post-market safety surveillance. Adverse events associated with the use of TMS in the NeuroStar registration trials are summarized in </w:t>
      </w:r>
      <w:r w:rsidR="00632D26" w:rsidRPr="00632D26">
        <w:fldChar w:fldCharType="begin"/>
      </w:r>
      <w:r w:rsidR="00632D26">
        <w:instrText xml:space="preserve"> REF _Ref386031015 \h  \* MERGEFORMAT </w:instrText>
      </w:r>
      <w:r w:rsidR="00632D26" w:rsidRPr="00632D26">
        <w:fldChar w:fldCharType="separate"/>
      </w:r>
      <w:proofErr w:type="gramStart"/>
      <w:r w:rsidR="004C1C27" w:rsidRPr="002528B4">
        <w:t xml:space="preserve">Table </w:t>
      </w:r>
      <w:proofErr w:type="gramEnd"/>
      <w:r w:rsidR="00632D26" w:rsidRPr="00632D26">
        <w:fldChar w:fldCharType="end"/>
      </w:r>
      <w:r w:rsidR="00F302BD" w:rsidRPr="00632D26">
        <w:t>.</w:t>
      </w:r>
      <w:r w:rsidR="00F302BD" w:rsidRPr="00AD6EF2">
        <w:t xml:space="preserve"> </w:t>
      </w:r>
    </w:p>
    <w:p w14:paraId="6CAC3447" w14:textId="77777777" w:rsidR="00415F65" w:rsidRDefault="00415F65" w:rsidP="00632D26">
      <w:pPr>
        <w:pStyle w:val="Heading5"/>
      </w:pPr>
    </w:p>
    <w:p w14:paraId="6B654A25" w14:textId="77777777" w:rsidR="00197D58" w:rsidRPr="0039356F" w:rsidRDefault="00197D58" w:rsidP="00632D26">
      <w:pPr>
        <w:pStyle w:val="Heading5"/>
      </w:pPr>
      <w:proofErr w:type="gramStart"/>
      <w:r w:rsidRPr="0039356F">
        <w:lastRenderedPageBreak/>
        <w:t>rTMS</w:t>
      </w:r>
      <w:proofErr w:type="gramEnd"/>
      <w:r w:rsidRPr="0039356F">
        <w:t xml:space="preserve"> vs</w:t>
      </w:r>
      <w:r w:rsidR="00640EBD">
        <w:t>.</w:t>
      </w:r>
      <w:r w:rsidRPr="0039356F">
        <w:t xml:space="preserve"> ECT</w:t>
      </w:r>
    </w:p>
    <w:p w14:paraId="27DA5CC9" w14:textId="04F508A6" w:rsidR="00A43F66" w:rsidRPr="00AD6EF2" w:rsidRDefault="00F302BD" w:rsidP="00632D26">
      <w:pPr>
        <w:jc w:val="both"/>
      </w:pPr>
      <w:r w:rsidRPr="00AD6EF2">
        <w:t xml:space="preserve">The clinical use of electroconvulsive therapy (ECT) carries with it a number of medical risks not associated with </w:t>
      </w:r>
      <w:r w:rsidR="004436CA">
        <w:t>r</w:t>
      </w:r>
      <w:r w:rsidRPr="00AD6EF2">
        <w:t xml:space="preserve">TMS </w:t>
      </w:r>
      <w:r w:rsidR="00587A08">
        <w:t>t</w:t>
      </w:r>
      <w:r w:rsidRPr="00AD6EF2">
        <w:t>herapy. In addition to the risks of an</w:t>
      </w:r>
      <w:r w:rsidR="00587A08">
        <w:t>a</w:t>
      </w:r>
      <w:r w:rsidRPr="00AD6EF2">
        <w:t xml:space="preserve">esthesia necessary during treatment, ECT has been documented to cause retrograde and anterograde amnesia, post-ictal delirium, </w:t>
      </w:r>
      <w:r w:rsidR="004436CA">
        <w:t xml:space="preserve">headaches, </w:t>
      </w:r>
      <w:r w:rsidRPr="00AD6EF2">
        <w:t>myalgia, cardiovascular, pulmonary and dental complications, and death.</w:t>
      </w:r>
      <w:r w:rsidR="00DB0D3D">
        <w:t xml:space="preserve"> </w:t>
      </w:r>
      <w:r w:rsidRPr="00AD6EF2">
        <w:t>(American Psychiatric Association Task Force Report on Electroconvulsive Therapy, Second Edition, Sackeim 2007; FDA Executive Summary, ECT 515[i]).</w:t>
      </w:r>
    </w:p>
    <w:p w14:paraId="7F2661DC" w14:textId="77777777" w:rsidR="00A43F66" w:rsidRDefault="00A43F66" w:rsidP="00D22942">
      <w:pPr>
        <w:pStyle w:val="Heading3"/>
      </w:pPr>
      <w:bookmarkStart w:id="125" w:name="_Toc389142053"/>
      <w:r w:rsidRPr="00744487">
        <w:t xml:space="preserve">Summary of </w:t>
      </w:r>
      <w:r>
        <w:t>e</w:t>
      </w:r>
      <w:r w:rsidRPr="00744487">
        <w:t xml:space="preserve">vidence </w:t>
      </w:r>
      <w:r>
        <w:t>for rTMS</w:t>
      </w:r>
      <w:bookmarkEnd w:id="125"/>
      <w:r w:rsidRPr="00744487">
        <w:t xml:space="preserve"> </w:t>
      </w:r>
    </w:p>
    <w:p w14:paraId="7E8522C3" w14:textId="19F7A886" w:rsidR="00140741" w:rsidRDefault="00140741" w:rsidP="00140741">
      <w:r>
        <w:t>A summary of the clinical evidence for assessing the effectiveness and safety of rTMS compared to the two main comparators in this application are provided in</w:t>
      </w:r>
      <w:r w:rsidR="00632D26">
        <w:t xml:space="preserve"> </w:t>
      </w:r>
      <w:r w:rsidR="00632D26">
        <w:fldChar w:fldCharType="begin"/>
      </w:r>
      <w:r w:rsidR="00632D26">
        <w:instrText xml:space="preserve"> REF _Ref386030967 \h  \* MERGEFORMAT </w:instrText>
      </w:r>
      <w:r w:rsidR="00632D26">
        <w:fldChar w:fldCharType="separate"/>
      </w:r>
      <w:r w:rsidR="004C1C27" w:rsidRPr="00632D26">
        <w:t xml:space="preserve">Table </w:t>
      </w:r>
      <w:r w:rsidR="004C1C27">
        <w:t>1</w:t>
      </w:r>
      <w:r w:rsidR="00632D26">
        <w:fldChar w:fldCharType="end"/>
      </w:r>
      <w:r>
        <w:t xml:space="preserve">. </w:t>
      </w:r>
    </w:p>
    <w:p w14:paraId="54939E21" w14:textId="673773EA" w:rsidR="00140741" w:rsidRPr="00140741" w:rsidRDefault="00632D26" w:rsidP="00ED70FB">
      <w:pPr>
        <w:pStyle w:val="TableName"/>
      </w:pPr>
      <w:bookmarkStart w:id="126" w:name="_Ref386030967"/>
      <w:bookmarkStart w:id="127" w:name="_Toc389140544"/>
      <w:bookmarkStart w:id="128" w:name="_Toc389142163"/>
      <w:bookmarkStart w:id="129" w:name="_Toc389143586"/>
      <w:r w:rsidRPr="00632D26">
        <w:t xml:space="preserve">Table </w:t>
      </w:r>
      <w:r w:rsidR="004C1C27">
        <w:fldChar w:fldCharType="begin"/>
      </w:r>
      <w:r w:rsidR="004C1C27">
        <w:instrText xml:space="preserve"> SEQ Table \* ARABIC </w:instrText>
      </w:r>
      <w:r w:rsidR="004C1C27">
        <w:fldChar w:fldCharType="separate"/>
      </w:r>
      <w:r w:rsidR="004C1C27">
        <w:rPr>
          <w:noProof/>
        </w:rPr>
        <w:t>1</w:t>
      </w:r>
      <w:r w:rsidR="004C1C27">
        <w:rPr>
          <w:noProof/>
        </w:rPr>
        <w:fldChar w:fldCharType="end"/>
      </w:r>
      <w:bookmarkEnd w:id="126"/>
      <w:r w:rsidRPr="00632D26">
        <w:t xml:space="preserve">: </w:t>
      </w:r>
      <w:r w:rsidR="00140741" w:rsidRPr="00140741">
        <w:t>Summary of clinical evidence for rTMS versus comparator(s)</w:t>
      </w:r>
      <w:bookmarkEnd w:id="127"/>
      <w:bookmarkEnd w:id="128"/>
      <w:bookmarkEnd w:id="129"/>
      <w:r w:rsidR="00140741" w:rsidRPr="00140741">
        <w:t xml:space="preserve"> </w:t>
      </w:r>
    </w:p>
    <w:tbl>
      <w:tblPr>
        <w:tblStyle w:val="TableGrid"/>
        <w:tblW w:w="8340" w:type="dxa"/>
        <w:tblInd w:w="840" w:type="dxa"/>
        <w:tblLook w:val="04A0" w:firstRow="1" w:lastRow="0" w:firstColumn="1" w:lastColumn="0" w:noHBand="0" w:noVBand="1"/>
        <w:tblCaption w:val="Summary of clinical evidence for rTMS vs. comparators"/>
      </w:tblPr>
      <w:tblGrid>
        <w:gridCol w:w="2268"/>
        <w:gridCol w:w="2126"/>
        <w:gridCol w:w="1699"/>
        <w:gridCol w:w="2247"/>
      </w:tblGrid>
      <w:tr w:rsidR="00140741" w:rsidRPr="008C0593" w14:paraId="2830AFB6" w14:textId="77777777" w:rsidTr="00194AED">
        <w:trPr>
          <w:cantSplit/>
          <w:tblHeader/>
        </w:trPr>
        <w:tc>
          <w:tcPr>
            <w:tcW w:w="2268" w:type="dxa"/>
            <w:vAlign w:val="center"/>
          </w:tcPr>
          <w:p w14:paraId="3E264B9A" w14:textId="77777777" w:rsidR="00140741" w:rsidRPr="008C0593" w:rsidRDefault="00140741" w:rsidP="00ED70FB">
            <w:pPr>
              <w:keepNext/>
              <w:spacing w:before="40" w:after="40"/>
              <w:ind w:left="0"/>
              <w:jc w:val="both"/>
              <w:rPr>
                <w:rFonts w:ascii="Arial Narrow" w:hAnsi="Arial Narrow"/>
                <w:b/>
                <w:sz w:val="18"/>
                <w:szCs w:val="18"/>
              </w:rPr>
            </w:pPr>
            <w:proofErr w:type="gramStart"/>
            <w:r>
              <w:rPr>
                <w:rFonts w:ascii="Arial Narrow" w:hAnsi="Arial Narrow"/>
                <w:b/>
                <w:sz w:val="18"/>
                <w:szCs w:val="18"/>
              </w:rPr>
              <w:t>rTMS</w:t>
            </w:r>
            <w:proofErr w:type="gramEnd"/>
            <w:r>
              <w:rPr>
                <w:rFonts w:ascii="Arial Narrow" w:hAnsi="Arial Narrow"/>
                <w:b/>
                <w:sz w:val="18"/>
                <w:szCs w:val="18"/>
              </w:rPr>
              <w:t xml:space="preserve"> versus. </w:t>
            </w:r>
          </w:p>
        </w:tc>
        <w:tc>
          <w:tcPr>
            <w:tcW w:w="2126" w:type="dxa"/>
            <w:vAlign w:val="center"/>
          </w:tcPr>
          <w:p w14:paraId="5E2F3733" w14:textId="77777777" w:rsidR="00140741" w:rsidRPr="008C0593" w:rsidRDefault="00140741" w:rsidP="00ED70FB">
            <w:pPr>
              <w:keepNext/>
              <w:spacing w:before="40" w:after="40"/>
              <w:ind w:left="0"/>
              <w:jc w:val="center"/>
              <w:rPr>
                <w:rFonts w:ascii="Arial Narrow" w:hAnsi="Arial Narrow"/>
                <w:b/>
                <w:sz w:val="18"/>
                <w:szCs w:val="18"/>
              </w:rPr>
            </w:pPr>
            <w:r w:rsidRPr="008C0593">
              <w:rPr>
                <w:rFonts w:ascii="Arial Narrow" w:hAnsi="Arial Narrow"/>
                <w:b/>
                <w:sz w:val="18"/>
                <w:szCs w:val="18"/>
              </w:rPr>
              <w:t>Efficacy</w:t>
            </w:r>
          </w:p>
        </w:tc>
        <w:tc>
          <w:tcPr>
            <w:tcW w:w="1699" w:type="dxa"/>
            <w:vAlign w:val="center"/>
          </w:tcPr>
          <w:p w14:paraId="54657AB7" w14:textId="77777777" w:rsidR="00140741" w:rsidRPr="008C0593" w:rsidRDefault="00140741" w:rsidP="00ED70FB">
            <w:pPr>
              <w:keepNext/>
              <w:spacing w:before="40" w:after="40"/>
              <w:ind w:left="0"/>
              <w:jc w:val="center"/>
              <w:rPr>
                <w:rFonts w:ascii="Arial Narrow" w:hAnsi="Arial Narrow"/>
                <w:b/>
                <w:sz w:val="18"/>
                <w:szCs w:val="18"/>
              </w:rPr>
            </w:pPr>
            <w:r w:rsidRPr="008C0593">
              <w:rPr>
                <w:rFonts w:ascii="Arial Narrow" w:hAnsi="Arial Narrow"/>
                <w:b/>
                <w:sz w:val="18"/>
                <w:szCs w:val="18"/>
              </w:rPr>
              <w:t>Safety</w:t>
            </w:r>
          </w:p>
        </w:tc>
        <w:tc>
          <w:tcPr>
            <w:tcW w:w="2247" w:type="dxa"/>
            <w:vAlign w:val="center"/>
          </w:tcPr>
          <w:p w14:paraId="54219A7E" w14:textId="77777777" w:rsidR="00140741" w:rsidRPr="008C0593" w:rsidRDefault="00140741" w:rsidP="00ED70FB">
            <w:pPr>
              <w:keepNext/>
              <w:spacing w:before="40" w:after="40"/>
              <w:ind w:left="0"/>
              <w:jc w:val="center"/>
              <w:rPr>
                <w:rFonts w:ascii="Arial Narrow" w:hAnsi="Arial Narrow"/>
                <w:b/>
                <w:sz w:val="18"/>
                <w:szCs w:val="18"/>
              </w:rPr>
            </w:pPr>
            <w:r w:rsidRPr="008C0593">
              <w:rPr>
                <w:rFonts w:ascii="Arial Narrow" w:hAnsi="Arial Narrow"/>
                <w:b/>
                <w:sz w:val="18"/>
                <w:szCs w:val="18"/>
              </w:rPr>
              <w:t>Economic models</w:t>
            </w:r>
          </w:p>
        </w:tc>
      </w:tr>
      <w:tr w:rsidR="00140741" w14:paraId="091A9693" w14:textId="77777777" w:rsidTr="00140741">
        <w:trPr>
          <w:cantSplit/>
        </w:trPr>
        <w:tc>
          <w:tcPr>
            <w:tcW w:w="2268" w:type="dxa"/>
            <w:vAlign w:val="center"/>
          </w:tcPr>
          <w:p w14:paraId="6ED1AE15" w14:textId="77777777" w:rsidR="00140741" w:rsidRDefault="00140741" w:rsidP="00ED70FB">
            <w:pPr>
              <w:keepNext/>
              <w:spacing w:before="40" w:after="40"/>
              <w:ind w:left="0"/>
              <w:jc w:val="both"/>
              <w:rPr>
                <w:rFonts w:ascii="Arial Narrow" w:hAnsi="Arial Narrow"/>
                <w:sz w:val="18"/>
                <w:szCs w:val="18"/>
              </w:rPr>
            </w:pPr>
            <w:r>
              <w:rPr>
                <w:rFonts w:ascii="Arial Narrow" w:hAnsi="Arial Narrow"/>
                <w:sz w:val="18"/>
                <w:szCs w:val="18"/>
              </w:rPr>
              <w:t>Antidepressant medications</w:t>
            </w:r>
          </w:p>
        </w:tc>
        <w:tc>
          <w:tcPr>
            <w:tcW w:w="2126" w:type="dxa"/>
            <w:vAlign w:val="center"/>
          </w:tcPr>
          <w:p w14:paraId="7D105B14" w14:textId="77777777" w:rsidR="00140741" w:rsidRDefault="00140741" w:rsidP="00ED70FB">
            <w:pPr>
              <w:keepNext/>
              <w:spacing w:before="40" w:after="40"/>
              <w:ind w:left="0"/>
              <w:jc w:val="center"/>
              <w:rPr>
                <w:rFonts w:ascii="Arial Narrow" w:hAnsi="Arial Narrow"/>
                <w:sz w:val="18"/>
                <w:szCs w:val="18"/>
              </w:rPr>
            </w:pPr>
            <w:r>
              <w:rPr>
                <w:rFonts w:ascii="Arial Narrow" w:hAnsi="Arial Narrow"/>
                <w:sz w:val="18"/>
                <w:szCs w:val="18"/>
              </w:rPr>
              <w:t>Equivalent</w:t>
            </w:r>
            <w:r w:rsidR="00197D58">
              <w:rPr>
                <w:rFonts w:ascii="Arial Narrow" w:hAnsi="Arial Narrow"/>
                <w:sz w:val="18"/>
                <w:szCs w:val="18"/>
              </w:rPr>
              <w:t xml:space="preserve"> or superior</w:t>
            </w:r>
          </w:p>
        </w:tc>
        <w:tc>
          <w:tcPr>
            <w:tcW w:w="1699" w:type="dxa"/>
            <w:vAlign w:val="center"/>
          </w:tcPr>
          <w:p w14:paraId="77830D6A" w14:textId="77777777" w:rsidR="00140741" w:rsidRDefault="00140741" w:rsidP="00ED70FB">
            <w:pPr>
              <w:keepNext/>
              <w:spacing w:before="40" w:after="40"/>
              <w:ind w:left="0"/>
              <w:jc w:val="center"/>
              <w:rPr>
                <w:rFonts w:ascii="Arial Narrow" w:hAnsi="Arial Narrow"/>
                <w:sz w:val="18"/>
                <w:szCs w:val="18"/>
              </w:rPr>
            </w:pPr>
            <w:r>
              <w:rPr>
                <w:rFonts w:ascii="Arial Narrow" w:hAnsi="Arial Narrow"/>
                <w:sz w:val="18"/>
                <w:szCs w:val="18"/>
              </w:rPr>
              <w:t>Superior</w:t>
            </w:r>
          </w:p>
        </w:tc>
        <w:tc>
          <w:tcPr>
            <w:tcW w:w="2247" w:type="dxa"/>
            <w:vAlign w:val="center"/>
          </w:tcPr>
          <w:p w14:paraId="79A6A526" w14:textId="77777777" w:rsidR="00140741" w:rsidRDefault="00140741" w:rsidP="00ED70FB">
            <w:pPr>
              <w:keepNext/>
              <w:spacing w:before="40" w:after="40"/>
              <w:ind w:left="0"/>
              <w:jc w:val="center"/>
              <w:rPr>
                <w:rFonts w:ascii="Arial Narrow" w:hAnsi="Arial Narrow"/>
                <w:sz w:val="18"/>
                <w:szCs w:val="18"/>
              </w:rPr>
            </w:pPr>
            <w:r>
              <w:rPr>
                <w:rFonts w:ascii="Arial Narrow" w:hAnsi="Arial Narrow"/>
                <w:sz w:val="18"/>
                <w:szCs w:val="18"/>
              </w:rPr>
              <w:t>Cost utility analysis</w:t>
            </w:r>
          </w:p>
        </w:tc>
      </w:tr>
      <w:tr w:rsidR="00140741" w14:paraId="3C67CAC2" w14:textId="77777777" w:rsidTr="00140741">
        <w:trPr>
          <w:cantSplit/>
        </w:trPr>
        <w:tc>
          <w:tcPr>
            <w:tcW w:w="2268" w:type="dxa"/>
            <w:vAlign w:val="center"/>
          </w:tcPr>
          <w:p w14:paraId="5C0F2AF1" w14:textId="77777777" w:rsidR="00140741" w:rsidRDefault="00140741" w:rsidP="00ED70FB">
            <w:pPr>
              <w:keepNext/>
              <w:spacing w:before="40" w:after="40"/>
              <w:ind w:left="0"/>
              <w:jc w:val="both"/>
              <w:rPr>
                <w:rFonts w:ascii="Arial Narrow" w:hAnsi="Arial Narrow"/>
                <w:sz w:val="18"/>
                <w:szCs w:val="18"/>
              </w:rPr>
            </w:pPr>
            <w:r>
              <w:rPr>
                <w:rFonts w:ascii="Arial Narrow" w:hAnsi="Arial Narrow"/>
                <w:sz w:val="18"/>
                <w:szCs w:val="18"/>
              </w:rPr>
              <w:t>ECT</w:t>
            </w:r>
          </w:p>
        </w:tc>
        <w:tc>
          <w:tcPr>
            <w:tcW w:w="2126" w:type="dxa"/>
            <w:vAlign w:val="center"/>
          </w:tcPr>
          <w:p w14:paraId="4CEF3977" w14:textId="77777777" w:rsidR="00140741" w:rsidRDefault="00140741" w:rsidP="00ED70FB">
            <w:pPr>
              <w:keepNext/>
              <w:spacing w:before="40" w:after="40"/>
              <w:ind w:left="0"/>
              <w:jc w:val="center"/>
              <w:rPr>
                <w:rFonts w:ascii="Arial Narrow" w:hAnsi="Arial Narrow"/>
                <w:sz w:val="18"/>
                <w:szCs w:val="18"/>
              </w:rPr>
            </w:pPr>
            <w:r>
              <w:rPr>
                <w:rFonts w:ascii="Arial Narrow" w:hAnsi="Arial Narrow"/>
                <w:sz w:val="18"/>
                <w:szCs w:val="18"/>
              </w:rPr>
              <w:t>Equivalent</w:t>
            </w:r>
            <w:r w:rsidR="00197D58">
              <w:rPr>
                <w:rFonts w:ascii="Arial Narrow" w:hAnsi="Arial Narrow"/>
                <w:sz w:val="18"/>
                <w:szCs w:val="18"/>
              </w:rPr>
              <w:t xml:space="preserve"> </w:t>
            </w:r>
          </w:p>
        </w:tc>
        <w:tc>
          <w:tcPr>
            <w:tcW w:w="1699" w:type="dxa"/>
            <w:vAlign w:val="center"/>
          </w:tcPr>
          <w:p w14:paraId="107C62E0" w14:textId="77777777" w:rsidR="00140741" w:rsidRDefault="00140741" w:rsidP="00ED70FB">
            <w:pPr>
              <w:keepNext/>
              <w:spacing w:before="40" w:after="40"/>
              <w:ind w:left="0"/>
              <w:jc w:val="center"/>
              <w:rPr>
                <w:rFonts w:ascii="Arial Narrow" w:hAnsi="Arial Narrow"/>
                <w:sz w:val="18"/>
                <w:szCs w:val="18"/>
              </w:rPr>
            </w:pPr>
            <w:r>
              <w:rPr>
                <w:rFonts w:ascii="Arial Narrow" w:hAnsi="Arial Narrow"/>
                <w:sz w:val="18"/>
                <w:szCs w:val="18"/>
              </w:rPr>
              <w:t>Superior</w:t>
            </w:r>
          </w:p>
        </w:tc>
        <w:tc>
          <w:tcPr>
            <w:tcW w:w="2247" w:type="dxa"/>
            <w:vAlign w:val="center"/>
          </w:tcPr>
          <w:p w14:paraId="0EE9DA49" w14:textId="77777777" w:rsidR="00140741" w:rsidRDefault="00140741" w:rsidP="00ED70FB">
            <w:pPr>
              <w:keepNext/>
              <w:spacing w:before="40" w:after="40"/>
              <w:ind w:left="0"/>
              <w:jc w:val="center"/>
              <w:rPr>
                <w:rFonts w:ascii="Arial Narrow" w:hAnsi="Arial Narrow"/>
                <w:sz w:val="18"/>
                <w:szCs w:val="18"/>
              </w:rPr>
            </w:pPr>
            <w:r>
              <w:rPr>
                <w:rFonts w:ascii="Arial Narrow" w:hAnsi="Arial Narrow"/>
                <w:sz w:val="18"/>
                <w:szCs w:val="18"/>
              </w:rPr>
              <w:t>Cost utility analysis</w:t>
            </w:r>
          </w:p>
        </w:tc>
      </w:tr>
      <w:tr w:rsidR="006A44A5" w14:paraId="3F546BE0" w14:textId="77777777" w:rsidTr="00140741">
        <w:trPr>
          <w:cantSplit/>
        </w:trPr>
        <w:tc>
          <w:tcPr>
            <w:tcW w:w="2268" w:type="dxa"/>
            <w:vAlign w:val="center"/>
          </w:tcPr>
          <w:p w14:paraId="74DA3CB4" w14:textId="77777777" w:rsidR="006A44A5" w:rsidRDefault="006A44A5" w:rsidP="00ED70FB">
            <w:pPr>
              <w:keepNext/>
              <w:spacing w:before="40" w:after="40"/>
              <w:ind w:left="0"/>
              <w:jc w:val="both"/>
              <w:rPr>
                <w:rFonts w:ascii="Arial Narrow" w:hAnsi="Arial Narrow"/>
                <w:sz w:val="18"/>
                <w:szCs w:val="18"/>
              </w:rPr>
            </w:pPr>
            <w:r>
              <w:rPr>
                <w:rFonts w:ascii="Arial Narrow" w:hAnsi="Arial Narrow"/>
                <w:sz w:val="18"/>
                <w:szCs w:val="18"/>
              </w:rPr>
              <w:t>Psychotherapy</w:t>
            </w:r>
          </w:p>
        </w:tc>
        <w:tc>
          <w:tcPr>
            <w:tcW w:w="2126" w:type="dxa"/>
            <w:vAlign w:val="center"/>
          </w:tcPr>
          <w:p w14:paraId="7357C97D" w14:textId="77777777" w:rsidR="006A44A5" w:rsidRDefault="006A44A5" w:rsidP="00ED70FB">
            <w:pPr>
              <w:keepNext/>
              <w:spacing w:before="40" w:after="40"/>
              <w:ind w:left="0"/>
              <w:jc w:val="center"/>
              <w:rPr>
                <w:rFonts w:ascii="Arial Narrow" w:hAnsi="Arial Narrow"/>
                <w:sz w:val="18"/>
                <w:szCs w:val="18"/>
              </w:rPr>
            </w:pPr>
            <w:r>
              <w:rPr>
                <w:rFonts w:ascii="Arial Narrow" w:hAnsi="Arial Narrow"/>
                <w:sz w:val="18"/>
                <w:szCs w:val="18"/>
              </w:rPr>
              <w:t>Insufficient evidence</w:t>
            </w:r>
          </w:p>
        </w:tc>
        <w:tc>
          <w:tcPr>
            <w:tcW w:w="1699" w:type="dxa"/>
            <w:vAlign w:val="center"/>
          </w:tcPr>
          <w:p w14:paraId="09D9A33F" w14:textId="77777777" w:rsidR="006A44A5" w:rsidRDefault="006A44A5" w:rsidP="00ED70FB">
            <w:pPr>
              <w:keepNext/>
              <w:spacing w:before="40" w:after="40"/>
              <w:ind w:left="0"/>
              <w:jc w:val="center"/>
              <w:rPr>
                <w:rFonts w:ascii="Arial Narrow" w:hAnsi="Arial Narrow"/>
                <w:sz w:val="18"/>
                <w:szCs w:val="18"/>
              </w:rPr>
            </w:pPr>
            <w:r>
              <w:rPr>
                <w:rFonts w:ascii="Arial Narrow" w:hAnsi="Arial Narrow"/>
                <w:sz w:val="18"/>
                <w:szCs w:val="18"/>
              </w:rPr>
              <w:t>Insufficient evidence</w:t>
            </w:r>
          </w:p>
        </w:tc>
        <w:tc>
          <w:tcPr>
            <w:tcW w:w="2247" w:type="dxa"/>
            <w:vAlign w:val="center"/>
          </w:tcPr>
          <w:p w14:paraId="7D584B79" w14:textId="77777777" w:rsidR="006A44A5" w:rsidRPr="00374E86" w:rsidRDefault="006A44A5" w:rsidP="00ED70FB">
            <w:pPr>
              <w:keepNext/>
              <w:spacing w:before="40" w:after="40"/>
              <w:ind w:left="0"/>
              <w:jc w:val="center"/>
              <w:rPr>
                <w:rFonts w:ascii="Arial Narrow" w:hAnsi="Arial Narrow"/>
                <w:sz w:val="18"/>
                <w:szCs w:val="18"/>
                <w:vertAlign w:val="superscript"/>
              </w:rPr>
            </w:pPr>
            <w:r>
              <w:rPr>
                <w:rFonts w:ascii="Arial Narrow" w:hAnsi="Arial Narrow"/>
                <w:sz w:val="18"/>
                <w:szCs w:val="18"/>
              </w:rPr>
              <w:t>Not undertaken</w:t>
            </w:r>
            <w:r w:rsidR="00374E86">
              <w:rPr>
                <w:rFonts w:ascii="Arial Narrow" w:hAnsi="Arial Narrow"/>
                <w:sz w:val="18"/>
                <w:szCs w:val="18"/>
                <w:vertAlign w:val="superscript"/>
              </w:rPr>
              <w:t>1</w:t>
            </w:r>
          </w:p>
        </w:tc>
      </w:tr>
    </w:tbl>
    <w:p w14:paraId="24BB413A" w14:textId="77777777" w:rsidR="00140741" w:rsidRDefault="00140741" w:rsidP="00ED70FB">
      <w:pPr>
        <w:keepNext/>
        <w:spacing w:before="40" w:after="40"/>
        <w:jc w:val="both"/>
        <w:rPr>
          <w:rFonts w:ascii="Arial Narrow" w:hAnsi="Arial Narrow"/>
          <w:sz w:val="18"/>
          <w:szCs w:val="18"/>
        </w:rPr>
      </w:pPr>
      <w:r>
        <w:rPr>
          <w:rFonts w:ascii="Arial Narrow" w:hAnsi="Arial Narrow"/>
          <w:sz w:val="18"/>
          <w:szCs w:val="18"/>
        </w:rPr>
        <w:t xml:space="preserve">ECT = Electroconvulsive therapy; rTMS = repetitive Transcranial Magnetic Stimulation; </w:t>
      </w:r>
    </w:p>
    <w:p w14:paraId="3EC2012C" w14:textId="77777777" w:rsidR="00140741" w:rsidRPr="00632D26" w:rsidRDefault="00632D26" w:rsidP="00ED70FB">
      <w:pPr>
        <w:keepNext/>
        <w:spacing w:before="40" w:after="40"/>
        <w:jc w:val="both"/>
        <w:rPr>
          <w:rFonts w:ascii="Arial Narrow" w:hAnsi="Arial Narrow"/>
          <w:sz w:val="18"/>
          <w:szCs w:val="18"/>
        </w:rPr>
      </w:pPr>
      <w:proofErr w:type="gramStart"/>
      <w:r w:rsidRPr="00632D26">
        <w:rPr>
          <w:rFonts w:ascii="Arial Narrow" w:hAnsi="Arial Narrow"/>
          <w:sz w:val="18"/>
          <w:szCs w:val="18"/>
          <w:vertAlign w:val="superscript"/>
        </w:rPr>
        <w:t>1</w:t>
      </w:r>
      <w:r>
        <w:rPr>
          <w:rFonts w:ascii="Arial Narrow" w:hAnsi="Arial Narrow"/>
          <w:sz w:val="18"/>
          <w:szCs w:val="18"/>
        </w:rPr>
        <w:t xml:space="preserve"> </w:t>
      </w:r>
      <w:r w:rsidR="00374E86" w:rsidRPr="00632D26">
        <w:rPr>
          <w:rFonts w:ascii="Arial Narrow" w:hAnsi="Arial Narrow"/>
          <w:sz w:val="18"/>
          <w:szCs w:val="18"/>
        </w:rPr>
        <w:t>Psychotherapy</w:t>
      </w:r>
      <w:proofErr w:type="gramEnd"/>
      <w:r w:rsidR="00374E86" w:rsidRPr="00632D26">
        <w:rPr>
          <w:rFonts w:ascii="Arial Narrow" w:hAnsi="Arial Narrow"/>
          <w:sz w:val="18"/>
          <w:szCs w:val="18"/>
        </w:rPr>
        <w:t xml:space="preserve"> is assumed to occur equally across the arms in the economic study and therefore costs and effects are omitted.</w:t>
      </w:r>
    </w:p>
    <w:p w14:paraId="33B3CA2E" w14:textId="77777777" w:rsidR="00140741" w:rsidRDefault="00140741" w:rsidP="00404A6E">
      <w:pPr>
        <w:pStyle w:val="Heading4"/>
      </w:pPr>
      <w:proofErr w:type="gramStart"/>
      <w:r w:rsidRPr="00802912">
        <w:t>rTMS</w:t>
      </w:r>
      <w:proofErr w:type="gramEnd"/>
      <w:r w:rsidRPr="00802912">
        <w:t xml:space="preserve"> </w:t>
      </w:r>
      <w:r w:rsidR="00640EBD">
        <w:t>vs. A</w:t>
      </w:r>
      <w:r w:rsidRPr="00404A6E">
        <w:t>ntidepressant</w:t>
      </w:r>
      <w:r w:rsidRPr="00802912">
        <w:t xml:space="preserve"> therapy</w:t>
      </w:r>
    </w:p>
    <w:p w14:paraId="13600E58" w14:textId="3EBF3465" w:rsidR="00140741" w:rsidRDefault="00140741" w:rsidP="00632D26">
      <w:pPr>
        <w:jc w:val="both"/>
      </w:pPr>
      <w:r w:rsidRPr="00374E86">
        <w:rPr>
          <w:b/>
          <w:u w:val="single"/>
        </w:rPr>
        <w:t>Efficacy</w:t>
      </w:r>
      <w:r w:rsidRPr="00366470">
        <w:rPr>
          <w:u w:val="single"/>
        </w:rPr>
        <w:t>:</w:t>
      </w:r>
      <w:r>
        <w:t xml:space="preserve"> </w:t>
      </w:r>
      <w:r w:rsidR="006A44A5">
        <w:t xml:space="preserve">There is an absence of clinical trials directly comparing the efficacy of antidepressant medication and TMS treatment. </w:t>
      </w:r>
      <w:r>
        <w:t>The evidence suggests that r</w:t>
      </w:r>
      <w:r w:rsidRPr="00AD6EF2">
        <w:t xml:space="preserve">TMS </w:t>
      </w:r>
      <w:r>
        <w:t xml:space="preserve">has a similar effect size to common antidepressant drugs in first-line therapy. In second-line setting, </w:t>
      </w:r>
      <w:r w:rsidRPr="00AD6EF2">
        <w:t>treatment effect</w:t>
      </w:r>
      <w:r>
        <w:t xml:space="preserve">s of rTMS exceeded antidepressant therapy, which is more relevant to the proposed listing (i.e. patients are resistant to at least two adequate antidepressant drug therapies). </w:t>
      </w:r>
    </w:p>
    <w:p w14:paraId="67131252" w14:textId="77777777" w:rsidR="00140741" w:rsidRPr="00203717" w:rsidRDefault="00140741" w:rsidP="00632D26">
      <w:pPr>
        <w:jc w:val="both"/>
      </w:pPr>
      <w:r w:rsidRPr="00374E86">
        <w:rPr>
          <w:b/>
          <w:u w:val="single"/>
        </w:rPr>
        <w:t>Safety:</w:t>
      </w:r>
      <w:r>
        <w:t xml:space="preserve"> r</w:t>
      </w:r>
      <w:r w:rsidRPr="00366470">
        <w:t>TMS is not associated with many of the side effects often associated with oral antidepressants</w:t>
      </w:r>
      <w:r>
        <w:t xml:space="preserve"> and </w:t>
      </w:r>
      <w:r w:rsidRPr="00366470">
        <w:t>medically serious side effects that can result from atypical antipsychotic use</w:t>
      </w:r>
      <w:r>
        <w:t>d</w:t>
      </w:r>
      <w:r w:rsidRPr="00366470">
        <w:t xml:space="preserve"> </w:t>
      </w:r>
      <w:r>
        <w:t xml:space="preserve">to augment antidepressant use. </w:t>
      </w:r>
      <w:r w:rsidRPr="00366470">
        <w:t>The most clinically significant side effect a</w:t>
      </w:r>
      <w:r>
        <w:t xml:space="preserve">ssociated with rTMS is seizure, which was estimated to occur in less than 0.1% of patients according to a NeuroStar TMS four-year post-market safety surveillance report. </w:t>
      </w:r>
    </w:p>
    <w:p w14:paraId="61B2B126" w14:textId="77777777" w:rsidR="00140741" w:rsidRPr="00140741" w:rsidRDefault="00140741" w:rsidP="00404A6E">
      <w:pPr>
        <w:pStyle w:val="Heading4"/>
      </w:pPr>
      <w:proofErr w:type="gramStart"/>
      <w:r w:rsidRPr="00140741">
        <w:t>rTMS</w:t>
      </w:r>
      <w:proofErr w:type="gramEnd"/>
      <w:r w:rsidRPr="00140741">
        <w:t xml:space="preserve"> </w:t>
      </w:r>
      <w:r w:rsidRPr="00404A6E">
        <w:t>vs</w:t>
      </w:r>
      <w:r w:rsidR="00640EBD">
        <w:t>.</w:t>
      </w:r>
      <w:r w:rsidRPr="00140741">
        <w:t xml:space="preserve"> ECT</w:t>
      </w:r>
    </w:p>
    <w:p w14:paraId="1F42E516" w14:textId="77777777" w:rsidR="00140741" w:rsidRDefault="00140741" w:rsidP="00632D26">
      <w:pPr>
        <w:jc w:val="both"/>
      </w:pPr>
      <w:r w:rsidRPr="00197D58">
        <w:rPr>
          <w:b/>
          <w:u w:val="single"/>
        </w:rPr>
        <w:t>Efficacy</w:t>
      </w:r>
      <w:r w:rsidRPr="00197D58">
        <w:rPr>
          <w:b/>
        </w:rPr>
        <w:t>:</w:t>
      </w:r>
      <w:r>
        <w:t xml:space="preserve"> The evidence suggests that ECT may be more effective than rTMS. However, several randomised controlled trials comparing rTMS and ECT indicate that in non-psychotic patients, rTMS appears to have a similar rate of response to ECT (Fitzgerald </w:t>
      </w:r>
      <w:r w:rsidRPr="007771DC">
        <w:rPr>
          <w:i/>
        </w:rPr>
        <w:t>et al.</w:t>
      </w:r>
      <w:r>
        <w:t xml:space="preserve"> 2004). Non-psychotic patients are the focus of this application. </w:t>
      </w:r>
      <w:proofErr w:type="gramStart"/>
      <w:r>
        <w:t>rTMS</w:t>
      </w:r>
      <w:proofErr w:type="gramEnd"/>
      <w:r>
        <w:t xml:space="preserve"> is seen as an effective option for depressed patients who remain significantly disabled despite the use of antidepressant drugs but cannot tolerate or refuse ECT. </w:t>
      </w:r>
    </w:p>
    <w:p w14:paraId="19062147" w14:textId="28B08469" w:rsidR="007E3C8E" w:rsidRDefault="00140741" w:rsidP="00404A6E">
      <w:pPr>
        <w:jc w:val="both"/>
      </w:pPr>
      <w:r w:rsidRPr="00197D58">
        <w:rPr>
          <w:b/>
          <w:u w:val="single"/>
        </w:rPr>
        <w:t>Safety</w:t>
      </w:r>
      <w:r w:rsidRPr="00197D58">
        <w:rPr>
          <w:b/>
        </w:rPr>
        <w:t>:</w:t>
      </w:r>
      <w:r>
        <w:t xml:space="preserve"> ECT</w:t>
      </w:r>
      <w:r w:rsidRPr="00527BFA">
        <w:t xml:space="preserve"> </w:t>
      </w:r>
      <w:r>
        <w:t xml:space="preserve">therapy contains </w:t>
      </w:r>
      <w:r w:rsidRPr="00527BFA">
        <w:t xml:space="preserve">medical risks </w:t>
      </w:r>
      <w:r>
        <w:t xml:space="preserve">that are </w:t>
      </w:r>
      <w:r w:rsidRPr="00527BFA">
        <w:t xml:space="preserve">not associated with </w:t>
      </w:r>
      <w:r>
        <w:t>r</w:t>
      </w:r>
      <w:r w:rsidRPr="00527BFA">
        <w:t>TMS</w:t>
      </w:r>
      <w:r>
        <w:t xml:space="preserve"> such as </w:t>
      </w:r>
      <w:r w:rsidRPr="00527BFA">
        <w:t>the an</w:t>
      </w:r>
      <w:r>
        <w:t>a</w:t>
      </w:r>
      <w:r w:rsidRPr="00527BFA">
        <w:t>esthesia</w:t>
      </w:r>
      <w:r>
        <w:t>-related events</w:t>
      </w:r>
      <w:r w:rsidRPr="00527BFA">
        <w:t xml:space="preserve"> during treatment, </w:t>
      </w:r>
      <w:r>
        <w:t xml:space="preserve">amnesia, </w:t>
      </w:r>
      <w:r w:rsidRPr="00527BFA">
        <w:t>myalgia, cardiovascular, pulmonary complications, and death</w:t>
      </w:r>
      <w:r>
        <w:t>. Therefore, rTMS is considered to have a superior safety profile than ECT.</w:t>
      </w:r>
    </w:p>
    <w:p w14:paraId="1B37607C" w14:textId="77777777" w:rsidR="007E3C8E" w:rsidRDefault="007E3C8E" w:rsidP="00404A6E">
      <w:pPr>
        <w:pStyle w:val="Heading4"/>
      </w:pPr>
      <w:proofErr w:type="gramStart"/>
      <w:r w:rsidRPr="00744487">
        <w:lastRenderedPageBreak/>
        <w:t>rTMS</w:t>
      </w:r>
      <w:proofErr w:type="gramEnd"/>
      <w:r w:rsidRPr="00744487">
        <w:t xml:space="preserve"> </w:t>
      </w:r>
      <w:r w:rsidR="00640EBD">
        <w:t>vs.</w:t>
      </w:r>
      <w:r w:rsidRPr="00744487">
        <w:t xml:space="preserve"> </w:t>
      </w:r>
      <w:r w:rsidRPr="00404A6E">
        <w:t>psychotherapy</w:t>
      </w:r>
    </w:p>
    <w:p w14:paraId="367D37A9" w14:textId="6F4EC1CA" w:rsidR="007E3C8E" w:rsidRPr="003B3518" w:rsidRDefault="007E3C8E" w:rsidP="007E3C8E">
      <w:pPr>
        <w:pStyle w:val="NoSpacing"/>
        <w:jc w:val="both"/>
      </w:pPr>
      <w:r w:rsidRPr="003B3518">
        <w:t>No studies have directly compared the effectiveness of psychotherapy and rTMS in treatment</w:t>
      </w:r>
      <w:r>
        <w:t>-</w:t>
      </w:r>
      <w:r w:rsidRPr="003B3518">
        <w:t>resistant depression. There is very limited evidence to support the use of structured forms of psychotherapy in treatment</w:t>
      </w:r>
      <w:r>
        <w:t>-</w:t>
      </w:r>
      <w:r w:rsidRPr="003B3518">
        <w:t xml:space="preserve">resistant depression, with no quality studies comparing psychotherapy approaches to control treatment in individuals with a failure to respond to </w:t>
      </w:r>
      <w:r>
        <w:t>two</w:t>
      </w:r>
      <w:r w:rsidRPr="003B3518">
        <w:t xml:space="preserve"> previous medication treatments as is relevant for this application. There are no meaningful data on which to compare safety between rTMS and CBT. </w:t>
      </w:r>
    </w:p>
    <w:p w14:paraId="137D98CA" w14:textId="77777777" w:rsidR="00F302BD" w:rsidRDefault="00F302BD" w:rsidP="00F302BD"/>
    <w:p w14:paraId="545B47B6" w14:textId="77777777" w:rsidR="00F302BD" w:rsidRDefault="00F302BD" w:rsidP="00F302BD">
      <w:pPr>
        <w:rPr>
          <w:b/>
          <w:kern w:val="28"/>
          <w:sz w:val="28"/>
        </w:rPr>
      </w:pPr>
      <w:r>
        <w:br w:type="page"/>
      </w:r>
    </w:p>
    <w:p w14:paraId="4CDAF226" w14:textId="77777777" w:rsidR="003E61DB" w:rsidRPr="00C9782D" w:rsidRDefault="003E61DB" w:rsidP="00AB6AD4">
      <w:pPr>
        <w:pStyle w:val="Heading2"/>
      </w:pPr>
      <w:bookmarkStart w:id="130" w:name="_Toc386093977"/>
      <w:bookmarkStart w:id="131" w:name="_Toc386094216"/>
      <w:bookmarkStart w:id="132" w:name="_Toc389142054"/>
      <w:bookmarkEnd w:id="33"/>
      <w:r w:rsidRPr="00C9782D">
        <w:lastRenderedPageBreak/>
        <w:t>What are the economic considerations?</w:t>
      </w:r>
      <w:bookmarkEnd w:id="130"/>
      <w:bookmarkEnd w:id="131"/>
      <w:bookmarkEnd w:id="132"/>
      <w:r w:rsidRPr="00C9782D">
        <w:t xml:space="preserve"> </w:t>
      </w:r>
    </w:p>
    <w:p w14:paraId="06887E44" w14:textId="77777777" w:rsidR="00140741" w:rsidRPr="006A44A5" w:rsidRDefault="00140741" w:rsidP="00D22942">
      <w:pPr>
        <w:pStyle w:val="Heading3"/>
      </w:pPr>
      <w:bookmarkStart w:id="133" w:name="_Toc374435360"/>
      <w:bookmarkStart w:id="134" w:name="_Toc374513849"/>
      <w:bookmarkStart w:id="135" w:name="_Toc389142055"/>
      <w:r w:rsidRPr="006A44A5">
        <w:t>Overview of the economic considerations</w:t>
      </w:r>
      <w:bookmarkEnd w:id="133"/>
      <w:bookmarkEnd w:id="134"/>
      <w:bookmarkEnd w:id="135"/>
    </w:p>
    <w:p w14:paraId="3D609DBE" w14:textId="77777777" w:rsidR="00140741" w:rsidRDefault="00140741" w:rsidP="00632D26">
      <w:pPr>
        <w:jc w:val="both"/>
      </w:pPr>
      <w:r>
        <w:t>The economic considerations appropriate to this application include:</w:t>
      </w:r>
    </w:p>
    <w:p w14:paraId="3E904DDA" w14:textId="77777777" w:rsidR="00140741" w:rsidRPr="007A3B82" w:rsidRDefault="00140741" w:rsidP="008C3491">
      <w:pPr>
        <w:pStyle w:val="ListParagraph"/>
        <w:numPr>
          <w:ilvl w:val="0"/>
          <w:numId w:val="19"/>
        </w:numPr>
        <w:jc w:val="both"/>
        <w:rPr>
          <w:rFonts w:ascii="Garamond" w:hAnsi="Garamond"/>
        </w:rPr>
      </w:pPr>
      <w:r w:rsidRPr="007A3B82">
        <w:rPr>
          <w:rFonts w:ascii="Garamond" w:hAnsi="Garamond"/>
        </w:rPr>
        <w:t>An assessment of the cost-effectiveness of rTMS versus two comparators: antidepressant medication, and ECT in patients who have failed at least two antidepressant drug therapies; and</w:t>
      </w:r>
    </w:p>
    <w:p w14:paraId="41077724" w14:textId="77777777" w:rsidR="00140741" w:rsidRPr="007A3B82" w:rsidRDefault="00140741" w:rsidP="008C3491">
      <w:pPr>
        <w:pStyle w:val="ListParagraph"/>
        <w:numPr>
          <w:ilvl w:val="0"/>
          <w:numId w:val="19"/>
        </w:numPr>
        <w:jc w:val="both"/>
        <w:rPr>
          <w:rFonts w:ascii="Garamond" w:hAnsi="Garamond"/>
        </w:rPr>
      </w:pPr>
      <w:r w:rsidRPr="007A3B82">
        <w:rPr>
          <w:rFonts w:ascii="Garamond" w:hAnsi="Garamond"/>
        </w:rPr>
        <w:t>An assessment of the financial implications of the proposed reimbursement of rTMS for the proposed indication.</w:t>
      </w:r>
    </w:p>
    <w:p w14:paraId="56727CD7" w14:textId="77777777" w:rsidR="00140741" w:rsidRDefault="00140741" w:rsidP="00140741">
      <w:pPr>
        <w:spacing w:after="0"/>
        <w:ind w:left="0"/>
        <w:jc w:val="both"/>
      </w:pPr>
    </w:p>
    <w:p w14:paraId="012C1901" w14:textId="77777777" w:rsidR="00140741" w:rsidRPr="006A44A5" w:rsidRDefault="00140741" w:rsidP="00D22942">
      <w:pPr>
        <w:pStyle w:val="Heading3"/>
      </w:pPr>
      <w:bookmarkStart w:id="136" w:name="_Toc374435361"/>
      <w:bookmarkStart w:id="137" w:name="_Toc374513850"/>
      <w:bookmarkStart w:id="138" w:name="_Toc389142056"/>
      <w:r w:rsidRPr="00632D26">
        <w:t>Published</w:t>
      </w:r>
      <w:r w:rsidRPr="006A44A5">
        <w:t xml:space="preserve"> economic literature</w:t>
      </w:r>
      <w:bookmarkEnd w:id="136"/>
      <w:bookmarkEnd w:id="137"/>
      <w:bookmarkEnd w:id="138"/>
    </w:p>
    <w:p w14:paraId="13C7E720" w14:textId="77777777" w:rsidR="00140741" w:rsidRDefault="00140741" w:rsidP="00632D26">
      <w:pPr>
        <w:jc w:val="both"/>
      </w:pPr>
      <w:r>
        <w:t xml:space="preserve">A literature review for relevant economic studies was undertaken to inform the cost-effectiveness analysis. </w:t>
      </w:r>
    </w:p>
    <w:p w14:paraId="76FA6D19" w14:textId="77777777" w:rsidR="00140741" w:rsidRDefault="00140741" w:rsidP="00404A6E">
      <w:pPr>
        <w:pStyle w:val="Heading4"/>
      </w:pPr>
      <w:proofErr w:type="gramStart"/>
      <w:r w:rsidRPr="00802912">
        <w:t>rTMS</w:t>
      </w:r>
      <w:proofErr w:type="gramEnd"/>
      <w:r w:rsidRPr="00802912">
        <w:t xml:space="preserve"> </w:t>
      </w:r>
      <w:r w:rsidR="003039ED">
        <w:t>vs. A</w:t>
      </w:r>
      <w:r w:rsidRPr="00802912">
        <w:t>ntidepressant</w:t>
      </w:r>
      <w:r w:rsidR="00C90289">
        <w:t>s</w:t>
      </w:r>
      <w:r>
        <w:t xml:space="preserve"> </w:t>
      </w:r>
    </w:p>
    <w:p w14:paraId="00383F73" w14:textId="77777777" w:rsidR="00140741" w:rsidRDefault="00140741" w:rsidP="00632D26">
      <w:pPr>
        <w:jc w:val="both"/>
      </w:pPr>
      <w:r>
        <w:t>One published economic evaluation was identified a</w:t>
      </w:r>
      <w:r w:rsidR="00403628">
        <w:t xml:space="preserve">s relevant to this application </w:t>
      </w:r>
      <w:r w:rsidR="00403628">
        <w:fldChar w:fldCharType="begin" w:fldLock="1"/>
      </w:r>
      <w:r w:rsidR="008C4A63">
        <w:instrText>ADDIN CSL_CITATION { "citationItems" : [ { "id" : "ITEM-1", "itemData" : { "DOI" : "10.1007/s12325-009-0013-x", "ISSN" : "1865-8652", "PMID" : "19330495", "abstract" : "INTRODUCTION: Transcranial magnetic stimulation (TMS) is a novel antidepressant therapy shown to be effective and safe in pharmacotherapy-resistant major depression. The incremental cost-effectiveness and the direct cost burden compared with sham treatment were estimated, and compared with the current standard of care.\n\nMETHODS: Healthcare resource utilization data were collected during a multicenter study (n=301) and a decision analysis was used to stratify the 9-week treatment outcomes. A Markov model with an acute-outcome severity-based risk of relapse was used to estimate the illness course over a full year of treatment follow-up. These model estimates were also compared to best estimates of outcomes and costs of pharmacotherapy treatment, using the published STAR(*)D outcomes. The cost-effectiveness of TMS was described using an incremental cost-effectiveness ratio (ICER) per quality-adjusted life year (QALY) gained and on a direct cost per patient basis across a varying range of assumptions. The model's sensitivities to costs due to losses in work productivity and to caregiver time were also examined.\n\nRESULTS: Compared with sham treatment and at a cost of US$300 per treatment session, TMS provides an ICER of US$34,999 per QALY, which is less than the \"willingness-to-pay' standard of US$50,000 per QALY for a new treatment for major depression. When productivity gains due to clinical recovery were included, the ICER was reduced to US$6667 per QALY. In open-label conditions, TMS provided a net cost saving of US$1123 per QALY when compared with the current standard of care. In the openlabel condition, cost savings increased further when the costs for productivity losses were included in the model (net savings of US$7621). The overall cost benefits of treating MD using TMS were greater in those patients at the earliest levels of treatment resistance in the overall sample.\n\nCONCLUSION: TMS is a cost-effective treatment for patients who have failed to receive sufficient benefit from initial antidepressant pharmacotherapy. When used at earlier levels of treatment resistance, significant cost savings may be expected relative to the current standard of care.", "author" : [ { "dropping-particle" : "", "family" : "Simpson", "given" : "Kit N", "non-dropping-particle" : "", "parse-names" : false, "suffix" : "" }, { "dropping-particle" : "", "family" : "Welch", "given" : "Mary Jane", "non-dropping-particle" : "", "parse-names" : false, "suffix" : "" }, { "dropping-particle" : "", "family" : "Kozel", "given" : "F Andrew", "non-dropping-particle" : "", "parse-names" : false, "suffix" : "" }, { "dropping-particle" : "", "family" : "Demitrack", "given" : "Mark a", "non-dropping-particle" : "", "parse-names" : false, "suffix" : "" }, { "dropping-particle" : "", "family" : "Nahas", "given" : "Ziad", "non-dropping-particle" : "", "parse-names" : false, "suffix" : "" } ], "container-title" : "Advances in therapy", "id" : "ITEM-1", "issue" : "3", "issued" : { "date-parts" : [ [ "2009", "3" ] ] }, "page" : "346-68", "title" : "Cost-effectiveness of transcranial magnetic stimulation in the treatment of major depression: a health economics analysis.", "type" : "article-journal", "volume" : "26" }, "uris" : [ "http://www.mendeley.com/documents/?uuid=86d9a642-a1c0-440b-8dde-78360738e92b" ] } ], "mendeley" : { "previouslyFormattedCitation" : "(Simpson et al., 2009)" }, "properties" : { "noteIndex" : 0 }, "schema" : "https://github.com/citation-style-language/schema/raw/master/csl-citation.json" }</w:instrText>
      </w:r>
      <w:r w:rsidR="00403628">
        <w:fldChar w:fldCharType="separate"/>
      </w:r>
      <w:r w:rsidR="008C4A63" w:rsidRPr="008C4A63">
        <w:rPr>
          <w:noProof/>
        </w:rPr>
        <w:t>(Simpson et al., 2009)</w:t>
      </w:r>
      <w:r w:rsidR="00403628">
        <w:fldChar w:fldCharType="end"/>
      </w:r>
      <w:r>
        <w:t xml:space="preserve">, which compared rTMS to sham, and to pharmacotherapies in the treatment of major depression. The study was US-based and </w:t>
      </w:r>
      <w:r w:rsidR="008522EE">
        <w:t>costs were reported in US dollars and reflect</w:t>
      </w:r>
      <w:r>
        <w:t xml:space="preserve"> US prices and resources. A Markov model was used to estimate the illness course over </w:t>
      </w:r>
      <w:r w:rsidR="008522EE">
        <w:t>a full year of treatment follow-</w:t>
      </w:r>
      <w:r>
        <w:t xml:space="preserve">up. Healthcare resource use data were based on a multicentre RCT (O’Reardon </w:t>
      </w:r>
      <w:r w:rsidRPr="00531F51">
        <w:rPr>
          <w:i/>
        </w:rPr>
        <w:t>et al</w:t>
      </w:r>
      <w:r>
        <w:t xml:space="preserve">. 2007) and the </w:t>
      </w:r>
      <w:r w:rsidRPr="00703680">
        <w:t xml:space="preserve">published STAR*D </w:t>
      </w:r>
      <w:r>
        <w:t xml:space="preserve">study. The cost-effectiveness of rTMS was described using an incremental cost-effectiveness ratio (ICER) per quality-adjusted life year (QALY) gained and </w:t>
      </w:r>
      <w:r w:rsidR="008522EE">
        <w:t xml:space="preserve">was based </w:t>
      </w:r>
      <w:r>
        <w:t xml:space="preserve">on a direct cost per patient basis. </w:t>
      </w:r>
    </w:p>
    <w:p w14:paraId="08E6D51B" w14:textId="77777777" w:rsidR="00140741" w:rsidRDefault="00140741" w:rsidP="00632D26">
      <w:pPr>
        <w:jc w:val="both"/>
      </w:pPr>
      <w:r>
        <w:t>In a trial context, compared with sham treatment and at a cost of US$300 per treatment session, rTMS provide</w:t>
      </w:r>
      <w:r w:rsidR="008522EE">
        <w:t>d</w:t>
      </w:r>
      <w:r>
        <w:t xml:space="preserve"> an ICER of US$34,999 per QALY gained. When productivity gains due to clinical recovery were included, the ICER was reduced to US$6,667 per QALY gained. In open-label conditions, rTMS provided a net cost saving of US$1,123 per QALY gained compared with the current standard of care (i.e. antidepressant medication therapies). The cost savings increased further when the costs for productivity losses were included in the model (net savings of US$7,621).</w:t>
      </w:r>
    </w:p>
    <w:p w14:paraId="1A8A1460" w14:textId="77777777" w:rsidR="00140741" w:rsidRDefault="00140741" w:rsidP="00632D26">
      <w:pPr>
        <w:jc w:val="both"/>
      </w:pPr>
      <w:r>
        <w:t xml:space="preserve">The applicability of the findings of Simpson </w:t>
      </w:r>
      <w:r w:rsidRPr="00920341">
        <w:rPr>
          <w:i/>
        </w:rPr>
        <w:t>et al.</w:t>
      </w:r>
      <w:r>
        <w:t xml:space="preserve"> (20</w:t>
      </w:r>
      <w:r w:rsidR="008522EE">
        <w:t>09</w:t>
      </w:r>
      <w:r>
        <w:t xml:space="preserve">) to the Australian setting may not be valid given rTMS is proposed to be used as third-line therapy onward.  Additionally, the reimbursement structures of the US and Australian health care systems are not directly comparable, which have implications on health resource use and costing. </w:t>
      </w:r>
    </w:p>
    <w:p w14:paraId="3E3C6522" w14:textId="77777777" w:rsidR="00140741" w:rsidRDefault="00632D26" w:rsidP="00404A6E">
      <w:pPr>
        <w:pStyle w:val="Heading4"/>
      </w:pPr>
      <w:proofErr w:type="gramStart"/>
      <w:r>
        <w:t>rTMS</w:t>
      </w:r>
      <w:proofErr w:type="gramEnd"/>
      <w:r>
        <w:t xml:space="preserve"> </w:t>
      </w:r>
      <w:r w:rsidR="003039ED">
        <w:t>vs.</w:t>
      </w:r>
      <w:r>
        <w:t xml:space="preserve"> ECT</w:t>
      </w:r>
      <w:r w:rsidR="00140741">
        <w:t xml:space="preserve"> </w:t>
      </w:r>
    </w:p>
    <w:p w14:paraId="2E0091C5" w14:textId="77777777" w:rsidR="00140741" w:rsidRDefault="00140741" w:rsidP="00632D26">
      <w:pPr>
        <w:jc w:val="both"/>
      </w:pPr>
      <w:r>
        <w:t xml:space="preserve">Two publications and an HTA report were identified as relevant to this application. One publication </w:t>
      </w:r>
      <w:r w:rsidR="00403628">
        <w:fldChar w:fldCharType="begin" w:fldLock="1"/>
      </w:r>
      <w:r w:rsidR="008C4A63">
        <w:instrText>ADDIN CSL_CITATION { "citationItems" : [ { "id" : "ITEM-1", "itemData" : { "DOI" : "10.1016/j.jad.2008.01.001", "ISSN" : "0165-0327", "PMID" : "18262655", "abstract" : "BACKGROUND: Electroconvulsive therapy (ECT) has a long history of use in treating depression. Repetitive transcranial magnetic stimulation (rTMS) has been introduced more recently to the treatment spectrum. Its cost-effectiveness has not been explored.\n\nMETHOD: Forty-six right-handed people with severe depressive episodes referred for ECT were randomised to receive either ECT twice weekly or rTMS on consecutive weekdays. Health and other service use were recorded for retrospective periods of 3 months prior to initiation of treatment and during the 6 months following the end of allocated treatment. Costs were calculated for the treatment period and the subsequent 6 months, and comparisons made between groups after adjustment for any baseline differences. Cost-effectiveness analysis was conducted with incremental change on the 17-item Hamilton Rating Scale for Depression (HRSD) as the primary outcome measure, and quality-adjusted life years (based on SF6D-generated utility scores with societal weights) as secondary outcome, cost-effectiveness acceptability curves plotted.\n\nRESULTS: Based on the HRSD scores and other outcome measures, rTMS was not as effective as ECT. The cost of a single session of rTMS was lower than the cost of a session of ECT, but overall there were no treatment cost differences. In the treatment and 6-month follow-up periods combined, health and other service costs were not significantly different between the two groups. Informal care costs were higher for the rTMS group. Total treatment, service and informal care costs were also higher for the rTMS group. The cost-effectiveness acceptability curves indicated a very small probability that decision-makers would view rTMS as more cost-effective than ECT.\n\nLIMITATIONS: Small sample size, some sample attrition and a relatively short follow-up period of 6 months for a chronic illness. Productivity losses could not be calculated.\n\nCONCLUSIONS: ECT is more cost-effective than rTMS in the treatment of severe depression.", "author" : [ { "dropping-particle" : "", "family" : "Knapp", "given" : "Martin", "non-dropping-particle" : "", "parse-names" : false, "suffix" : "" }, { "dropping-particle" : "", "family" : "Romeo", "given" : "Renee", "non-dropping-particle" : "", "parse-names" : false, "suffix" : "" }, { "dropping-particle" : "", "family" : "Mogg", "given" : "Andrew", "non-dropping-particle" : "", "parse-names" : false, "suffix" : "" }, { "dropping-particle" : "", "family" : "Eranti", "given" : "Savitha", "non-dropping-particle" : "", "parse-names" : false, "suffix" : "" }, { "dropping-particle" : "", "family" : "Pluck", "given" : "Graham", "non-dropping-particle" : "", "parse-names" : false, "suffix" : "" }, { "dropping-particle" : "", "family" : "Purvis", "given" : "Rick", "non-dropping-particle" : "", "parse-names" : false, "suffix" : "" }, { "dropping-particle" : "", "family" : "Brown", "given" : "Richard G", "non-dropping-particle" : "", "parse-names" : false, "suffix" : "" }, { "dropping-particle" : "", "family" : "Howard", "given" : "Robert", "non-dropping-particle" : "", "parse-names" : false, "suffix" : "" }, { "dropping-particle" : "", "family" : "Philpot", "given" : "Michael", "non-dropping-particle" : "", "parse-names" : false, "suffix" : "" }, { "dropping-particle" : "", "family" : "Rothwell", "given" : "John", "non-dropping-particle" : "", "parse-names" : false, "suffix" : "" }, { "dropping-particle" : "", "family" : "Edwards", "given" : "Denzil", "non-dropping-particle" : "", "parse-names" : false, "suffix" : "" }, { "dropping-particle" : "", "family" : "McLoughlin", "given" : "Declan M", "non-dropping-particle" : "", "parse-names" : false, "suffix" : "" } ], "container-title" : "Journal of affective disorders", "id" : "ITEM-1", "issue" : "3", "issued" : { "date-parts" : [ [ "2008", "8" ] ] }, "page" : "273-85", "title" : "Cost-effectiveness of transcranial magnetic stimulation vs. electroconvulsive therapy for severe depression: a multi-centre randomised controlled trial.", "type" : "article-journal", "volume" : "109" }, "uris" : [ "http://www.mendeley.com/documents/?uuid=4cb64321-6c12-4dad-97ca-14e554000ebf" ] } ], "mendeley" : { "previouslyFormattedCitation" : "(Knapp et al., 2008)" }, "properties" : { "noteIndex" : 0 }, "schema" : "https://github.com/citation-style-language/schema/raw/master/csl-citation.json" }</w:instrText>
      </w:r>
      <w:r w:rsidR="00403628">
        <w:fldChar w:fldCharType="separate"/>
      </w:r>
      <w:r w:rsidR="008C4A63" w:rsidRPr="008C4A63">
        <w:rPr>
          <w:noProof/>
        </w:rPr>
        <w:t>(Knapp et al., 2008)</w:t>
      </w:r>
      <w:r w:rsidR="00403628">
        <w:fldChar w:fldCharType="end"/>
      </w:r>
      <w:r>
        <w:t xml:space="preserve"> was based on the </w:t>
      </w:r>
      <w:r w:rsidR="0001231F">
        <w:t xml:space="preserve">UK </w:t>
      </w:r>
      <w:r>
        <w:t>HTA report</w:t>
      </w:r>
      <w:r w:rsidR="00403628">
        <w:t xml:space="preserve"> </w:t>
      </w:r>
      <w:r w:rsidR="00403628">
        <w:fldChar w:fldCharType="begin" w:fldLock="1"/>
      </w:r>
      <w:r w:rsidR="008C4A63">
        <w:instrText>ADDIN CSL_CITATION { "citationItems" : [ { "id" : "ITEM-1", "itemData" : { "author" : [ { "dropping-particle" : "", "family" : "McLoughlin", "given" : "DM", "non-dropping-particle" : "", "parse-names" : false, "suffix" : "" }, { "dropping-particle" : "", "family" : "Mogg", "given" : "A", "non-dropping-particle" : "", "parse-names" : false, "suffix" : "" }, { "dropping-particle" : "", "family" : "Eranti", "given" : "S", "non-dropping-particle" : "", "parse-names" : false, "suffix" : "" }, { "dropping-particle" : "", "family" : "Pluck", "given" : "G", "non-dropping-particle" : "", "parse-names" : false, "suffix" : "" }, { "dropping-particle" : "", "family" : "Purvis", "given" : "R", "non-dropping-particle" : "", "parse-names" : false, "suffix" : "" }, { "dropping-particle" : "", "family" : "Edwards", "given" : "D", "non-dropping-particle" : "", "parse-names" : false, "suffix" : "" }, { "dropping-particle" : "", "family" : "Landau", "given" : "S", "non-dropping-particle" : "", "parse-names" : false, "suffix" : "" }, { "dropping-particle" : "", "family" : "Brown", "given" : "R", "non-dropping-particle" : "", "parse-names" : false, "suffix" : "" }, { "dropping-particle" : "", "family" : "Rabe-Heskith", "given" : "S", "non-dropping-particle" : "", "parse-names" : false, "suffix" : "" }, { "dropping-particle" : "", "family" : "Howard", "given" : "R", "non-dropping-particle" : "", "parse-names" : false, "suffix" : "" }, { "dropping-particle" : "", "family" : "Philpot", "given" : "M", "non-dropping-particle" : "", "parse-names" : false, "suffix" : "" }, { "dropping-particle" : "", "family" : "Rothwell", "given" : "J", "non-dropping-particle" : "", "parse-names" : false, "suffix" : "" }, { "dropping-particle" : "", "family" : "Romeo", "given" : "R", "non-dropping-particle" : "", "parse-names" : false, "suffix" : "" }, { "dropping-particle" : "", "family" : "Knapp", "given" : "M", "non-dropping-particle" : "", "parse-names" : false, "suffix" : "" } ], "id" : "ITEM-1", "issue" : "24", "issued" : { "date-parts" : [ [ "2007" ] ] }, "title" : "Repetitive transcranial magnetic stimulation versus electroconvulsive therapy in severe depression: a multicentre pragmatic randomised controlled trial and economic analysis", "type" : "report", "volume" : "11" }, "uris" : [ "http://www.mendeley.com/documents/?uuid=355b3490-fea6-4ea1-9f8f-becbc39dca06" ] } ], "mendeley" : { "previouslyFormattedCitation" : "(McLoughlin et al., 2007)" }, "properties" : { "noteIndex" : 0 }, "schema" : "https://github.com/citation-style-language/schema/raw/master/csl-citation.json" }</w:instrText>
      </w:r>
      <w:r w:rsidR="00403628">
        <w:fldChar w:fldCharType="separate"/>
      </w:r>
      <w:r w:rsidR="008C4A63" w:rsidRPr="008C4A63">
        <w:rPr>
          <w:noProof/>
        </w:rPr>
        <w:t>(McLoughlin et al., 2007)</w:t>
      </w:r>
      <w:r w:rsidR="00403628">
        <w:fldChar w:fldCharType="end"/>
      </w:r>
      <w:r>
        <w:t xml:space="preserve">. </w:t>
      </w:r>
    </w:p>
    <w:p w14:paraId="66E50E94" w14:textId="3E541132" w:rsidR="00140741" w:rsidRPr="00E729A9" w:rsidRDefault="00140741" w:rsidP="00632D26">
      <w:pPr>
        <w:jc w:val="both"/>
      </w:pPr>
      <w:r>
        <w:lastRenderedPageBreak/>
        <w:t xml:space="preserve">McLoughlin </w:t>
      </w:r>
      <w:r w:rsidRPr="00E729A9">
        <w:rPr>
          <w:i/>
        </w:rPr>
        <w:t>et al.</w:t>
      </w:r>
      <w:r>
        <w:t xml:space="preserve"> 2007 (and subsequently Knapp </w:t>
      </w:r>
      <w:r w:rsidRPr="00B1634D">
        <w:rPr>
          <w:i/>
        </w:rPr>
        <w:t>et al.</w:t>
      </w:r>
      <w:r>
        <w:t xml:space="preserve"> 2008) presented the clinical effectiveness and cost of rTMS versus ECT, based on a two-group RCT for patients with MDD who had been referred to ECT. The study was UK-based and costs were reported in pounds. A full course of rTMS comprised 15 daily sessions (n=24) while ECT was administered twice weekly (n=22). End-of-treatment assessment was carried out 2-3 days after the final treatment sessions and patients were followed up for 6 months. The primary outcome was the HAM-D17 score at the end of treatment period, and rate of remission (defined as HAM-D17 ≤8). Secondary outcomes include</w:t>
      </w:r>
      <w:r w:rsidR="008522EE">
        <w:t>d</w:t>
      </w:r>
      <w:r>
        <w:t xml:space="preserve"> relapse rate after 6 months (defined as HAM-D17 ≥12), and other depression instrument scores.</w:t>
      </w:r>
    </w:p>
    <w:p w14:paraId="7C6D1FB3" w14:textId="77777777" w:rsidR="00140741" w:rsidRDefault="00140741" w:rsidP="00632D26">
      <w:pPr>
        <w:jc w:val="both"/>
      </w:pPr>
      <w:r w:rsidRPr="00B1634D">
        <w:t xml:space="preserve">The trial </w:t>
      </w:r>
      <w:r>
        <w:t>results showed that ECT was a more effective treatment than rTMS for severe depression.</w:t>
      </w:r>
      <w:r w:rsidR="00700990">
        <w:t xml:space="preserve"> End-of-treatment remission rates were 13</w:t>
      </w:r>
      <w:r w:rsidR="008522EE">
        <w:t>/22</w:t>
      </w:r>
      <w:r w:rsidR="00700990">
        <w:t xml:space="preserve"> (59%) for ECT versus 4</w:t>
      </w:r>
      <w:r w:rsidR="008522EE">
        <w:t>/24</w:t>
      </w:r>
      <w:r w:rsidR="00700990">
        <w:t xml:space="preserve"> (17%) for rTMS (p&lt;0.005).</w:t>
      </w:r>
      <w:r>
        <w:t xml:space="preserve"> However, it suggested that rTMS might be as effective as ECT if patients received more weeks of high-intensity treatment. </w:t>
      </w:r>
      <w:r w:rsidR="00C90289">
        <w:t xml:space="preserve">No differences were found in cognitive examination measures between the </w:t>
      </w:r>
      <w:r>
        <w:t xml:space="preserve">ECT </w:t>
      </w:r>
      <w:r w:rsidR="00C90289">
        <w:t>and</w:t>
      </w:r>
      <w:r>
        <w:t xml:space="preserve"> rTMS group</w:t>
      </w:r>
      <w:r w:rsidR="00C90289">
        <w:t>s</w:t>
      </w:r>
      <w:r>
        <w:t xml:space="preserve">. </w:t>
      </w:r>
    </w:p>
    <w:p w14:paraId="0166115D" w14:textId="77777777" w:rsidR="00140741" w:rsidRDefault="00140741" w:rsidP="00632D26">
      <w:pPr>
        <w:jc w:val="both"/>
      </w:pPr>
      <w:r>
        <w:t xml:space="preserve">The economic evaluation in McLoughlin </w:t>
      </w:r>
      <w:r w:rsidRPr="00E729A9">
        <w:rPr>
          <w:i/>
        </w:rPr>
        <w:t>et al.</w:t>
      </w:r>
      <w:r>
        <w:t xml:space="preserve"> 2007 suggested that the cost of a single rTMS session was lower than the cost of an ECT session. However, patients in the rTMS arm received more treatment sessions and direct treatment costs were not much higher. Overall, the sum of formal and informal care costs during the 6-month follow up period was equivalent to £222 per week per rTMS patient, and £78 per week per ECT patient. Knapp </w:t>
      </w:r>
      <w:r w:rsidRPr="00B1634D">
        <w:rPr>
          <w:i/>
        </w:rPr>
        <w:t>et al.</w:t>
      </w:r>
      <w:r>
        <w:t xml:space="preserve"> 2008 found that the incremental QALY gained with rTMS versus ECT treatment was 0.0003. Because QALY gains were negligible, the probability of cost-effectiveness, at a willingness-to-pay threshold of £30,000 per additional QALY, was less than 20%. The study concluded that rTMS has a very low probability of being seen as a cost-effective alternative to ECT for treatment-resistant depression. </w:t>
      </w:r>
    </w:p>
    <w:p w14:paraId="43B4CFA9" w14:textId="77777777" w:rsidR="00140741" w:rsidRDefault="00140741" w:rsidP="00632D26">
      <w:pPr>
        <w:jc w:val="both"/>
      </w:pPr>
      <w:r>
        <w:t xml:space="preserve">Both McLoughlin </w:t>
      </w:r>
      <w:r w:rsidRPr="00E729A9">
        <w:rPr>
          <w:i/>
        </w:rPr>
        <w:t>et al.</w:t>
      </w:r>
      <w:r>
        <w:t xml:space="preserve"> 2007 and Knapp </w:t>
      </w:r>
      <w:r w:rsidRPr="007D347B">
        <w:rPr>
          <w:i/>
        </w:rPr>
        <w:t>et al.</w:t>
      </w:r>
      <w:r>
        <w:t xml:space="preserve"> 2008 did not describe the economic model in sufficient detail; there was no information on cycle length, health states, associated utility weights and transition probabilities. Therefore, it is difficult to evaluate the merits and validity of the model or if it could be translated into the Australian</w:t>
      </w:r>
      <w:r w:rsidRPr="00C57C2C">
        <w:t xml:space="preserve"> </w:t>
      </w:r>
      <w:r>
        <w:t xml:space="preserve">context.  </w:t>
      </w:r>
    </w:p>
    <w:p w14:paraId="0A8F6D0D" w14:textId="77777777" w:rsidR="00140741" w:rsidRDefault="008522EE" w:rsidP="00632D26">
      <w:pPr>
        <w:jc w:val="both"/>
      </w:pPr>
      <w:r>
        <w:t xml:space="preserve">The second publication, </w:t>
      </w:r>
      <w:r w:rsidR="00403628">
        <w:fldChar w:fldCharType="begin" w:fldLock="1"/>
      </w:r>
      <w:r w:rsidR="008C4A63">
        <w:instrText>ADDIN CSL_CITATION { "citationItems" : [ { "id" : "ITEM-1", "itemData" : { "ISSN" : "1092-8529", "PMID" : "15162090", "abstract" : "BACKGROUND: Repetitive transcranial magnetic stimulation (rTMS) is a new treatment with promise for resistant depression.\n\nOBJECTIVE: We tested the economic feasibility of this new method compared with electroconvulsive therapy (ECT).\n\nMETHOD: An economic decision analysis was used to compare the costs of three different treatment strategies for nonpsychotic severe depression. The strategies were: ECT alone; rTMS alone; and rTMS followed by ECT for nonresponders (rTMS-to-ECT). We calculated 12-month costs and quality adjusted life years (QALYs) for the three treatment options for all nonpsychotic, severely depressed United States patients who would have otherwise undergone ECT. A sensitivity analysis was performed to test the degree of change in outcome with various parameter changes.\n\nRESULTS: The additional cost of using ECT alone compared with rTMS alone was 460,031 US dollars per quality adjusted year of life gained. For ECT versus rTMS-to-ECT, there was both an increased cost and a loss of 1,538 QALYs with ECT alone. The sensitivity analysis revealed the model to be robust with various parameter changes.\n\nCONCLUSION: If rTMS were to be made widely available clinically in the US, it would offer a substantial economic benefit over ECT in treating resistant depression. Using rTMS-to-ECT offers not only an economic advantage but also an increase in QALYs. This analysis suggests that rTMS would be a cost-effective treatment for depression compared with the current option of ECT alone.", "author" : [ { "dropping-particle" : "", "family" : "Kozel", "given" : "F Andrew", "non-dropping-particle" : "", "parse-names" : false, "suffix" : "" }, { "dropping-particle" : "", "family" : "George", "given" : "Mark S", "non-dropping-particle" : "", "parse-names" : false, "suffix" : "" }, { "dropping-particle" : "", "family" : "Simpson", "given" : "Kit N", "non-dropping-particle" : "", "parse-names" : false, "suffix" : "" } ], "container-title" : "CNS spectrums", "id" : "ITEM-1", "issue" : "6", "issued" : { "date-parts" : [ [ "2004", "6" ] ] }, "page" : "476-82", "title" : "Decision analysis of the cost-effectiveness of repetitive transcranial magnetic stimulation versus electroconvulsive therapy for treatment of nonpsychotic severe depression.", "type" : "article-journal", "volume" : "9" }, "uris" : [ "http://www.mendeley.com/documents/?uuid=b66fe975-6675-4926-895c-e3cca51ee0d9" ] } ], "mendeley" : { "previouslyFormattedCitation" : "(Kozel et al., 2004)" }, "properties" : { "noteIndex" : 0 }, "schema" : "https://github.com/citation-style-language/schema/raw/master/csl-citation.json" }</w:instrText>
      </w:r>
      <w:r w:rsidR="00403628">
        <w:fldChar w:fldCharType="separate"/>
      </w:r>
      <w:r w:rsidR="008C4A63" w:rsidRPr="008C4A63">
        <w:rPr>
          <w:noProof/>
        </w:rPr>
        <w:t>(Kozel et al., 2004)</w:t>
      </w:r>
      <w:r w:rsidR="00403628">
        <w:fldChar w:fldCharType="end"/>
      </w:r>
      <w:r>
        <w:t>,</w:t>
      </w:r>
      <w:r w:rsidR="00140741">
        <w:t xml:space="preserve"> developed a one-year decision-analytic model to compare three treatment arms: ECT monotherapy, rTMs monotherapy and rTMS followed by ECT for non-responders. The study was US-based and costs were reported in US dollars and reflect US prices and resources. The primary outcomes </w:t>
      </w:r>
      <w:r>
        <w:t>were</w:t>
      </w:r>
      <w:r w:rsidR="00140741">
        <w:t xml:space="preserve"> response and relapse rates. All the health states </w:t>
      </w:r>
      <w:r>
        <w:t>were</w:t>
      </w:r>
      <w:r w:rsidR="00140741">
        <w:t xml:space="preserve"> based on the response and relapse rates although there is no clear definition of either rate. The ICER for rTMS versus ECT was estimated at US$406 per QALY gained. Compared with rTMS-then-ECT, the ICER for rTMS was $34 per QALY gained, which lead to the author’s conclusion that there </w:t>
      </w:r>
      <w:r>
        <w:t>was</w:t>
      </w:r>
      <w:r w:rsidR="00140741">
        <w:t xml:space="preserve"> a large economic benefit of using rTMS to treat major depression. A limitation of this study is its simple decision tree </w:t>
      </w:r>
      <w:r w:rsidR="00C90289">
        <w:t xml:space="preserve">design </w:t>
      </w:r>
      <w:r w:rsidR="00140741">
        <w:t>that considers only response and relapse. Additionally, the quality of outcome data was poor, as acknowledged by the authors, due to the lack of large RCTs c</w:t>
      </w:r>
      <w:r w:rsidR="0001231F">
        <w:t>omparing rTMS with ECT directly</w:t>
      </w:r>
      <w:r w:rsidR="00140741">
        <w:t xml:space="preserve"> or indirectly via a common comparator.  </w:t>
      </w:r>
    </w:p>
    <w:p w14:paraId="3B5744D2" w14:textId="77777777" w:rsidR="00C90289" w:rsidRDefault="00140741" w:rsidP="00404A6E">
      <w:pPr>
        <w:jc w:val="both"/>
      </w:pPr>
      <w:r>
        <w:t xml:space="preserve">These </w:t>
      </w:r>
      <w:r w:rsidR="00C90289">
        <w:t xml:space="preserve">economic </w:t>
      </w:r>
      <w:r>
        <w:t>studies are not directly applicable to</w:t>
      </w:r>
      <w:r w:rsidR="007A3B82">
        <w:t xml:space="preserve"> the Australian setting because a) t</w:t>
      </w:r>
      <w:r>
        <w:t>here is insufficient information about the models used in each study to ensure the treatment algorithm is compatib</w:t>
      </w:r>
      <w:r w:rsidR="007A3B82">
        <w:t>le with the Australian practice and b) the</w:t>
      </w:r>
      <w:r>
        <w:t xml:space="preserve"> studies are out of date (since 2004 and 2007) </w:t>
      </w:r>
      <w:r w:rsidR="007A3B82">
        <w:t>and</w:t>
      </w:r>
      <w:r>
        <w:t xml:space="preserve"> new (and larger) trials and studies might better reflect the current treatment practice for major depression. </w:t>
      </w:r>
    </w:p>
    <w:p w14:paraId="1DF7EF81" w14:textId="77777777" w:rsidR="00140741" w:rsidRPr="006A44A5" w:rsidRDefault="00140741" w:rsidP="00D22942">
      <w:pPr>
        <w:pStyle w:val="Heading3"/>
      </w:pPr>
      <w:bookmarkStart w:id="139" w:name="_Toc374435362"/>
      <w:bookmarkStart w:id="140" w:name="_Toc374513851"/>
      <w:bookmarkStart w:id="141" w:name="_Toc389142057"/>
      <w:r w:rsidRPr="006A44A5">
        <w:lastRenderedPageBreak/>
        <w:t>Economic evaluation</w:t>
      </w:r>
      <w:bookmarkEnd w:id="139"/>
      <w:bookmarkEnd w:id="140"/>
      <w:bookmarkEnd w:id="141"/>
    </w:p>
    <w:p w14:paraId="4BABD8B7" w14:textId="77777777" w:rsidR="00140741" w:rsidRDefault="00140741" w:rsidP="00632D26">
      <w:pPr>
        <w:jc w:val="both"/>
      </w:pPr>
      <w:r>
        <w:t xml:space="preserve">An economic evaluation was undertaken to model the costs and effects of rTMS, antidepressants and ECT in the treatment of patients with major depressive disorder who have failed at least two adequate antidepressant medications. </w:t>
      </w:r>
      <w:r w:rsidR="00700990">
        <w:t xml:space="preserve">Psychotherapy was assumed to occur concurrently with these three options and therefore, as </w:t>
      </w:r>
      <w:r w:rsidR="008522EE">
        <w:t>psychotherapy is</w:t>
      </w:r>
      <w:r w:rsidR="00700990">
        <w:t xml:space="preserve"> common to each arm, </w:t>
      </w:r>
      <w:r w:rsidR="008522EE">
        <w:t>is</w:t>
      </w:r>
      <w:r w:rsidR="00700990">
        <w:t xml:space="preserve"> omitted from this cost-utility analysis.</w:t>
      </w:r>
    </w:p>
    <w:p w14:paraId="1AA5CECE" w14:textId="77777777" w:rsidR="00140741" w:rsidRDefault="00700990" w:rsidP="00404A6E">
      <w:pPr>
        <w:pStyle w:val="Heading4"/>
      </w:pPr>
      <w:r>
        <w:t xml:space="preserve">Model </w:t>
      </w:r>
      <w:r w:rsidRPr="00404A6E">
        <w:t>structure</w:t>
      </w:r>
    </w:p>
    <w:p w14:paraId="65FB8502" w14:textId="77777777" w:rsidR="00140741" w:rsidRPr="00662946" w:rsidRDefault="00140741" w:rsidP="00632D26">
      <w:pPr>
        <w:jc w:val="both"/>
      </w:pPr>
      <w:r>
        <w:t>A Markov micro-simulation model was constructed and analysed in TreeAge Pro 2014 software. The model draws on evidence from the literature, and compares three treatment strategies for patients with MDD who enter the model after they have already failed at least two adequate antidepressant drug therapies. In the absence of long-term clinical data</w:t>
      </w:r>
      <w:r w:rsidRPr="00662946">
        <w:rPr>
          <w:color w:val="000000" w:themeColor="text1"/>
        </w:rPr>
        <w:t xml:space="preserve">, </w:t>
      </w:r>
      <w:r>
        <w:t xml:space="preserve">the model duration was three years with </w:t>
      </w:r>
      <w:r w:rsidR="00455CBC">
        <w:t>two-</w:t>
      </w:r>
      <w:r>
        <w:t xml:space="preserve">monthly cycles. Three years was also considered appropriate to model several courses of treatment or switching between treatments. </w:t>
      </w:r>
      <w:r w:rsidR="008522EE">
        <w:t xml:space="preserve">‘Tracker variables’ were used so that the number of treatments was monitored for each person to ensure patients moved out to the next treatment when appropriate. </w:t>
      </w:r>
      <w:r>
        <w:t xml:space="preserve">The main outcomes of the model are costs and QALYs. </w:t>
      </w:r>
    </w:p>
    <w:p w14:paraId="7D2A8533" w14:textId="77777777" w:rsidR="00140741" w:rsidRDefault="00140741" w:rsidP="00700990">
      <w:r w:rsidRPr="00F03C5C">
        <w:t>The model contains eight health states:</w:t>
      </w:r>
      <w:r>
        <w:t xml:space="preserve"> </w:t>
      </w:r>
    </w:p>
    <w:p w14:paraId="6344EFCF" w14:textId="77777777" w:rsidR="00140741" w:rsidRPr="00632D26" w:rsidRDefault="008522EE" w:rsidP="008C3491">
      <w:pPr>
        <w:pStyle w:val="ListParagraph"/>
        <w:numPr>
          <w:ilvl w:val="0"/>
          <w:numId w:val="18"/>
        </w:numPr>
        <w:spacing w:after="240"/>
        <w:ind w:left="1276"/>
        <w:jc w:val="both"/>
        <w:rPr>
          <w:rFonts w:ascii="Garamond" w:hAnsi="Garamond"/>
        </w:rPr>
      </w:pPr>
      <w:r w:rsidRPr="00632D26">
        <w:rPr>
          <w:rFonts w:ascii="Garamond" w:hAnsi="Garamond"/>
        </w:rPr>
        <w:t>Main</w:t>
      </w:r>
      <w:r w:rsidR="00140741" w:rsidRPr="00632D26">
        <w:rPr>
          <w:rFonts w:ascii="Garamond" w:hAnsi="Garamond"/>
        </w:rPr>
        <w:t xml:space="preserve"> treatment: HAM-D 17 score ≥ 20</w:t>
      </w:r>
    </w:p>
    <w:p w14:paraId="66B0C2D2" w14:textId="77777777" w:rsidR="00140741" w:rsidRPr="00632D26" w:rsidRDefault="00140741" w:rsidP="008C3491">
      <w:pPr>
        <w:pStyle w:val="ListParagraph"/>
        <w:numPr>
          <w:ilvl w:val="0"/>
          <w:numId w:val="18"/>
        </w:numPr>
        <w:spacing w:after="240"/>
        <w:ind w:left="1276"/>
        <w:jc w:val="both"/>
        <w:rPr>
          <w:rFonts w:ascii="Garamond" w:hAnsi="Garamond"/>
        </w:rPr>
      </w:pPr>
      <w:r w:rsidRPr="00632D26">
        <w:rPr>
          <w:rFonts w:ascii="Garamond" w:hAnsi="Garamond"/>
        </w:rPr>
        <w:t xml:space="preserve">Full remission: HAM-D 17 score &lt;8 </w:t>
      </w:r>
    </w:p>
    <w:p w14:paraId="262EDE56" w14:textId="77777777" w:rsidR="00140741" w:rsidRPr="00632D26" w:rsidRDefault="00140741" w:rsidP="008C3491">
      <w:pPr>
        <w:pStyle w:val="ListParagraph"/>
        <w:numPr>
          <w:ilvl w:val="0"/>
          <w:numId w:val="18"/>
        </w:numPr>
        <w:spacing w:after="240"/>
        <w:ind w:left="1276"/>
        <w:jc w:val="both"/>
        <w:rPr>
          <w:rFonts w:ascii="Garamond" w:hAnsi="Garamond"/>
        </w:rPr>
      </w:pPr>
      <w:r w:rsidRPr="00632D26">
        <w:rPr>
          <w:rFonts w:ascii="Garamond" w:hAnsi="Garamond"/>
        </w:rPr>
        <w:t xml:space="preserve">Partial remission: 8 ≤ HAM-D 17 score &lt;20 </w:t>
      </w:r>
    </w:p>
    <w:p w14:paraId="6F14603B" w14:textId="77777777" w:rsidR="00140741" w:rsidRPr="00632D26" w:rsidRDefault="00140741" w:rsidP="008C3491">
      <w:pPr>
        <w:pStyle w:val="ListParagraph"/>
        <w:numPr>
          <w:ilvl w:val="0"/>
          <w:numId w:val="18"/>
        </w:numPr>
        <w:spacing w:after="240"/>
        <w:ind w:left="1276"/>
        <w:jc w:val="both"/>
        <w:rPr>
          <w:rFonts w:ascii="Garamond" w:hAnsi="Garamond"/>
        </w:rPr>
      </w:pPr>
      <w:r w:rsidRPr="00632D26">
        <w:rPr>
          <w:rFonts w:ascii="Garamond" w:hAnsi="Garamond"/>
        </w:rPr>
        <w:t>No response/Relapse: HAM-D 17 score ≥ 20</w:t>
      </w:r>
    </w:p>
    <w:p w14:paraId="7BBCB336" w14:textId="77777777" w:rsidR="00140741" w:rsidRPr="00632D26" w:rsidRDefault="008522EE" w:rsidP="008C3491">
      <w:pPr>
        <w:pStyle w:val="ListParagraph"/>
        <w:numPr>
          <w:ilvl w:val="0"/>
          <w:numId w:val="18"/>
        </w:numPr>
        <w:spacing w:after="240"/>
        <w:ind w:left="1276"/>
        <w:jc w:val="both"/>
        <w:rPr>
          <w:rFonts w:ascii="Garamond" w:hAnsi="Garamond"/>
        </w:rPr>
      </w:pPr>
      <w:r w:rsidRPr="00632D26">
        <w:rPr>
          <w:rFonts w:ascii="Garamond" w:hAnsi="Garamond"/>
        </w:rPr>
        <w:t>Post</w:t>
      </w:r>
      <w:r w:rsidR="00140741" w:rsidRPr="00632D26">
        <w:rPr>
          <w:rFonts w:ascii="Garamond" w:hAnsi="Garamond"/>
        </w:rPr>
        <w:t xml:space="preserve"> ECT treatment after failing the main treatment </w:t>
      </w:r>
    </w:p>
    <w:p w14:paraId="11342185" w14:textId="77777777" w:rsidR="00140741" w:rsidRPr="00632D26" w:rsidRDefault="008522EE" w:rsidP="008C3491">
      <w:pPr>
        <w:pStyle w:val="ListParagraph"/>
        <w:numPr>
          <w:ilvl w:val="0"/>
          <w:numId w:val="18"/>
        </w:numPr>
        <w:spacing w:after="240"/>
        <w:ind w:left="1276"/>
        <w:jc w:val="both"/>
        <w:rPr>
          <w:rFonts w:ascii="Garamond" w:hAnsi="Garamond"/>
        </w:rPr>
      </w:pPr>
      <w:r w:rsidRPr="00632D26">
        <w:rPr>
          <w:rFonts w:ascii="Garamond" w:hAnsi="Garamond"/>
        </w:rPr>
        <w:t>Post</w:t>
      </w:r>
      <w:r w:rsidR="00140741" w:rsidRPr="00632D26">
        <w:rPr>
          <w:rFonts w:ascii="Garamond" w:hAnsi="Garamond"/>
        </w:rPr>
        <w:t xml:space="preserve"> augmented Lithium/antidepressant after failing the main treatment</w:t>
      </w:r>
    </w:p>
    <w:p w14:paraId="17F6AB62" w14:textId="77777777" w:rsidR="00140741" w:rsidRPr="00632D26" w:rsidRDefault="00140741" w:rsidP="008C3491">
      <w:pPr>
        <w:pStyle w:val="ListParagraph"/>
        <w:numPr>
          <w:ilvl w:val="0"/>
          <w:numId w:val="18"/>
        </w:numPr>
        <w:spacing w:after="240"/>
        <w:ind w:left="1276"/>
        <w:jc w:val="both"/>
        <w:rPr>
          <w:rFonts w:ascii="Garamond" w:hAnsi="Garamond"/>
        </w:rPr>
      </w:pPr>
      <w:r w:rsidRPr="00632D26">
        <w:rPr>
          <w:rFonts w:ascii="Garamond" w:hAnsi="Garamond"/>
        </w:rPr>
        <w:t xml:space="preserve">Hospitalisation, and  </w:t>
      </w:r>
    </w:p>
    <w:p w14:paraId="6D198DB0" w14:textId="77777777" w:rsidR="00140741" w:rsidRPr="00632D26" w:rsidRDefault="00140741" w:rsidP="008C3491">
      <w:pPr>
        <w:pStyle w:val="ListParagraph"/>
        <w:numPr>
          <w:ilvl w:val="0"/>
          <w:numId w:val="18"/>
        </w:numPr>
        <w:spacing w:after="240"/>
        <w:ind w:left="1276"/>
        <w:jc w:val="both"/>
        <w:rPr>
          <w:rFonts w:ascii="Garamond" w:hAnsi="Garamond"/>
        </w:rPr>
      </w:pPr>
      <w:r w:rsidRPr="00632D26">
        <w:rPr>
          <w:rFonts w:ascii="Garamond" w:hAnsi="Garamond"/>
        </w:rPr>
        <w:t xml:space="preserve">Death </w:t>
      </w:r>
    </w:p>
    <w:p w14:paraId="085D96E5" w14:textId="769CA06D" w:rsidR="00140741" w:rsidRDefault="00C90289" w:rsidP="00632D26">
      <w:pPr>
        <w:jc w:val="both"/>
      </w:pPr>
      <w:r>
        <w:t xml:space="preserve">All patients start in the model after failing two antidepressant medications from two classes, in line with the proposed MBS population. </w:t>
      </w:r>
      <w:r w:rsidR="00140741">
        <w:t>For each treatment arm, a patient will start with the main treatment and may experience adverse events, with their associated costs and disutility. The patient then either (i) gains full remission (HAM-D17 score &lt; 8) until losing full remission (HAM-D17 score ≥ 8), or (ii) gains partial remission or (iii) does not respond at all,</w:t>
      </w:r>
      <w:r w:rsidR="00BE41D5">
        <w:t xml:space="preserve"> or (iv)</w:t>
      </w:r>
      <w:r w:rsidR="00140741">
        <w:t xml:space="preserve"> experience</w:t>
      </w:r>
      <w:r w:rsidR="00580F8D">
        <w:t>s</w:t>
      </w:r>
      <w:r w:rsidR="00140741">
        <w:t xml:space="preserve"> an acute episode that requires hospitalisation. </w:t>
      </w:r>
    </w:p>
    <w:p w14:paraId="09728FB5" w14:textId="77777777" w:rsidR="00BE41D5" w:rsidRDefault="00BE41D5" w:rsidP="00632D26">
      <w:pPr>
        <w:jc w:val="both"/>
      </w:pPr>
      <w:r>
        <w:t xml:space="preserve">When a patient enters the ‘full remission’ state, the patient can receive maintenance treatment (if the acute treatment was rTMS) where they may experience adverse events. After receiving maintenance treatment, patients can remain in full remission or move to partial remission. For patients who did not receive maintenance treatment (acute treatment was ECT or anti-depressants), they can remain in full remission or move to partial remission. </w:t>
      </w:r>
    </w:p>
    <w:p w14:paraId="0AFFD54B" w14:textId="77777777" w:rsidR="00BE41D5" w:rsidRDefault="00BE41D5" w:rsidP="00632D26">
      <w:pPr>
        <w:jc w:val="both"/>
      </w:pPr>
      <w:r>
        <w:t xml:space="preserve">When a patient enters the ‘partial remission’ state, the patient can either remain in partial remission or lose response and move to the ‘no response/relapse’ state. Once a patient enters the ‘no response/relapse state’, the patient can start re-treatment (i.e. move to acute treatment again) or receive no re-treatment. If the patient receives no re-treatment, then the patient may experience an acute episode (i.e. hospitalisation) or change </w:t>
      </w:r>
      <w:r>
        <w:lastRenderedPageBreak/>
        <w:t xml:space="preserve">treatment and move to either post ECT treatment or post lithium augmentation treatment. </w:t>
      </w:r>
    </w:p>
    <w:p w14:paraId="13A65D1D" w14:textId="6D4F4A93" w:rsidR="00BE41D5" w:rsidRDefault="00BE41D5" w:rsidP="00632D26">
      <w:pPr>
        <w:jc w:val="both"/>
      </w:pPr>
      <w:r>
        <w:t>All patients are allowed to stay on the main treatment for a maximum of three courses before moving to an alternative treatment. For patients in the rTMS, the alternative treatments can be either ECT or lithium augmentation, with a maximum of two courses each before switching to the other. For patients receiving antidepressant therapy, they will move to ECT for a maximum of two courses before going back to antidepressants</w:t>
      </w:r>
      <w:r w:rsidR="00D84749">
        <w:t xml:space="preserve"> likely with lithium or antipsychotic augmentation</w:t>
      </w:r>
      <w:r>
        <w:t xml:space="preserve">. For patients in ECT, the alternative treatment is lithium augmentation for a maximum of two courses before going back to ECT. </w:t>
      </w:r>
    </w:p>
    <w:p w14:paraId="704EE438" w14:textId="77777777" w:rsidR="00BE41D5" w:rsidRDefault="00BE41D5" w:rsidP="00632D26">
      <w:pPr>
        <w:jc w:val="both"/>
      </w:pPr>
      <w:r>
        <w:t xml:space="preserve">If patients enter the ‘post-ECT treatment’ state or the ‘post-lithium augmentation treatment’ state, then patients start to receive the appropriate treatment where they may experience adverse event. Patients may then gain full remission (i.e. move to ‘full remission’ state), partially respond (i.e. remain on their post-treatment, ECT or lithium augmentation), not respond at all (i.e. move to the other treatment alternative), or experience an acute episode and move to ‘hospitalisation’ state.  </w:t>
      </w:r>
    </w:p>
    <w:p w14:paraId="1D962B83" w14:textId="77777777" w:rsidR="00BE41D5" w:rsidRDefault="00BE41D5" w:rsidP="00632D26">
      <w:pPr>
        <w:jc w:val="both"/>
      </w:pPr>
      <w:r>
        <w:t xml:space="preserve">Once a patient enters the ‘hospitalisation’ state, the patient may remain in that state or gain full remission and move to the ‘full remission’ state. </w:t>
      </w:r>
    </w:p>
    <w:p w14:paraId="250FFB1C" w14:textId="77777777" w:rsidR="00140741" w:rsidRDefault="00140741" w:rsidP="00632D26">
      <w:pPr>
        <w:jc w:val="both"/>
      </w:pPr>
      <w:r>
        <w:t xml:space="preserve">At any given time, a patient can die due to common or MDD-related causes. Mortality risk is higher for patients in acute depression (no response/relapse health state) or in moderate depression (partial remission). Patients who do not achieve a treatment response are also at risk of an acute episode that requires hospitalisation. It is also assumed that patients on all treatment arms will continue with their regular depression treatment (either medical and/or psychological treatment). </w:t>
      </w:r>
    </w:p>
    <w:p w14:paraId="740C407E" w14:textId="77777777" w:rsidR="004C1C27" w:rsidRDefault="00140741">
      <w:pPr>
        <w:spacing w:after="0"/>
        <w:ind w:left="0"/>
        <w:rPr>
          <w:rStyle w:val="Strong"/>
        </w:rPr>
      </w:pPr>
      <w:r>
        <w:t xml:space="preserve">The patient movement between health states is </w:t>
      </w:r>
      <w:r w:rsidR="00580F8D">
        <w:t>illustrated</w:t>
      </w:r>
      <w:r>
        <w:t xml:space="preserve"> in</w:t>
      </w:r>
      <w:r w:rsidR="00404A6E">
        <w:t xml:space="preserve"> </w:t>
      </w:r>
      <w:r w:rsidR="00404A6E">
        <w:fldChar w:fldCharType="begin"/>
      </w:r>
      <w:r w:rsidR="00404A6E">
        <w:instrText xml:space="preserve"> REF _Ref386096344 \h </w:instrText>
      </w:r>
      <w:r w:rsidR="00404A6E">
        <w:fldChar w:fldCharType="separate"/>
      </w:r>
      <w:r w:rsidR="004C1C27">
        <w:rPr>
          <w:rStyle w:val="Strong"/>
        </w:rPr>
        <w:br w:type="page"/>
      </w:r>
    </w:p>
    <w:p w14:paraId="712135B0" w14:textId="63497574" w:rsidR="00404A6E" w:rsidRDefault="004C1C27" w:rsidP="00404A6E">
      <w:pPr>
        <w:jc w:val="both"/>
      </w:pPr>
      <w:proofErr w:type="gramStart"/>
      <w:r w:rsidRPr="00397B17">
        <w:rPr>
          <w:rStyle w:val="Strong"/>
          <w:bCs w:val="0"/>
        </w:rPr>
        <w:lastRenderedPageBreak/>
        <w:t xml:space="preserve">Figure </w:t>
      </w:r>
      <w:proofErr w:type="gramEnd"/>
      <w:r w:rsidR="00404A6E">
        <w:fldChar w:fldCharType="end"/>
      </w:r>
      <w:r w:rsidR="00140741">
        <w:t xml:space="preserve">. </w:t>
      </w:r>
    </w:p>
    <w:p w14:paraId="5F182286" w14:textId="77777777" w:rsidR="008C4272" w:rsidRDefault="008C4272">
      <w:pPr>
        <w:spacing w:after="0"/>
        <w:ind w:left="0"/>
        <w:rPr>
          <w:rStyle w:val="Strong"/>
        </w:rPr>
      </w:pPr>
      <w:bookmarkStart w:id="142" w:name="_Ref386096344"/>
      <w:bookmarkStart w:id="143" w:name="_Toc389042771"/>
      <w:r>
        <w:rPr>
          <w:rStyle w:val="Strong"/>
        </w:rPr>
        <w:br w:type="page"/>
      </w:r>
    </w:p>
    <w:p w14:paraId="22159CF2" w14:textId="4494C527" w:rsidR="00404A6E" w:rsidRPr="00397B17" w:rsidRDefault="00404A6E" w:rsidP="00397B17">
      <w:pPr>
        <w:pStyle w:val="Heading6"/>
        <w:rPr>
          <w:rStyle w:val="Strong"/>
          <w:b/>
          <w:bCs w:val="0"/>
        </w:rPr>
      </w:pPr>
      <w:bookmarkStart w:id="144" w:name="_Toc389154655"/>
      <w:r w:rsidRPr="00397B17">
        <w:rPr>
          <w:rStyle w:val="Strong"/>
          <w:b/>
          <w:bCs w:val="0"/>
        </w:rPr>
        <w:lastRenderedPageBreak/>
        <w:t xml:space="preserve">Figure </w:t>
      </w:r>
      <w:bookmarkEnd w:id="142"/>
      <w:r w:rsidR="008474A0">
        <w:rPr>
          <w:rStyle w:val="Strong"/>
          <w:b/>
          <w:bCs w:val="0"/>
        </w:rPr>
        <w:t>8</w:t>
      </w:r>
      <w:r w:rsidRPr="00397B17">
        <w:rPr>
          <w:rStyle w:val="Strong"/>
          <w:b/>
          <w:bCs w:val="0"/>
        </w:rPr>
        <w:t>: State transition diagram of the economic model</w:t>
      </w:r>
      <w:bookmarkEnd w:id="143"/>
      <w:bookmarkEnd w:id="144"/>
    </w:p>
    <w:p w14:paraId="3232BB11" w14:textId="77777777" w:rsidR="00140741" w:rsidRDefault="000A1CB2" w:rsidP="00632D26">
      <w:pPr>
        <w:keepNext/>
        <w:ind w:left="567"/>
        <w:jc w:val="center"/>
        <w:rPr>
          <w:b/>
        </w:rPr>
      </w:pPr>
      <w:r>
        <w:rPr>
          <w:b/>
          <w:noProof/>
          <w:lang w:eastAsia="en-AU"/>
        </w:rPr>
        <w:drawing>
          <wp:inline distT="0" distB="0" distL="0" distR="0" wp14:anchorId="09ACB605" wp14:editId="41CF8275">
            <wp:extent cx="5380892" cy="3269908"/>
            <wp:effectExtent l="0" t="0" r="0" b="6985"/>
            <wp:docPr id="73" name="Picture 73" title="State transition diagram - ec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tif"/>
                    <pic:cNvPicPr/>
                  </pic:nvPicPr>
                  <pic:blipFill>
                    <a:blip r:embed="rId25">
                      <a:extLst>
                        <a:ext uri="{28A0092B-C50C-407E-A947-70E740481C1C}">
                          <a14:useLocalDpi xmlns:a14="http://schemas.microsoft.com/office/drawing/2010/main" val="0"/>
                        </a:ext>
                      </a:extLst>
                    </a:blip>
                    <a:stretch>
                      <a:fillRect/>
                    </a:stretch>
                  </pic:blipFill>
                  <pic:spPr>
                    <a:xfrm>
                      <a:off x="0" y="0"/>
                      <a:ext cx="5379884" cy="3269295"/>
                    </a:xfrm>
                    <a:prstGeom prst="rect">
                      <a:avLst/>
                    </a:prstGeom>
                  </pic:spPr>
                </pic:pic>
              </a:graphicData>
            </a:graphic>
          </wp:inline>
        </w:drawing>
      </w:r>
    </w:p>
    <w:p w14:paraId="5F3F5C22" w14:textId="77777777" w:rsidR="00632D26" w:rsidRDefault="00632D26" w:rsidP="00700990">
      <w:pPr>
        <w:ind w:left="567"/>
        <w:jc w:val="both"/>
        <w:rPr>
          <w:b/>
        </w:rPr>
      </w:pPr>
    </w:p>
    <w:p w14:paraId="1CBE5FD7" w14:textId="77777777" w:rsidR="00700990" w:rsidRDefault="00700990" w:rsidP="00404A6E">
      <w:pPr>
        <w:pStyle w:val="Heading4"/>
      </w:pPr>
      <w:r w:rsidRPr="00404A6E">
        <w:t>Model</w:t>
      </w:r>
      <w:r>
        <w:t xml:space="preserve"> </w:t>
      </w:r>
      <w:r w:rsidRPr="00404A6E">
        <w:t>inputs</w:t>
      </w:r>
      <w:r>
        <w:t xml:space="preserve"> and justification for data sources</w:t>
      </w:r>
    </w:p>
    <w:p w14:paraId="4E6F8CA0" w14:textId="77777777" w:rsidR="00140741" w:rsidRDefault="00140741" w:rsidP="00404A6E">
      <w:pPr>
        <w:pStyle w:val="Heading5"/>
      </w:pPr>
      <w:r w:rsidRPr="00404A6E">
        <w:t>Transition</w:t>
      </w:r>
      <w:r>
        <w:t xml:space="preserve"> probabilities </w:t>
      </w:r>
    </w:p>
    <w:p w14:paraId="2872C7F1" w14:textId="77777777" w:rsidR="00140741" w:rsidRPr="008474A0" w:rsidRDefault="001507E1" w:rsidP="008474A0">
      <w:pPr>
        <w:ind w:left="1701"/>
        <w:rPr>
          <w:rFonts w:ascii="Tahoma" w:hAnsi="Tahoma" w:cs="Tahoma"/>
          <w:b/>
          <w:sz w:val="20"/>
        </w:rPr>
      </w:pPr>
      <w:proofErr w:type="gramStart"/>
      <w:r w:rsidRPr="008474A0">
        <w:rPr>
          <w:rFonts w:ascii="Tahoma" w:hAnsi="Tahoma" w:cs="Tahoma"/>
          <w:b/>
          <w:sz w:val="20"/>
        </w:rPr>
        <w:t>rTMS</w:t>
      </w:r>
      <w:proofErr w:type="gramEnd"/>
      <w:r w:rsidR="00140741" w:rsidRPr="008474A0">
        <w:rPr>
          <w:rFonts w:ascii="Tahoma" w:hAnsi="Tahoma" w:cs="Tahoma"/>
          <w:b/>
          <w:sz w:val="20"/>
        </w:rPr>
        <w:t xml:space="preserve"> </w:t>
      </w:r>
    </w:p>
    <w:p w14:paraId="566D3F04" w14:textId="77777777" w:rsidR="00140741" w:rsidRDefault="00140741" w:rsidP="001507E1">
      <w:pPr>
        <w:jc w:val="both"/>
      </w:pPr>
      <w:r>
        <w:t xml:space="preserve">Several RCTs and meta-analyses report response and remission rates for patients who have received rTMS: </w:t>
      </w:r>
    </w:p>
    <w:p w14:paraId="38176DD2" w14:textId="77777777" w:rsidR="00140741" w:rsidRPr="00700990" w:rsidRDefault="00403628" w:rsidP="008C3491">
      <w:pPr>
        <w:pStyle w:val="ListParagraph"/>
        <w:numPr>
          <w:ilvl w:val="1"/>
          <w:numId w:val="20"/>
        </w:numPr>
        <w:jc w:val="both"/>
        <w:rPr>
          <w:rFonts w:ascii="Garamond" w:hAnsi="Garamond"/>
        </w:rPr>
      </w:pPr>
      <w:r>
        <w:rPr>
          <w:rFonts w:ascii="Garamond" w:hAnsi="Garamond"/>
        </w:rPr>
        <w:fldChar w:fldCharType="begin" w:fldLock="1"/>
      </w:r>
      <w:r w:rsidR="008C4A63">
        <w:rPr>
          <w:rFonts w:ascii="Garamond" w:hAnsi="Garamond"/>
        </w:rPr>
        <w:instrText>ADDIN CSL_CITATION { "citationItems" : [ { "id" : "ITEM-1", "itemData" : { "DOI" : "10.1017/S0033291713000512", "ISBN" : "0033291713", "ISSN" : "1469-8978", "PMID" : "23507264", "abstract" : "BACKGROUND: Meta-analyses have shown that high-frequency (HF) repetitive transcranial magnetic stimulation (rTMS) has antidepressant properties when compared with sham rTMS. However, its overall response and remission rates in major depression (MD) remain unclear. Thus, we have systematically and quantitatively assessed the efficacy of HF-rTMS for MD based on randomized, double-blind and sham-controlled trials (RCTs).\n\nMETHOD: We searched the literature from 1995 through to July 2012 using MEDLINE, EMBASE, PsycINFO, Cochrane Central Register of Controlled Trials, SCOPUS, and ProQuest Dissertations &amp; Theses. We used a random-effects model, odds ratios (ORs) and the number needed to treat (NNT).\n\nRESULTS: Data from 29 RCTs were included, totaling 1371 subjects with MD. Following approximately 13 sessions, 29.3% and 18.6% of subjects receiving HF-rTMS were classified as responders and remitters, respectively (compared with 10.4% and 5% of those receiving sham rTMS). The pooled OR was 3.3 (p\u00a0&lt;\u00a00.0001) for both response and remission rates (with associated NNTs of 6 and 8, respectively). Furthermore, we found HF-rTMS to be equally effective as an augmentation strategy or as a monotherapy for MD, and when used in samples with primary unipolar MD or in mixed samples with unipolar and bipolar MD. Also, alternative stimulation parameters were not associated with differential efficacy estimates. Moreover, baseline depression severity and drop-out rates at study end were comparable between the HF-rTMS and sham rTMS groups. Finally, heterogeneity between the included RCTs was not statistically significant.\n\nCONCLUSIONS: HF-rTMS seems to be associated with clinically relevant antidepressant effects and with a benign tolerability profile.", "author" : [ { "dropping-particle" : "", "family" : "Berlim", "given" : "M T", "non-dropping-particle" : "", "parse-names" : false, "suffix" : "" }, { "dropping-particle" : "", "family" : "Eynde", "given" : "F", "non-dropping-particle" : "van den", "parse-names" : false, "suffix" : "" }, { "dropping-particle" : "", "family" : "Tovar-Perdomo", "given" : "S", "non-dropping-particle" : "", "parse-names" : false, "suffix" : "" }, { "dropping-particle" : "", "family" : "Daskalakis", "given" : "Z J", "non-dropping-particle" : "", "parse-names" : false, "suffix" : "" } ], "container-title" : "Psychological medicine", "id" : "ITEM-1", "issue" : "2", "issued" : { "date-parts" : [ [ "2014", "1" ] ] }, "page" : "225-39", "title" : "Response, remission and drop-out rates following high-frequency repetitive transcranial magnetic stimulation (rTMS) for treating major depression: a systematic review and meta-analysis of randomized, double-blind and sham-controlled trials.", "type" : "article-journal", "volume" : "44" }, "uris" : [ "http://www.mendeley.com/documents/?uuid=51ad9967-c045-41cd-804e-f4ca6b601f37" ] } ], "mendeley" : { "previouslyFormattedCitation" : "(Berlim et al., 2014)" }, "properties" : { "noteIndex" : 0 }, "schema" : "https://github.com/citation-style-language/schema/raw/master/csl-citation.json" }</w:instrText>
      </w:r>
      <w:r>
        <w:rPr>
          <w:rFonts w:ascii="Garamond" w:hAnsi="Garamond"/>
        </w:rPr>
        <w:fldChar w:fldCharType="separate"/>
      </w:r>
      <w:r w:rsidR="008C4A63" w:rsidRPr="008C4A63">
        <w:rPr>
          <w:rFonts w:ascii="Garamond" w:hAnsi="Garamond"/>
          <w:noProof/>
        </w:rPr>
        <w:t>(Berlim et al., 2014)</w:t>
      </w:r>
      <w:r>
        <w:rPr>
          <w:rFonts w:ascii="Garamond" w:hAnsi="Garamond"/>
        </w:rPr>
        <w:fldChar w:fldCharType="end"/>
      </w:r>
      <w:r>
        <w:rPr>
          <w:rFonts w:ascii="Garamond" w:hAnsi="Garamond"/>
        </w:rPr>
        <w:t xml:space="preserve"> </w:t>
      </w:r>
      <w:r w:rsidR="00140741" w:rsidRPr="00700990">
        <w:rPr>
          <w:rFonts w:ascii="Garamond" w:hAnsi="Garamond"/>
        </w:rPr>
        <w:t xml:space="preserve">reported the response, remission and drop-out rates following high-frequency rTMS versus sham in a comprehensive meta-analysis of RCTs. They reported a response rate of 29.3% and a remission rate of 18.6% for patients in the rTMS arms. </w:t>
      </w:r>
    </w:p>
    <w:p w14:paraId="75DCE44F" w14:textId="77777777" w:rsidR="00140741" w:rsidRPr="00700990" w:rsidRDefault="00140741" w:rsidP="008C3491">
      <w:pPr>
        <w:pStyle w:val="ListParagraph"/>
        <w:numPr>
          <w:ilvl w:val="1"/>
          <w:numId w:val="20"/>
        </w:numPr>
        <w:jc w:val="both"/>
        <w:rPr>
          <w:rFonts w:ascii="Garamond" w:hAnsi="Garamond"/>
        </w:rPr>
      </w:pPr>
      <w:r w:rsidRPr="00700990">
        <w:rPr>
          <w:rFonts w:ascii="Garamond" w:hAnsi="Garamond"/>
        </w:rPr>
        <w:t xml:space="preserve">A similar meta-analysis published by </w:t>
      </w:r>
      <w:r w:rsidR="00403628">
        <w:rPr>
          <w:rFonts w:ascii="Garamond" w:hAnsi="Garamond"/>
        </w:rPr>
        <w:fldChar w:fldCharType="begin" w:fldLock="1"/>
      </w:r>
      <w:r w:rsidR="008C4A63">
        <w:rPr>
          <w:rFonts w:ascii="Garamond" w:hAnsi="Garamond"/>
        </w:rPr>
        <w:instrText>ADDIN CSL_CITATION { "citationItems" : [ { "id" : "ITEM-1", "itemData" : { "DOI" : "10.1038/npp.2012.237", "ISSN" : "1740-634X", "PMID" : "23249815", "abstract" : "Clinical trials on low-frequency repetitive transcranial magnetic stimulation (LF-rTMS) over the right dorsolateral prefrontal cortex have yielded conflicting evidence concerning its overall efficacy for treating major depression (MD). As this may have been the result of limited statistical power of individual trials, we have carried the present systematic review and meta-analysis to examine this issue. We searched the literature for English language randomized, double-blind and sham-controlled trials (RCTs) on LF-rTMS for treating MD from 1995 through July 2012 using EMBASE, PsycINFO, Cochrane Central Register of Controlled Trials, SCOPUS, and ProQuest Dissertations &amp; Theses, and from October 2008 until July 2012 using MEDLINE. The main outcome measures were response and remission rates as well as overall dropout rates at study end. We used a random-effects model, odds ratios (ORs) and number needed to treat (NNT). Data were obtained from eight RCTs, totaling 263 subjects with MD. After an average of 12.6\u00b13.9 rTMS sessions, 38.2% (50/131) and 15.1% (20/132) of subjects receiving active LF-rTMS and sham rTMS were classified as responders (OR=3.35; 95% CI=1.4-8.02; p=0.007). Also, 34.6% (35/101) and 9.7% (10/103) of subjects receiving active LF-rTMS and sham rTMS were classified as remitters (OR=4.76; 95% CI=2.13-10.64; p&lt;0.0001). The associated NNT for both response and remission rates was 5. Sensitivity analyses have shown that protocols delivering &gt;1200 magnetic pulses in total as well as those offering rTMS as a monotherapy for MD were associated with higher rates of response to treatment. No differences on mean baseline depression scores and dropout rates for active and sham rTMS groups were found. Finally, the risk of publication bias was low. In conclusion, LF-rTMS is a promising treatment for MD, as it provides clinically meaningful benefits that are comparable to those of standard antidepressants and high-frequency rTMS. Furthermore, LF-rTMS seems to be an acceptable intervention for depressed subjects.", "author" : [ { "dropping-particle" : "", "family" : "Berlim", "given" : "MT", "non-dropping-particle" : "", "parse-names" : false, "suffix" : "" }, { "dropping-particle" : "", "family" : "Eynde", "given" : "F", "non-dropping-particle" : "Van den", "parse-names" : false, "suffix" : "" }, { "dropping-particle" : "", "family" : "Daskalakis", "given" : "JZ", "non-dropping-particle" : "", "parse-names" : false, "suffix" : "" } ], "container-title" : "Neuropsychopharmacology : official publication of the American College of Neuropsychopharmacology", "id" : "ITEM-1", "issue" : "4", "issued" : { "date-parts" : [ [ "2013", "3" ] ] }, "page" : "543-51", "publisher" : "Nature Publishing Group", "title" : "Clinically meaningful efficacy and acceptability of low-frequency repetitive transcranial magnetic stimulation (rTMS) for treating primary major depression: a meta-analysis of randomized, double-blind and sham-controlled trials.", "type" : "article-journal", "volume" : "38" }, "uris" : [ "http://www.mendeley.com/documents/?uuid=93b44522-9d19-494a-8351-481c7b7d68cb" ] } ], "mendeley" : { "previouslyFormattedCitation" : "(Berlim et al., 2013a)" }, "properties" : { "noteIndex" : 0 }, "schema" : "https://github.com/citation-style-language/schema/raw/master/csl-citation.json" }</w:instrText>
      </w:r>
      <w:r w:rsidR="00403628">
        <w:rPr>
          <w:rFonts w:ascii="Garamond" w:hAnsi="Garamond"/>
        </w:rPr>
        <w:fldChar w:fldCharType="separate"/>
      </w:r>
      <w:r w:rsidR="008C4A63" w:rsidRPr="008C4A63">
        <w:rPr>
          <w:rFonts w:ascii="Garamond" w:hAnsi="Garamond"/>
          <w:noProof/>
        </w:rPr>
        <w:t>(Berlim et al., 2013a)</w:t>
      </w:r>
      <w:r w:rsidR="00403628">
        <w:rPr>
          <w:rFonts w:ascii="Garamond" w:hAnsi="Garamond"/>
        </w:rPr>
        <w:fldChar w:fldCharType="end"/>
      </w:r>
      <w:r w:rsidR="00403628">
        <w:rPr>
          <w:rFonts w:ascii="Garamond" w:hAnsi="Garamond"/>
        </w:rPr>
        <w:t xml:space="preserve"> </w:t>
      </w:r>
      <w:r w:rsidRPr="00700990">
        <w:rPr>
          <w:rFonts w:ascii="Garamond" w:hAnsi="Garamond"/>
        </w:rPr>
        <w:t xml:space="preserve">investigated the efficacy and acceptability of low-frequency rTMS versus sham. Their reported response and remission rates for rTMS patients are 38.2% and 34.6%, respectively. </w:t>
      </w:r>
    </w:p>
    <w:p w14:paraId="362F8E6E" w14:textId="77777777" w:rsidR="00140741" w:rsidRPr="00700990" w:rsidRDefault="008C4A63" w:rsidP="008C3491">
      <w:pPr>
        <w:pStyle w:val="ListParagraph"/>
        <w:numPr>
          <w:ilvl w:val="1"/>
          <w:numId w:val="20"/>
        </w:numPr>
        <w:jc w:val="both"/>
        <w:rPr>
          <w:rFonts w:ascii="Garamond" w:hAnsi="Garamond"/>
        </w:rPr>
      </w:pPr>
      <w:r>
        <w:rPr>
          <w:rFonts w:ascii="Garamond" w:hAnsi="Garamond"/>
        </w:rPr>
        <w:fldChar w:fldCharType="begin" w:fldLock="1"/>
      </w:r>
      <w:r>
        <w:rPr>
          <w:rFonts w:ascii="Garamond" w:hAnsi="Garamond"/>
        </w:rPr>
        <w:instrText>ADDIN CSL_CITATION { "citationItems" : [ { "id" : "ITEM-1", "itemData" : { "DOI" : "10.1002/da.22060", "ISSN" : "1520-6394", "PMID" : "23349112", "abstract" : "Clinical trials comparing the efficacy and acceptability of high frequency repetitive transcranial magnetic stimulation (HF-rTMS) and electroconvulsive therapy (ECT) for treating major depression (MD) have yielded conflicting results. As this may have been the result of limited statistical power, we have carried out this meta-analysis to examine this issue. We searched the literature for randomized trials on head-to-head comparisons between HF-rTMS and ECT from January 1995 through September 2012 using MEDLINE, EMBASE, PsycINFO, Cochrane Central Register of Controlled Trials, and SCOPUS. The main outcome measures were remission rates, pre-post changes in depression ratings, as well as overall dropout rates at study end. We used a random-effects model, Odds Ratios (OR), Number Needed to Treat (NNT), and Hedges' g effect sizes. Data were obtained from 7 randomized trials, totalling 294 subjects with MD. After an average of 15.2 HF-rTMS and 8.2 ECT sessions, 33.6% (38/113) and 52% (53/102) of subjects were classified as remitters (OR = 0.46; p = 0.04), respectively. The associated NNT for remission was 6 and favoured ECT. Also, reduction of depressive symptomatology was significantly more pronounced in the ECT group (Hedges' g = -0.93; p = 0.007). No differences on dropout rates for HF-rTMS and ECT groups were found. In conclusion, ECT seems to be more effective than HF-rTMS for treating MD, although they did not differ in terms of dropout rates. Nevertheless, future comparative trials with larger sample sizes and better matching at baseline, longer follow-ups and more intense stimulation protocols are warranted.", "author" : [ { "dropping-particle" : "", "family" : "Berlim", "given" : "MT", "non-dropping-particle" : "", "parse-names" : false, "suffix" : "" }, { "dropping-particle" : "", "family" : "Eynde", "given" : "F", "non-dropping-particle" : "Van den", "parse-names" : false, "suffix" : "" }, { "dropping-particle" : "", "family" : "Daskalakis", "given" : "ZJ", "non-dropping-particle" : "", "parse-names" : false, "suffix" : "" } ], "container-title" : "Depression and anxiety", "id" : "ITEM-1", "issue" : "7", "issued" : { "date-parts" : [ [ "2013", "7" ] ] }, "page" : "614-23", "title" : "Efficacy and acceptability of high frequency repetitive transcranial magnetic stimulation (rTMS) versus electroconvulsive therapy (ECT) for major depression: a systematic review and meta-analysis of randomized trials.", "type" : "article-journal", "volume" : "30" }, "uris" : [ "http://www.mendeley.com/documents/?uuid=6e13c444-f50e-4109-9f93-e85f0d95057e" ] } ], "mendeley" : { "previouslyFormattedCitation" : "(Berlim et al., 2013b)" }, "properties" : { "noteIndex" : 0 }, "schema" : "https://github.com/citation-style-language/schema/raw/master/csl-citation.json" }</w:instrText>
      </w:r>
      <w:r>
        <w:rPr>
          <w:rFonts w:ascii="Garamond" w:hAnsi="Garamond"/>
        </w:rPr>
        <w:fldChar w:fldCharType="separate"/>
      </w:r>
      <w:r w:rsidRPr="008C4A63">
        <w:rPr>
          <w:rFonts w:ascii="Garamond" w:hAnsi="Garamond"/>
          <w:noProof/>
        </w:rPr>
        <w:t>(Berlim et al., 2013b)</w:t>
      </w:r>
      <w:r>
        <w:rPr>
          <w:rFonts w:ascii="Garamond" w:hAnsi="Garamond"/>
        </w:rPr>
        <w:fldChar w:fldCharType="end"/>
      </w:r>
      <w:r>
        <w:rPr>
          <w:rFonts w:ascii="Garamond" w:hAnsi="Garamond"/>
        </w:rPr>
        <w:t xml:space="preserve"> </w:t>
      </w:r>
      <w:r w:rsidR="00140741" w:rsidRPr="00700990">
        <w:rPr>
          <w:rFonts w:ascii="Garamond" w:hAnsi="Garamond"/>
        </w:rPr>
        <w:t xml:space="preserve">published a meta-analysis comparing the efficacy of rTMS versus ECT. The remission rates for the rTMS arm and the ECT arm are 33.6% and 52%, respectively. No response rates were reported here. </w:t>
      </w:r>
    </w:p>
    <w:p w14:paraId="5977E2CF" w14:textId="77777777" w:rsidR="00140741" w:rsidRPr="00D27B33" w:rsidRDefault="00140741" w:rsidP="008C3491">
      <w:pPr>
        <w:pStyle w:val="ListParagraph"/>
        <w:numPr>
          <w:ilvl w:val="1"/>
          <w:numId w:val="20"/>
        </w:numPr>
        <w:jc w:val="both"/>
      </w:pPr>
      <w:r w:rsidRPr="00700990">
        <w:rPr>
          <w:rFonts w:ascii="Garamond" w:hAnsi="Garamond"/>
        </w:rPr>
        <w:t xml:space="preserve">Another systematic review and meta-analysis study by </w:t>
      </w:r>
      <w:r w:rsidR="008C4A63">
        <w:rPr>
          <w:rFonts w:ascii="Garamond" w:hAnsi="Garamond"/>
        </w:rPr>
        <w:fldChar w:fldCharType="begin" w:fldLock="1"/>
      </w:r>
      <w:r w:rsidR="008C4A63">
        <w:rPr>
          <w:rFonts w:ascii="Garamond" w:hAnsi="Garamond"/>
        </w:rPr>
        <w:instrText>ADDIN CSL_CITATION { "citationItems" : [ { "id" : "ITEM-1", "itemData" : { "DOI" : "10.1016/j.pnpbp.2014.02.004", "ISSN" : "1878-4216", "PMID" : "24556538", "abstract" : "Electroconvulsive therapy (ECT) is the most effective treatment of depression. During the last decades repetitive transcranial magnetic stimulation (rTMS), an alternative method using electric stimulation of the brain, has revealed possible alternative to ECT in the treatment of depression. There are some clinical trials comparing their efficacies and safeties but without clear conclusions, mainly due to their small sample sizes. In the present study, a meta-analysis had been carried out to gain statistical power. Outcomes were response, remission, acceptability and cognitive effects in depression. Following a comprehensive literature search that included both English and Chinese language databases, we identified all randomized controlled trials that directly compared rTMS and ECT for major depression. 10 articles (9 trials) with a total of 425 patients were identified. Methodological quality, heterogeneity, sensitivity and publication bias were systematically evaluated. ECT was superior to high frequency rTMS in terms of response (64.4% vs. 48.7%, RR=1.41, p=0.03), remission (52.9% vs. 33.6%, RR=1.38, p=0.006) while discontinuation was not significantly different between the two treatments (8.3% vs. 9.4%, RR=1.11, p=0.80). According to the subgroup analysis, the superiority of ECT was more apparent in those with psychotic depression, while high frequency rTMS was as effective as ECT in those with non-psychotic depression. The same results were obtained in the comparison of ECT with low frequency rTMS. ECT had a non-significant advantage over high frequency rTMS on the overall improvement in HAMD scores (p=0.11). There was insufficient data on medium or long term efficacy. Both rTMS and ECT were well tolerated with only minor side effects reported. Results based on 3 studies suggested that specific cognitive domains such as visual memory and verbal fluency were more impaired in patients receiving ECT. In conclusion, ECT seemed more effective than and at least as acceptable as rTMS in the short term, especially in the presence of psychotic depression. This review identified the lack of good quality trials comparing the long-term outcome and cognitive effects of rTMS and ECT, especially using approaches to optimize stimulus delivery and reduce clinical heterogeneity.", "author" : [ { "dropping-particle" : "", "family" : "Ren", "given" : "Juanjuan", "non-dropping-particle" : "", "parse-names" : false, "suffix" : "" }, { "dropping-particle" : "", "family" : "Li", "given" : "Hui", "non-dropping-particle" : "", "parse-names" : false, "suffix" : "" }, { "dropping-particle" : "", "family" : "Palaniyappan", "given" : "Lena", "non-dropping-particle" : "", "parse-names" : false, "suffix" : "" }, { "dropping-particle" : "", "family" : "Liu", "given" : "Hongmei", "non-dropping-particle" : "", "parse-names" : false, "suffix" : "" }, { "dropping-particle" : "", "family" : "Wang", "given" : "Jijun", "non-dropping-particle" : "", "parse-names" : false, "suffix" : "" }, { "dropping-particle" : "", "family" : "Li", "given" : "Chunbo", "non-dropping-particle" : "", "parse-names" : false, "suffix" : "" }, { "dropping-particle" : "", "family" : "Rossini", "given" : "Paolo Maria", "non-dropping-particle" : "", "parse-names" : false, "suffix" : "" } ], "container-title" : "Progress in neuro-psychopharmacology &amp; biological psychiatry", "id" : "ITEM-1", "issued" : { "date-parts" : [ [ "2014", "2", "18" ] ] }, "page" : "181-189", "publisher" : "Elsevier Inc.", "title" : "Repetitive transcranial magnetic stimulation versus electroconvulsive therapy for major depression: A systematic review and meta-analysis.", "type" : "article-journal", "volume" : "51C" }, "uris" : [ "http://www.mendeley.com/documents/?uuid=ad3f2de7-a510-40a0-bf8d-4c83375285b8" ] } ], "mendeley" : { "previouslyFormattedCitation" : "(Ren et al., 2014)" }, "properties" : { "noteIndex" : 0 }, "schema" : "https://github.com/citation-style-language/schema/raw/master/csl-citation.json" }</w:instrText>
      </w:r>
      <w:r w:rsidR="008C4A63">
        <w:rPr>
          <w:rFonts w:ascii="Garamond" w:hAnsi="Garamond"/>
        </w:rPr>
        <w:fldChar w:fldCharType="separate"/>
      </w:r>
      <w:r w:rsidR="008C4A63" w:rsidRPr="008C4A63">
        <w:rPr>
          <w:rFonts w:ascii="Garamond" w:hAnsi="Garamond"/>
          <w:noProof/>
        </w:rPr>
        <w:t>(Ren et al., 2014)</w:t>
      </w:r>
      <w:r w:rsidR="008C4A63">
        <w:rPr>
          <w:rFonts w:ascii="Garamond" w:hAnsi="Garamond"/>
        </w:rPr>
        <w:fldChar w:fldCharType="end"/>
      </w:r>
      <w:r w:rsidRPr="00700990">
        <w:rPr>
          <w:rFonts w:ascii="Garamond" w:hAnsi="Garamond"/>
        </w:rPr>
        <w:t xml:space="preserve"> (</w:t>
      </w:r>
      <w:r w:rsidRPr="00700990">
        <w:rPr>
          <w:rFonts w:ascii="Garamond" w:hAnsi="Garamond"/>
          <w:i/>
        </w:rPr>
        <w:t>forthcoming</w:t>
      </w:r>
      <w:r w:rsidRPr="00700990">
        <w:rPr>
          <w:rFonts w:ascii="Garamond" w:hAnsi="Garamond"/>
        </w:rPr>
        <w:t xml:space="preserve">) used the same RCTs comparing rTMS and ECT as Berlim </w:t>
      </w:r>
      <w:r w:rsidRPr="00700990">
        <w:rPr>
          <w:rFonts w:ascii="Garamond" w:hAnsi="Garamond"/>
          <w:i/>
        </w:rPr>
        <w:t>et al</w:t>
      </w:r>
      <w:r w:rsidRPr="00700990">
        <w:rPr>
          <w:rFonts w:ascii="Garamond" w:hAnsi="Garamond"/>
        </w:rPr>
        <w:t xml:space="preserve"> 2013. The reported results however are very different from the latter. A closer check of report accuracy reveals that this publication cited incorrect number of remitters and responders from RCT. For this reason, the study is disregarded. </w:t>
      </w:r>
    </w:p>
    <w:p w14:paraId="6744F8A9" w14:textId="77777777" w:rsidR="00700990" w:rsidRDefault="00700990" w:rsidP="001507E1">
      <w:pPr>
        <w:spacing w:after="0"/>
        <w:jc w:val="both"/>
      </w:pPr>
    </w:p>
    <w:p w14:paraId="5C0466F3" w14:textId="77777777" w:rsidR="00140741" w:rsidRDefault="00140741" w:rsidP="001507E1">
      <w:pPr>
        <w:jc w:val="both"/>
      </w:pPr>
      <w:r>
        <w:t>All these meta-analyses share a common limitation: inclusion of heterogeneous studies with poor-quality trials</w:t>
      </w:r>
      <w:r w:rsidR="00C90289">
        <w:t xml:space="preserve"> and inconsistent </w:t>
      </w:r>
      <w:r>
        <w:t xml:space="preserve">criteria to measure remission and response rates. </w:t>
      </w:r>
      <w:r>
        <w:lastRenderedPageBreak/>
        <w:t xml:space="preserve">Additionally, some meta-analyses erroneously used response rates as remission rates, and vice versa, when that particular rate was not reported in the RCT. Therefore, new meta-analyses were performed during the evaluation and the results were subsequently used in the economic model. </w:t>
      </w:r>
    </w:p>
    <w:p w14:paraId="2FEE6646" w14:textId="60F56079" w:rsidR="00140741" w:rsidRDefault="00140741" w:rsidP="001507E1">
      <w:pPr>
        <w:jc w:val="both"/>
      </w:pPr>
      <w:r>
        <w:t xml:space="preserve">Two meta-analyses were performed: rTMS versus sham, and rTMS versus ECT. Whenever there are discrepancies in the response and remission rates derived from the literature, one set of results were used in the base case, and the other was used in the sensitivity analysis. The meta-analysis results are presented in </w:t>
      </w:r>
      <w:r w:rsidRPr="00580F8D">
        <w:t xml:space="preserve">Appendix </w:t>
      </w:r>
      <w:r w:rsidR="00580F8D">
        <w:t>D</w:t>
      </w:r>
      <w:r>
        <w:t xml:space="preserve">. </w:t>
      </w:r>
      <w:r w:rsidR="00C90289">
        <w:t>The remission rate for rTMS was 21.5% versus 13.6% for antidepressants and 46.3% for ECT.</w:t>
      </w:r>
    </w:p>
    <w:p w14:paraId="67D657C8" w14:textId="77777777" w:rsidR="00140741" w:rsidRDefault="00140741" w:rsidP="001507E1">
      <w:pPr>
        <w:jc w:val="both"/>
      </w:pPr>
      <w:r w:rsidRPr="00F06C85">
        <w:t xml:space="preserve">The antidepressant resistant profiles of patients from </w:t>
      </w:r>
      <w:r w:rsidR="00C90289">
        <w:t xml:space="preserve">the </w:t>
      </w:r>
      <w:r w:rsidRPr="00F06C85">
        <w:t>included RCTs vary significantly. Some RCT</w:t>
      </w:r>
      <w:r>
        <w:t>s</w:t>
      </w:r>
      <w:r w:rsidRPr="00F06C85">
        <w:t xml:space="preserve"> included patients who ha</w:t>
      </w:r>
      <w:r>
        <w:t xml:space="preserve">d, on </w:t>
      </w:r>
      <w:proofErr w:type="gramStart"/>
      <w:r>
        <w:t>average,</w:t>
      </w:r>
      <w:proofErr w:type="gramEnd"/>
      <w:r w:rsidRPr="00F06C85">
        <w:t xml:space="preserve"> failed </w:t>
      </w:r>
      <w:r>
        <w:t>six</w:t>
      </w:r>
      <w:r w:rsidRPr="00F06C85">
        <w:t xml:space="preserve"> adequate antidepressant courses while other</w:t>
      </w:r>
      <w:r>
        <w:t>s</w:t>
      </w:r>
      <w:r w:rsidRPr="00F06C85">
        <w:t xml:space="preserve"> only included patients who ha</w:t>
      </w:r>
      <w:r>
        <w:t>d</w:t>
      </w:r>
      <w:r w:rsidRPr="00F06C85">
        <w:t xml:space="preserve"> failed 1.6</w:t>
      </w:r>
      <w:r>
        <w:t xml:space="preserve"> courses</w:t>
      </w:r>
      <w:r w:rsidRPr="00F06C85">
        <w:t>. The meta-analysis result</w:t>
      </w:r>
      <w:r>
        <w:t>s</w:t>
      </w:r>
      <w:r w:rsidRPr="00F06C85">
        <w:t>, therefore,</w:t>
      </w:r>
      <w:r>
        <w:t xml:space="preserve"> reflect this patient mix and their “average” efficacy outcomes, which is comparable to the target MBS population (who have failed at least two adequate antidepressant courses). </w:t>
      </w:r>
    </w:p>
    <w:p w14:paraId="24F27105" w14:textId="77777777" w:rsidR="00140741" w:rsidRPr="006A2F18" w:rsidRDefault="00140741" w:rsidP="001507E1">
      <w:pPr>
        <w:jc w:val="both"/>
      </w:pPr>
      <w:r w:rsidRPr="006A2F18">
        <w:t xml:space="preserve">The probabilities of losing remission are not reported in the literature. </w:t>
      </w:r>
      <w:r>
        <w:t>H</w:t>
      </w:r>
      <w:r w:rsidRPr="006A2F18">
        <w:t xml:space="preserve">owever </w:t>
      </w:r>
      <w:r w:rsidR="00C90289">
        <w:t xml:space="preserve">some </w:t>
      </w:r>
      <w:r>
        <w:t>s</w:t>
      </w:r>
      <w:r w:rsidRPr="006A2F18">
        <w:t>tudies report</w:t>
      </w:r>
      <w:r>
        <w:t>ed</w:t>
      </w:r>
      <w:r w:rsidRPr="006A2F18">
        <w:t xml:space="preserve"> </w:t>
      </w:r>
      <w:r>
        <w:t xml:space="preserve">limited information on </w:t>
      </w:r>
      <w:r w:rsidRPr="006A2F18">
        <w:t xml:space="preserve">worsening and relapse rates </w:t>
      </w:r>
      <w:r>
        <w:t xml:space="preserve">after three and </w:t>
      </w:r>
      <w:r w:rsidRPr="006A2F18">
        <w:t xml:space="preserve">six months </w:t>
      </w:r>
      <w:r>
        <w:t xml:space="preserve">of </w:t>
      </w:r>
      <w:r w:rsidRPr="006A2F18">
        <w:t xml:space="preserve">rTMS treatment. </w:t>
      </w:r>
      <w:r w:rsidR="008C4A63">
        <w:fldChar w:fldCharType="begin" w:fldLock="1"/>
      </w:r>
      <w:r w:rsidR="008C4A63">
        <w:instrText>ADDIN CSL_CITATION { "citationItems" : [ { "id" : "ITEM-1", "itemData" : { "DOI" : "10.1016/j.brs.2010.07.003", "ISSN" : "1935-861X", "PMID" : "20965447", "abstract" : "BACKGROUND: Although transcranial magnetic stimulation (TMS) can be an effective acute antidepressant treatment, few studies systematically examine persistence of benefit.\n\nOBJECTIVE: We assessed the durability of antidepressant effect after acute response to TMS in patients with major depressive disorder (MDD) using protocol-specified maintenance antidepressant monotherapy.\n\nMETHODS: Three hundred one patients were randomly assigned to active or sham TMS in a 6-week, controlled trial. Nonresponders could enroll in a second, 6-week, open-label study. Patients who met criteria for partial response (i.e., &gt;25% decrease from the baseline HAMD 17) during either the sham-controlled or open-label study (n = 142) were tapered off TMS over 3 weeks, while simultaneously starting maintenance antidepressant monotherapy. Patients were then followed for 24 weeks in a naturalistic follow-up study examining the long-term durability of TMS. During this durability study, TMS was readministered if patients met prespecified criteria for symptom worsening (i.e., a change of at least one point on the CGI-S scale for 2 consecutive weeks). Relapse was the primary outcome measure.\n\nRESULTS: Ten of 99 (10%; Kaplan-Meier survival estimate = 12.9%) patients relapsed. Thirty-eight (38.4%) patients met criteria for symptom worsening and 32/38 (84.2%) reachieved symptomatic benefit with adjunctive TMS. Safety and tolerability were similar to acute TMS monotherapy.\n\nCONCLUSIONS: These initial data suggest that the therapeutic effects of TMS are durable and that TMS may be successfully used as an intermittent rescue strategy to preclude impending relapse.", "author" : [ { "dropping-particle" : "", "family" : "Janicak", "given" : "Philip G", "non-dropping-particle" : "", "parse-names" : false, "suffix" : "" }, { "dropping-particle" : "", "family" : "Nahas", "given" : "Ziad", "non-dropping-particle" : "", "parse-names" : false, "suffix" : "" }, { "dropping-particle" : "", "family" : "Lisanby", "given" : "Sarah H", "non-dropping-particle" : "", "parse-names" : false, "suffix" : "" }, { "dropping-particle" : "", "family" : "Solvason", "given" : "H Brent", "non-dropping-particle" : "", "parse-names" : false, "suffix" : "" }, { "dropping-particle" : "", "family" : "Sampson", "given" : "Shirlene M", "non-dropping-particle" : "", "parse-names" : false, "suffix" : "" }, { "dropping-particle" : "", "family" : "McDonald", "given" : "William M", "non-dropping-particle" : "", "parse-names" : false, "suffix" : "" }, { "dropping-particle" : "", "family" : "Marangell", "given" : "Lauren B", "non-dropping-particle" : "", "parse-names" : false, "suffix" : "" }, { "dropping-particle" : "", "family" : "Rosenquist", "given" : "Peter", "non-dropping-particle" : "", "parse-names" : false, "suffix" : "" }, { "dropping-particle" : "", "family" : "McCall", "given" : "W Vaughn", "non-dropping-particle" : "", "parse-names" : false, "suffix" : "" }, { "dropping-particle" : "", "family" : "Kimball", "given" : "James", "non-dropping-particle" : "", "parse-names" : false, "suffix" : "" }, { "dropping-particle" : "", "family" : "O'Reardon", "given" : "John P", "non-dropping-particle" : "", "parse-names" : false, "suffix" : "" }, { "dropping-particle" : "", "family" : "Loo", "given" : "Colleen", "non-dropping-particle" : "", "parse-names" : false, "suffix" : "" }, { "dropping-particle" : "", "family" : "Husain", "given" : "Mustafa H", "non-dropping-particle" : "", "parse-names" : false, "suffix" : "" }, { "dropping-particle" : "", "family" : "Krystal", "given" : "Andrew", "non-dropping-particle" : "", "parse-names" : false, "suffix" : "" }, { "dropping-particle" : "", "family" : "Gilmer", "given" : "William", "non-dropping-particle" : "", "parse-names" : false, "suffix" : "" }, { "dropping-particle" : "", "family" : "Dowd", "given" : "Sheila M", "non-dropping-particle" : "", "parse-names" : false, "suffix" : "" }, { "dropping-particle" : "", "family" : "Demitrack", "given" : "Mark a", "non-dropping-particle" : "", "parse-names" : false, "suffix" : "" }, { "dropping-particle" : "", "family" : "Schatzberg", "given" : "Alan F", "non-dropping-particle" : "", "parse-names" : false, "suffix" : "" } ], "container-title" : "Brain stimulation", "id" : "ITEM-1", "issue" : "4", "issued" : { "date-parts" : [ [ "2010", "10" ] ] }, "page" : "187-99", "publisher" : "Elsevier Inc", "title" : "Durability of clinical benefit with transcranial magnetic stimulation (TMS) in the treatment of pharmacoresistant major depression: assessment of relapse during a 6-month, multisite, open-label study.", "type" : "article-journal", "volume" : "3" }, "uris" : [ "http://www.mendeley.com/documents/?uuid=1dac6064-e55a-49e5-a4b4-ff5047e8b2c5" ] } ], "mendeley" : { "previouslyFormattedCitation" : "(Janicak et al., 2010)" }, "properties" : { "noteIndex" : 0 }, "schema" : "https://github.com/citation-style-language/schema/raw/master/csl-citation.json" }</w:instrText>
      </w:r>
      <w:r w:rsidR="008C4A63">
        <w:fldChar w:fldCharType="separate"/>
      </w:r>
      <w:r w:rsidR="008C4A63" w:rsidRPr="008C4A63">
        <w:rPr>
          <w:noProof/>
        </w:rPr>
        <w:t>(Janicak et al., 2010)</w:t>
      </w:r>
      <w:r w:rsidR="008C4A63">
        <w:fldChar w:fldCharType="end"/>
      </w:r>
      <w:r w:rsidR="008C4A63">
        <w:t xml:space="preserve"> </w:t>
      </w:r>
      <w:r w:rsidRPr="006A2F18">
        <w:t xml:space="preserve">followed rTMS patients for 6 months and estimated a 41% worsening rates with mean time to first rTMS reintroduction of </w:t>
      </w:r>
      <w:r>
        <w:t xml:space="preserve">16 weeks. These patients received rTMS reintroduction/maintenance or medication maintenance over the study duration. </w:t>
      </w:r>
      <w:r w:rsidR="008C4A63">
        <w:fldChar w:fldCharType="begin" w:fldLock="1"/>
      </w:r>
      <w:r w:rsidR="008C4A63">
        <w:instrText>ADDIN CSL_CITATION { "citationItems" : [ { "id" : "ITEM-1", "itemData" : { "DOI" : "10.1002/da.21967", "ISSN" : "1520-6394", "PMID" : "22689290", "abstract" : "BACKGROUND: A few studies have examined the durability of transcranial magnetic stimulation (TMS) antidepressant benefit once patients remitted. This study examined the long-term durability of clinical benefit from TMS using a protocol-specified TMS taper and either continuation pharmacotherapy or naturalistic follow-up.\n\nMETHODS: Patients were remitters from an acute double-blind sham-controlled trial of TMS (n\u00a0=\u00a018), or from an open-label extension in patients who did not respond to the acute trial (n\u00a0=\u00a043). Long-term durability of TMS acute effect was examined in remitters over a 12-week follow-up. Relapse, defined as 24-item Hamilton Depression Rating Scale (HDRS-24) \u226520, was the primary outcome.\n\nRESULTS: Of 61 remitters in the acute trial, five entered naturalistic follow-up and 50 entered the TMS taper. Thirty-two patients completed TMS taper and 1-, 2-, and 3-month follow-up. At 3-month visit, 29 of 50 (58%) were classified as in remission (HDRS-24 \u226410), two of 50 (4%) as partial responders (30%\u2264 HDRS-24 reduction &lt;50% from baseline), and one of 50 (2%) met criteria for relapse. During the entire 3-month follow-up, five of the 37 patients relapsed (relapse rate\u00a0=\u00a013.5%), but four of them regained remission by the end of the study. The average time to relapse in these five patients was 7.2 \u00b1 3.3 weeks. Patients who relapsed had higher depression scores at 1 month.\n\nCONCLUSIONS: While one third of the sample was lost to follow-up, our results demonstrate that most patients contributing to observations experienced persistence of benefit from TMS followed by pharmacotherapy or no medication. Longer follow-up and more rigorous studies are needed to explore the true long-term durability of remission produced by TMS.", "author" : [ { "dropping-particle" : "", "family" : "Mantovani", "given" : "Antonio", "non-dropping-particle" : "", "parse-names" : false, "suffix" : "" }, { "dropping-particle" : "", "family" : "Pavlicova", "given" : "Martina", "non-dropping-particle" : "", "parse-names" : false, "suffix" : "" }, { "dropping-particle" : "", "family" : "Avery", "given" : "David", "non-dropping-particle" : "", "parse-names" : false, "suffix" : "" }, { "dropping-particle" : "", "family" : "Nahas", "given" : "Ziad", "non-dropping-particle" : "", "parse-names" : false, "suffix" : "" }, { "dropping-particle" : "", "family" : "McDonald", "given" : "William M", "non-dropping-particle" : "", "parse-names" : false, "suffix" : "" }, { "dropping-particle" : "", "family" : "Wajdik", "given" : "Chandra D", "non-dropping-particle" : "", "parse-names" : false, "suffix" : "" }, { "dropping-particle" : "", "family" : "Holtzheimer", "given" : "Paul E", "non-dropping-particle" : "", "parse-names" : false, "suffix" : "" }, { "dropping-particle" : "", "family" : "George", "given" : "Mark S", "non-dropping-particle" : "", "parse-names" : false, "suffix" : "" }, { "dropping-particle" : "", "family" : "Sackeim", "given" : "Harold a", "non-dropping-particle" : "", "parse-names" : false, "suffix" : "" }, { "dropping-particle" : "", "family" : "Lisanby", "given" : "Sarah H", "non-dropping-particle" : "", "parse-names" : false, "suffix" : "" } ], "container-title" : "Depression and anxiety", "id" : "ITEM-1", "issue" : "10", "issued" : { "date-parts" : [ [ "2012", "10" ] ] }, "page" : "883-90", "title" : "Long-term efficacy of repeated daily prefrontal transcranial magnetic stimulation (TMS) in treatment-resistant depression.", "type" : "article-journal", "volume" : "29" }, "uris" : [ "http://www.mendeley.com/documents/?uuid=e7d97d50-ef94-4b18-812a-8a47dd4af8c0" ] } ], "mendeley" : { "previouslyFormattedCitation" : "(Mantovani et al., 2012)" }, "properties" : { "noteIndex" : 0 }, "schema" : "https://github.com/citation-style-language/schema/raw/master/csl-citation.json" }</w:instrText>
      </w:r>
      <w:r w:rsidR="008C4A63">
        <w:fldChar w:fldCharType="separate"/>
      </w:r>
      <w:r w:rsidR="008C4A63" w:rsidRPr="008C4A63">
        <w:rPr>
          <w:noProof/>
        </w:rPr>
        <w:t>(Mantovani et al., 2012)</w:t>
      </w:r>
      <w:r w:rsidR="008C4A63">
        <w:fldChar w:fldCharType="end"/>
      </w:r>
      <w:r w:rsidR="008C4A63">
        <w:t xml:space="preserve"> </w:t>
      </w:r>
      <w:r>
        <w:t xml:space="preserve">reported that 42% of patients lost remission by 3 months and a </w:t>
      </w:r>
      <w:r w:rsidRPr="006A2F18">
        <w:t>relapse rate of 13.5%</w:t>
      </w:r>
      <w:r>
        <w:t>. These patients did not receive any rTMS reintroduction/maintenance. These rates are equivalent to a 12%-17% monthly probability of losing remission (see</w:t>
      </w:r>
      <w:r w:rsidR="001507E1">
        <w:t xml:space="preserve"> </w:t>
      </w:r>
      <w:r w:rsidR="001507E1">
        <w:fldChar w:fldCharType="begin"/>
      </w:r>
      <w:r w:rsidR="001507E1">
        <w:instrText xml:space="preserve"> REF _Ref386031615 \h  \* MERGEFORMAT </w:instrText>
      </w:r>
      <w:r w:rsidR="001507E1">
        <w:fldChar w:fldCharType="separate"/>
      </w:r>
      <w:r w:rsidR="004C1C27" w:rsidRPr="00632D26">
        <w:t xml:space="preserve">Table </w:t>
      </w:r>
      <w:r w:rsidR="004C1C27">
        <w:t>3</w:t>
      </w:r>
      <w:r w:rsidR="001507E1">
        <w:fldChar w:fldCharType="end"/>
      </w:r>
      <w:r>
        <w:t xml:space="preserve">). </w:t>
      </w:r>
    </w:p>
    <w:p w14:paraId="03E68CBC" w14:textId="77777777" w:rsidR="00140741" w:rsidRPr="008474A0" w:rsidRDefault="001507E1" w:rsidP="008474A0">
      <w:pPr>
        <w:ind w:left="1701"/>
        <w:rPr>
          <w:rFonts w:ascii="Tahoma" w:hAnsi="Tahoma" w:cs="Tahoma"/>
          <w:b/>
          <w:sz w:val="20"/>
        </w:rPr>
      </w:pPr>
      <w:r w:rsidRPr="008474A0">
        <w:rPr>
          <w:rFonts w:ascii="Tahoma" w:hAnsi="Tahoma" w:cs="Tahoma"/>
          <w:b/>
          <w:sz w:val="20"/>
        </w:rPr>
        <w:t>ECT</w:t>
      </w:r>
    </w:p>
    <w:p w14:paraId="3EB1B973" w14:textId="77777777" w:rsidR="00455CBC" w:rsidRDefault="00140741" w:rsidP="001507E1">
      <w:pPr>
        <w:jc w:val="both"/>
      </w:pPr>
      <w:r>
        <w:t>There are two meta-analyses reporting remission rates for patients treated with rTMS</w:t>
      </w:r>
      <w:r w:rsidR="008C4A63">
        <w:t xml:space="preserve"> versus those treated with ECT </w:t>
      </w:r>
      <w:r w:rsidR="008C4A63">
        <w:fldChar w:fldCharType="begin" w:fldLock="1"/>
      </w:r>
      <w:r w:rsidR="008C4A63">
        <w:instrText>ADDIN CSL_CITATION { "citationItems" : [ { "id" : "ITEM-1", "itemData" : { "DOI" : "10.1002/da.22060", "ISSN" : "1520-6394", "PMID" : "23349112", "abstract" : "Clinical trials comparing the efficacy and acceptability of high frequency repetitive transcranial magnetic stimulation (HF-rTMS) and electroconvulsive therapy (ECT) for treating major depression (MD) have yielded conflicting results. As this may have been the result of limited statistical power, we have carried out this meta-analysis to examine this issue. We searched the literature for randomized trials on head-to-head comparisons between HF-rTMS and ECT from January 1995 through September 2012 using MEDLINE, EMBASE, PsycINFO, Cochrane Central Register of Controlled Trials, and SCOPUS. The main outcome measures were remission rates, pre-post changes in depression ratings, as well as overall dropout rates at study end. We used a random-effects model, Odds Ratios (OR), Number Needed to Treat (NNT), and Hedges' g effect sizes. Data were obtained from 7 randomized trials, totalling 294 subjects with MD. After an average of 15.2 HF-rTMS and 8.2 ECT sessions, 33.6% (38/113) and 52% (53/102) of subjects were classified as remitters (OR = 0.46; p = 0.04), respectively. The associated NNT for remission was 6 and favoured ECT. Also, reduction of depressive symptomatology was significantly more pronounced in the ECT group (Hedges' g = -0.93; p = 0.007). No differences on dropout rates for HF-rTMS and ECT groups were found. In conclusion, ECT seems to be more effective than HF-rTMS for treating MD, although they did not differ in terms of dropout rates. Nevertheless, future comparative trials with larger sample sizes and better matching at baseline, longer follow-ups and more intense stimulation protocols are warranted.", "author" : [ { "dropping-particle" : "", "family" : "Berlim", "given" : "MT", "non-dropping-particle" : "", "parse-names" : false, "suffix" : "" }, { "dropping-particle" : "", "family" : "Eynde", "given" : "F", "non-dropping-particle" : "Van den", "parse-names" : false, "suffix" : "" }, { "dropping-particle" : "", "family" : "Daskalakis", "given" : "ZJ", "non-dropping-particle" : "", "parse-names" : false, "suffix" : "" } ], "container-title" : "Depression and anxiety", "id" : "ITEM-1", "issue" : "7", "issued" : { "date-parts" : [ [ "2013", "7" ] ] }, "page" : "614-23", "title" : "Efficacy and acceptability of high frequency repetitive transcranial magnetic stimulation (rTMS) versus electroconvulsive therapy (ECT) for major depression: a systematic review and meta-analysis of randomized trials.", "type" : "article-journal", "volume" : "30" }, "uris" : [ "http://www.mendeley.com/documents/?uuid=6e13c444-f50e-4109-9f93-e85f0d95057e" ] }, { "id" : "ITEM-2", "itemData" : { "DOI" : "10.1016/j.pnpbp.2014.02.004", "ISSN" : "1878-4216", "PMID" : "24556538", "abstract" : "Electroconvulsive therapy (ECT) is the most effective treatment of depression. During the last decades repetitive transcranial magnetic stimulation (rTMS), an alternative method using electric stimulation of the brain, has revealed possible alternative to ECT in the treatment of depression. There are some clinical trials comparing their efficacies and safeties but without clear conclusions, mainly due to their small sample sizes. In the present study, a meta-analysis had been carried out to gain statistical power. Outcomes were response, remission, acceptability and cognitive effects in depression. Following a comprehensive literature search that included both English and Chinese language databases, we identified all randomized controlled trials that directly compared rTMS and ECT for major depression. 10 articles (9 trials) with a total of 425 patients were identified. Methodological quality, heterogeneity, sensitivity and publication bias were systematically evaluated. ECT was superior to high frequency rTMS in terms of response (64.4% vs. 48.7%, RR=1.41, p=0.03), remission (52.9% vs. 33.6%, RR=1.38, p=0.006) while discontinuation was not significantly different between the two treatments (8.3% vs. 9.4%, RR=1.11, p=0.80). According to the subgroup analysis, the superiority of ECT was more apparent in those with psychotic depression, while high frequency rTMS was as effective as ECT in those with non-psychotic depression. The same results were obtained in the comparison of ECT with low frequency rTMS. ECT had a non-significant advantage over high frequency rTMS on the overall improvement in HAMD scores (p=0.11). There was insufficient data on medium or long term efficacy. Both rTMS and ECT were well tolerated with only minor side effects reported. Results based on 3 studies suggested that specific cognitive domains such as visual memory and verbal fluency were more impaired in patients receiving ECT. In conclusion, ECT seemed more effective than and at least as acceptable as rTMS in the short term, especially in the presence of psychotic depression. This review identified the lack of good quality trials comparing the long-term outcome and cognitive effects of rTMS and ECT, especially using approaches to optimize stimulus delivery and reduce clinical heterogeneity.", "author" : [ { "dropping-particle" : "", "family" : "Ren", "given" : "Juanjuan", "non-dropping-particle" : "", "parse-names" : false, "suffix" : "" }, { "dropping-particle" : "", "family" : "Li", "given" : "Hui", "non-dropping-particle" : "", "parse-names" : false, "suffix" : "" }, { "dropping-particle" : "", "family" : "Palaniyappan", "given" : "Lena", "non-dropping-particle" : "", "parse-names" : false, "suffix" : "" }, { "dropping-particle" : "", "family" : "Liu", "given" : "Hongmei", "non-dropping-particle" : "", "parse-names" : false, "suffix" : "" }, { "dropping-particle" : "", "family" : "Wang", "given" : "Jijun", "non-dropping-particle" : "", "parse-names" : false, "suffix" : "" }, { "dropping-particle" : "", "family" : "Li", "given" : "Chunbo", "non-dropping-particle" : "", "parse-names" : false, "suffix" : "" }, { "dropping-particle" : "", "family" : "Rossini", "given" : "Paolo Maria", "non-dropping-particle" : "", "parse-names" : false, "suffix" : "" } ], "container-title" : "Progress in neuro-psychopharmacology &amp; biological psychiatry", "id" : "ITEM-2", "issued" : { "date-parts" : [ [ "2014", "2", "18" ] ] }, "page" : "181-189", "publisher" : "Elsevier Inc.", "title" : "Repetitive transcranial magnetic stimulation versus electroconvulsive therapy for major depression: A systematic review and meta-analysis.", "type" : "article-journal", "volume" : "51C" }, "uris" : [ "http://www.mendeley.com/documents/?uuid=ad3f2de7-a510-40a0-bf8d-4c83375285b8" ] } ], "mendeley" : { "previouslyFormattedCitation" : "(Berlim et al., 2013b; Ren et al., 2014)" }, "properties" : { "noteIndex" : 0 }, "schema" : "https://github.com/citation-style-language/schema/raw/master/csl-citation.json" }</w:instrText>
      </w:r>
      <w:r w:rsidR="008C4A63">
        <w:fldChar w:fldCharType="separate"/>
      </w:r>
      <w:r w:rsidR="008C4A63" w:rsidRPr="008C4A63">
        <w:rPr>
          <w:noProof/>
        </w:rPr>
        <w:t>(Berlim et al., 2013b; Ren et al., 2014)</w:t>
      </w:r>
      <w:r w:rsidR="008C4A63">
        <w:fldChar w:fldCharType="end"/>
      </w:r>
      <w:r>
        <w:t xml:space="preserve">. Since the quality of both studies </w:t>
      </w:r>
      <w:r w:rsidR="00455CBC">
        <w:t>is</w:t>
      </w:r>
      <w:r>
        <w:t xml:space="preserve"> questionable, inputs for the economic model were derived from the meta-analyses conducted during the evaluation (see discussion above). </w:t>
      </w:r>
    </w:p>
    <w:p w14:paraId="4324509C" w14:textId="77777777" w:rsidR="00140741" w:rsidRDefault="00140741" w:rsidP="001507E1">
      <w:pPr>
        <w:jc w:val="both"/>
      </w:pPr>
      <w:r>
        <w:t xml:space="preserve">Similar to rTMS, the probability of losing remission after ECT treatment is derived from relapse rates. These rates were sourced from </w:t>
      </w:r>
      <w:r w:rsidR="008C4A63">
        <w:fldChar w:fldCharType="begin" w:fldLock="1"/>
      </w:r>
      <w:r w:rsidR="008C4A63">
        <w:instrText>ADDIN CSL_CITATION { "citationItems" : [ { "id" : "ITEM-1", "itemData" : { "DOI" : "10.1001/jama.285.10.1299", "ISSN" : "0098-7484", "author" : [ { "dropping-particle" : "", "family" : "Sackeim", "given" : "Harold a.", "non-dropping-particle" : "", "parse-names" : false, "suffix" : "" }, { "dropping-particle" : "", "family" : "Haskett", "given" : "Roger F.", "non-dropping-particle" : "", "parse-names" : false, "suffix" : "" }, { "dropping-particle" : "", "family" : "Mulsant", "given" : "Benoit H.", "non-dropping-particle" : "", "parse-names" : false, "suffix" : "" }, { "dropping-particle" : "", "family" : "Thase", "given" : "Michael E.", "non-dropping-particle" : "", "parse-names" : false, "suffix" : "" }, { "dropping-particle" : "", "family" : "Mann", "given" : "J. John", "non-dropping-particle" : "", "parse-names" : false, "suffix" : "" }, { "dropping-particle" : "", "family" : "Pettinati", "given" : "Helen M.", "non-dropping-particle" : "", "parse-names" : false, "suffix" : "" }, { "dropping-particle" : "", "family" : "Greenberg", "given" : "Robert M.", "non-dropping-particle" : "", "parse-names" : false, "suffix" : "" }, { "dropping-particle" : "", "family" : "Crowe", "given" : "Raymond R.", "non-dropping-particle" : "", "parse-names" : false, "suffix" : "" }, { "dropping-particle" : "", "family" : "Cooper", "given" : "Thomas B.", "non-dropping-particle" : "", "parse-names" : false, "suffix" : "" }, { "dropping-particle" : "", "family" : "Prudic", "given" : "Joan", "non-dropping-particle" : "", "parse-names" : false, "suffix" : "" } ], "container-title" : "Jama", "id" : "ITEM-1", "issue" : "10", "issued" : { "date-parts" : [ [ "2001", "3", "14" ] ] }, "page" : "1299", "title" : "Continuation Pharmacotherapy in the Prevention of Relapse Following Electroconvulsive Therapy", "type" : "article-journal", "volume" : "285" }, "uris" : [ "http://www.mendeley.com/documents/?uuid=b6a6445a-e0c1-4b82-b83b-e9234aa95c3a" ] } ], "mendeley" : { "previouslyFormattedCitation" : "(Sackeim et al., 2001)" }, "properties" : { "noteIndex" : 0 }, "schema" : "https://github.com/citation-style-language/schema/raw/master/csl-citation.json" }</w:instrText>
      </w:r>
      <w:r w:rsidR="008C4A63">
        <w:fldChar w:fldCharType="separate"/>
      </w:r>
      <w:r w:rsidR="008C4A63" w:rsidRPr="008C4A63">
        <w:rPr>
          <w:noProof/>
        </w:rPr>
        <w:t>(Sackeim et al., 2001)</w:t>
      </w:r>
      <w:r w:rsidR="008C4A63">
        <w:fldChar w:fldCharType="end"/>
      </w:r>
      <w:r>
        <w:t xml:space="preserve">. </w:t>
      </w:r>
    </w:p>
    <w:p w14:paraId="633556B9" w14:textId="77777777" w:rsidR="00140741" w:rsidRPr="008474A0" w:rsidRDefault="00140741" w:rsidP="008474A0">
      <w:pPr>
        <w:ind w:left="1701"/>
        <w:rPr>
          <w:rFonts w:ascii="Tahoma" w:hAnsi="Tahoma" w:cs="Tahoma"/>
          <w:b/>
          <w:sz w:val="20"/>
        </w:rPr>
      </w:pPr>
      <w:r w:rsidRPr="008474A0">
        <w:rPr>
          <w:rFonts w:ascii="Tahoma" w:hAnsi="Tahoma" w:cs="Tahoma"/>
          <w:b/>
          <w:sz w:val="20"/>
        </w:rPr>
        <w:t>Antidep</w:t>
      </w:r>
      <w:r w:rsidR="001507E1" w:rsidRPr="008474A0">
        <w:rPr>
          <w:rFonts w:ascii="Tahoma" w:hAnsi="Tahoma" w:cs="Tahoma"/>
          <w:b/>
          <w:sz w:val="20"/>
        </w:rPr>
        <w:t>ressant medications</w:t>
      </w:r>
      <w:r w:rsidRPr="008474A0">
        <w:rPr>
          <w:rFonts w:ascii="Tahoma" w:hAnsi="Tahoma" w:cs="Tahoma"/>
          <w:b/>
          <w:sz w:val="20"/>
        </w:rPr>
        <w:t xml:space="preserve"> </w:t>
      </w:r>
    </w:p>
    <w:p w14:paraId="104CE02F" w14:textId="77777777" w:rsidR="00140741" w:rsidRDefault="00140741" w:rsidP="001507E1">
      <w:pPr>
        <w:jc w:val="both"/>
      </w:pPr>
      <w:r>
        <w:t xml:space="preserve">The efficacy outcome for antidepressant medication was derived from the </w:t>
      </w:r>
      <w:r w:rsidR="00C90289">
        <w:t>STAR*D</w:t>
      </w:r>
      <w:r>
        <w:t xml:space="preserve"> trial </w:t>
      </w:r>
      <w:r w:rsidR="008C4A63">
        <w:fldChar w:fldCharType="begin" w:fldLock="1"/>
      </w:r>
      <w:r w:rsidR="008C4A63">
        <w:instrText>ADDIN CSL_CITATION { "citationItems" : [ { "id" : "ITEM-1", "itemData" : { "ISSN" : "1497-0015", "PMID" : "20370962", "abstract" : "OBJECTIVE: The Sequenced Treatment Alternatives to Relieve Depression (STAR*D) trial is the largest open-label, pragmatic trial that has been undertaken to examine the treatment of major depressive disorder. At a cost of US$35 million over 6 years, STAR*D sought to test the effectiveness both of pharmacotherapy and of cognitive therapy, and to ascertain whether certain treatments are more optimal after one or more failed trials.\n\nMETHOD: Patients (n = 2876) who presented to either a psychiatry or family practice setting seeking treatment for depression were included in the STAR*D analysis. In the 4 levels of STAR*D, patients were randomized to various treatment monotherapies, combinations, or augmentation strategies. The primary outcome was remission, based on the Hamilton Depression Rating Scale. Secondary outcomes were response, as measured by clinician and patient self-report as well as various measures of patients' level of function and (or) quality of life.\n\nRESULTS: Remission rates for treatment levels 1 to 2 and 3 to 4 were 18% to 30% and 7% to 25%, respectively. There was no difference in effectiveness between any treatments at any treatment level. Patients with longer index episodes, more concurrent psychiatric or general medical disorders, and (or) lower measures of baseline function were less likely to achieve remission. There were no major differences between outcomes in patients treated in primary, compared with specialist care, nor were there significant differences between depression rating scores obtained through clinician ratings, compared with self-report.\n\nCONCLUSION: Results of the STAR*D trial have shed important light on the effectiveness of current treatment strategies for patients with depression.", "author" : [ { "dropping-particle" : "", "family" : "Sinyor", "given" : "Mark", "non-dropping-particle" : "", "parse-names" : false, "suffix" : "" }, { "dropping-particle" : "", "family" : "Schaffer", "given" : "Ayal", "non-dropping-particle" : "", "parse-names" : false, "suffix" : "" }, { "dropping-particle" : "", "family" : "Levitt", "given" : "Anthony", "non-dropping-particle" : "", "parse-names" : false, "suffix" : "" } ], "container-title" : "Canadian journal of psychiatry. Revue canadienne de psychiatrie", "id" : "ITEM-1", "issue" : "3", "issued" : { "date-parts" : [ [ "2010", "3" ] ] }, "page" : "126-35", "title" : "The sequenced treatment alternatives to relieve depression (STAR*D) trial: a review.", "type" : "article-journal", "volume" : "55" }, "uris" : [ "http://www.mendeley.com/documents/?uuid=e1f14221-c677-4b14-8ea5-78011eb4b5cb" ] }, { "id" : "ITEM-2", "itemData" : { "DOI" : "10.1176/appi.ajp.164.2.201", "ISSN" : "0002-953X", "PMID" : "17267779", "author" : [ { "dropping-particle" : "", "family" : "Rush", "given" : "John", "non-dropping-particle" : "", "parse-names" : false, "suffix" : "" } ], "container-title" : "The American journal of psychiatry", "id" : "ITEM-2", "issue" : "2", "issued" : { "date-parts" : [ [ "2007", "2" ] ] }, "page" : "201-4", "title" : "STAR*D: what have we learned?", "type" : "article-journal", "volume" : "164" }, "uris" : [ "http://www.mendeley.com/documents/?uuid=1107bdd4-2684-436c-be94-56542768f098" ] } ], "mendeley" : { "previouslyFormattedCitation" : "(Rush, 2007; Sinyor et al., 2010)" }, "properties" : { "noteIndex" : 0 }, "schema" : "https://github.com/citation-style-language/schema/raw/master/csl-citation.json" }</w:instrText>
      </w:r>
      <w:r w:rsidR="008C4A63">
        <w:fldChar w:fldCharType="separate"/>
      </w:r>
      <w:r w:rsidR="008C4A63" w:rsidRPr="008C4A63">
        <w:rPr>
          <w:noProof/>
        </w:rPr>
        <w:t>(Rush, 2007; Sinyor et al., 2010)</w:t>
      </w:r>
      <w:r w:rsidR="008C4A63">
        <w:fldChar w:fldCharType="end"/>
      </w:r>
      <w:r>
        <w:t>. This study reported major outcomes (remission, response and side effects) for four treatment steps. Patients who failed two adequate antidepressant courses in their current illness episode (Level 3, ATHF=2) can be considered as comparable to the MBS target population. Therefore, the efficacy outcomes used in the economic model for the antidepressant arm were derived from Level 3 patients.</w:t>
      </w:r>
    </w:p>
    <w:p w14:paraId="5566CFE4" w14:textId="77777777" w:rsidR="006C19DA" w:rsidRDefault="00140741" w:rsidP="001507E1">
      <w:pPr>
        <w:jc w:val="both"/>
      </w:pPr>
      <w:r>
        <w:t xml:space="preserve">The relapse rate for Level 3 reported in Rush </w:t>
      </w:r>
      <w:r w:rsidRPr="002620D4">
        <w:rPr>
          <w:i/>
        </w:rPr>
        <w:t>et al</w:t>
      </w:r>
      <w:r>
        <w:t xml:space="preserve"> 2006 (65% with average 3.1 months until relapse) was also used to calculated the probability of losing remission after antidepressant treatment. This relapse rate is equivalent to a 28.1% monthly rate of losing remission. </w:t>
      </w:r>
    </w:p>
    <w:p w14:paraId="0FFE1937" w14:textId="255E67A1" w:rsidR="00140741" w:rsidRPr="008474A0" w:rsidRDefault="00140741" w:rsidP="00415F65">
      <w:pPr>
        <w:ind w:left="1701"/>
        <w:jc w:val="both"/>
        <w:rPr>
          <w:rFonts w:ascii="Tahoma" w:hAnsi="Tahoma" w:cs="Tahoma"/>
          <w:b/>
          <w:sz w:val="20"/>
        </w:rPr>
      </w:pPr>
      <w:r>
        <w:lastRenderedPageBreak/>
        <w:t xml:space="preserve"> </w:t>
      </w:r>
      <w:r w:rsidRPr="008474A0">
        <w:rPr>
          <w:rFonts w:ascii="Tahoma" w:hAnsi="Tahoma" w:cs="Tahoma"/>
          <w:b/>
          <w:sz w:val="20"/>
        </w:rPr>
        <w:t xml:space="preserve">All three treatment arms </w:t>
      </w:r>
    </w:p>
    <w:p w14:paraId="2219F9DF" w14:textId="77777777" w:rsidR="00140741" w:rsidRDefault="00140741" w:rsidP="001507E1">
      <w:pPr>
        <w:jc w:val="both"/>
      </w:pPr>
      <w:r>
        <w:t>Treatment efficacy tends to decrease if patients failed previous treatment</w:t>
      </w:r>
      <w:r w:rsidR="004F691A">
        <w:t xml:space="preserve"> (O’Reardon </w:t>
      </w:r>
      <w:r w:rsidR="004F691A" w:rsidRPr="004F691A">
        <w:rPr>
          <w:i/>
        </w:rPr>
        <w:t xml:space="preserve">et al. </w:t>
      </w:r>
      <w:r w:rsidR="004F691A">
        <w:t>2007)</w:t>
      </w:r>
      <w:r>
        <w:t>. For instance, t</w:t>
      </w:r>
      <w:r w:rsidRPr="00A82837">
        <w:t>he strongest predictor of response to rTMS was a lower score on the ATHF indicating that the patient had failed fewer previous adequate antidepressant trials</w:t>
      </w:r>
      <w:r>
        <w:t xml:space="preserve"> (Simpson </w:t>
      </w:r>
      <w:r w:rsidRPr="00A82837">
        <w:rPr>
          <w:i/>
        </w:rPr>
        <w:t>et al</w:t>
      </w:r>
      <w:r>
        <w:t xml:space="preserve"> 2009)</w:t>
      </w:r>
      <w:r w:rsidRPr="00A82837">
        <w:t xml:space="preserve">. </w:t>
      </w:r>
      <w:r>
        <w:t xml:space="preserve">The reduction of antidepressant efficacy was also observed in the STAR*D study (Sinyor </w:t>
      </w:r>
      <w:r w:rsidRPr="00302387">
        <w:rPr>
          <w:i/>
        </w:rPr>
        <w:t>et al</w:t>
      </w:r>
      <w:r>
        <w:t xml:space="preserve"> 2010). The decrement is however not reported quantitatively. The rates of efficacy reduction (for each subsequent treatment) were therefore assumed to be 20% and 15% for remission and response rates, respectively. </w:t>
      </w:r>
    </w:p>
    <w:p w14:paraId="59939DE7" w14:textId="77777777" w:rsidR="00140741" w:rsidRDefault="00140741" w:rsidP="001507E1">
      <w:pPr>
        <w:jc w:val="both"/>
      </w:pPr>
      <w:r w:rsidRPr="002620D4">
        <w:t xml:space="preserve">NeuroNetics </w:t>
      </w:r>
      <w:r>
        <w:t xml:space="preserve">reported the re-treatment rate for </w:t>
      </w:r>
      <w:r w:rsidRPr="002620D4">
        <w:t>rTMS</w:t>
      </w:r>
      <w:r>
        <w:t xml:space="preserve"> (36.2%; also see the financial estimates) while no quantitative information is available for ECT and antidepressant treatment. Therefore, the retreatment rate was assumed to be the same for the three treatment arms). </w:t>
      </w:r>
    </w:p>
    <w:p w14:paraId="0F1D821C" w14:textId="77777777" w:rsidR="00140741" w:rsidRDefault="00140741" w:rsidP="001507E1">
      <w:pPr>
        <w:jc w:val="both"/>
      </w:pPr>
      <w:r>
        <w:t>In the absence of information available from published literature, probability assumptions were necessary and applied for all three treatment arms for: (i) the relapse rate if a patient is in partial remission (without treatment); (ii) the percentage decrement of the relapse rate from partial remission for each subsequent treatment; and (iii) the probability of getting post-treatment ECT</w:t>
      </w:r>
      <w:r w:rsidR="004F691A">
        <w:t>.</w:t>
      </w:r>
      <w:r>
        <w:t xml:space="preserve"> For the adverse event rates during treatment, a value was available for rTMS only (O’Reardon </w:t>
      </w:r>
      <w:r w:rsidRPr="00950EAB">
        <w:rPr>
          <w:i/>
        </w:rPr>
        <w:t>et al.</w:t>
      </w:r>
      <w:r>
        <w:t xml:space="preserve"> 2007) and this value was assumed to be the same for the ECT and antidepressant arms. </w:t>
      </w:r>
    </w:p>
    <w:p w14:paraId="7A1521D1" w14:textId="77777777" w:rsidR="00140741" w:rsidRPr="00095391" w:rsidRDefault="00140741" w:rsidP="00186811">
      <w:pPr>
        <w:pStyle w:val="Heading5"/>
      </w:pPr>
      <w:r>
        <w:t xml:space="preserve">Utility weights </w:t>
      </w:r>
    </w:p>
    <w:p w14:paraId="17BF513B" w14:textId="66120435" w:rsidR="00140741" w:rsidRDefault="00140741" w:rsidP="001507E1">
      <w:pPr>
        <w:jc w:val="both"/>
      </w:pPr>
      <w:r w:rsidRPr="00D46968">
        <w:t>Utility and disutility values are required for different health states in the economic model.</w:t>
      </w:r>
      <w:r>
        <w:t xml:space="preserve"> </w:t>
      </w:r>
      <w:r w:rsidRPr="00D46968">
        <w:t xml:space="preserve">Published sources were identified from a systematic review of </w:t>
      </w:r>
      <w:r>
        <w:t xml:space="preserve">clinical trials and </w:t>
      </w:r>
      <w:r w:rsidRPr="00D46968">
        <w:t>economic evaluatio</w:t>
      </w:r>
      <w:r>
        <w:t xml:space="preserve">ns of MDD treatment. Utility values for relevant health state are taken from </w:t>
      </w:r>
      <w:r w:rsidR="008C4A63">
        <w:fldChar w:fldCharType="begin" w:fldLock="1"/>
      </w:r>
      <w:r w:rsidR="008C4A63">
        <w:instrText>ADDIN CSL_CITATION { "citationItems" : [ { "id" : "ITEM-1", "itemData" : { "DOI" : "10.1046/j.1440-1614.2003.01189.x", "ISSN" : "0004-8674", "author" : [ { "dropping-particle" : "", "family" : "Hawthorne", "given" : "Graeme", "non-dropping-particle" : "", "parse-names" : false, "suffix" : "" }, { "dropping-particle" : "", "family" : "Cheok", "given" : "Frida", "non-dropping-particle" : "", "parse-names" : false, "suffix" : "" }, { "dropping-particle" : "", "family" : "Goldney", "given" : "Robert", "non-dropping-particle" : "", "parse-names" : false, "suffix" : "" }, { "dropping-particle" : "", "family" : "Fisher", "given" : "Laura", "non-dropping-particle" : "", "parse-names" : false, "suffix" : "" } ], "container-title" : "Australian and New Zealand Journal of Psychiatry", "id" : "ITEM-1", "issue" : "3", "issued" : { "date-parts" : [ [ "2003", "1" ] ] }, "page" : "362-373", "title" : "The excess cost of depression in South Australia: a population-based study", "type" : "article-journal", "volume" : "37" }, "uris" : [ "http://www.mendeley.com/documents/?uuid=81ec2079-c8fa-49ca-aef2-54604519f83f" ] } ], "mendeley" : { "previouslyFormattedCitation" : "(Hawthorne et al., 2003)" }, "properties" : { "noteIndex" : 0 }, "schema" : "https://github.com/citation-style-language/schema/raw/master/csl-citation.json" }</w:instrText>
      </w:r>
      <w:r w:rsidR="008C4A63">
        <w:fldChar w:fldCharType="separate"/>
      </w:r>
      <w:r w:rsidR="008C4A63" w:rsidRPr="008C4A63">
        <w:rPr>
          <w:noProof/>
        </w:rPr>
        <w:t>(Hawthorne et al., 2003)</w:t>
      </w:r>
      <w:r w:rsidR="008C4A63">
        <w:fldChar w:fldCharType="end"/>
      </w:r>
      <w:r>
        <w:t xml:space="preserve">, which uses the Australian AQoL utility instrument. Disutilities associated with adverse events were calculated using information from </w:t>
      </w:r>
      <w:r w:rsidR="008C4A63">
        <w:fldChar w:fldCharType="begin" w:fldLock="1"/>
      </w:r>
      <w:r w:rsidR="008C4A63">
        <w:instrText>ADDIN CSL_CITATION { "citationItems" : [ { "id" : "ITEM-1", "itemData" : { "ISSN" : "1172-7047", "PMID" : "15521793", "abstract" : "BACKGROUND: The economic burden of depression is known to be high and was estimated to be USD 83.1 billion in 2000. Serotonin reuptake inhibitors (SRIs), including both selective serotonin reuptake inhibitors (SSRIs) and serotonin norepinephrine reuptake inhibitors (SNRIs), have a superior adverse effect and safety profile relative to traditional agents (e.g. TCAs), and as a result have demonstrated superior cost effectiveness. Although efficacy across the SRIs is similar, the incidence of adverse drug reactions (ADRs) within SRIs remains significant and varies by agent. Patients who experience ADRs from SRIs may seek medical care, require additional treatment, and even discontinue treatment altogether, leading to increased utilisation and cost of therapy.\n\nOBJECTIVE: This study estimates the direct cost and cost effectiveness, taking into account the impact of treatment-related ADRs, of eight currently marketed SRIs (citalopram, escitalopram, generic fluoxetine, paroxetine, paroxetine controlled release [CR], sertraline, venlafaxine and venlafaxine extended release [XR]) used as initial treatment for depression.\n\nMETHODS: A decision analytic model with a 6-month treatment goal was used to estimate the direct cost and cost effectiveness of treatment from the managed care/payer perspective. Estimates of SRI-related ADRs, associated treatments and costs were derived from the US FDA-approved prescribing information and published literature. Efficacy was assumed to be similar across all SRIs. Effectiveness was measured using quality-adjusted life years (QALY) based on EuroQol EQ-5D scores derived from the 2000 Medical Expenditure Panel Survey (MEPS). Censored least absolute deviations (CLAD) regression analysis was used to derive age-adjusted estimates of utility for all health states. Univariate and Bayesian second-order multivariate probabilistic sensitivity analyses were conducted to examine the impact of uncertainty in the parameter estimates.\n\nRESULTS: The expected direct cost and cost effectiveness of treatment from least to most expensive were: escitalopram (USD 3891; 0.341), citalopram (USD 3938; 0.340), generic fluoxetine (USD 4034; 0.335), venlafaxine XR (USD 4226; 0.336), sertraline (USD 4250; 0.335), generic paroxetine (USD 4385; 0.332), paroxetine CR (USD 4440; 0.332) and venlafaxine (USD 4613; 0.326). Monte Carlo simulation results suggested that escitalopram was the most likely (77%) to be cost effective for a willingness to pay &lt; or = USD 50\u2026", "author" : [ { "dropping-particle" : "", "family" : "Sullivan", "given" : "Patrick W", "non-dropping-particle" : "", "parse-names" : false, "suffix" : "" }, { "dropping-particle" : "", "family" : "Valuck", "given" : "Robert", "non-dropping-particle" : "", "parse-names" : false, "suffix" : "" }, { "dropping-particle" : "", "family" : "Saseen", "given" : "Joseph", "non-dropping-particle" : "", "parse-names" : false, "suffix" : "" }, { "dropping-particle" : "", "family" : "MacFall", "given" : "Holly M", "non-dropping-particle" : "", "parse-names" : false, "suffix" : "" } ], "container-title" : "CNS drugs", "id" : "ITEM-1", "issue" : "13", "issued" : { "date-parts" : [ [ "2004", "1" ] ] }, "page" : "911-32", "title" : "A comparison of the direct costs and cost effectiveness of serotonin reuptake inhibitors and associated adverse drug reactions.", "type" : "article-journal", "volume" : "18" }, "uris" : [ "http://www.mendeley.com/documents/?uuid=7cf9f4b6-2042-4029-849e-12608a6b4257" ] } ], "mendeley" : { "previouslyFormattedCitation" : "(Sullivan et al., 2004)" }, "properties" : { "noteIndex" : 0 }, "schema" : "https://github.com/citation-style-language/schema/raw/master/csl-citation.json" }</w:instrText>
      </w:r>
      <w:r w:rsidR="008C4A63">
        <w:fldChar w:fldCharType="separate"/>
      </w:r>
      <w:r w:rsidR="008C4A63" w:rsidRPr="008C4A63">
        <w:rPr>
          <w:noProof/>
        </w:rPr>
        <w:t>(Sullivan et al., 2004)</w:t>
      </w:r>
      <w:r w:rsidR="008C4A63">
        <w:fldChar w:fldCharType="end"/>
      </w:r>
      <w:r>
        <w:t xml:space="preserve">. Further details are provided in </w:t>
      </w:r>
      <w:r w:rsidR="00580F8D" w:rsidRPr="00580F8D">
        <w:t xml:space="preserve">Appendix </w:t>
      </w:r>
      <w:r w:rsidR="00580F8D">
        <w:t>D.</w:t>
      </w:r>
    </w:p>
    <w:p w14:paraId="219BF31E" w14:textId="77777777" w:rsidR="00140741" w:rsidRDefault="00140741" w:rsidP="00186811">
      <w:pPr>
        <w:pStyle w:val="Heading5"/>
      </w:pPr>
      <w:r>
        <w:t>Mortality rates</w:t>
      </w:r>
    </w:p>
    <w:p w14:paraId="76CA7F97" w14:textId="77777777" w:rsidR="00140741" w:rsidRDefault="00140741" w:rsidP="001507E1">
      <w:pPr>
        <w:jc w:val="both"/>
      </w:pPr>
      <w:r>
        <w:t xml:space="preserve">The </w:t>
      </w:r>
      <w:r w:rsidRPr="00B91C2C">
        <w:t>ABS Australian life tables were applied for patients</w:t>
      </w:r>
      <w:r>
        <w:t xml:space="preserve"> in the remission health state. </w:t>
      </w:r>
      <w:r w:rsidRPr="00B91C2C">
        <w:t xml:space="preserve">For other health states it is assumed that patients have a higher chance of dying compared to the general Australian population. </w:t>
      </w:r>
      <w:r>
        <w:t>An inflation factor of 1.81 was applied for the partial remission health state (equivalent to moderate depression), and a factor of 6 was applied for the no response/relapse heal</w:t>
      </w:r>
      <w:r w:rsidR="00BE41D5">
        <w:t>th state (equivalent to severe/</w:t>
      </w:r>
      <w:r>
        <w:t>very severe depression). These inflation factors were sourced from the literature</w:t>
      </w:r>
      <w:r w:rsidR="004F691A">
        <w:t xml:space="preserve"> (Cuijers </w:t>
      </w:r>
      <w:r w:rsidR="004F691A" w:rsidRPr="004F691A">
        <w:rPr>
          <w:i/>
        </w:rPr>
        <w:t>et al.</w:t>
      </w:r>
      <w:r w:rsidR="004F691A">
        <w:t xml:space="preserve"> 2002, Olin </w:t>
      </w:r>
      <w:r w:rsidR="004F691A" w:rsidRPr="004F691A">
        <w:rPr>
          <w:i/>
        </w:rPr>
        <w:t>et al.</w:t>
      </w:r>
      <w:r w:rsidR="004F691A">
        <w:t xml:space="preserve"> 2012)</w:t>
      </w:r>
      <w:r>
        <w:t xml:space="preserve">. </w:t>
      </w:r>
    </w:p>
    <w:p w14:paraId="518DBED0" w14:textId="77777777" w:rsidR="00140741" w:rsidRPr="00095391" w:rsidRDefault="00140741" w:rsidP="00186811">
      <w:pPr>
        <w:pStyle w:val="Heading5"/>
      </w:pPr>
      <w:r w:rsidRPr="00095391">
        <w:t xml:space="preserve">Health resource consumption and costs </w:t>
      </w:r>
    </w:p>
    <w:p w14:paraId="45DE0E40" w14:textId="2884DE26" w:rsidR="00140741" w:rsidRDefault="00140741" w:rsidP="001507E1">
      <w:pPr>
        <w:jc w:val="both"/>
      </w:pPr>
      <w:r>
        <w:t xml:space="preserve">The list of inputs relating to healthcare resource items and a detailed discussion of the sources and calculation of these inputs are presented in </w:t>
      </w:r>
      <w:r w:rsidR="00580F8D" w:rsidRPr="00580F8D">
        <w:t xml:space="preserve">Appendix </w:t>
      </w:r>
      <w:r w:rsidR="00580F8D">
        <w:t>D</w:t>
      </w:r>
      <w:r>
        <w:t>. Costs considered in the base case of the evaluation are presented in</w:t>
      </w:r>
      <w:r w:rsidR="001507E1">
        <w:t xml:space="preserve"> </w:t>
      </w:r>
      <w:r w:rsidR="001507E1">
        <w:fldChar w:fldCharType="begin"/>
      </w:r>
      <w:r w:rsidR="001507E1">
        <w:instrText xml:space="preserve"> REF _Ref386031492 \h  \* MERGEFORMAT </w:instrText>
      </w:r>
      <w:r w:rsidR="001507E1">
        <w:fldChar w:fldCharType="separate"/>
      </w:r>
      <w:r w:rsidR="004C1C27" w:rsidRPr="00632D26">
        <w:t xml:space="preserve">Table </w:t>
      </w:r>
      <w:r w:rsidR="004C1C27">
        <w:t>2</w:t>
      </w:r>
      <w:r w:rsidR="001507E1">
        <w:fldChar w:fldCharType="end"/>
      </w:r>
      <w:r>
        <w:t>. To obtain the monthly treatment cost for antidepressant, rTMS, ECT arms, costs were converted to monthly values. In general, the duration per rTMS treatment course is between 4-6 weeks while that of ECT is slightly shorter. The recommended treatment duration for antidepressant is 6 months</w:t>
      </w:r>
      <w:r w:rsidR="004F691A">
        <w:t xml:space="preserve"> (HESP advice)</w:t>
      </w:r>
      <w:r>
        <w:t xml:space="preserve">. For simplicity, cost per treatment course is assumed to occur within one cycle. The monthly treatment cost for rTMS </w:t>
      </w:r>
      <w:r w:rsidR="00BE41D5">
        <w:t>maintenance included</w:t>
      </w:r>
      <w:r>
        <w:t xml:space="preserve"> two rTMS sessions </w:t>
      </w:r>
      <w:r>
        <w:lastRenderedPageBreak/>
        <w:t xml:space="preserve">per month. Psychiatric consultation for treatment and management plan incurred a cost applied once for each treatment course (including rTMS maintenance). Subsequent psychiatric consultation and short visits were part of regular MDD monitoring. </w:t>
      </w:r>
    </w:p>
    <w:p w14:paraId="72D57B2C" w14:textId="3AB6C462" w:rsidR="00140741" w:rsidRPr="00CB5295" w:rsidRDefault="001507E1" w:rsidP="00ED70FB">
      <w:pPr>
        <w:pStyle w:val="TableName"/>
      </w:pPr>
      <w:bookmarkStart w:id="145" w:name="_Ref386031492"/>
      <w:bookmarkStart w:id="146" w:name="_Toc389140545"/>
      <w:bookmarkStart w:id="147" w:name="_Toc389142164"/>
      <w:bookmarkStart w:id="148" w:name="_Toc389143587"/>
      <w:r w:rsidRPr="00632D26">
        <w:t xml:space="preserve">Table </w:t>
      </w:r>
      <w:r w:rsidR="004C1C27">
        <w:fldChar w:fldCharType="begin"/>
      </w:r>
      <w:r w:rsidR="004C1C27">
        <w:instrText xml:space="preserve"> SEQ Table \* ARABIC </w:instrText>
      </w:r>
      <w:r w:rsidR="004C1C27">
        <w:fldChar w:fldCharType="separate"/>
      </w:r>
      <w:r w:rsidR="004C1C27">
        <w:rPr>
          <w:noProof/>
        </w:rPr>
        <w:t>2</w:t>
      </w:r>
      <w:r w:rsidR="004C1C27">
        <w:rPr>
          <w:noProof/>
        </w:rPr>
        <w:fldChar w:fldCharType="end"/>
      </w:r>
      <w:bookmarkEnd w:id="145"/>
      <w:r w:rsidRPr="00632D26">
        <w:t xml:space="preserve">: </w:t>
      </w:r>
      <w:r w:rsidR="00140741">
        <w:t>Summary of resources and costs used in the economic model</w:t>
      </w:r>
      <w:bookmarkEnd w:id="146"/>
      <w:bookmarkEnd w:id="147"/>
      <w:bookmarkEnd w:id="148"/>
      <w:r w:rsidR="00140741">
        <w:t xml:space="preserve"> </w:t>
      </w:r>
    </w:p>
    <w:tbl>
      <w:tblPr>
        <w:tblW w:w="8363"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mmary of resources and costs used in the economic model"/>
      </w:tblPr>
      <w:tblGrid>
        <w:gridCol w:w="2835"/>
        <w:gridCol w:w="567"/>
        <w:gridCol w:w="869"/>
        <w:gridCol w:w="869"/>
        <w:gridCol w:w="3223"/>
      </w:tblGrid>
      <w:tr w:rsidR="00140741" w:rsidRPr="00D707AC" w14:paraId="369164BD" w14:textId="77777777" w:rsidTr="003039ED">
        <w:trPr>
          <w:cantSplit/>
          <w:trHeight w:val="284"/>
          <w:tblHeader/>
        </w:trPr>
        <w:tc>
          <w:tcPr>
            <w:tcW w:w="2835" w:type="dxa"/>
            <w:shd w:val="clear" w:color="auto" w:fill="auto"/>
            <w:noWrap/>
            <w:tcMar>
              <w:left w:w="28" w:type="dxa"/>
              <w:right w:w="28" w:type="dxa"/>
            </w:tcMar>
            <w:vAlign w:val="center"/>
            <w:hideMark/>
          </w:tcPr>
          <w:p w14:paraId="02E34398" w14:textId="77777777" w:rsidR="00140741" w:rsidRPr="00D707AC" w:rsidRDefault="00140741" w:rsidP="00ED70FB">
            <w:pPr>
              <w:keepNext/>
              <w:spacing w:before="40" w:after="40"/>
              <w:ind w:left="0"/>
              <w:rPr>
                <w:rFonts w:ascii="Arial Narrow" w:hAnsi="Arial Narrow"/>
                <w:b/>
                <w:sz w:val="18"/>
                <w:szCs w:val="18"/>
              </w:rPr>
            </w:pPr>
          </w:p>
        </w:tc>
        <w:tc>
          <w:tcPr>
            <w:tcW w:w="567" w:type="dxa"/>
            <w:shd w:val="clear" w:color="auto" w:fill="auto"/>
            <w:noWrap/>
            <w:tcMar>
              <w:left w:w="28" w:type="dxa"/>
              <w:right w:w="28" w:type="dxa"/>
            </w:tcMar>
            <w:vAlign w:val="center"/>
            <w:hideMark/>
          </w:tcPr>
          <w:p w14:paraId="63A4D464" w14:textId="77777777" w:rsidR="00140741" w:rsidRPr="00D707AC" w:rsidRDefault="00140741" w:rsidP="00ED70FB">
            <w:pPr>
              <w:keepNext/>
              <w:spacing w:before="40" w:after="40"/>
              <w:ind w:left="0"/>
              <w:jc w:val="center"/>
              <w:rPr>
                <w:rFonts w:ascii="Arial Narrow" w:hAnsi="Arial Narrow"/>
                <w:b/>
                <w:sz w:val="18"/>
                <w:szCs w:val="18"/>
              </w:rPr>
            </w:pPr>
            <w:r w:rsidRPr="00D707AC">
              <w:rPr>
                <w:rFonts w:ascii="Arial Narrow" w:hAnsi="Arial Narrow"/>
                <w:b/>
                <w:sz w:val="18"/>
                <w:szCs w:val="18"/>
              </w:rPr>
              <w:t>Unit</w:t>
            </w:r>
          </w:p>
        </w:tc>
        <w:tc>
          <w:tcPr>
            <w:tcW w:w="869" w:type="dxa"/>
            <w:shd w:val="clear" w:color="auto" w:fill="auto"/>
            <w:noWrap/>
            <w:tcMar>
              <w:left w:w="28" w:type="dxa"/>
              <w:right w:w="28" w:type="dxa"/>
            </w:tcMar>
            <w:vAlign w:val="center"/>
            <w:hideMark/>
          </w:tcPr>
          <w:p w14:paraId="4574E6AF" w14:textId="77777777" w:rsidR="00140741" w:rsidRPr="00D707AC" w:rsidRDefault="00140741" w:rsidP="00ED70FB">
            <w:pPr>
              <w:keepNext/>
              <w:spacing w:before="40" w:after="40"/>
              <w:ind w:left="0"/>
              <w:jc w:val="center"/>
              <w:rPr>
                <w:rFonts w:ascii="Arial Narrow" w:hAnsi="Arial Narrow"/>
                <w:b/>
                <w:sz w:val="18"/>
                <w:szCs w:val="18"/>
              </w:rPr>
            </w:pPr>
            <w:r w:rsidRPr="00D707AC">
              <w:rPr>
                <w:rFonts w:ascii="Arial Narrow" w:hAnsi="Arial Narrow"/>
                <w:b/>
                <w:sz w:val="18"/>
                <w:szCs w:val="18"/>
              </w:rPr>
              <w:t>Unit price</w:t>
            </w:r>
          </w:p>
        </w:tc>
        <w:tc>
          <w:tcPr>
            <w:tcW w:w="869" w:type="dxa"/>
            <w:shd w:val="clear" w:color="auto" w:fill="auto"/>
            <w:noWrap/>
            <w:tcMar>
              <w:left w:w="28" w:type="dxa"/>
              <w:right w:w="28" w:type="dxa"/>
            </w:tcMar>
            <w:vAlign w:val="center"/>
            <w:hideMark/>
          </w:tcPr>
          <w:p w14:paraId="30C296B3" w14:textId="77777777" w:rsidR="00140741" w:rsidRPr="00D707AC" w:rsidRDefault="00140741" w:rsidP="00ED70FB">
            <w:pPr>
              <w:keepNext/>
              <w:spacing w:before="40" w:after="40"/>
              <w:ind w:left="0"/>
              <w:jc w:val="center"/>
              <w:rPr>
                <w:rFonts w:ascii="Arial Narrow" w:hAnsi="Arial Narrow"/>
                <w:b/>
                <w:sz w:val="18"/>
                <w:szCs w:val="18"/>
              </w:rPr>
            </w:pPr>
            <w:r w:rsidRPr="00D707AC">
              <w:rPr>
                <w:rFonts w:ascii="Arial Narrow" w:hAnsi="Arial Narrow"/>
                <w:b/>
                <w:sz w:val="18"/>
                <w:szCs w:val="18"/>
              </w:rPr>
              <w:t>Total cost</w:t>
            </w:r>
          </w:p>
        </w:tc>
        <w:tc>
          <w:tcPr>
            <w:tcW w:w="3223" w:type="dxa"/>
            <w:shd w:val="clear" w:color="auto" w:fill="auto"/>
            <w:noWrap/>
            <w:tcMar>
              <w:left w:w="28" w:type="dxa"/>
              <w:right w:w="28" w:type="dxa"/>
            </w:tcMar>
            <w:vAlign w:val="center"/>
            <w:hideMark/>
          </w:tcPr>
          <w:p w14:paraId="341C23AD" w14:textId="77777777" w:rsidR="00140741" w:rsidRPr="00D707AC" w:rsidRDefault="00140741" w:rsidP="00ED70FB">
            <w:pPr>
              <w:keepNext/>
              <w:spacing w:before="40" w:after="40"/>
              <w:ind w:left="0"/>
              <w:jc w:val="both"/>
              <w:rPr>
                <w:rFonts w:ascii="Arial Narrow" w:hAnsi="Arial Narrow"/>
                <w:b/>
                <w:sz w:val="18"/>
                <w:szCs w:val="18"/>
              </w:rPr>
            </w:pPr>
            <w:r w:rsidRPr="00D707AC">
              <w:rPr>
                <w:rFonts w:ascii="Arial Narrow" w:hAnsi="Arial Narrow"/>
                <w:b/>
                <w:sz w:val="18"/>
                <w:szCs w:val="18"/>
              </w:rPr>
              <w:t>Sources and Notes</w:t>
            </w:r>
          </w:p>
        </w:tc>
      </w:tr>
      <w:tr w:rsidR="00140741" w:rsidRPr="00D707AC" w14:paraId="5C936E78" w14:textId="77777777" w:rsidTr="003039ED">
        <w:trPr>
          <w:cantSplit/>
          <w:trHeight w:val="284"/>
        </w:trPr>
        <w:tc>
          <w:tcPr>
            <w:tcW w:w="8363" w:type="dxa"/>
            <w:gridSpan w:val="5"/>
            <w:shd w:val="clear" w:color="auto" w:fill="auto"/>
            <w:noWrap/>
            <w:tcMar>
              <w:left w:w="28" w:type="dxa"/>
              <w:right w:w="28" w:type="dxa"/>
            </w:tcMar>
            <w:vAlign w:val="center"/>
            <w:hideMark/>
          </w:tcPr>
          <w:p w14:paraId="02D265AE" w14:textId="77777777" w:rsidR="00140741" w:rsidRPr="00D707AC" w:rsidRDefault="00140741" w:rsidP="00ED70FB">
            <w:pPr>
              <w:keepNext/>
              <w:spacing w:before="40" w:after="40"/>
              <w:ind w:left="0"/>
              <w:rPr>
                <w:rFonts w:ascii="Arial Narrow" w:hAnsi="Arial Narrow"/>
                <w:b/>
                <w:sz w:val="18"/>
                <w:szCs w:val="18"/>
              </w:rPr>
            </w:pPr>
            <w:r>
              <w:rPr>
                <w:rFonts w:ascii="Arial Narrow" w:hAnsi="Arial Narrow"/>
                <w:b/>
                <w:sz w:val="18"/>
                <w:szCs w:val="18"/>
              </w:rPr>
              <w:t xml:space="preserve">rTMS: major treatment </w:t>
            </w:r>
          </w:p>
        </w:tc>
      </w:tr>
      <w:tr w:rsidR="00140741" w:rsidRPr="00D707AC" w14:paraId="2575AC84" w14:textId="77777777" w:rsidTr="003039ED">
        <w:trPr>
          <w:cantSplit/>
          <w:trHeight w:val="284"/>
        </w:trPr>
        <w:tc>
          <w:tcPr>
            <w:tcW w:w="8363" w:type="dxa"/>
            <w:gridSpan w:val="5"/>
            <w:shd w:val="clear" w:color="auto" w:fill="auto"/>
            <w:noWrap/>
            <w:tcMar>
              <w:left w:w="28" w:type="dxa"/>
              <w:right w:w="28" w:type="dxa"/>
            </w:tcMar>
            <w:vAlign w:val="center"/>
            <w:hideMark/>
          </w:tcPr>
          <w:p w14:paraId="1F01DC85" w14:textId="77777777" w:rsidR="00140741" w:rsidRPr="00D707AC" w:rsidRDefault="00140741" w:rsidP="00ED70FB">
            <w:pPr>
              <w:keepNext/>
              <w:spacing w:before="40" w:after="40"/>
              <w:ind w:left="191"/>
              <w:jc w:val="both"/>
              <w:rPr>
                <w:rFonts w:ascii="Arial Narrow" w:hAnsi="Arial Narrow"/>
                <w:sz w:val="18"/>
                <w:szCs w:val="18"/>
              </w:rPr>
            </w:pPr>
            <w:r w:rsidRPr="00D707AC">
              <w:rPr>
                <w:rFonts w:ascii="Arial Narrow" w:hAnsi="Arial Narrow"/>
                <w:b/>
                <w:sz w:val="18"/>
                <w:szCs w:val="18"/>
              </w:rPr>
              <w:t xml:space="preserve">Acute treatment </w:t>
            </w:r>
          </w:p>
        </w:tc>
      </w:tr>
      <w:tr w:rsidR="00140741" w:rsidRPr="00D707AC" w14:paraId="65359065" w14:textId="77777777" w:rsidTr="003039ED">
        <w:trPr>
          <w:cantSplit/>
          <w:trHeight w:val="284"/>
        </w:trPr>
        <w:tc>
          <w:tcPr>
            <w:tcW w:w="2835" w:type="dxa"/>
            <w:shd w:val="clear" w:color="auto" w:fill="auto"/>
            <w:tcMar>
              <w:left w:w="28" w:type="dxa"/>
              <w:right w:w="28" w:type="dxa"/>
            </w:tcMar>
            <w:vAlign w:val="center"/>
            <w:hideMark/>
          </w:tcPr>
          <w:p w14:paraId="2E680165" w14:textId="77777777" w:rsidR="00140741" w:rsidRPr="00D707AC" w:rsidRDefault="00140741" w:rsidP="00ED70FB">
            <w:pPr>
              <w:keepNext/>
              <w:spacing w:before="40" w:after="40"/>
              <w:ind w:left="333"/>
              <w:rPr>
                <w:rFonts w:ascii="Arial Narrow" w:hAnsi="Arial Narrow"/>
                <w:sz w:val="18"/>
                <w:szCs w:val="18"/>
              </w:rPr>
            </w:pPr>
            <w:r w:rsidRPr="00D707AC">
              <w:rPr>
                <w:rFonts w:ascii="Arial Narrow" w:hAnsi="Arial Narrow"/>
                <w:sz w:val="18"/>
                <w:szCs w:val="18"/>
              </w:rPr>
              <w:t xml:space="preserve">Average number of sessions per acute </w:t>
            </w:r>
            <w:r w:rsidR="00455CBC" w:rsidRPr="00D707AC">
              <w:rPr>
                <w:rFonts w:ascii="Arial Narrow" w:hAnsi="Arial Narrow"/>
                <w:sz w:val="18"/>
                <w:szCs w:val="18"/>
              </w:rPr>
              <w:t xml:space="preserve">treatment </w:t>
            </w:r>
            <w:r w:rsidRPr="00D707AC">
              <w:rPr>
                <w:rFonts w:ascii="Arial Narrow" w:hAnsi="Arial Narrow"/>
                <w:sz w:val="18"/>
                <w:szCs w:val="18"/>
              </w:rPr>
              <w:t>course</w:t>
            </w:r>
          </w:p>
        </w:tc>
        <w:tc>
          <w:tcPr>
            <w:tcW w:w="567" w:type="dxa"/>
            <w:shd w:val="clear" w:color="auto" w:fill="auto"/>
            <w:noWrap/>
            <w:tcMar>
              <w:left w:w="28" w:type="dxa"/>
              <w:right w:w="28" w:type="dxa"/>
            </w:tcMar>
            <w:vAlign w:val="center"/>
            <w:hideMark/>
          </w:tcPr>
          <w:p w14:paraId="670A576E" w14:textId="77777777" w:rsidR="00140741" w:rsidRPr="00D707AC" w:rsidRDefault="00140741" w:rsidP="00ED70FB">
            <w:pPr>
              <w:keepNext/>
              <w:spacing w:before="40" w:after="40"/>
              <w:ind w:left="0"/>
              <w:jc w:val="center"/>
              <w:rPr>
                <w:rFonts w:ascii="Arial Narrow" w:hAnsi="Arial Narrow"/>
                <w:sz w:val="18"/>
                <w:szCs w:val="18"/>
              </w:rPr>
            </w:pPr>
            <w:r w:rsidRPr="00D707AC">
              <w:rPr>
                <w:rFonts w:ascii="Arial Narrow" w:hAnsi="Arial Narrow"/>
                <w:sz w:val="18"/>
                <w:szCs w:val="18"/>
              </w:rPr>
              <w:t>28.3</w:t>
            </w:r>
          </w:p>
        </w:tc>
        <w:tc>
          <w:tcPr>
            <w:tcW w:w="869" w:type="dxa"/>
            <w:shd w:val="clear" w:color="auto" w:fill="auto"/>
            <w:noWrap/>
            <w:tcMar>
              <w:left w:w="28" w:type="dxa"/>
              <w:right w:w="28" w:type="dxa"/>
            </w:tcMar>
            <w:vAlign w:val="center"/>
            <w:hideMark/>
          </w:tcPr>
          <w:p w14:paraId="12C90BB4" w14:textId="77777777" w:rsidR="00140741" w:rsidRPr="00D707AC" w:rsidRDefault="00140741" w:rsidP="00ED70FB">
            <w:pPr>
              <w:keepNext/>
              <w:spacing w:before="40" w:after="40"/>
              <w:ind w:left="0"/>
              <w:jc w:val="center"/>
              <w:rPr>
                <w:rFonts w:ascii="Arial Narrow" w:hAnsi="Arial Narrow"/>
                <w:sz w:val="18"/>
                <w:szCs w:val="18"/>
              </w:rPr>
            </w:pPr>
            <w:r w:rsidRPr="00D707AC">
              <w:rPr>
                <w:rFonts w:ascii="Arial Narrow" w:hAnsi="Arial Narrow"/>
                <w:sz w:val="18"/>
                <w:szCs w:val="18"/>
              </w:rPr>
              <w:t>$150.00</w:t>
            </w:r>
          </w:p>
        </w:tc>
        <w:tc>
          <w:tcPr>
            <w:tcW w:w="869" w:type="dxa"/>
            <w:shd w:val="clear" w:color="auto" w:fill="auto"/>
            <w:noWrap/>
            <w:tcMar>
              <w:left w:w="28" w:type="dxa"/>
              <w:right w:w="28" w:type="dxa"/>
            </w:tcMar>
            <w:vAlign w:val="center"/>
            <w:hideMark/>
          </w:tcPr>
          <w:p w14:paraId="45D2ABB7" w14:textId="77777777" w:rsidR="00140741" w:rsidRPr="00D707AC" w:rsidRDefault="00140741" w:rsidP="00ED70FB">
            <w:pPr>
              <w:keepNext/>
              <w:spacing w:before="40" w:after="40"/>
              <w:ind w:left="0"/>
              <w:jc w:val="center"/>
              <w:rPr>
                <w:rFonts w:ascii="Arial Narrow" w:hAnsi="Arial Narrow"/>
                <w:sz w:val="18"/>
                <w:szCs w:val="18"/>
              </w:rPr>
            </w:pPr>
            <w:r w:rsidRPr="00D707AC">
              <w:rPr>
                <w:rFonts w:ascii="Arial Narrow" w:hAnsi="Arial Narrow"/>
                <w:sz w:val="18"/>
                <w:szCs w:val="18"/>
              </w:rPr>
              <w:t>$4,245.00</w:t>
            </w:r>
          </w:p>
        </w:tc>
        <w:tc>
          <w:tcPr>
            <w:tcW w:w="3223" w:type="dxa"/>
            <w:shd w:val="clear" w:color="auto" w:fill="auto"/>
            <w:noWrap/>
            <w:tcMar>
              <w:left w:w="28" w:type="dxa"/>
              <w:right w:w="28" w:type="dxa"/>
            </w:tcMar>
            <w:vAlign w:val="center"/>
            <w:hideMark/>
          </w:tcPr>
          <w:p w14:paraId="3E127594" w14:textId="4EF9D03F" w:rsidR="00140741" w:rsidRPr="00D707AC" w:rsidRDefault="00140741" w:rsidP="00ED70FB">
            <w:pPr>
              <w:keepNext/>
              <w:spacing w:before="40" w:after="40"/>
              <w:ind w:left="0"/>
              <w:jc w:val="both"/>
              <w:rPr>
                <w:rFonts w:ascii="Arial Narrow" w:hAnsi="Arial Narrow"/>
                <w:sz w:val="18"/>
                <w:szCs w:val="18"/>
              </w:rPr>
            </w:pPr>
            <w:r>
              <w:rPr>
                <w:rFonts w:ascii="Arial Narrow" w:hAnsi="Arial Narrow"/>
                <w:sz w:val="18"/>
                <w:szCs w:val="18"/>
              </w:rPr>
              <w:t xml:space="preserve">Carpenter 2012 and </w:t>
            </w:r>
            <w:r w:rsidR="00E45AF4">
              <w:rPr>
                <w:rFonts w:ascii="Arial Narrow" w:hAnsi="Arial Narrow"/>
                <w:sz w:val="18"/>
                <w:szCs w:val="18"/>
              </w:rPr>
              <w:t>Protocol</w:t>
            </w:r>
            <w:r w:rsidRPr="00D707AC">
              <w:rPr>
                <w:rFonts w:ascii="Arial Narrow" w:hAnsi="Arial Narrow"/>
                <w:sz w:val="18"/>
                <w:szCs w:val="18"/>
              </w:rPr>
              <w:t xml:space="preserve"> p14 </w:t>
            </w:r>
          </w:p>
        </w:tc>
      </w:tr>
      <w:tr w:rsidR="00140741" w:rsidRPr="00D707AC" w14:paraId="0A005F73" w14:textId="77777777" w:rsidTr="003039ED">
        <w:trPr>
          <w:cantSplit/>
          <w:trHeight w:val="284"/>
        </w:trPr>
        <w:tc>
          <w:tcPr>
            <w:tcW w:w="2835" w:type="dxa"/>
            <w:shd w:val="clear" w:color="auto" w:fill="auto"/>
            <w:tcMar>
              <w:left w:w="28" w:type="dxa"/>
              <w:right w:w="28" w:type="dxa"/>
            </w:tcMar>
            <w:vAlign w:val="center"/>
            <w:hideMark/>
          </w:tcPr>
          <w:p w14:paraId="52F16688"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 xml:space="preserve">Psychiatrist consultation for rTMS setup (initial acute </w:t>
            </w:r>
            <w:r w:rsidR="00455CBC" w:rsidRPr="00D707AC">
              <w:rPr>
                <w:rFonts w:ascii="Arial Narrow" w:hAnsi="Arial Narrow"/>
                <w:sz w:val="18"/>
                <w:szCs w:val="18"/>
              </w:rPr>
              <w:t xml:space="preserve">treatment </w:t>
            </w:r>
            <w:r w:rsidRPr="00D707AC">
              <w:rPr>
                <w:rFonts w:ascii="Arial Narrow" w:hAnsi="Arial Narrow"/>
                <w:sz w:val="18"/>
                <w:szCs w:val="18"/>
              </w:rPr>
              <w:t>and reintroduction)</w:t>
            </w:r>
          </w:p>
        </w:tc>
        <w:tc>
          <w:tcPr>
            <w:tcW w:w="567" w:type="dxa"/>
            <w:shd w:val="clear" w:color="auto" w:fill="auto"/>
            <w:noWrap/>
            <w:tcMar>
              <w:left w:w="28" w:type="dxa"/>
              <w:right w:w="28" w:type="dxa"/>
            </w:tcMar>
            <w:vAlign w:val="center"/>
            <w:hideMark/>
          </w:tcPr>
          <w:p w14:paraId="11F74235"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w:t>
            </w:r>
          </w:p>
        </w:tc>
        <w:tc>
          <w:tcPr>
            <w:tcW w:w="869" w:type="dxa"/>
            <w:shd w:val="clear" w:color="auto" w:fill="auto"/>
            <w:noWrap/>
            <w:tcMar>
              <w:left w:w="28" w:type="dxa"/>
              <w:right w:w="28" w:type="dxa"/>
            </w:tcMar>
            <w:vAlign w:val="center"/>
            <w:hideMark/>
          </w:tcPr>
          <w:p w14:paraId="55B393B7"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$350.00</w:t>
            </w:r>
          </w:p>
        </w:tc>
        <w:tc>
          <w:tcPr>
            <w:tcW w:w="869" w:type="dxa"/>
            <w:shd w:val="clear" w:color="auto" w:fill="auto"/>
            <w:noWrap/>
            <w:tcMar>
              <w:left w:w="28" w:type="dxa"/>
              <w:right w:w="28" w:type="dxa"/>
            </w:tcMar>
            <w:vAlign w:val="center"/>
            <w:hideMark/>
          </w:tcPr>
          <w:p w14:paraId="6536B09D"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$350.00</w:t>
            </w:r>
          </w:p>
        </w:tc>
        <w:tc>
          <w:tcPr>
            <w:tcW w:w="3223" w:type="dxa"/>
            <w:shd w:val="clear" w:color="auto" w:fill="auto"/>
            <w:noWrap/>
            <w:tcMar>
              <w:left w:w="28" w:type="dxa"/>
              <w:right w:w="28" w:type="dxa"/>
            </w:tcMar>
            <w:vAlign w:val="center"/>
            <w:hideMark/>
          </w:tcPr>
          <w:p w14:paraId="7E226EC4" w14:textId="642549E4" w:rsidR="00140741" w:rsidRPr="00D707AC" w:rsidRDefault="00E45AF4" w:rsidP="00ED70FB">
            <w:pPr>
              <w:spacing w:before="40" w:after="40"/>
              <w:ind w:left="0"/>
              <w:jc w:val="both"/>
              <w:rPr>
                <w:rFonts w:ascii="Arial Narrow" w:hAnsi="Arial Narrow"/>
                <w:sz w:val="18"/>
                <w:szCs w:val="18"/>
              </w:rPr>
            </w:pPr>
            <w:r>
              <w:rPr>
                <w:rFonts w:ascii="Arial Narrow" w:hAnsi="Arial Narrow"/>
                <w:sz w:val="18"/>
                <w:szCs w:val="18"/>
              </w:rPr>
              <w:t>Protocol</w:t>
            </w:r>
            <w:r w:rsidR="00140741" w:rsidRPr="00D707AC">
              <w:rPr>
                <w:rFonts w:ascii="Arial Narrow" w:hAnsi="Arial Narrow"/>
                <w:sz w:val="18"/>
                <w:szCs w:val="18"/>
              </w:rPr>
              <w:t xml:space="preserve"> p14</w:t>
            </w:r>
          </w:p>
        </w:tc>
      </w:tr>
      <w:tr w:rsidR="00140741" w:rsidRPr="004412C5" w14:paraId="5F8AB701" w14:textId="77777777" w:rsidTr="003039ED">
        <w:trPr>
          <w:cantSplit/>
          <w:trHeight w:val="284"/>
        </w:trPr>
        <w:tc>
          <w:tcPr>
            <w:tcW w:w="2835" w:type="dxa"/>
            <w:shd w:val="clear" w:color="auto" w:fill="auto"/>
            <w:tcMar>
              <w:left w:w="28" w:type="dxa"/>
              <w:right w:w="28" w:type="dxa"/>
            </w:tcMar>
            <w:vAlign w:val="center"/>
            <w:hideMark/>
          </w:tcPr>
          <w:p w14:paraId="4B5A7733" w14:textId="77777777" w:rsidR="00140741" w:rsidRPr="004412C5" w:rsidRDefault="00140741" w:rsidP="00ED70FB">
            <w:pPr>
              <w:spacing w:before="40" w:after="40"/>
              <w:ind w:left="333"/>
              <w:rPr>
                <w:rFonts w:ascii="Arial Narrow" w:hAnsi="Arial Narrow"/>
                <w:b/>
                <w:sz w:val="18"/>
                <w:szCs w:val="18"/>
              </w:rPr>
            </w:pPr>
            <w:r w:rsidRPr="004412C5">
              <w:rPr>
                <w:rFonts w:ascii="Arial Narrow" w:hAnsi="Arial Narrow"/>
                <w:b/>
                <w:sz w:val="18"/>
                <w:szCs w:val="18"/>
              </w:rPr>
              <w:t>Total cost</w:t>
            </w:r>
          </w:p>
        </w:tc>
        <w:tc>
          <w:tcPr>
            <w:tcW w:w="567" w:type="dxa"/>
            <w:shd w:val="clear" w:color="auto" w:fill="auto"/>
            <w:noWrap/>
            <w:tcMar>
              <w:left w:w="28" w:type="dxa"/>
              <w:right w:w="28" w:type="dxa"/>
            </w:tcMar>
            <w:vAlign w:val="center"/>
            <w:hideMark/>
          </w:tcPr>
          <w:p w14:paraId="689BB0BF"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37D88BB2"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0973EC42" w14:textId="77777777" w:rsidR="00140741" w:rsidRPr="004412C5" w:rsidRDefault="00140741" w:rsidP="00ED70FB">
            <w:pPr>
              <w:spacing w:before="40" w:after="40"/>
              <w:ind w:left="0"/>
              <w:jc w:val="center"/>
              <w:rPr>
                <w:rFonts w:ascii="Arial Narrow" w:hAnsi="Arial Narrow"/>
                <w:b/>
                <w:sz w:val="18"/>
                <w:szCs w:val="18"/>
              </w:rPr>
            </w:pPr>
            <w:r w:rsidRPr="004412C5">
              <w:rPr>
                <w:rFonts w:ascii="Arial Narrow" w:hAnsi="Arial Narrow"/>
                <w:b/>
                <w:sz w:val="18"/>
                <w:szCs w:val="18"/>
              </w:rPr>
              <w:t>$4,595.00</w:t>
            </w:r>
          </w:p>
        </w:tc>
        <w:tc>
          <w:tcPr>
            <w:tcW w:w="3223" w:type="dxa"/>
            <w:shd w:val="clear" w:color="auto" w:fill="auto"/>
            <w:noWrap/>
            <w:tcMar>
              <w:left w:w="28" w:type="dxa"/>
              <w:right w:w="28" w:type="dxa"/>
            </w:tcMar>
            <w:vAlign w:val="center"/>
            <w:hideMark/>
          </w:tcPr>
          <w:p w14:paraId="3F3B431E" w14:textId="77777777" w:rsidR="00140741" w:rsidRPr="004412C5" w:rsidRDefault="00140741" w:rsidP="00ED70FB">
            <w:pPr>
              <w:spacing w:before="40" w:after="40"/>
              <w:ind w:left="0"/>
              <w:jc w:val="both"/>
              <w:rPr>
                <w:rFonts w:ascii="Arial Narrow" w:hAnsi="Arial Narrow"/>
                <w:b/>
                <w:sz w:val="18"/>
                <w:szCs w:val="18"/>
              </w:rPr>
            </w:pPr>
          </w:p>
        </w:tc>
      </w:tr>
      <w:tr w:rsidR="00140741" w:rsidRPr="00D707AC" w14:paraId="552830A9" w14:textId="77777777" w:rsidTr="003039ED">
        <w:trPr>
          <w:cantSplit/>
          <w:trHeight w:val="284"/>
        </w:trPr>
        <w:tc>
          <w:tcPr>
            <w:tcW w:w="8363" w:type="dxa"/>
            <w:gridSpan w:val="5"/>
            <w:shd w:val="clear" w:color="auto" w:fill="auto"/>
            <w:noWrap/>
            <w:tcMar>
              <w:left w:w="28" w:type="dxa"/>
              <w:right w:w="28" w:type="dxa"/>
            </w:tcMar>
            <w:vAlign w:val="center"/>
            <w:hideMark/>
          </w:tcPr>
          <w:p w14:paraId="679B8AC9" w14:textId="77777777" w:rsidR="00140741" w:rsidRPr="00D707AC" w:rsidRDefault="00140741" w:rsidP="00ED70FB">
            <w:pPr>
              <w:spacing w:before="40" w:after="40"/>
              <w:ind w:left="191"/>
              <w:jc w:val="both"/>
              <w:rPr>
                <w:rFonts w:ascii="Arial Narrow" w:hAnsi="Arial Narrow"/>
                <w:sz w:val="18"/>
                <w:szCs w:val="18"/>
              </w:rPr>
            </w:pPr>
            <w:r w:rsidRPr="00D707AC">
              <w:rPr>
                <w:rFonts w:ascii="Arial Narrow" w:hAnsi="Arial Narrow"/>
                <w:b/>
                <w:sz w:val="18"/>
                <w:szCs w:val="18"/>
              </w:rPr>
              <w:t>Maintenance</w:t>
            </w:r>
            <w:r w:rsidRPr="00D707AC">
              <w:rPr>
                <w:rFonts w:ascii="Arial Narrow" w:hAnsi="Arial Narrow"/>
                <w:sz w:val="18"/>
                <w:szCs w:val="18"/>
              </w:rPr>
              <w:t xml:space="preserve"> </w:t>
            </w:r>
          </w:p>
        </w:tc>
      </w:tr>
      <w:tr w:rsidR="00140741" w:rsidRPr="00D707AC" w14:paraId="7DE3D11B" w14:textId="77777777" w:rsidTr="003039ED">
        <w:trPr>
          <w:cantSplit/>
          <w:trHeight w:val="284"/>
        </w:trPr>
        <w:tc>
          <w:tcPr>
            <w:tcW w:w="2835" w:type="dxa"/>
            <w:shd w:val="clear" w:color="auto" w:fill="auto"/>
            <w:tcMar>
              <w:left w:w="28" w:type="dxa"/>
              <w:right w:w="28" w:type="dxa"/>
            </w:tcMar>
            <w:vAlign w:val="center"/>
            <w:hideMark/>
          </w:tcPr>
          <w:p w14:paraId="01DFB5F7"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Average number of sessions per maintenance course</w:t>
            </w:r>
          </w:p>
        </w:tc>
        <w:tc>
          <w:tcPr>
            <w:tcW w:w="567" w:type="dxa"/>
            <w:shd w:val="clear" w:color="auto" w:fill="auto"/>
            <w:noWrap/>
            <w:tcMar>
              <w:left w:w="28" w:type="dxa"/>
              <w:right w:w="28" w:type="dxa"/>
            </w:tcMar>
            <w:vAlign w:val="center"/>
            <w:hideMark/>
          </w:tcPr>
          <w:p w14:paraId="7E546DCA" w14:textId="77777777" w:rsidR="00140741" w:rsidRPr="004412C5" w:rsidRDefault="00455CBC" w:rsidP="00ED70FB">
            <w:pPr>
              <w:spacing w:before="40" w:after="40"/>
              <w:ind w:left="0"/>
              <w:jc w:val="center"/>
              <w:rPr>
                <w:rFonts w:ascii="Arial Narrow" w:hAnsi="Arial Narrow"/>
                <w:sz w:val="18"/>
                <w:szCs w:val="18"/>
              </w:rPr>
            </w:pPr>
            <w:r w:rsidRPr="004412C5">
              <w:rPr>
                <w:rFonts w:ascii="Arial Narrow" w:hAnsi="Arial Narrow"/>
                <w:sz w:val="18"/>
                <w:szCs w:val="18"/>
              </w:rPr>
              <w:t>3</w:t>
            </w:r>
          </w:p>
        </w:tc>
        <w:tc>
          <w:tcPr>
            <w:tcW w:w="869" w:type="dxa"/>
            <w:shd w:val="clear" w:color="auto" w:fill="auto"/>
            <w:noWrap/>
            <w:tcMar>
              <w:left w:w="28" w:type="dxa"/>
              <w:right w:w="28" w:type="dxa"/>
            </w:tcMar>
            <w:vAlign w:val="center"/>
            <w:hideMark/>
          </w:tcPr>
          <w:p w14:paraId="0804CCE8" w14:textId="77777777" w:rsidR="00140741" w:rsidRPr="004412C5" w:rsidRDefault="00140741" w:rsidP="00ED70FB">
            <w:pPr>
              <w:spacing w:before="40" w:after="40"/>
              <w:ind w:left="0"/>
              <w:jc w:val="center"/>
              <w:rPr>
                <w:rFonts w:ascii="Arial Narrow" w:hAnsi="Arial Narrow"/>
                <w:sz w:val="18"/>
                <w:szCs w:val="18"/>
              </w:rPr>
            </w:pPr>
            <w:r w:rsidRPr="004412C5">
              <w:rPr>
                <w:rFonts w:ascii="Arial Narrow" w:hAnsi="Arial Narrow"/>
                <w:sz w:val="18"/>
                <w:szCs w:val="18"/>
              </w:rPr>
              <w:t>$150.00</w:t>
            </w:r>
          </w:p>
        </w:tc>
        <w:tc>
          <w:tcPr>
            <w:tcW w:w="869" w:type="dxa"/>
            <w:shd w:val="clear" w:color="auto" w:fill="auto"/>
            <w:noWrap/>
            <w:tcMar>
              <w:left w:w="28" w:type="dxa"/>
              <w:right w:w="28" w:type="dxa"/>
            </w:tcMar>
            <w:vAlign w:val="center"/>
            <w:hideMark/>
          </w:tcPr>
          <w:p w14:paraId="3B35A7B0" w14:textId="77777777" w:rsidR="00140741" w:rsidRPr="004412C5" w:rsidRDefault="00140741" w:rsidP="00ED70FB">
            <w:pPr>
              <w:spacing w:before="40" w:after="40"/>
              <w:ind w:left="0"/>
              <w:jc w:val="center"/>
              <w:rPr>
                <w:rFonts w:ascii="Arial Narrow" w:hAnsi="Arial Narrow"/>
                <w:sz w:val="18"/>
                <w:szCs w:val="18"/>
              </w:rPr>
            </w:pPr>
            <w:r w:rsidRPr="004412C5">
              <w:rPr>
                <w:rFonts w:ascii="Arial Narrow" w:hAnsi="Arial Narrow"/>
                <w:sz w:val="18"/>
                <w:szCs w:val="18"/>
              </w:rPr>
              <w:t>$</w:t>
            </w:r>
            <w:r w:rsidR="004412C5" w:rsidRPr="004412C5">
              <w:rPr>
                <w:rFonts w:ascii="Arial Narrow" w:hAnsi="Arial Narrow"/>
                <w:sz w:val="18"/>
                <w:szCs w:val="18"/>
              </w:rPr>
              <w:t>4</w:t>
            </w:r>
            <w:r w:rsidR="00455CBC" w:rsidRPr="004412C5">
              <w:rPr>
                <w:rFonts w:ascii="Arial Narrow" w:hAnsi="Arial Narrow"/>
                <w:sz w:val="18"/>
                <w:szCs w:val="18"/>
              </w:rPr>
              <w:t>5</w:t>
            </w:r>
            <w:r w:rsidRPr="004412C5">
              <w:rPr>
                <w:rFonts w:ascii="Arial Narrow" w:hAnsi="Arial Narrow"/>
                <w:sz w:val="18"/>
                <w:szCs w:val="18"/>
              </w:rPr>
              <w:t>0.00</w:t>
            </w:r>
          </w:p>
        </w:tc>
        <w:tc>
          <w:tcPr>
            <w:tcW w:w="3223" w:type="dxa"/>
            <w:shd w:val="clear" w:color="auto" w:fill="auto"/>
            <w:noWrap/>
            <w:tcMar>
              <w:left w:w="28" w:type="dxa"/>
              <w:right w:w="28" w:type="dxa"/>
            </w:tcMar>
            <w:vAlign w:val="center"/>
            <w:hideMark/>
          </w:tcPr>
          <w:p w14:paraId="146EE8C0" w14:textId="1A5C38FA" w:rsidR="00140741" w:rsidRPr="00D707AC" w:rsidRDefault="00E45AF4" w:rsidP="00ED70FB">
            <w:pPr>
              <w:spacing w:before="40" w:after="40"/>
              <w:ind w:left="0"/>
              <w:jc w:val="both"/>
              <w:rPr>
                <w:rFonts w:ascii="Arial Narrow" w:hAnsi="Arial Narrow"/>
                <w:sz w:val="18"/>
                <w:szCs w:val="18"/>
              </w:rPr>
            </w:pPr>
            <w:r>
              <w:rPr>
                <w:rFonts w:ascii="Arial Narrow" w:hAnsi="Arial Narrow"/>
                <w:sz w:val="18"/>
                <w:szCs w:val="18"/>
              </w:rPr>
              <w:t>Protocol</w:t>
            </w:r>
            <w:r w:rsidR="00140741" w:rsidRPr="00D707AC">
              <w:rPr>
                <w:rFonts w:ascii="Arial Narrow" w:hAnsi="Arial Narrow"/>
                <w:sz w:val="18"/>
                <w:szCs w:val="18"/>
              </w:rPr>
              <w:t xml:space="preserve"> p8 (26 per year)</w:t>
            </w:r>
          </w:p>
        </w:tc>
      </w:tr>
      <w:tr w:rsidR="00140741" w:rsidRPr="00D707AC" w14:paraId="76328A0B" w14:textId="77777777" w:rsidTr="003039ED">
        <w:trPr>
          <w:cantSplit/>
          <w:trHeight w:val="284"/>
        </w:trPr>
        <w:tc>
          <w:tcPr>
            <w:tcW w:w="2835" w:type="dxa"/>
            <w:shd w:val="clear" w:color="auto" w:fill="auto"/>
            <w:tcMar>
              <w:left w:w="28" w:type="dxa"/>
              <w:right w:w="28" w:type="dxa"/>
            </w:tcMar>
            <w:vAlign w:val="center"/>
            <w:hideMark/>
          </w:tcPr>
          <w:p w14:paraId="27DA0454"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Psychiatrist consultation for rTMS maintenance setup</w:t>
            </w:r>
          </w:p>
        </w:tc>
        <w:tc>
          <w:tcPr>
            <w:tcW w:w="567" w:type="dxa"/>
            <w:shd w:val="clear" w:color="auto" w:fill="auto"/>
            <w:noWrap/>
            <w:tcMar>
              <w:left w:w="28" w:type="dxa"/>
              <w:right w:w="28" w:type="dxa"/>
            </w:tcMar>
            <w:vAlign w:val="center"/>
            <w:hideMark/>
          </w:tcPr>
          <w:p w14:paraId="71E4C661"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w:t>
            </w:r>
          </w:p>
        </w:tc>
        <w:tc>
          <w:tcPr>
            <w:tcW w:w="869" w:type="dxa"/>
            <w:shd w:val="clear" w:color="auto" w:fill="auto"/>
            <w:noWrap/>
            <w:tcMar>
              <w:left w:w="28" w:type="dxa"/>
              <w:right w:w="28" w:type="dxa"/>
            </w:tcMar>
            <w:vAlign w:val="center"/>
            <w:hideMark/>
          </w:tcPr>
          <w:p w14:paraId="709B7C75"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$350.00</w:t>
            </w:r>
          </w:p>
        </w:tc>
        <w:tc>
          <w:tcPr>
            <w:tcW w:w="869" w:type="dxa"/>
            <w:shd w:val="clear" w:color="auto" w:fill="auto"/>
            <w:noWrap/>
            <w:tcMar>
              <w:left w:w="28" w:type="dxa"/>
              <w:right w:w="28" w:type="dxa"/>
            </w:tcMar>
            <w:vAlign w:val="center"/>
            <w:hideMark/>
          </w:tcPr>
          <w:p w14:paraId="18029336"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$350.00</w:t>
            </w:r>
          </w:p>
        </w:tc>
        <w:tc>
          <w:tcPr>
            <w:tcW w:w="3223" w:type="dxa"/>
            <w:shd w:val="clear" w:color="auto" w:fill="auto"/>
            <w:noWrap/>
            <w:tcMar>
              <w:left w:w="28" w:type="dxa"/>
              <w:right w:w="28" w:type="dxa"/>
            </w:tcMar>
            <w:vAlign w:val="center"/>
            <w:hideMark/>
          </w:tcPr>
          <w:p w14:paraId="35D63817" w14:textId="01FC44DE" w:rsidR="00140741" w:rsidRPr="00D707AC" w:rsidRDefault="00E45AF4" w:rsidP="00ED70FB">
            <w:pPr>
              <w:spacing w:before="40" w:after="40"/>
              <w:ind w:left="0"/>
              <w:jc w:val="both"/>
              <w:rPr>
                <w:rFonts w:ascii="Arial Narrow" w:hAnsi="Arial Narrow"/>
                <w:sz w:val="18"/>
                <w:szCs w:val="18"/>
              </w:rPr>
            </w:pPr>
            <w:r>
              <w:rPr>
                <w:rFonts w:ascii="Arial Narrow" w:hAnsi="Arial Narrow"/>
                <w:sz w:val="18"/>
                <w:szCs w:val="18"/>
              </w:rPr>
              <w:t>Protocol</w:t>
            </w:r>
            <w:r w:rsidR="00140741" w:rsidRPr="00D707AC">
              <w:rPr>
                <w:rFonts w:ascii="Arial Narrow" w:hAnsi="Arial Narrow"/>
                <w:sz w:val="18"/>
                <w:szCs w:val="18"/>
              </w:rPr>
              <w:t xml:space="preserve"> p23</w:t>
            </w:r>
          </w:p>
        </w:tc>
      </w:tr>
      <w:tr w:rsidR="00140741" w:rsidRPr="004412C5" w14:paraId="3D7E9298" w14:textId="77777777" w:rsidTr="003039ED">
        <w:trPr>
          <w:cantSplit/>
          <w:trHeight w:val="284"/>
        </w:trPr>
        <w:tc>
          <w:tcPr>
            <w:tcW w:w="2835" w:type="dxa"/>
            <w:shd w:val="clear" w:color="auto" w:fill="auto"/>
            <w:tcMar>
              <w:left w:w="28" w:type="dxa"/>
              <w:right w:w="28" w:type="dxa"/>
            </w:tcMar>
            <w:vAlign w:val="center"/>
            <w:hideMark/>
          </w:tcPr>
          <w:p w14:paraId="0BE6B0F9" w14:textId="77777777" w:rsidR="00140741" w:rsidRPr="004412C5" w:rsidRDefault="00140741" w:rsidP="00ED70FB">
            <w:pPr>
              <w:spacing w:before="40" w:after="40"/>
              <w:ind w:left="333"/>
              <w:rPr>
                <w:rFonts w:ascii="Arial Narrow" w:hAnsi="Arial Narrow"/>
                <w:b/>
                <w:sz w:val="18"/>
                <w:szCs w:val="18"/>
              </w:rPr>
            </w:pPr>
            <w:r w:rsidRPr="004412C5">
              <w:rPr>
                <w:rFonts w:ascii="Arial Narrow" w:hAnsi="Arial Narrow"/>
                <w:b/>
                <w:sz w:val="18"/>
                <w:szCs w:val="18"/>
              </w:rPr>
              <w:t>Total cost</w:t>
            </w:r>
          </w:p>
        </w:tc>
        <w:tc>
          <w:tcPr>
            <w:tcW w:w="567" w:type="dxa"/>
            <w:shd w:val="clear" w:color="auto" w:fill="auto"/>
            <w:noWrap/>
            <w:tcMar>
              <w:left w:w="28" w:type="dxa"/>
              <w:right w:w="28" w:type="dxa"/>
            </w:tcMar>
            <w:vAlign w:val="center"/>
            <w:hideMark/>
          </w:tcPr>
          <w:p w14:paraId="2C20065E"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63A109AE"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33FD47A1" w14:textId="5E3A4E45" w:rsidR="00140741" w:rsidRPr="004412C5" w:rsidRDefault="00140741" w:rsidP="00ED70FB">
            <w:pPr>
              <w:spacing w:before="40" w:after="40"/>
              <w:ind w:left="0"/>
              <w:jc w:val="center"/>
              <w:rPr>
                <w:rFonts w:ascii="Arial Narrow" w:hAnsi="Arial Narrow"/>
                <w:b/>
                <w:sz w:val="18"/>
                <w:szCs w:val="18"/>
              </w:rPr>
            </w:pPr>
            <w:r w:rsidRPr="004412C5">
              <w:rPr>
                <w:rFonts w:ascii="Arial Narrow" w:hAnsi="Arial Narrow"/>
                <w:b/>
                <w:sz w:val="18"/>
                <w:szCs w:val="18"/>
              </w:rPr>
              <w:t>$</w:t>
            </w:r>
            <w:r w:rsidR="006C19DA">
              <w:rPr>
                <w:rFonts w:ascii="Arial Narrow" w:hAnsi="Arial Narrow"/>
                <w:b/>
                <w:sz w:val="18"/>
                <w:szCs w:val="18"/>
              </w:rPr>
              <w:t>8</w:t>
            </w:r>
            <w:r w:rsidR="00455CBC" w:rsidRPr="004412C5">
              <w:rPr>
                <w:rFonts w:ascii="Arial Narrow" w:hAnsi="Arial Narrow"/>
                <w:b/>
                <w:sz w:val="18"/>
                <w:szCs w:val="18"/>
              </w:rPr>
              <w:t>0</w:t>
            </w:r>
            <w:r w:rsidRPr="004412C5">
              <w:rPr>
                <w:rFonts w:ascii="Arial Narrow" w:hAnsi="Arial Narrow"/>
                <w:b/>
                <w:sz w:val="18"/>
                <w:szCs w:val="18"/>
              </w:rPr>
              <w:t>0.00</w:t>
            </w:r>
          </w:p>
        </w:tc>
        <w:tc>
          <w:tcPr>
            <w:tcW w:w="3223" w:type="dxa"/>
            <w:shd w:val="clear" w:color="auto" w:fill="auto"/>
            <w:noWrap/>
            <w:tcMar>
              <w:left w:w="28" w:type="dxa"/>
              <w:right w:w="28" w:type="dxa"/>
            </w:tcMar>
            <w:vAlign w:val="center"/>
            <w:hideMark/>
          </w:tcPr>
          <w:p w14:paraId="16B1C927" w14:textId="77777777" w:rsidR="00140741" w:rsidRPr="004412C5" w:rsidRDefault="00140741" w:rsidP="00ED70FB">
            <w:pPr>
              <w:spacing w:before="40" w:after="40"/>
              <w:ind w:left="0"/>
              <w:jc w:val="both"/>
              <w:rPr>
                <w:rFonts w:ascii="Arial Narrow" w:hAnsi="Arial Narrow"/>
                <w:b/>
                <w:sz w:val="18"/>
                <w:szCs w:val="18"/>
              </w:rPr>
            </w:pPr>
            <w:r w:rsidRPr="004412C5">
              <w:rPr>
                <w:rFonts w:ascii="Arial Narrow" w:hAnsi="Arial Narrow"/>
                <w:b/>
                <w:sz w:val="18"/>
                <w:szCs w:val="18"/>
              </w:rPr>
              <w:t> </w:t>
            </w:r>
          </w:p>
        </w:tc>
      </w:tr>
      <w:tr w:rsidR="00140741" w:rsidRPr="00D707AC" w14:paraId="663FB094" w14:textId="77777777" w:rsidTr="003039ED">
        <w:trPr>
          <w:cantSplit/>
          <w:trHeight w:val="284"/>
        </w:trPr>
        <w:tc>
          <w:tcPr>
            <w:tcW w:w="8363" w:type="dxa"/>
            <w:gridSpan w:val="5"/>
            <w:shd w:val="clear" w:color="auto" w:fill="auto"/>
            <w:noWrap/>
            <w:tcMar>
              <w:left w:w="28" w:type="dxa"/>
              <w:right w:w="28" w:type="dxa"/>
            </w:tcMar>
            <w:vAlign w:val="center"/>
            <w:hideMark/>
          </w:tcPr>
          <w:p w14:paraId="3BCA9840" w14:textId="77777777" w:rsidR="00140741" w:rsidRPr="00D707AC" w:rsidRDefault="00140741" w:rsidP="00ED70FB">
            <w:pPr>
              <w:spacing w:before="40" w:after="40"/>
              <w:ind w:left="0"/>
              <w:rPr>
                <w:rFonts w:ascii="Arial Narrow" w:hAnsi="Arial Narrow"/>
                <w:b/>
                <w:sz w:val="18"/>
                <w:szCs w:val="18"/>
              </w:rPr>
            </w:pPr>
            <w:r w:rsidRPr="00D707AC">
              <w:rPr>
                <w:rFonts w:ascii="Arial Narrow" w:hAnsi="Arial Narrow"/>
                <w:b/>
                <w:sz w:val="18"/>
                <w:szCs w:val="18"/>
              </w:rPr>
              <w:t>ECT: major treatment  and treatment after failing rTMS and Antidepressant</w:t>
            </w:r>
          </w:p>
        </w:tc>
      </w:tr>
      <w:tr w:rsidR="00140741" w:rsidRPr="00D707AC" w14:paraId="227B4AF1" w14:textId="77777777" w:rsidTr="003039ED">
        <w:trPr>
          <w:cantSplit/>
          <w:trHeight w:val="284"/>
        </w:trPr>
        <w:tc>
          <w:tcPr>
            <w:tcW w:w="2835" w:type="dxa"/>
            <w:shd w:val="clear" w:color="auto" w:fill="auto"/>
            <w:tcMar>
              <w:left w:w="28" w:type="dxa"/>
              <w:right w:w="28" w:type="dxa"/>
            </w:tcMar>
            <w:vAlign w:val="center"/>
            <w:hideMark/>
          </w:tcPr>
          <w:p w14:paraId="34661C19"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 xml:space="preserve">Average number of ECT sessions per course </w:t>
            </w:r>
          </w:p>
        </w:tc>
        <w:tc>
          <w:tcPr>
            <w:tcW w:w="567" w:type="dxa"/>
            <w:shd w:val="clear" w:color="auto" w:fill="auto"/>
            <w:noWrap/>
            <w:tcMar>
              <w:left w:w="28" w:type="dxa"/>
              <w:right w:w="28" w:type="dxa"/>
            </w:tcMar>
            <w:vAlign w:val="center"/>
            <w:hideMark/>
          </w:tcPr>
          <w:p w14:paraId="4C50A800"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10</w:t>
            </w:r>
          </w:p>
        </w:tc>
        <w:tc>
          <w:tcPr>
            <w:tcW w:w="869" w:type="dxa"/>
            <w:shd w:val="clear" w:color="auto" w:fill="auto"/>
            <w:noWrap/>
            <w:tcMar>
              <w:left w:w="28" w:type="dxa"/>
              <w:right w:w="28" w:type="dxa"/>
            </w:tcMar>
            <w:vAlign w:val="center"/>
            <w:hideMark/>
          </w:tcPr>
          <w:p w14:paraId="4D49D553"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$814.00</w:t>
            </w:r>
          </w:p>
        </w:tc>
        <w:tc>
          <w:tcPr>
            <w:tcW w:w="869" w:type="dxa"/>
            <w:shd w:val="clear" w:color="auto" w:fill="auto"/>
            <w:noWrap/>
            <w:tcMar>
              <w:left w:w="28" w:type="dxa"/>
              <w:right w:w="28" w:type="dxa"/>
            </w:tcMar>
            <w:vAlign w:val="center"/>
            <w:hideMark/>
          </w:tcPr>
          <w:p w14:paraId="2489BC60"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$8,140.00</w:t>
            </w:r>
          </w:p>
        </w:tc>
        <w:tc>
          <w:tcPr>
            <w:tcW w:w="3223" w:type="dxa"/>
            <w:shd w:val="clear" w:color="auto" w:fill="auto"/>
            <w:noWrap/>
            <w:tcMar>
              <w:left w:w="28" w:type="dxa"/>
              <w:right w:w="28" w:type="dxa"/>
            </w:tcMar>
            <w:vAlign w:val="center"/>
            <w:hideMark/>
          </w:tcPr>
          <w:p w14:paraId="530C85F1" w14:textId="77777777" w:rsidR="00140741" w:rsidRPr="00D707AC" w:rsidRDefault="00140741" w:rsidP="00ED70FB">
            <w:pPr>
              <w:spacing w:before="40" w:after="40"/>
              <w:ind w:left="0"/>
              <w:jc w:val="both"/>
              <w:rPr>
                <w:rFonts w:ascii="Arial Narrow" w:hAnsi="Arial Narrow"/>
                <w:sz w:val="18"/>
                <w:szCs w:val="18"/>
              </w:rPr>
            </w:pPr>
            <w:r w:rsidRPr="00D707AC">
              <w:rPr>
                <w:rFonts w:ascii="Arial Narrow" w:hAnsi="Arial Narrow"/>
                <w:sz w:val="18"/>
                <w:szCs w:val="18"/>
              </w:rPr>
              <w:t>u40Z</w:t>
            </w:r>
            <w:r>
              <w:rPr>
                <w:rFonts w:ascii="Arial Narrow" w:hAnsi="Arial Narrow"/>
                <w:sz w:val="18"/>
                <w:szCs w:val="18"/>
              </w:rPr>
              <w:t xml:space="preserve"> (</w:t>
            </w:r>
            <w:r w:rsidRPr="00D707AC">
              <w:rPr>
                <w:rFonts w:ascii="Arial Narrow" w:hAnsi="Arial Narrow"/>
                <w:sz w:val="18"/>
                <w:szCs w:val="18"/>
              </w:rPr>
              <w:t xml:space="preserve">including </w:t>
            </w:r>
            <w:r>
              <w:rPr>
                <w:rFonts w:ascii="Arial Narrow" w:hAnsi="Arial Narrow"/>
                <w:sz w:val="18"/>
                <w:szCs w:val="18"/>
              </w:rPr>
              <w:t xml:space="preserve">hoteling and </w:t>
            </w:r>
            <w:r w:rsidRPr="00D707AC">
              <w:rPr>
                <w:rFonts w:ascii="Arial Narrow" w:hAnsi="Arial Narrow"/>
                <w:sz w:val="18"/>
                <w:szCs w:val="18"/>
              </w:rPr>
              <w:t>anaesthesia</w:t>
            </w:r>
            <w:r>
              <w:rPr>
                <w:rFonts w:ascii="Arial Narrow" w:hAnsi="Arial Narrow"/>
                <w:sz w:val="18"/>
                <w:szCs w:val="18"/>
              </w:rPr>
              <w:t xml:space="preserve"> cost</w:t>
            </w:r>
            <w:r w:rsidRPr="00D707AC">
              <w:rPr>
                <w:rFonts w:ascii="Arial Narrow" w:hAnsi="Arial Narrow"/>
                <w:sz w:val="18"/>
                <w:szCs w:val="18"/>
              </w:rPr>
              <w:t>)</w:t>
            </w:r>
            <w:r>
              <w:rPr>
                <w:rFonts w:ascii="Arial Narrow" w:hAnsi="Arial Narrow"/>
                <w:sz w:val="18"/>
                <w:szCs w:val="18"/>
              </w:rPr>
              <w:t xml:space="preserve">; </w:t>
            </w:r>
            <w:r w:rsidRPr="00D707AC">
              <w:rPr>
                <w:rFonts w:ascii="Arial Narrow" w:hAnsi="Arial Narrow"/>
                <w:sz w:val="18"/>
                <w:szCs w:val="18"/>
              </w:rPr>
              <w:t xml:space="preserve">AR-DRG version </w:t>
            </w:r>
            <w:r>
              <w:rPr>
                <w:rFonts w:ascii="Arial Narrow" w:hAnsi="Arial Narrow"/>
                <w:sz w:val="18"/>
                <w:szCs w:val="18"/>
              </w:rPr>
              <w:t>6</w:t>
            </w:r>
            <w:r w:rsidRPr="00D707AC">
              <w:rPr>
                <w:rFonts w:ascii="Arial Narrow" w:hAnsi="Arial Narrow"/>
                <w:sz w:val="18"/>
                <w:szCs w:val="18"/>
              </w:rPr>
              <w:t xml:space="preserve"> </w:t>
            </w:r>
          </w:p>
        </w:tc>
      </w:tr>
      <w:tr w:rsidR="00140741" w:rsidRPr="00D707AC" w14:paraId="5CB02F77" w14:textId="77777777" w:rsidTr="003039ED">
        <w:trPr>
          <w:cantSplit/>
          <w:trHeight w:val="284"/>
        </w:trPr>
        <w:tc>
          <w:tcPr>
            <w:tcW w:w="2835" w:type="dxa"/>
            <w:shd w:val="clear" w:color="auto" w:fill="auto"/>
            <w:tcMar>
              <w:left w:w="28" w:type="dxa"/>
              <w:right w:w="28" w:type="dxa"/>
            </w:tcMar>
            <w:vAlign w:val="center"/>
            <w:hideMark/>
          </w:tcPr>
          <w:p w14:paraId="6EF6B19A"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Psychiatrist consultation</w:t>
            </w:r>
          </w:p>
        </w:tc>
        <w:tc>
          <w:tcPr>
            <w:tcW w:w="567" w:type="dxa"/>
            <w:shd w:val="clear" w:color="auto" w:fill="auto"/>
            <w:noWrap/>
            <w:tcMar>
              <w:left w:w="28" w:type="dxa"/>
              <w:right w:w="28" w:type="dxa"/>
            </w:tcMar>
            <w:vAlign w:val="center"/>
            <w:hideMark/>
          </w:tcPr>
          <w:p w14:paraId="090847AD"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w:t>
            </w:r>
          </w:p>
        </w:tc>
        <w:tc>
          <w:tcPr>
            <w:tcW w:w="869" w:type="dxa"/>
            <w:shd w:val="clear" w:color="auto" w:fill="auto"/>
            <w:noWrap/>
            <w:tcMar>
              <w:left w:w="28" w:type="dxa"/>
              <w:right w:w="28" w:type="dxa"/>
            </w:tcMar>
            <w:vAlign w:val="center"/>
            <w:hideMark/>
          </w:tcPr>
          <w:p w14:paraId="1DB26C86"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$350.00</w:t>
            </w:r>
          </w:p>
        </w:tc>
        <w:tc>
          <w:tcPr>
            <w:tcW w:w="869" w:type="dxa"/>
            <w:shd w:val="clear" w:color="auto" w:fill="auto"/>
            <w:noWrap/>
            <w:tcMar>
              <w:left w:w="28" w:type="dxa"/>
              <w:right w:w="28" w:type="dxa"/>
            </w:tcMar>
            <w:vAlign w:val="center"/>
            <w:hideMark/>
          </w:tcPr>
          <w:p w14:paraId="60FA1EC1"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$350.00</w:t>
            </w:r>
          </w:p>
        </w:tc>
        <w:tc>
          <w:tcPr>
            <w:tcW w:w="3223" w:type="dxa"/>
            <w:shd w:val="clear" w:color="auto" w:fill="auto"/>
            <w:noWrap/>
            <w:tcMar>
              <w:left w:w="28" w:type="dxa"/>
              <w:right w:w="28" w:type="dxa"/>
            </w:tcMar>
            <w:vAlign w:val="center"/>
            <w:hideMark/>
          </w:tcPr>
          <w:p w14:paraId="767AB64A" w14:textId="556FE998" w:rsidR="00140741" w:rsidRPr="00D707AC" w:rsidRDefault="00E45AF4" w:rsidP="00ED70FB">
            <w:pPr>
              <w:spacing w:before="40" w:after="40"/>
              <w:ind w:left="0"/>
              <w:jc w:val="both"/>
              <w:rPr>
                <w:rFonts w:ascii="Arial Narrow" w:hAnsi="Arial Narrow"/>
                <w:sz w:val="18"/>
                <w:szCs w:val="18"/>
              </w:rPr>
            </w:pPr>
            <w:r>
              <w:rPr>
                <w:rFonts w:ascii="Arial Narrow" w:hAnsi="Arial Narrow"/>
                <w:sz w:val="18"/>
                <w:szCs w:val="18"/>
              </w:rPr>
              <w:t>Protocol</w:t>
            </w:r>
            <w:r w:rsidR="00140741" w:rsidRPr="00D707AC">
              <w:rPr>
                <w:rFonts w:ascii="Arial Narrow" w:hAnsi="Arial Narrow"/>
                <w:sz w:val="18"/>
                <w:szCs w:val="18"/>
              </w:rPr>
              <w:t xml:space="preserve"> p23</w:t>
            </w:r>
          </w:p>
        </w:tc>
      </w:tr>
      <w:tr w:rsidR="00140741" w:rsidRPr="004412C5" w14:paraId="6662D641" w14:textId="77777777" w:rsidTr="003039ED">
        <w:trPr>
          <w:cantSplit/>
          <w:trHeight w:val="284"/>
        </w:trPr>
        <w:tc>
          <w:tcPr>
            <w:tcW w:w="2835" w:type="dxa"/>
            <w:shd w:val="clear" w:color="auto" w:fill="auto"/>
            <w:tcMar>
              <w:left w:w="28" w:type="dxa"/>
              <w:right w:w="28" w:type="dxa"/>
            </w:tcMar>
            <w:vAlign w:val="center"/>
            <w:hideMark/>
          </w:tcPr>
          <w:p w14:paraId="6E19C85C" w14:textId="77777777" w:rsidR="00140741" w:rsidRPr="004412C5" w:rsidRDefault="00140741" w:rsidP="00ED70FB">
            <w:pPr>
              <w:spacing w:before="40" w:after="40"/>
              <w:ind w:left="333"/>
              <w:rPr>
                <w:rFonts w:ascii="Arial Narrow" w:hAnsi="Arial Narrow"/>
                <w:b/>
                <w:sz w:val="18"/>
                <w:szCs w:val="18"/>
              </w:rPr>
            </w:pPr>
            <w:r w:rsidRPr="004412C5">
              <w:rPr>
                <w:rFonts w:ascii="Arial Narrow" w:hAnsi="Arial Narrow"/>
                <w:b/>
                <w:sz w:val="18"/>
                <w:szCs w:val="18"/>
              </w:rPr>
              <w:t>Total</w:t>
            </w:r>
          </w:p>
        </w:tc>
        <w:tc>
          <w:tcPr>
            <w:tcW w:w="567" w:type="dxa"/>
            <w:shd w:val="clear" w:color="auto" w:fill="auto"/>
            <w:noWrap/>
            <w:tcMar>
              <w:left w:w="28" w:type="dxa"/>
              <w:right w:w="28" w:type="dxa"/>
            </w:tcMar>
            <w:vAlign w:val="center"/>
            <w:hideMark/>
          </w:tcPr>
          <w:p w14:paraId="6E287358"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20DDF5F9"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7E3226CC" w14:textId="77777777" w:rsidR="00140741" w:rsidRPr="004412C5" w:rsidRDefault="00140741" w:rsidP="00ED70FB">
            <w:pPr>
              <w:spacing w:before="40" w:after="40"/>
              <w:ind w:left="0"/>
              <w:jc w:val="center"/>
              <w:rPr>
                <w:rFonts w:ascii="Arial Narrow" w:hAnsi="Arial Narrow"/>
                <w:b/>
                <w:sz w:val="18"/>
                <w:szCs w:val="18"/>
              </w:rPr>
            </w:pPr>
            <w:r w:rsidRPr="004412C5">
              <w:rPr>
                <w:rFonts w:ascii="Arial Narrow" w:hAnsi="Arial Narrow"/>
                <w:b/>
                <w:sz w:val="18"/>
                <w:szCs w:val="18"/>
              </w:rPr>
              <w:t>$8,490.00</w:t>
            </w:r>
          </w:p>
        </w:tc>
        <w:tc>
          <w:tcPr>
            <w:tcW w:w="3223" w:type="dxa"/>
            <w:shd w:val="clear" w:color="auto" w:fill="auto"/>
            <w:noWrap/>
            <w:tcMar>
              <w:left w:w="28" w:type="dxa"/>
              <w:right w:w="28" w:type="dxa"/>
            </w:tcMar>
            <w:vAlign w:val="center"/>
            <w:hideMark/>
          </w:tcPr>
          <w:p w14:paraId="65075C0A" w14:textId="77777777" w:rsidR="00140741" w:rsidRPr="004412C5" w:rsidRDefault="00140741" w:rsidP="00ED70FB">
            <w:pPr>
              <w:spacing w:before="40" w:after="40"/>
              <w:ind w:left="0"/>
              <w:jc w:val="both"/>
              <w:rPr>
                <w:rFonts w:ascii="Arial Narrow" w:hAnsi="Arial Narrow"/>
                <w:b/>
                <w:sz w:val="18"/>
                <w:szCs w:val="18"/>
              </w:rPr>
            </w:pPr>
            <w:r w:rsidRPr="004412C5">
              <w:rPr>
                <w:rFonts w:ascii="Arial Narrow" w:hAnsi="Arial Narrow"/>
                <w:b/>
                <w:sz w:val="18"/>
                <w:szCs w:val="18"/>
              </w:rPr>
              <w:t> </w:t>
            </w:r>
          </w:p>
        </w:tc>
      </w:tr>
      <w:tr w:rsidR="00140741" w:rsidRPr="00D707AC" w14:paraId="550F9563" w14:textId="77777777" w:rsidTr="003039ED">
        <w:trPr>
          <w:cantSplit/>
          <w:trHeight w:val="284"/>
        </w:trPr>
        <w:tc>
          <w:tcPr>
            <w:tcW w:w="8363" w:type="dxa"/>
            <w:gridSpan w:val="5"/>
            <w:shd w:val="clear" w:color="auto" w:fill="auto"/>
            <w:noWrap/>
            <w:tcMar>
              <w:left w:w="28" w:type="dxa"/>
              <w:right w:w="28" w:type="dxa"/>
            </w:tcMar>
            <w:vAlign w:val="center"/>
            <w:hideMark/>
          </w:tcPr>
          <w:p w14:paraId="78C267A8" w14:textId="77777777" w:rsidR="00140741" w:rsidRPr="00D707AC" w:rsidRDefault="00140741" w:rsidP="00ED70FB">
            <w:pPr>
              <w:spacing w:before="40" w:after="40"/>
              <w:ind w:left="0"/>
              <w:rPr>
                <w:rFonts w:ascii="Arial Narrow" w:hAnsi="Arial Narrow"/>
                <w:b/>
                <w:sz w:val="18"/>
                <w:szCs w:val="18"/>
              </w:rPr>
            </w:pPr>
            <w:r w:rsidRPr="00D707AC">
              <w:rPr>
                <w:rFonts w:ascii="Arial Narrow" w:hAnsi="Arial Narrow"/>
                <w:b/>
                <w:sz w:val="18"/>
                <w:szCs w:val="18"/>
              </w:rPr>
              <w:t xml:space="preserve">Antidepressant (major treatment) </w:t>
            </w:r>
          </w:p>
        </w:tc>
      </w:tr>
      <w:tr w:rsidR="00140741" w:rsidRPr="00D707AC" w14:paraId="10876325" w14:textId="77777777" w:rsidTr="003039ED">
        <w:trPr>
          <w:cantSplit/>
          <w:trHeight w:val="284"/>
        </w:trPr>
        <w:tc>
          <w:tcPr>
            <w:tcW w:w="2835" w:type="dxa"/>
            <w:shd w:val="clear" w:color="auto" w:fill="auto"/>
            <w:tcMar>
              <w:left w:w="28" w:type="dxa"/>
              <w:right w:w="28" w:type="dxa"/>
            </w:tcMar>
            <w:vAlign w:val="center"/>
            <w:hideMark/>
          </w:tcPr>
          <w:p w14:paraId="51E2CC75"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 xml:space="preserve">Average cost of antidepressant per week </w:t>
            </w:r>
          </w:p>
        </w:tc>
        <w:tc>
          <w:tcPr>
            <w:tcW w:w="567" w:type="dxa"/>
            <w:shd w:val="clear" w:color="auto" w:fill="auto"/>
            <w:noWrap/>
            <w:tcMar>
              <w:left w:w="28" w:type="dxa"/>
              <w:right w:w="28" w:type="dxa"/>
            </w:tcMar>
            <w:vAlign w:val="center"/>
            <w:hideMark/>
          </w:tcPr>
          <w:p w14:paraId="04CA8803"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12</w:t>
            </w:r>
          </w:p>
        </w:tc>
        <w:tc>
          <w:tcPr>
            <w:tcW w:w="869" w:type="dxa"/>
            <w:shd w:val="clear" w:color="auto" w:fill="auto"/>
            <w:noWrap/>
            <w:tcMar>
              <w:left w:w="28" w:type="dxa"/>
              <w:right w:w="28" w:type="dxa"/>
            </w:tcMar>
            <w:vAlign w:val="center"/>
            <w:hideMark/>
          </w:tcPr>
          <w:p w14:paraId="68D096F5"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$17.27</w:t>
            </w:r>
          </w:p>
        </w:tc>
        <w:tc>
          <w:tcPr>
            <w:tcW w:w="869" w:type="dxa"/>
            <w:shd w:val="clear" w:color="auto" w:fill="auto"/>
            <w:noWrap/>
            <w:tcMar>
              <w:left w:w="28" w:type="dxa"/>
              <w:right w:w="28" w:type="dxa"/>
            </w:tcMar>
            <w:vAlign w:val="center"/>
            <w:hideMark/>
          </w:tcPr>
          <w:p w14:paraId="253C13DD"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$207.21</w:t>
            </w:r>
          </w:p>
        </w:tc>
        <w:tc>
          <w:tcPr>
            <w:tcW w:w="3223" w:type="dxa"/>
            <w:shd w:val="clear" w:color="auto" w:fill="auto"/>
            <w:noWrap/>
            <w:tcMar>
              <w:left w:w="28" w:type="dxa"/>
              <w:right w:w="28" w:type="dxa"/>
            </w:tcMar>
            <w:vAlign w:val="center"/>
            <w:hideMark/>
          </w:tcPr>
          <w:p w14:paraId="0CD2DD7B" w14:textId="77777777" w:rsidR="00140741" w:rsidRPr="00D707AC" w:rsidRDefault="00140741" w:rsidP="00ED70FB">
            <w:pPr>
              <w:spacing w:before="40" w:after="40"/>
              <w:ind w:left="0"/>
              <w:jc w:val="both"/>
              <w:rPr>
                <w:rFonts w:ascii="Arial Narrow" w:hAnsi="Arial Narrow"/>
                <w:sz w:val="18"/>
                <w:szCs w:val="18"/>
              </w:rPr>
            </w:pPr>
            <w:r>
              <w:rPr>
                <w:rFonts w:ascii="Arial Narrow" w:hAnsi="Arial Narrow"/>
                <w:sz w:val="18"/>
                <w:szCs w:val="18"/>
              </w:rPr>
              <w:t>A</w:t>
            </w:r>
            <w:r w:rsidRPr="00D707AC">
              <w:rPr>
                <w:rFonts w:ascii="Arial Narrow" w:hAnsi="Arial Narrow"/>
                <w:sz w:val="18"/>
                <w:szCs w:val="18"/>
              </w:rPr>
              <w:t xml:space="preserve">ssuming efficacy realised by week </w:t>
            </w:r>
            <w:r>
              <w:rPr>
                <w:rFonts w:ascii="Arial Narrow" w:hAnsi="Arial Narrow"/>
                <w:sz w:val="18"/>
                <w:szCs w:val="18"/>
              </w:rPr>
              <w:t xml:space="preserve">4; 3-months cost summing into one cycle; 3-month treatment takes into account compliance and drop-out. </w:t>
            </w:r>
          </w:p>
        </w:tc>
      </w:tr>
      <w:tr w:rsidR="00140741" w:rsidRPr="00D707AC" w14:paraId="2504E89D" w14:textId="77777777" w:rsidTr="003039ED">
        <w:trPr>
          <w:cantSplit/>
          <w:trHeight w:val="284"/>
        </w:trPr>
        <w:tc>
          <w:tcPr>
            <w:tcW w:w="2835" w:type="dxa"/>
            <w:shd w:val="clear" w:color="auto" w:fill="auto"/>
            <w:tcMar>
              <w:left w:w="28" w:type="dxa"/>
              <w:right w:w="28" w:type="dxa"/>
            </w:tcMar>
            <w:vAlign w:val="center"/>
            <w:hideMark/>
          </w:tcPr>
          <w:p w14:paraId="34F34368"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Psychiatrist consultation (treatment plan)</w:t>
            </w:r>
          </w:p>
        </w:tc>
        <w:tc>
          <w:tcPr>
            <w:tcW w:w="567" w:type="dxa"/>
            <w:shd w:val="clear" w:color="auto" w:fill="auto"/>
            <w:noWrap/>
            <w:tcMar>
              <w:left w:w="28" w:type="dxa"/>
              <w:right w:w="28" w:type="dxa"/>
            </w:tcMar>
            <w:vAlign w:val="center"/>
            <w:hideMark/>
          </w:tcPr>
          <w:p w14:paraId="736DB2C3"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w:t>
            </w:r>
          </w:p>
        </w:tc>
        <w:tc>
          <w:tcPr>
            <w:tcW w:w="869" w:type="dxa"/>
            <w:shd w:val="clear" w:color="auto" w:fill="auto"/>
            <w:noWrap/>
            <w:tcMar>
              <w:left w:w="28" w:type="dxa"/>
              <w:right w:w="28" w:type="dxa"/>
            </w:tcMar>
            <w:vAlign w:val="center"/>
            <w:hideMark/>
          </w:tcPr>
          <w:p w14:paraId="526FD5B4"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$224.35</w:t>
            </w:r>
          </w:p>
        </w:tc>
        <w:tc>
          <w:tcPr>
            <w:tcW w:w="869" w:type="dxa"/>
            <w:shd w:val="clear" w:color="auto" w:fill="auto"/>
            <w:noWrap/>
            <w:tcMar>
              <w:left w:w="28" w:type="dxa"/>
              <w:right w:w="28" w:type="dxa"/>
            </w:tcMar>
            <w:vAlign w:val="center"/>
            <w:hideMark/>
          </w:tcPr>
          <w:p w14:paraId="276645C4"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$224.35</w:t>
            </w:r>
          </w:p>
        </w:tc>
        <w:tc>
          <w:tcPr>
            <w:tcW w:w="3223" w:type="dxa"/>
            <w:shd w:val="clear" w:color="auto" w:fill="auto"/>
            <w:noWrap/>
            <w:tcMar>
              <w:left w:w="28" w:type="dxa"/>
              <w:right w:w="28" w:type="dxa"/>
            </w:tcMar>
            <w:vAlign w:val="center"/>
            <w:hideMark/>
          </w:tcPr>
          <w:p w14:paraId="198F2ED9" w14:textId="77777777" w:rsidR="00140741" w:rsidRPr="00D707AC" w:rsidRDefault="00140741" w:rsidP="00ED70FB">
            <w:pPr>
              <w:spacing w:before="40" w:after="40"/>
              <w:ind w:left="0"/>
              <w:jc w:val="both"/>
              <w:rPr>
                <w:rFonts w:ascii="Arial Narrow" w:hAnsi="Arial Narrow"/>
                <w:sz w:val="18"/>
                <w:szCs w:val="18"/>
              </w:rPr>
            </w:pPr>
            <w:r w:rsidRPr="00D707AC">
              <w:rPr>
                <w:rFonts w:ascii="Arial Narrow" w:hAnsi="Arial Narrow"/>
                <w:sz w:val="18"/>
                <w:szCs w:val="18"/>
              </w:rPr>
              <w:t>MBS item 132 (for treatment and management plan)</w:t>
            </w:r>
          </w:p>
        </w:tc>
      </w:tr>
      <w:tr w:rsidR="00140741" w:rsidRPr="00D707AC" w14:paraId="03D0723A" w14:textId="77777777" w:rsidTr="003039ED">
        <w:trPr>
          <w:cantSplit/>
          <w:trHeight w:val="284"/>
        </w:trPr>
        <w:tc>
          <w:tcPr>
            <w:tcW w:w="2835" w:type="dxa"/>
            <w:shd w:val="clear" w:color="auto" w:fill="auto"/>
            <w:tcMar>
              <w:left w:w="28" w:type="dxa"/>
              <w:right w:w="28" w:type="dxa"/>
            </w:tcMar>
            <w:vAlign w:val="center"/>
            <w:hideMark/>
          </w:tcPr>
          <w:p w14:paraId="485CA833"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 xml:space="preserve">Psychiatrist consultation (second visit - within 2 months of treatment) </w:t>
            </w:r>
          </w:p>
        </w:tc>
        <w:tc>
          <w:tcPr>
            <w:tcW w:w="567" w:type="dxa"/>
            <w:shd w:val="clear" w:color="auto" w:fill="auto"/>
            <w:noWrap/>
            <w:tcMar>
              <w:left w:w="28" w:type="dxa"/>
              <w:right w:w="28" w:type="dxa"/>
            </w:tcMar>
            <w:vAlign w:val="center"/>
            <w:hideMark/>
          </w:tcPr>
          <w:p w14:paraId="25AD8C36"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w:t>
            </w:r>
          </w:p>
        </w:tc>
        <w:tc>
          <w:tcPr>
            <w:tcW w:w="869" w:type="dxa"/>
            <w:shd w:val="clear" w:color="auto" w:fill="auto"/>
            <w:noWrap/>
            <w:tcMar>
              <w:left w:w="28" w:type="dxa"/>
              <w:right w:w="28" w:type="dxa"/>
            </w:tcMar>
            <w:vAlign w:val="center"/>
            <w:hideMark/>
          </w:tcPr>
          <w:p w14:paraId="0DE8CBBC"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$73.50</w:t>
            </w:r>
          </w:p>
        </w:tc>
        <w:tc>
          <w:tcPr>
            <w:tcW w:w="869" w:type="dxa"/>
            <w:shd w:val="clear" w:color="auto" w:fill="auto"/>
            <w:noWrap/>
            <w:tcMar>
              <w:left w:w="28" w:type="dxa"/>
              <w:right w:w="28" w:type="dxa"/>
            </w:tcMar>
            <w:vAlign w:val="center"/>
            <w:hideMark/>
          </w:tcPr>
          <w:p w14:paraId="36DCB627"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$73.50</w:t>
            </w:r>
          </w:p>
        </w:tc>
        <w:tc>
          <w:tcPr>
            <w:tcW w:w="3223" w:type="dxa"/>
            <w:shd w:val="clear" w:color="auto" w:fill="auto"/>
            <w:noWrap/>
            <w:tcMar>
              <w:left w:w="28" w:type="dxa"/>
              <w:right w:w="28" w:type="dxa"/>
            </w:tcMar>
            <w:vAlign w:val="center"/>
            <w:hideMark/>
          </w:tcPr>
          <w:p w14:paraId="4C44BB40" w14:textId="77777777" w:rsidR="00140741" w:rsidRPr="00D707AC" w:rsidRDefault="00140741" w:rsidP="00ED70FB">
            <w:pPr>
              <w:spacing w:before="40" w:after="40"/>
              <w:ind w:left="0"/>
              <w:jc w:val="both"/>
              <w:rPr>
                <w:rFonts w:ascii="Arial Narrow" w:hAnsi="Arial Narrow"/>
                <w:sz w:val="18"/>
                <w:szCs w:val="18"/>
              </w:rPr>
            </w:pPr>
            <w:r>
              <w:rPr>
                <w:rFonts w:ascii="Arial Narrow" w:hAnsi="Arial Narrow"/>
                <w:sz w:val="18"/>
                <w:szCs w:val="18"/>
              </w:rPr>
              <w:t>A</w:t>
            </w:r>
            <w:r w:rsidRPr="00D707AC">
              <w:rPr>
                <w:rFonts w:ascii="Arial Narrow" w:hAnsi="Arial Narrow"/>
                <w:sz w:val="18"/>
                <w:szCs w:val="18"/>
              </w:rPr>
              <w:t xml:space="preserve">ssuming 15-30mins </w:t>
            </w:r>
            <w:r>
              <w:rPr>
                <w:rFonts w:ascii="Arial Narrow" w:hAnsi="Arial Narrow"/>
                <w:sz w:val="18"/>
                <w:szCs w:val="18"/>
              </w:rPr>
              <w:t xml:space="preserve">consultation; </w:t>
            </w:r>
            <w:r w:rsidRPr="00D707AC">
              <w:rPr>
                <w:rFonts w:ascii="Arial Narrow" w:hAnsi="Arial Narrow"/>
                <w:sz w:val="18"/>
                <w:szCs w:val="18"/>
              </w:rPr>
              <w:t xml:space="preserve">MBS item 302 (85% fee) (MBS online) </w:t>
            </w:r>
          </w:p>
        </w:tc>
      </w:tr>
      <w:tr w:rsidR="00140741" w:rsidRPr="004412C5" w14:paraId="761C1012" w14:textId="77777777" w:rsidTr="003039ED">
        <w:trPr>
          <w:cantSplit/>
          <w:trHeight w:val="284"/>
        </w:trPr>
        <w:tc>
          <w:tcPr>
            <w:tcW w:w="2835" w:type="dxa"/>
            <w:shd w:val="clear" w:color="auto" w:fill="auto"/>
            <w:tcMar>
              <w:left w:w="28" w:type="dxa"/>
              <w:right w:w="28" w:type="dxa"/>
            </w:tcMar>
            <w:vAlign w:val="center"/>
            <w:hideMark/>
          </w:tcPr>
          <w:p w14:paraId="6EBAC4BA" w14:textId="77777777" w:rsidR="00140741" w:rsidRPr="004412C5" w:rsidRDefault="00140741" w:rsidP="00ED70FB">
            <w:pPr>
              <w:spacing w:before="40" w:after="40"/>
              <w:ind w:left="333"/>
              <w:rPr>
                <w:rFonts w:ascii="Arial Narrow" w:hAnsi="Arial Narrow"/>
                <w:b/>
                <w:sz w:val="18"/>
                <w:szCs w:val="18"/>
              </w:rPr>
            </w:pPr>
            <w:r w:rsidRPr="004412C5">
              <w:rPr>
                <w:rFonts w:ascii="Arial Narrow" w:hAnsi="Arial Narrow"/>
                <w:b/>
                <w:sz w:val="18"/>
                <w:szCs w:val="18"/>
              </w:rPr>
              <w:t>Total</w:t>
            </w:r>
          </w:p>
        </w:tc>
        <w:tc>
          <w:tcPr>
            <w:tcW w:w="567" w:type="dxa"/>
            <w:shd w:val="clear" w:color="auto" w:fill="auto"/>
            <w:noWrap/>
            <w:tcMar>
              <w:left w:w="28" w:type="dxa"/>
              <w:right w:w="28" w:type="dxa"/>
            </w:tcMar>
            <w:vAlign w:val="center"/>
            <w:hideMark/>
          </w:tcPr>
          <w:p w14:paraId="0E1A137A"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1969E532"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0E8A79A5" w14:textId="77777777" w:rsidR="00140741" w:rsidRPr="004412C5" w:rsidRDefault="00140741" w:rsidP="00ED70FB">
            <w:pPr>
              <w:spacing w:before="40" w:after="40"/>
              <w:ind w:left="0"/>
              <w:jc w:val="center"/>
              <w:rPr>
                <w:rFonts w:ascii="Arial Narrow" w:hAnsi="Arial Narrow"/>
                <w:b/>
                <w:sz w:val="18"/>
                <w:szCs w:val="18"/>
              </w:rPr>
            </w:pPr>
            <w:r w:rsidRPr="004412C5">
              <w:rPr>
                <w:rFonts w:ascii="Arial Narrow" w:hAnsi="Arial Narrow"/>
                <w:b/>
                <w:sz w:val="18"/>
                <w:szCs w:val="18"/>
              </w:rPr>
              <w:t>$505.06</w:t>
            </w:r>
          </w:p>
        </w:tc>
        <w:tc>
          <w:tcPr>
            <w:tcW w:w="3223" w:type="dxa"/>
            <w:shd w:val="clear" w:color="auto" w:fill="auto"/>
            <w:noWrap/>
            <w:tcMar>
              <w:left w:w="28" w:type="dxa"/>
              <w:right w:w="28" w:type="dxa"/>
            </w:tcMar>
            <w:vAlign w:val="center"/>
            <w:hideMark/>
          </w:tcPr>
          <w:p w14:paraId="7169778B" w14:textId="77777777" w:rsidR="00140741" w:rsidRPr="004412C5" w:rsidRDefault="00140741" w:rsidP="00ED70FB">
            <w:pPr>
              <w:spacing w:before="40" w:after="40"/>
              <w:ind w:left="0"/>
              <w:jc w:val="both"/>
              <w:rPr>
                <w:rFonts w:ascii="Arial Narrow" w:hAnsi="Arial Narrow"/>
                <w:b/>
                <w:sz w:val="18"/>
                <w:szCs w:val="18"/>
              </w:rPr>
            </w:pPr>
            <w:r w:rsidRPr="004412C5">
              <w:rPr>
                <w:rFonts w:ascii="Arial Narrow" w:hAnsi="Arial Narrow"/>
                <w:b/>
                <w:sz w:val="18"/>
                <w:szCs w:val="18"/>
              </w:rPr>
              <w:t> </w:t>
            </w:r>
          </w:p>
        </w:tc>
      </w:tr>
      <w:tr w:rsidR="00140741" w:rsidRPr="00D707AC" w14:paraId="266118F2" w14:textId="77777777" w:rsidTr="003039ED">
        <w:trPr>
          <w:cantSplit/>
          <w:trHeight w:val="284"/>
        </w:trPr>
        <w:tc>
          <w:tcPr>
            <w:tcW w:w="8363" w:type="dxa"/>
            <w:gridSpan w:val="5"/>
            <w:shd w:val="clear" w:color="auto" w:fill="auto"/>
            <w:noWrap/>
            <w:tcMar>
              <w:left w:w="28" w:type="dxa"/>
              <w:right w:w="28" w:type="dxa"/>
            </w:tcMar>
            <w:vAlign w:val="center"/>
            <w:hideMark/>
          </w:tcPr>
          <w:p w14:paraId="2DA1770E" w14:textId="77777777" w:rsidR="00140741" w:rsidRPr="00413FAD" w:rsidRDefault="00140741" w:rsidP="00ED70FB">
            <w:pPr>
              <w:spacing w:before="40" w:after="40"/>
              <w:ind w:left="0"/>
              <w:rPr>
                <w:rFonts w:ascii="Arial Narrow" w:hAnsi="Arial Narrow"/>
                <w:b/>
                <w:sz w:val="18"/>
                <w:szCs w:val="18"/>
              </w:rPr>
            </w:pPr>
            <w:r w:rsidRPr="00413FAD">
              <w:rPr>
                <w:rFonts w:ascii="Arial Narrow" w:hAnsi="Arial Narrow"/>
                <w:b/>
                <w:sz w:val="18"/>
                <w:szCs w:val="18"/>
              </w:rPr>
              <w:t xml:space="preserve">Lithium augmentation: after failing </w:t>
            </w:r>
            <w:r>
              <w:rPr>
                <w:rFonts w:ascii="Arial Narrow" w:hAnsi="Arial Narrow"/>
                <w:b/>
                <w:sz w:val="18"/>
                <w:szCs w:val="18"/>
              </w:rPr>
              <w:t>rTM</w:t>
            </w:r>
            <w:r w:rsidR="00455CBC">
              <w:rPr>
                <w:rFonts w:ascii="Arial Narrow" w:hAnsi="Arial Narrow"/>
                <w:b/>
                <w:sz w:val="18"/>
                <w:szCs w:val="18"/>
              </w:rPr>
              <w:t>S</w:t>
            </w:r>
            <w:r>
              <w:rPr>
                <w:rFonts w:ascii="Arial Narrow" w:hAnsi="Arial Narrow"/>
                <w:b/>
                <w:sz w:val="18"/>
                <w:szCs w:val="18"/>
              </w:rPr>
              <w:t xml:space="preserve"> and ECT treatments</w:t>
            </w:r>
          </w:p>
        </w:tc>
      </w:tr>
      <w:tr w:rsidR="00140741" w:rsidRPr="00D707AC" w14:paraId="6BA2A33C" w14:textId="77777777" w:rsidTr="003039ED">
        <w:trPr>
          <w:cantSplit/>
          <w:trHeight w:val="284"/>
        </w:trPr>
        <w:tc>
          <w:tcPr>
            <w:tcW w:w="2835" w:type="dxa"/>
            <w:shd w:val="clear" w:color="auto" w:fill="auto"/>
            <w:noWrap/>
            <w:tcMar>
              <w:left w:w="28" w:type="dxa"/>
              <w:right w:w="28" w:type="dxa"/>
            </w:tcMar>
            <w:vAlign w:val="center"/>
            <w:hideMark/>
          </w:tcPr>
          <w:p w14:paraId="7606D2FA"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Quantity required per course of treatment (at least 2 months)</w:t>
            </w:r>
          </w:p>
        </w:tc>
        <w:tc>
          <w:tcPr>
            <w:tcW w:w="567" w:type="dxa"/>
            <w:shd w:val="clear" w:color="auto" w:fill="auto"/>
            <w:noWrap/>
            <w:tcMar>
              <w:left w:w="28" w:type="dxa"/>
              <w:right w:w="28" w:type="dxa"/>
            </w:tcMar>
            <w:vAlign w:val="center"/>
            <w:hideMark/>
          </w:tcPr>
          <w:p w14:paraId="7ED8C391"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w:t>
            </w:r>
          </w:p>
        </w:tc>
        <w:tc>
          <w:tcPr>
            <w:tcW w:w="869" w:type="dxa"/>
            <w:shd w:val="clear" w:color="auto" w:fill="auto"/>
            <w:noWrap/>
            <w:tcMar>
              <w:left w:w="28" w:type="dxa"/>
              <w:right w:w="28" w:type="dxa"/>
            </w:tcMar>
            <w:vAlign w:val="center"/>
            <w:hideMark/>
          </w:tcPr>
          <w:p w14:paraId="5CD39087"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$17.10</w:t>
            </w:r>
          </w:p>
        </w:tc>
        <w:tc>
          <w:tcPr>
            <w:tcW w:w="869" w:type="dxa"/>
            <w:shd w:val="clear" w:color="auto" w:fill="auto"/>
            <w:noWrap/>
            <w:tcMar>
              <w:left w:w="28" w:type="dxa"/>
              <w:right w:w="28" w:type="dxa"/>
            </w:tcMar>
            <w:vAlign w:val="center"/>
            <w:hideMark/>
          </w:tcPr>
          <w:p w14:paraId="3B5C78D0"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$17.10</w:t>
            </w:r>
          </w:p>
        </w:tc>
        <w:tc>
          <w:tcPr>
            <w:tcW w:w="3223" w:type="dxa"/>
            <w:shd w:val="clear" w:color="auto" w:fill="auto"/>
            <w:noWrap/>
            <w:tcMar>
              <w:left w:w="28" w:type="dxa"/>
              <w:right w:w="28" w:type="dxa"/>
            </w:tcMar>
            <w:vAlign w:val="center"/>
            <w:hideMark/>
          </w:tcPr>
          <w:p w14:paraId="6593A15F" w14:textId="77777777" w:rsidR="00140741" w:rsidRPr="00D707AC" w:rsidRDefault="00140741" w:rsidP="00ED70FB">
            <w:pPr>
              <w:spacing w:before="40" w:after="40"/>
              <w:ind w:left="0"/>
              <w:jc w:val="both"/>
              <w:rPr>
                <w:rFonts w:ascii="Arial Narrow" w:hAnsi="Arial Narrow"/>
                <w:sz w:val="18"/>
                <w:szCs w:val="18"/>
              </w:rPr>
            </w:pPr>
            <w:r w:rsidRPr="00D707AC">
              <w:rPr>
                <w:rFonts w:ascii="Arial Narrow" w:hAnsi="Arial Narrow"/>
                <w:sz w:val="18"/>
                <w:szCs w:val="18"/>
              </w:rPr>
              <w:t xml:space="preserve">PBS online </w:t>
            </w:r>
          </w:p>
        </w:tc>
      </w:tr>
      <w:tr w:rsidR="00140741" w:rsidRPr="00D707AC" w14:paraId="069F5B85" w14:textId="77777777" w:rsidTr="003039ED">
        <w:trPr>
          <w:cantSplit/>
          <w:trHeight w:val="284"/>
        </w:trPr>
        <w:tc>
          <w:tcPr>
            <w:tcW w:w="2835" w:type="dxa"/>
            <w:shd w:val="clear" w:color="auto" w:fill="auto"/>
            <w:tcMar>
              <w:left w:w="28" w:type="dxa"/>
              <w:right w:w="28" w:type="dxa"/>
            </w:tcMar>
            <w:vAlign w:val="center"/>
            <w:hideMark/>
          </w:tcPr>
          <w:p w14:paraId="595D19F3"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 xml:space="preserve">Number of lithium monitoring tests on average per person </w:t>
            </w:r>
          </w:p>
        </w:tc>
        <w:tc>
          <w:tcPr>
            <w:tcW w:w="567" w:type="dxa"/>
            <w:shd w:val="clear" w:color="auto" w:fill="auto"/>
            <w:noWrap/>
            <w:tcMar>
              <w:left w:w="28" w:type="dxa"/>
              <w:right w:w="28" w:type="dxa"/>
            </w:tcMar>
            <w:vAlign w:val="center"/>
            <w:hideMark/>
          </w:tcPr>
          <w:p w14:paraId="63B96182"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4</w:t>
            </w:r>
          </w:p>
        </w:tc>
        <w:tc>
          <w:tcPr>
            <w:tcW w:w="869" w:type="dxa"/>
            <w:shd w:val="clear" w:color="auto" w:fill="auto"/>
            <w:noWrap/>
            <w:tcMar>
              <w:left w:w="28" w:type="dxa"/>
              <w:right w:w="28" w:type="dxa"/>
            </w:tcMar>
            <w:vAlign w:val="center"/>
            <w:hideMark/>
          </w:tcPr>
          <w:p w14:paraId="59DE9716"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$15.45</w:t>
            </w:r>
          </w:p>
        </w:tc>
        <w:tc>
          <w:tcPr>
            <w:tcW w:w="869" w:type="dxa"/>
            <w:shd w:val="clear" w:color="auto" w:fill="auto"/>
            <w:noWrap/>
            <w:tcMar>
              <w:left w:w="28" w:type="dxa"/>
              <w:right w:w="28" w:type="dxa"/>
            </w:tcMar>
            <w:vAlign w:val="center"/>
            <w:hideMark/>
          </w:tcPr>
          <w:p w14:paraId="4B56FF2F"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$61.80</w:t>
            </w:r>
          </w:p>
        </w:tc>
        <w:tc>
          <w:tcPr>
            <w:tcW w:w="3223" w:type="dxa"/>
            <w:shd w:val="clear" w:color="auto" w:fill="auto"/>
            <w:noWrap/>
            <w:tcMar>
              <w:left w:w="28" w:type="dxa"/>
              <w:right w:w="28" w:type="dxa"/>
            </w:tcMar>
            <w:vAlign w:val="center"/>
            <w:hideMark/>
          </w:tcPr>
          <w:p w14:paraId="63887FE5" w14:textId="77777777" w:rsidR="00140741" w:rsidRPr="00D707AC" w:rsidRDefault="00140741" w:rsidP="00ED70FB">
            <w:pPr>
              <w:spacing w:before="40" w:after="40"/>
              <w:ind w:left="0"/>
              <w:jc w:val="both"/>
              <w:rPr>
                <w:rFonts w:ascii="Arial Narrow" w:hAnsi="Arial Narrow"/>
                <w:sz w:val="18"/>
                <w:szCs w:val="18"/>
              </w:rPr>
            </w:pPr>
            <w:r w:rsidRPr="00D707AC">
              <w:rPr>
                <w:rFonts w:ascii="Arial Narrow" w:hAnsi="Arial Narrow"/>
                <w:sz w:val="18"/>
                <w:szCs w:val="18"/>
              </w:rPr>
              <w:t>MBS item 66800 (85% of fee) (MBS online)</w:t>
            </w:r>
          </w:p>
        </w:tc>
      </w:tr>
      <w:tr w:rsidR="00140741" w:rsidRPr="00D707AC" w14:paraId="358A22B3" w14:textId="77777777" w:rsidTr="003039ED">
        <w:trPr>
          <w:cantSplit/>
          <w:trHeight w:val="284"/>
        </w:trPr>
        <w:tc>
          <w:tcPr>
            <w:tcW w:w="2835" w:type="dxa"/>
            <w:shd w:val="clear" w:color="auto" w:fill="auto"/>
            <w:tcMar>
              <w:left w:w="28" w:type="dxa"/>
              <w:right w:w="28" w:type="dxa"/>
            </w:tcMar>
            <w:vAlign w:val="center"/>
            <w:hideMark/>
          </w:tcPr>
          <w:p w14:paraId="2A86C34D"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Psychiatrist consultation</w:t>
            </w:r>
          </w:p>
        </w:tc>
        <w:tc>
          <w:tcPr>
            <w:tcW w:w="567" w:type="dxa"/>
            <w:shd w:val="clear" w:color="auto" w:fill="auto"/>
            <w:noWrap/>
            <w:tcMar>
              <w:left w:w="28" w:type="dxa"/>
              <w:right w:w="28" w:type="dxa"/>
            </w:tcMar>
            <w:vAlign w:val="center"/>
            <w:hideMark/>
          </w:tcPr>
          <w:p w14:paraId="0EFF2D7A"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w:t>
            </w:r>
          </w:p>
        </w:tc>
        <w:tc>
          <w:tcPr>
            <w:tcW w:w="869" w:type="dxa"/>
            <w:shd w:val="clear" w:color="auto" w:fill="auto"/>
            <w:noWrap/>
            <w:tcMar>
              <w:left w:w="28" w:type="dxa"/>
              <w:right w:w="28" w:type="dxa"/>
            </w:tcMar>
            <w:vAlign w:val="center"/>
            <w:hideMark/>
          </w:tcPr>
          <w:p w14:paraId="6E806640"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$73.50</w:t>
            </w:r>
          </w:p>
        </w:tc>
        <w:tc>
          <w:tcPr>
            <w:tcW w:w="869" w:type="dxa"/>
            <w:shd w:val="clear" w:color="auto" w:fill="auto"/>
            <w:noWrap/>
            <w:tcMar>
              <w:left w:w="28" w:type="dxa"/>
              <w:right w:w="28" w:type="dxa"/>
            </w:tcMar>
            <w:vAlign w:val="center"/>
            <w:hideMark/>
          </w:tcPr>
          <w:p w14:paraId="4EDFA9A6"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$73.50</w:t>
            </w:r>
          </w:p>
        </w:tc>
        <w:tc>
          <w:tcPr>
            <w:tcW w:w="3223" w:type="dxa"/>
            <w:shd w:val="clear" w:color="auto" w:fill="auto"/>
            <w:noWrap/>
            <w:tcMar>
              <w:left w:w="28" w:type="dxa"/>
              <w:right w:w="28" w:type="dxa"/>
            </w:tcMar>
            <w:vAlign w:val="center"/>
            <w:hideMark/>
          </w:tcPr>
          <w:p w14:paraId="757C1DA4" w14:textId="77777777" w:rsidR="00140741" w:rsidRPr="00D707AC" w:rsidRDefault="00140741" w:rsidP="00ED70FB">
            <w:pPr>
              <w:spacing w:before="40" w:after="40"/>
              <w:ind w:left="0"/>
              <w:jc w:val="both"/>
              <w:rPr>
                <w:rFonts w:ascii="Arial Narrow" w:hAnsi="Arial Narrow"/>
                <w:sz w:val="18"/>
                <w:szCs w:val="18"/>
              </w:rPr>
            </w:pPr>
            <w:r>
              <w:rPr>
                <w:rFonts w:ascii="Arial Narrow" w:hAnsi="Arial Narrow"/>
                <w:sz w:val="18"/>
                <w:szCs w:val="18"/>
              </w:rPr>
              <w:t>A</w:t>
            </w:r>
            <w:r w:rsidRPr="00D707AC">
              <w:rPr>
                <w:rFonts w:ascii="Arial Narrow" w:hAnsi="Arial Narrow"/>
                <w:sz w:val="18"/>
                <w:szCs w:val="18"/>
              </w:rPr>
              <w:t xml:space="preserve">ssuming 15-30mins </w:t>
            </w:r>
            <w:r>
              <w:rPr>
                <w:rFonts w:ascii="Arial Narrow" w:hAnsi="Arial Narrow"/>
                <w:sz w:val="18"/>
                <w:szCs w:val="18"/>
              </w:rPr>
              <w:t xml:space="preserve">consultation; </w:t>
            </w:r>
            <w:r w:rsidRPr="00D707AC">
              <w:rPr>
                <w:rFonts w:ascii="Arial Narrow" w:hAnsi="Arial Narrow"/>
                <w:sz w:val="18"/>
                <w:szCs w:val="18"/>
              </w:rPr>
              <w:t>MBS item 302 (85% fee) (MBS online)</w:t>
            </w:r>
          </w:p>
        </w:tc>
      </w:tr>
      <w:tr w:rsidR="00140741" w:rsidRPr="004412C5" w14:paraId="7DCE29CA" w14:textId="77777777" w:rsidTr="003039ED">
        <w:trPr>
          <w:cantSplit/>
          <w:trHeight w:val="284"/>
        </w:trPr>
        <w:tc>
          <w:tcPr>
            <w:tcW w:w="2835" w:type="dxa"/>
            <w:shd w:val="clear" w:color="auto" w:fill="auto"/>
            <w:noWrap/>
            <w:tcMar>
              <w:left w:w="28" w:type="dxa"/>
              <w:right w:w="28" w:type="dxa"/>
            </w:tcMar>
            <w:vAlign w:val="center"/>
            <w:hideMark/>
          </w:tcPr>
          <w:p w14:paraId="0F620C44" w14:textId="77777777" w:rsidR="00140741" w:rsidRPr="004412C5" w:rsidRDefault="00140741" w:rsidP="00ED70FB">
            <w:pPr>
              <w:spacing w:before="40" w:after="40"/>
              <w:ind w:left="333"/>
              <w:rPr>
                <w:rFonts w:ascii="Arial Narrow" w:hAnsi="Arial Narrow"/>
                <w:b/>
                <w:sz w:val="18"/>
                <w:szCs w:val="18"/>
              </w:rPr>
            </w:pPr>
            <w:r w:rsidRPr="004412C5">
              <w:rPr>
                <w:rFonts w:ascii="Arial Narrow" w:hAnsi="Arial Narrow"/>
                <w:b/>
                <w:sz w:val="18"/>
                <w:szCs w:val="18"/>
              </w:rPr>
              <w:t>Total cost</w:t>
            </w:r>
          </w:p>
        </w:tc>
        <w:tc>
          <w:tcPr>
            <w:tcW w:w="567" w:type="dxa"/>
            <w:shd w:val="clear" w:color="auto" w:fill="auto"/>
            <w:noWrap/>
            <w:tcMar>
              <w:left w:w="28" w:type="dxa"/>
              <w:right w:w="28" w:type="dxa"/>
            </w:tcMar>
            <w:vAlign w:val="center"/>
            <w:hideMark/>
          </w:tcPr>
          <w:p w14:paraId="3F7D3B02"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424D9F4E"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36E55C89" w14:textId="77777777" w:rsidR="00140741" w:rsidRPr="004412C5" w:rsidRDefault="00140741" w:rsidP="00ED70FB">
            <w:pPr>
              <w:spacing w:before="40" w:after="40"/>
              <w:ind w:left="0"/>
              <w:jc w:val="center"/>
              <w:rPr>
                <w:rFonts w:ascii="Arial Narrow" w:hAnsi="Arial Narrow"/>
                <w:b/>
                <w:sz w:val="18"/>
                <w:szCs w:val="18"/>
              </w:rPr>
            </w:pPr>
            <w:r w:rsidRPr="004412C5">
              <w:rPr>
                <w:rFonts w:ascii="Arial Narrow" w:hAnsi="Arial Narrow"/>
                <w:b/>
                <w:sz w:val="18"/>
                <w:szCs w:val="18"/>
              </w:rPr>
              <w:t>$152.40</w:t>
            </w:r>
          </w:p>
        </w:tc>
        <w:tc>
          <w:tcPr>
            <w:tcW w:w="3223" w:type="dxa"/>
            <w:shd w:val="clear" w:color="auto" w:fill="auto"/>
            <w:noWrap/>
            <w:tcMar>
              <w:left w:w="28" w:type="dxa"/>
              <w:right w:w="28" w:type="dxa"/>
            </w:tcMar>
            <w:vAlign w:val="center"/>
            <w:hideMark/>
          </w:tcPr>
          <w:p w14:paraId="181BCE83" w14:textId="77777777" w:rsidR="00140741" w:rsidRPr="004412C5" w:rsidRDefault="00140741" w:rsidP="00ED70FB">
            <w:pPr>
              <w:spacing w:before="40" w:after="40"/>
              <w:ind w:left="0"/>
              <w:jc w:val="both"/>
              <w:rPr>
                <w:rFonts w:ascii="Arial Narrow" w:hAnsi="Arial Narrow"/>
                <w:b/>
                <w:sz w:val="18"/>
                <w:szCs w:val="18"/>
              </w:rPr>
            </w:pPr>
            <w:r w:rsidRPr="004412C5">
              <w:rPr>
                <w:rFonts w:ascii="Arial Narrow" w:hAnsi="Arial Narrow"/>
                <w:b/>
                <w:sz w:val="18"/>
                <w:szCs w:val="18"/>
              </w:rPr>
              <w:t> </w:t>
            </w:r>
          </w:p>
        </w:tc>
      </w:tr>
      <w:tr w:rsidR="00140741" w:rsidRPr="00413FAD" w14:paraId="7681E227" w14:textId="77777777" w:rsidTr="003039ED">
        <w:trPr>
          <w:cantSplit/>
          <w:trHeight w:val="284"/>
        </w:trPr>
        <w:tc>
          <w:tcPr>
            <w:tcW w:w="8363" w:type="dxa"/>
            <w:gridSpan w:val="5"/>
            <w:shd w:val="clear" w:color="auto" w:fill="auto"/>
            <w:noWrap/>
            <w:tcMar>
              <w:left w:w="28" w:type="dxa"/>
              <w:right w:w="28" w:type="dxa"/>
            </w:tcMar>
            <w:vAlign w:val="center"/>
            <w:hideMark/>
          </w:tcPr>
          <w:p w14:paraId="69261F0B" w14:textId="77777777" w:rsidR="00140741" w:rsidRPr="00413FAD" w:rsidRDefault="00140741" w:rsidP="00ED70FB">
            <w:pPr>
              <w:spacing w:before="40" w:after="40"/>
              <w:ind w:left="0"/>
              <w:rPr>
                <w:rFonts w:ascii="Arial Narrow" w:hAnsi="Arial Narrow"/>
                <w:b/>
                <w:sz w:val="18"/>
                <w:szCs w:val="18"/>
              </w:rPr>
            </w:pPr>
            <w:r w:rsidRPr="00413FAD">
              <w:rPr>
                <w:rFonts w:ascii="Arial Narrow" w:hAnsi="Arial Narrow"/>
                <w:b/>
                <w:sz w:val="18"/>
                <w:szCs w:val="18"/>
              </w:rPr>
              <w:t xml:space="preserve">Hospitalisation </w:t>
            </w:r>
          </w:p>
        </w:tc>
      </w:tr>
      <w:tr w:rsidR="00140741" w:rsidRPr="00D707AC" w14:paraId="6928FFE8" w14:textId="77777777" w:rsidTr="006C19DA">
        <w:trPr>
          <w:cantSplit/>
          <w:trHeight w:val="284"/>
        </w:trPr>
        <w:tc>
          <w:tcPr>
            <w:tcW w:w="2835" w:type="dxa"/>
            <w:shd w:val="clear" w:color="auto" w:fill="auto"/>
            <w:noWrap/>
            <w:tcMar>
              <w:left w:w="28" w:type="dxa"/>
              <w:right w:w="28" w:type="dxa"/>
            </w:tcMar>
            <w:vAlign w:val="center"/>
            <w:hideMark/>
          </w:tcPr>
          <w:p w14:paraId="6FCDE75A"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Major affective disorder A&gt;69-Css</w:t>
            </w:r>
          </w:p>
        </w:tc>
        <w:tc>
          <w:tcPr>
            <w:tcW w:w="567" w:type="dxa"/>
            <w:shd w:val="clear" w:color="auto" w:fill="auto"/>
            <w:noWrap/>
            <w:tcMar>
              <w:left w:w="28" w:type="dxa"/>
              <w:right w:w="28" w:type="dxa"/>
            </w:tcMar>
            <w:vAlign w:val="center"/>
            <w:hideMark/>
          </w:tcPr>
          <w:p w14:paraId="49316B32"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5.2%</w:t>
            </w:r>
          </w:p>
        </w:tc>
        <w:tc>
          <w:tcPr>
            <w:tcW w:w="869" w:type="dxa"/>
            <w:shd w:val="clear" w:color="auto" w:fill="auto"/>
            <w:noWrap/>
            <w:tcMar>
              <w:left w:w="28" w:type="dxa"/>
              <w:right w:w="28" w:type="dxa"/>
            </w:tcMar>
            <w:vAlign w:val="center"/>
            <w:hideMark/>
          </w:tcPr>
          <w:p w14:paraId="07EA2E9D"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$20,484.00</w:t>
            </w:r>
          </w:p>
        </w:tc>
        <w:tc>
          <w:tcPr>
            <w:tcW w:w="869" w:type="dxa"/>
            <w:shd w:val="clear" w:color="auto" w:fill="auto"/>
            <w:noWrap/>
            <w:tcMar>
              <w:left w:w="28" w:type="dxa"/>
              <w:right w:w="28" w:type="dxa"/>
            </w:tcMar>
            <w:vAlign w:val="center"/>
          </w:tcPr>
          <w:p w14:paraId="3E0B0185" w14:textId="7DD9A34D" w:rsidR="00140741" w:rsidRPr="00D707AC" w:rsidRDefault="00140741" w:rsidP="00ED70FB">
            <w:pPr>
              <w:spacing w:before="40" w:after="40"/>
              <w:ind w:left="0"/>
              <w:jc w:val="center"/>
              <w:rPr>
                <w:rFonts w:ascii="Arial Narrow" w:hAnsi="Arial Narrow"/>
                <w:sz w:val="18"/>
                <w:szCs w:val="18"/>
              </w:rPr>
            </w:pPr>
          </w:p>
        </w:tc>
        <w:tc>
          <w:tcPr>
            <w:tcW w:w="3223" w:type="dxa"/>
            <w:shd w:val="clear" w:color="auto" w:fill="auto"/>
            <w:noWrap/>
            <w:tcMar>
              <w:left w:w="28" w:type="dxa"/>
              <w:right w:w="28" w:type="dxa"/>
            </w:tcMar>
            <w:vAlign w:val="center"/>
            <w:hideMark/>
          </w:tcPr>
          <w:p w14:paraId="474625E8" w14:textId="77777777" w:rsidR="00140741" w:rsidRPr="00D707AC" w:rsidRDefault="00140741" w:rsidP="00ED70FB">
            <w:pPr>
              <w:spacing w:before="40" w:after="40"/>
              <w:ind w:left="0"/>
              <w:jc w:val="both"/>
              <w:rPr>
                <w:rFonts w:ascii="Arial Narrow" w:hAnsi="Arial Narrow"/>
                <w:sz w:val="18"/>
                <w:szCs w:val="18"/>
              </w:rPr>
            </w:pPr>
            <w:r w:rsidRPr="00D707AC">
              <w:rPr>
                <w:rFonts w:ascii="Arial Narrow" w:hAnsi="Arial Narrow"/>
                <w:sz w:val="18"/>
                <w:szCs w:val="18"/>
              </w:rPr>
              <w:t>U63A - AR-DRG Version 6</w:t>
            </w:r>
          </w:p>
        </w:tc>
      </w:tr>
      <w:tr w:rsidR="00140741" w:rsidRPr="00D707AC" w14:paraId="42C552EB" w14:textId="77777777" w:rsidTr="006C19DA">
        <w:trPr>
          <w:cantSplit/>
          <w:trHeight w:val="284"/>
        </w:trPr>
        <w:tc>
          <w:tcPr>
            <w:tcW w:w="2835" w:type="dxa"/>
            <w:shd w:val="clear" w:color="auto" w:fill="auto"/>
            <w:noWrap/>
            <w:tcMar>
              <w:left w:w="28" w:type="dxa"/>
              <w:right w:w="28" w:type="dxa"/>
            </w:tcMar>
            <w:vAlign w:val="center"/>
            <w:hideMark/>
          </w:tcPr>
          <w:p w14:paraId="64EE642F" w14:textId="77777777" w:rsidR="00140741" w:rsidRPr="00D707AC" w:rsidRDefault="00140741" w:rsidP="00ED70FB">
            <w:pPr>
              <w:spacing w:before="40" w:after="40"/>
              <w:ind w:left="333"/>
              <w:rPr>
                <w:rFonts w:ascii="Arial Narrow" w:hAnsi="Arial Narrow"/>
                <w:sz w:val="18"/>
                <w:szCs w:val="18"/>
              </w:rPr>
            </w:pPr>
            <w:r w:rsidRPr="00D707AC">
              <w:rPr>
                <w:rFonts w:ascii="Arial Narrow" w:hAnsi="Arial Narrow"/>
                <w:sz w:val="18"/>
                <w:szCs w:val="18"/>
              </w:rPr>
              <w:t>Major affective disorder A&lt;70-Css</w:t>
            </w:r>
          </w:p>
        </w:tc>
        <w:tc>
          <w:tcPr>
            <w:tcW w:w="567" w:type="dxa"/>
            <w:shd w:val="clear" w:color="auto" w:fill="auto"/>
            <w:noWrap/>
            <w:tcMar>
              <w:left w:w="28" w:type="dxa"/>
              <w:right w:w="28" w:type="dxa"/>
            </w:tcMar>
            <w:vAlign w:val="center"/>
            <w:hideMark/>
          </w:tcPr>
          <w:p w14:paraId="28865769"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37.0%</w:t>
            </w:r>
          </w:p>
        </w:tc>
        <w:tc>
          <w:tcPr>
            <w:tcW w:w="869" w:type="dxa"/>
            <w:shd w:val="clear" w:color="auto" w:fill="auto"/>
            <w:noWrap/>
            <w:tcMar>
              <w:left w:w="28" w:type="dxa"/>
              <w:right w:w="28" w:type="dxa"/>
            </w:tcMar>
            <w:vAlign w:val="center"/>
            <w:hideMark/>
          </w:tcPr>
          <w:p w14:paraId="44D4260B"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$13,106.00</w:t>
            </w:r>
          </w:p>
        </w:tc>
        <w:tc>
          <w:tcPr>
            <w:tcW w:w="869" w:type="dxa"/>
            <w:shd w:val="clear" w:color="auto" w:fill="auto"/>
            <w:noWrap/>
            <w:tcMar>
              <w:left w:w="28" w:type="dxa"/>
              <w:right w:w="28" w:type="dxa"/>
            </w:tcMar>
            <w:vAlign w:val="center"/>
          </w:tcPr>
          <w:p w14:paraId="19C4581A" w14:textId="215AB2F1" w:rsidR="00140741" w:rsidRPr="00D707AC" w:rsidRDefault="00140741" w:rsidP="00ED70FB">
            <w:pPr>
              <w:spacing w:before="40" w:after="40"/>
              <w:ind w:left="0"/>
              <w:jc w:val="center"/>
              <w:rPr>
                <w:rFonts w:ascii="Arial Narrow" w:hAnsi="Arial Narrow"/>
                <w:sz w:val="18"/>
                <w:szCs w:val="18"/>
              </w:rPr>
            </w:pPr>
          </w:p>
        </w:tc>
        <w:tc>
          <w:tcPr>
            <w:tcW w:w="3223" w:type="dxa"/>
            <w:shd w:val="clear" w:color="auto" w:fill="auto"/>
            <w:noWrap/>
            <w:tcMar>
              <w:left w:w="28" w:type="dxa"/>
              <w:right w:w="28" w:type="dxa"/>
            </w:tcMar>
            <w:vAlign w:val="center"/>
            <w:hideMark/>
          </w:tcPr>
          <w:p w14:paraId="1C74AAB3" w14:textId="77777777" w:rsidR="00140741" w:rsidRPr="00D707AC" w:rsidRDefault="00140741" w:rsidP="00ED70FB">
            <w:pPr>
              <w:spacing w:before="40" w:after="40"/>
              <w:ind w:left="0"/>
              <w:jc w:val="both"/>
              <w:rPr>
                <w:rFonts w:ascii="Arial Narrow" w:hAnsi="Arial Narrow"/>
                <w:sz w:val="18"/>
                <w:szCs w:val="18"/>
              </w:rPr>
            </w:pPr>
            <w:r w:rsidRPr="00D707AC">
              <w:rPr>
                <w:rFonts w:ascii="Arial Narrow" w:hAnsi="Arial Narrow"/>
                <w:sz w:val="18"/>
                <w:szCs w:val="18"/>
              </w:rPr>
              <w:t>U63B - AR-DRG Version 6</w:t>
            </w:r>
          </w:p>
        </w:tc>
      </w:tr>
      <w:tr w:rsidR="00140741" w:rsidRPr="004412C5" w14:paraId="47494250" w14:textId="77777777" w:rsidTr="003039ED">
        <w:trPr>
          <w:cantSplit/>
          <w:trHeight w:val="284"/>
        </w:trPr>
        <w:tc>
          <w:tcPr>
            <w:tcW w:w="2835" w:type="dxa"/>
            <w:shd w:val="clear" w:color="auto" w:fill="auto"/>
            <w:noWrap/>
            <w:tcMar>
              <w:left w:w="28" w:type="dxa"/>
              <w:right w:w="28" w:type="dxa"/>
            </w:tcMar>
            <w:vAlign w:val="center"/>
            <w:hideMark/>
          </w:tcPr>
          <w:p w14:paraId="270ADC90" w14:textId="77777777" w:rsidR="00140741" w:rsidRPr="004412C5" w:rsidRDefault="00140741" w:rsidP="00ED70FB">
            <w:pPr>
              <w:spacing w:before="40" w:after="40"/>
              <w:ind w:left="333"/>
              <w:rPr>
                <w:rFonts w:ascii="Arial Narrow" w:hAnsi="Arial Narrow"/>
                <w:b/>
                <w:sz w:val="18"/>
                <w:szCs w:val="18"/>
              </w:rPr>
            </w:pPr>
            <w:r w:rsidRPr="004412C5">
              <w:rPr>
                <w:rFonts w:ascii="Arial Narrow" w:hAnsi="Arial Narrow"/>
                <w:b/>
                <w:sz w:val="18"/>
                <w:szCs w:val="18"/>
              </w:rPr>
              <w:t>Average cost per hospitalisation (including only U63A and U63B)</w:t>
            </w:r>
          </w:p>
        </w:tc>
        <w:tc>
          <w:tcPr>
            <w:tcW w:w="567" w:type="dxa"/>
            <w:shd w:val="clear" w:color="auto" w:fill="auto"/>
            <w:noWrap/>
            <w:tcMar>
              <w:left w:w="28" w:type="dxa"/>
              <w:right w:w="28" w:type="dxa"/>
            </w:tcMar>
            <w:vAlign w:val="center"/>
            <w:hideMark/>
          </w:tcPr>
          <w:p w14:paraId="66BC35F6"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5D6EFA4D" w14:textId="77777777" w:rsidR="00140741" w:rsidRPr="004412C5" w:rsidRDefault="00140741" w:rsidP="00ED70FB">
            <w:pPr>
              <w:spacing w:before="40" w:after="40"/>
              <w:ind w:left="0"/>
              <w:jc w:val="center"/>
              <w:rPr>
                <w:rFonts w:ascii="Arial Narrow" w:hAnsi="Arial Narrow"/>
                <w:b/>
                <w:sz w:val="18"/>
                <w:szCs w:val="18"/>
              </w:rPr>
            </w:pPr>
          </w:p>
        </w:tc>
        <w:tc>
          <w:tcPr>
            <w:tcW w:w="869" w:type="dxa"/>
            <w:shd w:val="clear" w:color="auto" w:fill="auto"/>
            <w:noWrap/>
            <w:tcMar>
              <w:left w:w="28" w:type="dxa"/>
              <w:right w:w="28" w:type="dxa"/>
            </w:tcMar>
            <w:vAlign w:val="center"/>
            <w:hideMark/>
          </w:tcPr>
          <w:p w14:paraId="0585574F" w14:textId="77777777" w:rsidR="00140741" w:rsidRPr="004412C5" w:rsidRDefault="00140741" w:rsidP="00ED70FB">
            <w:pPr>
              <w:spacing w:before="40" w:after="40"/>
              <w:ind w:left="0"/>
              <w:jc w:val="center"/>
              <w:rPr>
                <w:rFonts w:ascii="Arial Narrow" w:hAnsi="Arial Narrow"/>
                <w:b/>
                <w:sz w:val="18"/>
                <w:szCs w:val="18"/>
              </w:rPr>
            </w:pPr>
            <w:r w:rsidRPr="004412C5">
              <w:rPr>
                <w:rFonts w:ascii="Arial Narrow" w:hAnsi="Arial Narrow"/>
                <w:b/>
                <w:sz w:val="18"/>
                <w:szCs w:val="18"/>
              </w:rPr>
              <w:t>$14,017.54</w:t>
            </w:r>
          </w:p>
        </w:tc>
        <w:tc>
          <w:tcPr>
            <w:tcW w:w="3223" w:type="dxa"/>
            <w:shd w:val="clear" w:color="auto" w:fill="auto"/>
            <w:noWrap/>
            <w:tcMar>
              <w:left w:w="28" w:type="dxa"/>
              <w:right w:w="28" w:type="dxa"/>
            </w:tcMar>
            <w:vAlign w:val="center"/>
            <w:hideMark/>
          </w:tcPr>
          <w:p w14:paraId="6773246C" w14:textId="77777777" w:rsidR="00140741" w:rsidRPr="004412C5" w:rsidRDefault="00140741" w:rsidP="00ED70FB">
            <w:pPr>
              <w:spacing w:before="40" w:after="40"/>
              <w:ind w:left="0"/>
              <w:jc w:val="both"/>
              <w:rPr>
                <w:rFonts w:ascii="Arial Narrow" w:hAnsi="Arial Narrow"/>
                <w:b/>
                <w:sz w:val="18"/>
                <w:szCs w:val="18"/>
              </w:rPr>
            </w:pPr>
            <w:r w:rsidRPr="004412C5">
              <w:rPr>
                <w:rFonts w:ascii="Arial Narrow" w:hAnsi="Arial Narrow"/>
                <w:b/>
                <w:sz w:val="18"/>
                <w:szCs w:val="18"/>
              </w:rPr>
              <w:t> </w:t>
            </w:r>
          </w:p>
        </w:tc>
      </w:tr>
      <w:tr w:rsidR="00140741" w:rsidRPr="00413FAD" w14:paraId="6F93FB73" w14:textId="77777777" w:rsidTr="003039ED">
        <w:trPr>
          <w:cantSplit/>
          <w:trHeight w:val="284"/>
        </w:trPr>
        <w:tc>
          <w:tcPr>
            <w:tcW w:w="8363" w:type="dxa"/>
            <w:gridSpan w:val="5"/>
            <w:shd w:val="clear" w:color="auto" w:fill="auto"/>
            <w:noWrap/>
            <w:tcMar>
              <w:left w:w="28" w:type="dxa"/>
              <w:right w:w="28" w:type="dxa"/>
            </w:tcMar>
            <w:vAlign w:val="center"/>
            <w:hideMark/>
          </w:tcPr>
          <w:p w14:paraId="6081D34C" w14:textId="77777777" w:rsidR="00140741" w:rsidRPr="00413FAD" w:rsidRDefault="00140741" w:rsidP="00ED70FB">
            <w:pPr>
              <w:spacing w:before="40" w:after="40"/>
              <w:ind w:left="0"/>
              <w:rPr>
                <w:rFonts w:ascii="Arial Narrow" w:hAnsi="Arial Narrow"/>
                <w:b/>
                <w:sz w:val="18"/>
                <w:szCs w:val="18"/>
              </w:rPr>
            </w:pPr>
            <w:r w:rsidRPr="00413FAD">
              <w:rPr>
                <w:rFonts w:ascii="Arial Narrow" w:hAnsi="Arial Narrow"/>
                <w:b/>
                <w:sz w:val="18"/>
                <w:szCs w:val="18"/>
              </w:rPr>
              <w:t xml:space="preserve">Costs during partial remission </w:t>
            </w:r>
          </w:p>
        </w:tc>
      </w:tr>
      <w:tr w:rsidR="00140741" w:rsidRPr="00D707AC" w14:paraId="2F240E44" w14:textId="77777777" w:rsidTr="003039ED">
        <w:trPr>
          <w:cantSplit/>
          <w:trHeight w:val="284"/>
        </w:trPr>
        <w:tc>
          <w:tcPr>
            <w:tcW w:w="2835" w:type="dxa"/>
            <w:shd w:val="clear" w:color="auto" w:fill="auto"/>
            <w:tcMar>
              <w:left w:w="28" w:type="dxa"/>
              <w:right w:w="28" w:type="dxa"/>
            </w:tcMar>
            <w:vAlign w:val="center"/>
            <w:hideMark/>
          </w:tcPr>
          <w:p w14:paraId="1B2259C0" w14:textId="77777777" w:rsidR="00140741" w:rsidRPr="00D707AC" w:rsidRDefault="00140741" w:rsidP="00ED70FB">
            <w:pPr>
              <w:spacing w:before="40" w:after="40"/>
              <w:ind w:left="0"/>
              <w:rPr>
                <w:rFonts w:ascii="Arial Narrow" w:hAnsi="Arial Narrow"/>
                <w:sz w:val="18"/>
                <w:szCs w:val="18"/>
              </w:rPr>
            </w:pPr>
            <w:r w:rsidRPr="00D707AC">
              <w:rPr>
                <w:rFonts w:ascii="Arial Narrow" w:hAnsi="Arial Narrow"/>
                <w:sz w:val="18"/>
                <w:szCs w:val="18"/>
              </w:rPr>
              <w:t>Psychiatrist consultation</w:t>
            </w:r>
          </w:p>
        </w:tc>
        <w:tc>
          <w:tcPr>
            <w:tcW w:w="567" w:type="dxa"/>
            <w:shd w:val="clear" w:color="auto" w:fill="auto"/>
            <w:noWrap/>
            <w:tcMar>
              <w:left w:w="28" w:type="dxa"/>
              <w:right w:w="28" w:type="dxa"/>
            </w:tcMar>
            <w:vAlign w:val="center"/>
            <w:hideMark/>
          </w:tcPr>
          <w:p w14:paraId="0FD9CEAE"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1</w:t>
            </w:r>
          </w:p>
        </w:tc>
        <w:tc>
          <w:tcPr>
            <w:tcW w:w="869" w:type="dxa"/>
            <w:shd w:val="clear" w:color="auto" w:fill="auto"/>
            <w:noWrap/>
            <w:tcMar>
              <w:left w:w="28" w:type="dxa"/>
              <w:right w:w="28" w:type="dxa"/>
            </w:tcMar>
            <w:vAlign w:val="center"/>
            <w:hideMark/>
          </w:tcPr>
          <w:p w14:paraId="31DA97F8" w14:textId="77777777" w:rsidR="00140741" w:rsidRPr="00D707AC" w:rsidRDefault="00140741" w:rsidP="00ED70FB">
            <w:pPr>
              <w:spacing w:before="40" w:after="40"/>
              <w:ind w:left="0"/>
              <w:jc w:val="center"/>
              <w:rPr>
                <w:rFonts w:ascii="Arial Narrow" w:hAnsi="Arial Narrow"/>
                <w:sz w:val="18"/>
                <w:szCs w:val="18"/>
              </w:rPr>
            </w:pPr>
            <w:r>
              <w:rPr>
                <w:rFonts w:ascii="Arial Narrow" w:hAnsi="Arial Narrow"/>
                <w:sz w:val="18"/>
                <w:szCs w:val="18"/>
              </w:rPr>
              <w:t>$</w:t>
            </w:r>
            <w:r w:rsidRPr="00D707AC">
              <w:rPr>
                <w:rFonts w:ascii="Arial Narrow" w:hAnsi="Arial Narrow"/>
                <w:sz w:val="18"/>
                <w:szCs w:val="18"/>
              </w:rPr>
              <w:t>73.50</w:t>
            </w:r>
          </w:p>
        </w:tc>
        <w:tc>
          <w:tcPr>
            <w:tcW w:w="869" w:type="dxa"/>
            <w:shd w:val="clear" w:color="auto" w:fill="auto"/>
            <w:noWrap/>
            <w:tcMar>
              <w:left w:w="28" w:type="dxa"/>
              <w:right w:w="28" w:type="dxa"/>
            </w:tcMar>
            <w:vAlign w:val="center"/>
            <w:hideMark/>
          </w:tcPr>
          <w:p w14:paraId="2A04C5C2" w14:textId="77777777" w:rsidR="00140741" w:rsidRPr="00D707AC" w:rsidRDefault="00140741" w:rsidP="00ED70FB">
            <w:pPr>
              <w:spacing w:before="40" w:after="40"/>
              <w:ind w:left="0"/>
              <w:jc w:val="center"/>
              <w:rPr>
                <w:rFonts w:ascii="Arial Narrow" w:hAnsi="Arial Narrow"/>
                <w:sz w:val="18"/>
                <w:szCs w:val="18"/>
              </w:rPr>
            </w:pPr>
            <w:r w:rsidRPr="00D707AC">
              <w:rPr>
                <w:rFonts w:ascii="Arial Narrow" w:hAnsi="Arial Narrow"/>
                <w:sz w:val="18"/>
                <w:szCs w:val="18"/>
              </w:rPr>
              <w:t>$73.50</w:t>
            </w:r>
          </w:p>
        </w:tc>
        <w:tc>
          <w:tcPr>
            <w:tcW w:w="3223" w:type="dxa"/>
            <w:shd w:val="clear" w:color="auto" w:fill="auto"/>
            <w:noWrap/>
            <w:tcMar>
              <w:left w:w="28" w:type="dxa"/>
              <w:right w:w="28" w:type="dxa"/>
            </w:tcMar>
            <w:vAlign w:val="center"/>
            <w:hideMark/>
          </w:tcPr>
          <w:p w14:paraId="142373F4" w14:textId="77777777" w:rsidR="00140741" w:rsidRPr="00D707AC" w:rsidRDefault="00140741" w:rsidP="00ED70FB">
            <w:pPr>
              <w:spacing w:before="40" w:after="40"/>
              <w:ind w:left="0"/>
              <w:jc w:val="both"/>
              <w:rPr>
                <w:rFonts w:ascii="Arial Narrow" w:hAnsi="Arial Narrow"/>
                <w:sz w:val="18"/>
                <w:szCs w:val="18"/>
              </w:rPr>
            </w:pPr>
            <w:r>
              <w:rPr>
                <w:rFonts w:ascii="Arial Narrow" w:hAnsi="Arial Narrow"/>
                <w:sz w:val="18"/>
                <w:szCs w:val="18"/>
              </w:rPr>
              <w:t xml:space="preserve">Assume once a month, </w:t>
            </w:r>
            <w:r w:rsidRPr="00D707AC">
              <w:rPr>
                <w:rFonts w:ascii="Arial Narrow" w:hAnsi="Arial Narrow"/>
                <w:sz w:val="18"/>
                <w:szCs w:val="18"/>
              </w:rPr>
              <w:t xml:space="preserve">15-30mins </w:t>
            </w:r>
            <w:r>
              <w:rPr>
                <w:rFonts w:ascii="Arial Narrow" w:hAnsi="Arial Narrow"/>
                <w:sz w:val="18"/>
                <w:szCs w:val="18"/>
              </w:rPr>
              <w:t xml:space="preserve">consultation; </w:t>
            </w:r>
            <w:r w:rsidRPr="00D707AC">
              <w:rPr>
                <w:rFonts w:ascii="Arial Narrow" w:hAnsi="Arial Narrow"/>
                <w:sz w:val="18"/>
                <w:szCs w:val="18"/>
              </w:rPr>
              <w:t>MBS item 302 (85% fee) (MBS online)</w:t>
            </w:r>
          </w:p>
        </w:tc>
      </w:tr>
    </w:tbl>
    <w:p w14:paraId="15440A24" w14:textId="77777777" w:rsidR="00140741" w:rsidRPr="004413C9" w:rsidRDefault="004413C9" w:rsidP="00ED70FB">
      <w:pPr>
        <w:spacing w:before="40" w:after="40"/>
        <w:ind w:left="709"/>
        <w:rPr>
          <w:rFonts w:ascii="Arial Narrow" w:hAnsi="Arial Narrow"/>
          <w:sz w:val="18"/>
          <w:szCs w:val="18"/>
        </w:rPr>
      </w:pPr>
      <w:r w:rsidRPr="004413C9">
        <w:rPr>
          <w:rFonts w:ascii="Arial Narrow" w:hAnsi="Arial Narrow"/>
          <w:sz w:val="18"/>
          <w:szCs w:val="18"/>
        </w:rPr>
        <w:t xml:space="preserve">Source: </w:t>
      </w:r>
      <w:r>
        <w:rPr>
          <w:rFonts w:ascii="Arial Narrow" w:hAnsi="Arial Narrow"/>
          <w:sz w:val="18"/>
          <w:szCs w:val="18"/>
        </w:rPr>
        <w:t>rTMS Section D working table.xlsx</w:t>
      </w:r>
    </w:p>
    <w:p w14:paraId="6E45CCD5" w14:textId="77777777" w:rsidR="004413C9" w:rsidRDefault="004413C9" w:rsidP="00140741">
      <w:pPr>
        <w:pStyle w:val="ListParagraph"/>
        <w:ind w:left="360"/>
      </w:pPr>
    </w:p>
    <w:p w14:paraId="06D00BB5" w14:textId="6B319787" w:rsidR="00C90289" w:rsidRPr="00653B3B" w:rsidRDefault="00C90289" w:rsidP="007F787A">
      <w:pPr>
        <w:jc w:val="both"/>
      </w:pPr>
      <w:r w:rsidRPr="00653B3B">
        <w:lastRenderedPageBreak/>
        <w:t xml:space="preserve">The key parameters of the model are </w:t>
      </w:r>
      <w:r>
        <w:t>summarised</w:t>
      </w:r>
      <w:r w:rsidRPr="00653B3B">
        <w:t xml:space="preserve"> in </w:t>
      </w:r>
      <w:r w:rsidR="007F787A">
        <w:fldChar w:fldCharType="begin"/>
      </w:r>
      <w:r w:rsidR="007F787A">
        <w:instrText xml:space="preserve"> REF _Ref386031615 \h  \* MERGEFORMAT </w:instrText>
      </w:r>
      <w:r w:rsidR="007F787A">
        <w:fldChar w:fldCharType="separate"/>
      </w:r>
      <w:r w:rsidR="004C1C27" w:rsidRPr="00632D26">
        <w:t xml:space="preserve">Table </w:t>
      </w:r>
      <w:r w:rsidR="004C1C27">
        <w:t>3</w:t>
      </w:r>
      <w:r w:rsidR="007F787A">
        <w:fldChar w:fldCharType="end"/>
      </w:r>
      <w:r w:rsidR="007F787A">
        <w:t xml:space="preserve"> </w:t>
      </w:r>
      <w:r w:rsidRPr="00653B3B">
        <w:t xml:space="preserve">together with the sources. The structure of the model is provided in </w:t>
      </w:r>
      <w:bookmarkStart w:id="149" w:name="_Ref383699893"/>
      <w:r w:rsidR="00580F8D" w:rsidRPr="00580F8D">
        <w:t xml:space="preserve">Appendix </w:t>
      </w:r>
      <w:r w:rsidR="00580F8D">
        <w:t>D</w:t>
      </w:r>
      <w:r>
        <w:t>.</w:t>
      </w:r>
    </w:p>
    <w:p w14:paraId="765DC9D6" w14:textId="3007BADA" w:rsidR="00C90289" w:rsidRPr="006A44A5" w:rsidRDefault="001507E1" w:rsidP="00ED70FB">
      <w:pPr>
        <w:pStyle w:val="TableName"/>
      </w:pPr>
      <w:bookmarkStart w:id="150" w:name="_Ref386031615"/>
      <w:bookmarkStart w:id="151" w:name="_Toc389140546"/>
      <w:bookmarkStart w:id="152" w:name="_Toc389142165"/>
      <w:bookmarkStart w:id="153" w:name="_Toc389143588"/>
      <w:bookmarkEnd w:id="149"/>
      <w:r w:rsidRPr="00632D26">
        <w:t xml:space="preserve">Table </w:t>
      </w:r>
      <w:r w:rsidR="004C1C27">
        <w:fldChar w:fldCharType="begin"/>
      </w:r>
      <w:r w:rsidR="004C1C27">
        <w:instrText xml:space="preserve"> SEQ Table \* ARABIC </w:instrText>
      </w:r>
      <w:r w:rsidR="004C1C27">
        <w:fldChar w:fldCharType="separate"/>
      </w:r>
      <w:r w:rsidR="004C1C27">
        <w:rPr>
          <w:noProof/>
        </w:rPr>
        <w:t>3</w:t>
      </w:r>
      <w:r w:rsidR="004C1C27">
        <w:rPr>
          <w:noProof/>
        </w:rPr>
        <w:fldChar w:fldCharType="end"/>
      </w:r>
      <w:bookmarkEnd w:id="150"/>
      <w:r w:rsidRPr="00632D26">
        <w:t xml:space="preserve">: </w:t>
      </w:r>
      <w:r w:rsidR="00C90289" w:rsidRPr="006A44A5">
        <w:t>Parameters used in the economic model</w:t>
      </w:r>
      <w:bookmarkEnd w:id="151"/>
      <w:bookmarkEnd w:id="152"/>
      <w:bookmarkEnd w:id="153"/>
      <w:r w:rsidR="00C90289" w:rsidRPr="006A44A5">
        <w:t xml:space="preserve"> </w:t>
      </w:r>
    </w:p>
    <w:tbl>
      <w:tblPr>
        <w:tblStyle w:val="TableGrid"/>
        <w:tblW w:w="4591" w:type="pct"/>
        <w:tblInd w:w="760" w:type="dxa"/>
        <w:tblLook w:val="04A0" w:firstRow="1" w:lastRow="0" w:firstColumn="1" w:lastColumn="0" w:noHBand="0" w:noVBand="1"/>
        <w:tblCaption w:val="Parameters used in the economic model"/>
      </w:tblPr>
      <w:tblGrid>
        <w:gridCol w:w="2670"/>
        <w:gridCol w:w="1419"/>
        <w:gridCol w:w="609"/>
        <w:gridCol w:w="672"/>
        <w:gridCol w:w="886"/>
        <w:gridCol w:w="2083"/>
      </w:tblGrid>
      <w:tr w:rsidR="00C90289" w:rsidRPr="007F787A" w14:paraId="4DF37FAC" w14:textId="77777777" w:rsidTr="003039ED">
        <w:trPr>
          <w:cantSplit/>
          <w:tblHeader/>
        </w:trPr>
        <w:tc>
          <w:tcPr>
            <w:tcW w:w="1601" w:type="pct"/>
            <w:tcMar>
              <w:left w:w="28" w:type="dxa"/>
              <w:right w:w="28" w:type="dxa"/>
            </w:tcMar>
            <w:vAlign w:val="center"/>
          </w:tcPr>
          <w:p w14:paraId="07150198" w14:textId="77777777" w:rsidR="007F787A" w:rsidRPr="007F787A" w:rsidRDefault="00C90289" w:rsidP="00ED70FB">
            <w:pPr>
              <w:pStyle w:val="TableText"/>
              <w:rPr>
                <w:b/>
                <w:szCs w:val="18"/>
              </w:rPr>
            </w:pPr>
            <w:r w:rsidRPr="007F787A">
              <w:rPr>
                <w:b/>
                <w:szCs w:val="18"/>
              </w:rPr>
              <w:t>Description</w:t>
            </w:r>
          </w:p>
        </w:tc>
        <w:tc>
          <w:tcPr>
            <w:tcW w:w="851" w:type="pct"/>
            <w:tcMar>
              <w:left w:w="28" w:type="dxa"/>
              <w:right w:w="28" w:type="dxa"/>
            </w:tcMar>
            <w:vAlign w:val="center"/>
          </w:tcPr>
          <w:p w14:paraId="4BEAD898" w14:textId="77777777" w:rsidR="00C90289" w:rsidRPr="007F787A" w:rsidRDefault="00C90289" w:rsidP="00ED70FB">
            <w:pPr>
              <w:pStyle w:val="TableText"/>
              <w:jc w:val="center"/>
              <w:rPr>
                <w:b/>
                <w:szCs w:val="18"/>
              </w:rPr>
            </w:pPr>
            <w:r w:rsidRPr="007F787A">
              <w:rPr>
                <w:b/>
                <w:szCs w:val="18"/>
              </w:rPr>
              <w:t>Base</w:t>
            </w:r>
          </w:p>
        </w:tc>
        <w:tc>
          <w:tcPr>
            <w:tcW w:w="365" w:type="pct"/>
            <w:tcMar>
              <w:left w:w="28" w:type="dxa"/>
              <w:right w:w="28" w:type="dxa"/>
            </w:tcMar>
            <w:vAlign w:val="center"/>
          </w:tcPr>
          <w:p w14:paraId="0B8417CA" w14:textId="77777777" w:rsidR="00C90289" w:rsidRPr="007F787A" w:rsidRDefault="00C90289" w:rsidP="00ED70FB">
            <w:pPr>
              <w:pStyle w:val="TableText"/>
              <w:jc w:val="center"/>
              <w:rPr>
                <w:b/>
                <w:szCs w:val="18"/>
              </w:rPr>
            </w:pPr>
            <w:r w:rsidRPr="007F787A">
              <w:rPr>
                <w:b/>
                <w:szCs w:val="18"/>
              </w:rPr>
              <w:t>Low</w:t>
            </w:r>
          </w:p>
        </w:tc>
        <w:tc>
          <w:tcPr>
            <w:tcW w:w="403" w:type="pct"/>
            <w:tcMar>
              <w:left w:w="28" w:type="dxa"/>
              <w:right w:w="28" w:type="dxa"/>
            </w:tcMar>
            <w:vAlign w:val="center"/>
          </w:tcPr>
          <w:p w14:paraId="65914851" w14:textId="77777777" w:rsidR="00C90289" w:rsidRPr="007F787A" w:rsidRDefault="00C90289" w:rsidP="00ED70FB">
            <w:pPr>
              <w:pStyle w:val="TableText"/>
              <w:jc w:val="center"/>
              <w:rPr>
                <w:b/>
                <w:szCs w:val="18"/>
              </w:rPr>
            </w:pPr>
            <w:r w:rsidRPr="007F787A">
              <w:rPr>
                <w:b/>
                <w:szCs w:val="18"/>
              </w:rPr>
              <w:t>High</w:t>
            </w:r>
          </w:p>
        </w:tc>
        <w:tc>
          <w:tcPr>
            <w:tcW w:w="531" w:type="pct"/>
            <w:tcMar>
              <w:left w:w="28" w:type="dxa"/>
              <w:right w:w="28" w:type="dxa"/>
            </w:tcMar>
            <w:vAlign w:val="center"/>
          </w:tcPr>
          <w:p w14:paraId="11904483" w14:textId="77777777" w:rsidR="00C90289" w:rsidRPr="007F787A" w:rsidRDefault="00C90289" w:rsidP="00ED70FB">
            <w:pPr>
              <w:pStyle w:val="TableText"/>
              <w:jc w:val="center"/>
              <w:rPr>
                <w:b/>
                <w:szCs w:val="18"/>
              </w:rPr>
            </w:pPr>
            <w:r w:rsidRPr="007F787A">
              <w:rPr>
                <w:b/>
                <w:szCs w:val="18"/>
              </w:rPr>
              <w:t>Distribution</w:t>
            </w:r>
          </w:p>
        </w:tc>
        <w:tc>
          <w:tcPr>
            <w:tcW w:w="1249" w:type="pct"/>
            <w:tcMar>
              <w:left w:w="28" w:type="dxa"/>
              <w:right w:w="28" w:type="dxa"/>
            </w:tcMar>
            <w:vAlign w:val="center"/>
          </w:tcPr>
          <w:p w14:paraId="66A11D72" w14:textId="77777777" w:rsidR="00C90289" w:rsidRPr="007F787A" w:rsidRDefault="00C90289" w:rsidP="00ED70FB">
            <w:pPr>
              <w:pStyle w:val="TableText"/>
              <w:jc w:val="center"/>
              <w:rPr>
                <w:b/>
                <w:szCs w:val="18"/>
              </w:rPr>
            </w:pPr>
            <w:r w:rsidRPr="007F787A">
              <w:rPr>
                <w:b/>
                <w:szCs w:val="18"/>
              </w:rPr>
              <w:t>Source</w:t>
            </w:r>
          </w:p>
        </w:tc>
      </w:tr>
      <w:tr w:rsidR="00C90289" w:rsidRPr="007F787A" w14:paraId="6C7FE815" w14:textId="77777777" w:rsidTr="003039ED">
        <w:trPr>
          <w:cantSplit/>
          <w:trHeight w:val="170"/>
        </w:trPr>
        <w:tc>
          <w:tcPr>
            <w:tcW w:w="5000" w:type="pct"/>
            <w:gridSpan w:val="6"/>
            <w:tcMar>
              <w:left w:w="28" w:type="dxa"/>
              <w:right w:w="28" w:type="dxa"/>
            </w:tcMar>
            <w:vAlign w:val="center"/>
          </w:tcPr>
          <w:p w14:paraId="1175BA7C" w14:textId="77777777" w:rsidR="00C90289" w:rsidRPr="007F787A" w:rsidRDefault="00C90289" w:rsidP="00ED70FB">
            <w:pPr>
              <w:pStyle w:val="TableText"/>
              <w:rPr>
                <w:rFonts w:cs="Arial"/>
                <w:b/>
                <w:szCs w:val="18"/>
              </w:rPr>
            </w:pPr>
            <w:r w:rsidRPr="007F787A">
              <w:rPr>
                <w:rFonts w:cs="Arial"/>
                <w:b/>
                <w:szCs w:val="18"/>
              </w:rPr>
              <w:t>Model specifications</w:t>
            </w:r>
          </w:p>
        </w:tc>
      </w:tr>
      <w:tr w:rsidR="00C90289" w:rsidRPr="007F787A" w14:paraId="7A39FBE8" w14:textId="77777777" w:rsidTr="003039ED">
        <w:trPr>
          <w:cantSplit/>
          <w:trHeight w:val="170"/>
        </w:trPr>
        <w:tc>
          <w:tcPr>
            <w:tcW w:w="1601" w:type="pct"/>
            <w:tcMar>
              <w:left w:w="28" w:type="dxa"/>
              <w:right w:w="28" w:type="dxa"/>
            </w:tcMar>
            <w:vAlign w:val="center"/>
          </w:tcPr>
          <w:p w14:paraId="01F760F3" w14:textId="23A856FA" w:rsidR="00C90289" w:rsidRPr="007F787A" w:rsidRDefault="00C90289" w:rsidP="00ED70FB">
            <w:pPr>
              <w:keepNext/>
              <w:spacing w:before="40" w:after="40"/>
              <w:ind w:left="142"/>
              <w:rPr>
                <w:rFonts w:ascii="Arial Narrow" w:hAnsi="Arial Narrow" w:cs="Arial"/>
                <w:sz w:val="18"/>
                <w:szCs w:val="18"/>
              </w:rPr>
            </w:pPr>
            <w:r w:rsidRPr="007F787A">
              <w:rPr>
                <w:rFonts w:ascii="Arial Narrow" w:hAnsi="Arial Narrow" w:cs="Arial"/>
                <w:sz w:val="18"/>
                <w:szCs w:val="18"/>
              </w:rPr>
              <w:t>Model duration (month</w:t>
            </w:r>
            <w:r w:rsidR="00580F8D">
              <w:rPr>
                <w:rFonts w:ascii="Arial Narrow" w:hAnsi="Arial Narrow" w:cs="Arial"/>
                <w:sz w:val="18"/>
                <w:szCs w:val="18"/>
              </w:rPr>
              <w:t>s</w:t>
            </w:r>
            <w:r w:rsidRPr="007F787A">
              <w:rPr>
                <w:rFonts w:ascii="Arial Narrow" w:hAnsi="Arial Narrow" w:cs="Arial"/>
                <w:sz w:val="18"/>
                <w:szCs w:val="18"/>
              </w:rPr>
              <w:t>)</w:t>
            </w:r>
          </w:p>
        </w:tc>
        <w:tc>
          <w:tcPr>
            <w:tcW w:w="851" w:type="pct"/>
            <w:tcMar>
              <w:left w:w="28" w:type="dxa"/>
              <w:right w:w="28" w:type="dxa"/>
            </w:tcMar>
            <w:vAlign w:val="center"/>
          </w:tcPr>
          <w:p w14:paraId="0A4EEC60" w14:textId="77777777" w:rsidR="00C90289" w:rsidRPr="007F787A" w:rsidRDefault="00C90289" w:rsidP="00ED70FB">
            <w:pPr>
              <w:keepNext/>
              <w:spacing w:before="40" w:after="40"/>
              <w:ind w:left="0"/>
              <w:jc w:val="center"/>
              <w:rPr>
                <w:rFonts w:ascii="Arial Narrow" w:hAnsi="Arial Narrow" w:cs="Arial"/>
                <w:sz w:val="18"/>
                <w:szCs w:val="18"/>
              </w:rPr>
            </w:pPr>
            <w:r w:rsidRPr="007F787A">
              <w:rPr>
                <w:rFonts w:ascii="Arial Narrow" w:hAnsi="Arial Narrow" w:cs="Arial"/>
                <w:sz w:val="18"/>
                <w:szCs w:val="18"/>
              </w:rPr>
              <w:t>36</w:t>
            </w:r>
          </w:p>
        </w:tc>
        <w:tc>
          <w:tcPr>
            <w:tcW w:w="365" w:type="pct"/>
            <w:tcBorders>
              <w:bottom w:val="single" w:sz="4" w:space="0" w:color="auto"/>
            </w:tcBorders>
            <w:tcMar>
              <w:left w:w="28" w:type="dxa"/>
              <w:right w:w="28" w:type="dxa"/>
            </w:tcMar>
            <w:vAlign w:val="center"/>
          </w:tcPr>
          <w:p w14:paraId="10CEC4CB" w14:textId="77777777" w:rsidR="00C90289" w:rsidRPr="007F787A" w:rsidRDefault="00C90289" w:rsidP="00ED70FB">
            <w:pPr>
              <w:keepNext/>
              <w:spacing w:before="40" w:after="40"/>
              <w:ind w:left="0"/>
              <w:jc w:val="center"/>
              <w:rPr>
                <w:rFonts w:ascii="Arial Narrow" w:hAnsi="Arial Narrow" w:cs="Arial"/>
                <w:sz w:val="18"/>
                <w:szCs w:val="18"/>
              </w:rPr>
            </w:pPr>
            <w:r w:rsidRPr="007F787A">
              <w:rPr>
                <w:rFonts w:ascii="Arial Narrow" w:hAnsi="Arial Narrow" w:cs="Arial"/>
                <w:sz w:val="18"/>
                <w:szCs w:val="18"/>
              </w:rPr>
              <w:t>24</w:t>
            </w:r>
          </w:p>
        </w:tc>
        <w:tc>
          <w:tcPr>
            <w:tcW w:w="403" w:type="pct"/>
            <w:tcBorders>
              <w:bottom w:val="single" w:sz="4" w:space="0" w:color="auto"/>
            </w:tcBorders>
            <w:tcMar>
              <w:left w:w="28" w:type="dxa"/>
              <w:right w:w="28" w:type="dxa"/>
            </w:tcMar>
            <w:vAlign w:val="center"/>
          </w:tcPr>
          <w:p w14:paraId="676066C4" w14:textId="77777777" w:rsidR="00C90289" w:rsidRPr="007F787A" w:rsidRDefault="00C90289" w:rsidP="00ED70FB">
            <w:pPr>
              <w:keepNext/>
              <w:spacing w:before="40" w:after="40"/>
              <w:ind w:left="0"/>
              <w:jc w:val="center"/>
              <w:rPr>
                <w:rFonts w:ascii="Arial Narrow" w:hAnsi="Arial Narrow" w:cs="Arial"/>
                <w:sz w:val="18"/>
                <w:szCs w:val="18"/>
              </w:rPr>
            </w:pPr>
            <w:r w:rsidRPr="007F787A">
              <w:rPr>
                <w:rFonts w:ascii="Arial Narrow" w:hAnsi="Arial Narrow" w:cs="Arial"/>
                <w:sz w:val="18"/>
                <w:szCs w:val="18"/>
              </w:rPr>
              <w:t>60</w:t>
            </w:r>
          </w:p>
        </w:tc>
        <w:tc>
          <w:tcPr>
            <w:tcW w:w="531" w:type="pct"/>
            <w:tcBorders>
              <w:bottom w:val="single" w:sz="4" w:space="0" w:color="auto"/>
            </w:tcBorders>
            <w:tcMar>
              <w:left w:w="28" w:type="dxa"/>
              <w:right w:w="28" w:type="dxa"/>
            </w:tcMar>
            <w:vAlign w:val="center"/>
          </w:tcPr>
          <w:p w14:paraId="785365A6" w14:textId="77777777" w:rsidR="00C90289" w:rsidRPr="007F787A" w:rsidRDefault="004412C5" w:rsidP="00ED70FB">
            <w:pPr>
              <w:pStyle w:val="TableText"/>
              <w:jc w:val="center"/>
              <w:rPr>
                <w:szCs w:val="18"/>
              </w:rPr>
            </w:pPr>
            <w:r w:rsidRPr="007F787A">
              <w:rPr>
                <w:szCs w:val="18"/>
              </w:rPr>
              <w:t>-</w:t>
            </w:r>
          </w:p>
        </w:tc>
        <w:tc>
          <w:tcPr>
            <w:tcW w:w="1249" w:type="pct"/>
            <w:tcMar>
              <w:left w:w="28" w:type="dxa"/>
              <w:right w:w="28" w:type="dxa"/>
            </w:tcMar>
            <w:vAlign w:val="center"/>
          </w:tcPr>
          <w:p w14:paraId="326F7DCD" w14:textId="77777777" w:rsidR="00C90289" w:rsidRPr="007F787A" w:rsidRDefault="00C90289" w:rsidP="00ED70FB">
            <w:pPr>
              <w:pStyle w:val="TableText"/>
              <w:jc w:val="center"/>
              <w:rPr>
                <w:szCs w:val="18"/>
              </w:rPr>
            </w:pPr>
            <w:r w:rsidRPr="007F787A">
              <w:rPr>
                <w:szCs w:val="18"/>
              </w:rPr>
              <w:t>Assumption</w:t>
            </w:r>
          </w:p>
        </w:tc>
      </w:tr>
      <w:tr w:rsidR="00C90289" w:rsidRPr="007F787A" w14:paraId="29FBE077" w14:textId="77777777" w:rsidTr="003039ED">
        <w:trPr>
          <w:cantSplit/>
          <w:trHeight w:val="170"/>
        </w:trPr>
        <w:tc>
          <w:tcPr>
            <w:tcW w:w="1601" w:type="pct"/>
            <w:tcMar>
              <w:left w:w="28" w:type="dxa"/>
              <w:right w:w="28" w:type="dxa"/>
            </w:tcMar>
            <w:vAlign w:val="center"/>
          </w:tcPr>
          <w:p w14:paraId="1D81FCB4" w14:textId="0C1D80F3"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Cycle length (month</w:t>
            </w:r>
            <w:r w:rsidR="00580F8D">
              <w:rPr>
                <w:rFonts w:ascii="Arial Narrow" w:hAnsi="Arial Narrow" w:cs="Arial"/>
                <w:sz w:val="18"/>
                <w:szCs w:val="18"/>
              </w:rPr>
              <w:t>s</w:t>
            </w:r>
            <w:r w:rsidRPr="007F787A">
              <w:rPr>
                <w:rFonts w:ascii="Arial Narrow" w:hAnsi="Arial Narrow" w:cs="Arial"/>
                <w:sz w:val="18"/>
                <w:szCs w:val="18"/>
              </w:rPr>
              <w:t>)</w:t>
            </w:r>
          </w:p>
        </w:tc>
        <w:tc>
          <w:tcPr>
            <w:tcW w:w="851" w:type="pct"/>
            <w:tcMar>
              <w:left w:w="28" w:type="dxa"/>
              <w:right w:w="28" w:type="dxa"/>
            </w:tcMar>
            <w:vAlign w:val="center"/>
          </w:tcPr>
          <w:p w14:paraId="1EC83DF7" w14:textId="77777777" w:rsidR="00C90289" w:rsidRPr="007F787A" w:rsidRDefault="00455CBC"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w:t>
            </w:r>
          </w:p>
        </w:tc>
        <w:tc>
          <w:tcPr>
            <w:tcW w:w="365" w:type="pct"/>
            <w:shd w:val="clear" w:color="auto" w:fill="auto"/>
            <w:tcMar>
              <w:left w:w="28" w:type="dxa"/>
              <w:right w:w="28" w:type="dxa"/>
            </w:tcMar>
            <w:vAlign w:val="center"/>
          </w:tcPr>
          <w:p w14:paraId="02FDE588"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shd w:val="clear" w:color="auto" w:fill="auto"/>
            <w:tcMar>
              <w:left w:w="28" w:type="dxa"/>
              <w:right w:w="28" w:type="dxa"/>
            </w:tcMar>
            <w:vAlign w:val="center"/>
          </w:tcPr>
          <w:p w14:paraId="615B39BE"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shd w:val="clear" w:color="auto" w:fill="auto"/>
            <w:tcMar>
              <w:left w:w="28" w:type="dxa"/>
              <w:right w:w="28" w:type="dxa"/>
            </w:tcMar>
            <w:vAlign w:val="center"/>
          </w:tcPr>
          <w:p w14:paraId="03C315BB" w14:textId="77777777" w:rsidR="00C90289" w:rsidRPr="007F787A" w:rsidRDefault="004412C5"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6E255A08" w14:textId="77777777" w:rsidR="00C90289" w:rsidRPr="007F787A" w:rsidRDefault="00C90289" w:rsidP="00ED70FB">
            <w:pPr>
              <w:pStyle w:val="TableText"/>
              <w:keepNext w:val="0"/>
              <w:widowControl w:val="0"/>
              <w:jc w:val="center"/>
              <w:rPr>
                <w:szCs w:val="18"/>
              </w:rPr>
            </w:pPr>
            <w:r w:rsidRPr="007F787A">
              <w:rPr>
                <w:szCs w:val="18"/>
              </w:rPr>
              <w:t>Assumption</w:t>
            </w:r>
          </w:p>
        </w:tc>
      </w:tr>
      <w:tr w:rsidR="00C90289" w:rsidRPr="007F787A" w14:paraId="5E995B7E" w14:textId="77777777" w:rsidTr="003039ED">
        <w:trPr>
          <w:cantSplit/>
          <w:trHeight w:val="170"/>
        </w:trPr>
        <w:tc>
          <w:tcPr>
            <w:tcW w:w="1601" w:type="pct"/>
            <w:tcMar>
              <w:left w:w="28" w:type="dxa"/>
              <w:right w:w="28" w:type="dxa"/>
            </w:tcMar>
            <w:vAlign w:val="center"/>
          </w:tcPr>
          <w:p w14:paraId="3EDEFCF0"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Health states</w:t>
            </w:r>
          </w:p>
        </w:tc>
        <w:tc>
          <w:tcPr>
            <w:tcW w:w="851" w:type="pct"/>
            <w:tcMar>
              <w:left w:w="28" w:type="dxa"/>
              <w:right w:w="28" w:type="dxa"/>
            </w:tcMar>
            <w:vAlign w:val="center"/>
          </w:tcPr>
          <w:p w14:paraId="0B9A5683"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 xml:space="preserve">8 </w:t>
            </w:r>
          </w:p>
        </w:tc>
        <w:tc>
          <w:tcPr>
            <w:tcW w:w="365" w:type="pct"/>
            <w:shd w:val="clear" w:color="auto" w:fill="auto"/>
            <w:tcMar>
              <w:left w:w="28" w:type="dxa"/>
              <w:right w:w="28" w:type="dxa"/>
            </w:tcMar>
            <w:vAlign w:val="center"/>
          </w:tcPr>
          <w:p w14:paraId="3AF59277"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shd w:val="clear" w:color="auto" w:fill="auto"/>
            <w:tcMar>
              <w:left w:w="28" w:type="dxa"/>
              <w:right w:w="28" w:type="dxa"/>
            </w:tcMar>
            <w:vAlign w:val="center"/>
          </w:tcPr>
          <w:p w14:paraId="7A00C5E1"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shd w:val="clear" w:color="auto" w:fill="auto"/>
            <w:tcMar>
              <w:left w:w="28" w:type="dxa"/>
              <w:right w:w="28" w:type="dxa"/>
            </w:tcMar>
            <w:vAlign w:val="center"/>
          </w:tcPr>
          <w:p w14:paraId="0AB4431A" w14:textId="77777777" w:rsidR="00C90289" w:rsidRPr="007F787A" w:rsidRDefault="004412C5"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407EE163" w14:textId="77777777" w:rsidR="00C90289" w:rsidRPr="007F787A" w:rsidRDefault="00C90289" w:rsidP="00ED70FB">
            <w:pPr>
              <w:pStyle w:val="TableText"/>
              <w:keepNext w:val="0"/>
              <w:widowControl w:val="0"/>
              <w:jc w:val="center"/>
              <w:rPr>
                <w:szCs w:val="18"/>
              </w:rPr>
            </w:pPr>
            <w:r w:rsidRPr="007F787A">
              <w:rPr>
                <w:szCs w:val="18"/>
              </w:rPr>
              <w:t>Assumption</w:t>
            </w:r>
          </w:p>
        </w:tc>
      </w:tr>
      <w:tr w:rsidR="00C90289" w:rsidRPr="007F787A" w14:paraId="1EF782F1" w14:textId="77777777" w:rsidTr="003039ED">
        <w:trPr>
          <w:cantSplit/>
          <w:trHeight w:val="170"/>
        </w:trPr>
        <w:tc>
          <w:tcPr>
            <w:tcW w:w="1601" w:type="pct"/>
            <w:tcMar>
              <w:left w:w="28" w:type="dxa"/>
              <w:right w:w="28" w:type="dxa"/>
            </w:tcMar>
            <w:vAlign w:val="center"/>
          </w:tcPr>
          <w:p w14:paraId="3C57EA62"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Discounting (both cost and effects)</w:t>
            </w:r>
          </w:p>
        </w:tc>
        <w:tc>
          <w:tcPr>
            <w:tcW w:w="851" w:type="pct"/>
            <w:tcMar>
              <w:left w:w="28" w:type="dxa"/>
              <w:right w:w="28" w:type="dxa"/>
            </w:tcMar>
            <w:vAlign w:val="center"/>
          </w:tcPr>
          <w:p w14:paraId="13C783E0"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5%</w:t>
            </w:r>
          </w:p>
        </w:tc>
        <w:tc>
          <w:tcPr>
            <w:tcW w:w="365" w:type="pct"/>
            <w:shd w:val="clear" w:color="auto" w:fill="auto"/>
            <w:tcMar>
              <w:left w:w="28" w:type="dxa"/>
              <w:right w:w="28" w:type="dxa"/>
            </w:tcMar>
            <w:vAlign w:val="center"/>
          </w:tcPr>
          <w:p w14:paraId="681AECC8"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shd w:val="clear" w:color="auto" w:fill="auto"/>
            <w:tcMar>
              <w:left w:w="28" w:type="dxa"/>
              <w:right w:w="28" w:type="dxa"/>
            </w:tcMar>
            <w:vAlign w:val="center"/>
          </w:tcPr>
          <w:p w14:paraId="6BFAAEA3"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shd w:val="clear" w:color="auto" w:fill="auto"/>
            <w:tcMar>
              <w:left w:w="28" w:type="dxa"/>
              <w:right w:w="28" w:type="dxa"/>
            </w:tcMar>
            <w:vAlign w:val="center"/>
          </w:tcPr>
          <w:p w14:paraId="0B0A9855" w14:textId="77777777" w:rsidR="00C90289" w:rsidRPr="007F787A" w:rsidRDefault="004412C5"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3082A4C2" w14:textId="77777777" w:rsidR="00C90289" w:rsidRPr="007F787A" w:rsidRDefault="00C90289" w:rsidP="00ED70FB">
            <w:pPr>
              <w:pStyle w:val="TableText"/>
              <w:keepNext w:val="0"/>
              <w:widowControl w:val="0"/>
              <w:jc w:val="center"/>
              <w:rPr>
                <w:szCs w:val="18"/>
              </w:rPr>
            </w:pPr>
            <w:r w:rsidRPr="007F787A">
              <w:rPr>
                <w:szCs w:val="18"/>
              </w:rPr>
              <w:t>PBAC Guidelines</w:t>
            </w:r>
          </w:p>
        </w:tc>
      </w:tr>
      <w:tr w:rsidR="001507E1" w:rsidRPr="007F787A" w14:paraId="44F393A5" w14:textId="77777777" w:rsidTr="003039ED">
        <w:trPr>
          <w:cantSplit/>
          <w:trHeight w:val="170"/>
        </w:trPr>
        <w:tc>
          <w:tcPr>
            <w:tcW w:w="5000" w:type="pct"/>
            <w:gridSpan w:val="6"/>
            <w:tcBorders>
              <w:bottom w:val="single" w:sz="4" w:space="0" w:color="auto"/>
            </w:tcBorders>
            <w:tcMar>
              <w:left w:w="28" w:type="dxa"/>
              <w:right w:w="28" w:type="dxa"/>
            </w:tcMar>
            <w:vAlign w:val="center"/>
          </w:tcPr>
          <w:p w14:paraId="18671093" w14:textId="77777777" w:rsidR="001507E1" w:rsidRPr="007F787A" w:rsidRDefault="001507E1" w:rsidP="00ED70FB">
            <w:pPr>
              <w:pStyle w:val="TableText"/>
              <w:keepNext w:val="0"/>
              <w:widowControl w:val="0"/>
              <w:rPr>
                <w:szCs w:val="18"/>
              </w:rPr>
            </w:pPr>
            <w:r w:rsidRPr="007F787A">
              <w:rPr>
                <w:b/>
                <w:szCs w:val="18"/>
              </w:rPr>
              <w:t>Probabilities</w:t>
            </w:r>
          </w:p>
        </w:tc>
      </w:tr>
      <w:tr w:rsidR="004412C5" w:rsidRPr="007F787A" w14:paraId="717008DD" w14:textId="77777777" w:rsidTr="003039ED">
        <w:trPr>
          <w:cantSplit/>
          <w:trHeight w:val="170"/>
        </w:trPr>
        <w:tc>
          <w:tcPr>
            <w:tcW w:w="1601" w:type="pct"/>
            <w:tcBorders>
              <w:right w:val="nil"/>
            </w:tcBorders>
            <w:tcMar>
              <w:left w:w="28" w:type="dxa"/>
              <w:right w:w="28" w:type="dxa"/>
            </w:tcMar>
            <w:vAlign w:val="center"/>
          </w:tcPr>
          <w:p w14:paraId="4F73FC47" w14:textId="77777777" w:rsidR="004412C5" w:rsidRPr="007F787A" w:rsidRDefault="004412C5" w:rsidP="00ED70FB">
            <w:pPr>
              <w:widowControl w:val="0"/>
              <w:spacing w:before="40" w:after="40"/>
              <w:ind w:left="142"/>
              <w:rPr>
                <w:rFonts w:ascii="Arial Narrow" w:hAnsi="Arial Narrow" w:cs="Arial"/>
                <w:sz w:val="18"/>
                <w:szCs w:val="18"/>
              </w:rPr>
            </w:pPr>
            <w:r w:rsidRPr="007F787A">
              <w:rPr>
                <w:rFonts w:ascii="Arial Narrow" w:hAnsi="Arial Narrow" w:cs="Arial"/>
                <w:b/>
                <w:i/>
                <w:sz w:val="18"/>
                <w:szCs w:val="18"/>
              </w:rPr>
              <w:t>rTMS</w:t>
            </w:r>
          </w:p>
        </w:tc>
        <w:tc>
          <w:tcPr>
            <w:tcW w:w="851" w:type="pct"/>
            <w:tcBorders>
              <w:left w:val="nil"/>
              <w:right w:val="nil"/>
            </w:tcBorders>
            <w:tcMar>
              <w:left w:w="28" w:type="dxa"/>
              <w:right w:w="28" w:type="dxa"/>
            </w:tcMar>
            <w:vAlign w:val="center"/>
          </w:tcPr>
          <w:p w14:paraId="2FA219BE"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365" w:type="pct"/>
            <w:tcBorders>
              <w:left w:val="nil"/>
              <w:right w:val="nil"/>
            </w:tcBorders>
            <w:shd w:val="clear" w:color="auto" w:fill="auto"/>
            <w:tcMar>
              <w:left w:w="28" w:type="dxa"/>
              <w:right w:w="28" w:type="dxa"/>
            </w:tcMar>
            <w:vAlign w:val="center"/>
          </w:tcPr>
          <w:p w14:paraId="78C261B7"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403" w:type="pct"/>
            <w:tcBorders>
              <w:left w:val="nil"/>
              <w:right w:val="nil"/>
            </w:tcBorders>
            <w:shd w:val="clear" w:color="auto" w:fill="auto"/>
            <w:tcMar>
              <w:left w:w="28" w:type="dxa"/>
              <w:right w:w="28" w:type="dxa"/>
            </w:tcMar>
            <w:vAlign w:val="center"/>
          </w:tcPr>
          <w:p w14:paraId="542BA590"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531" w:type="pct"/>
            <w:tcBorders>
              <w:left w:val="nil"/>
              <w:right w:val="nil"/>
            </w:tcBorders>
            <w:shd w:val="clear" w:color="auto" w:fill="auto"/>
            <w:tcMar>
              <w:left w:w="28" w:type="dxa"/>
              <w:right w:w="28" w:type="dxa"/>
            </w:tcMar>
            <w:vAlign w:val="center"/>
          </w:tcPr>
          <w:p w14:paraId="297B575C" w14:textId="77777777" w:rsidR="004412C5" w:rsidRPr="007F787A" w:rsidRDefault="004412C5" w:rsidP="00ED70FB">
            <w:pPr>
              <w:pStyle w:val="TableText"/>
              <w:keepNext w:val="0"/>
              <w:widowControl w:val="0"/>
              <w:jc w:val="center"/>
              <w:rPr>
                <w:szCs w:val="18"/>
              </w:rPr>
            </w:pPr>
          </w:p>
        </w:tc>
        <w:tc>
          <w:tcPr>
            <w:tcW w:w="1249" w:type="pct"/>
            <w:tcBorders>
              <w:left w:val="nil"/>
            </w:tcBorders>
            <w:tcMar>
              <w:left w:w="28" w:type="dxa"/>
              <w:right w:w="28" w:type="dxa"/>
            </w:tcMar>
            <w:vAlign w:val="center"/>
          </w:tcPr>
          <w:p w14:paraId="7BD33A49" w14:textId="77777777" w:rsidR="004412C5" w:rsidRPr="007F787A" w:rsidRDefault="004412C5" w:rsidP="00ED70FB">
            <w:pPr>
              <w:pStyle w:val="TableText"/>
              <w:keepNext w:val="0"/>
              <w:widowControl w:val="0"/>
              <w:jc w:val="center"/>
              <w:rPr>
                <w:szCs w:val="18"/>
              </w:rPr>
            </w:pPr>
          </w:p>
        </w:tc>
      </w:tr>
      <w:tr w:rsidR="00C90289" w:rsidRPr="007F787A" w14:paraId="0B98BBB6" w14:textId="77777777" w:rsidTr="003039ED">
        <w:trPr>
          <w:cantSplit/>
          <w:trHeight w:val="170"/>
        </w:trPr>
        <w:tc>
          <w:tcPr>
            <w:tcW w:w="1601" w:type="pct"/>
            <w:tcMar>
              <w:left w:w="28" w:type="dxa"/>
              <w:right w:w="28" w:type="dxa"/>
            </w:tcMar>
            <w:vAlign w:val="center"/>
          </w:tcPr>
          <w:p w14:paraId="7210FA59"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REM: 1</w:t>
            </w:r>
            <w:r w:rsidRPr="007F787A">
              <w:rPr>
                <w:rFonts w:ascii="Arial Narrow" w:hAnsi="Arial Narrow" w:cs="Arial"/>
                <w:sz w:val="18"/>
                <w:szCs w:val="18"/>
                <w:vertAlign w:val="superscript"/>
              </w:rPr>
              <w:t>st</w:t>
            </w:r>
            <w:r w:rsidRPr="007F787A">
              <w:rPr>
                <w:rFonts w:ascii="Arial Narrow" w:hAnsi="Arial Narrow" w:cs="Arial"/>
                <w:sz w:val="18"/>
                <w:szCs w:val="18"/>
              </w:rPr>
              <w:t xml:space="preserve"> treatment</w:t>
            </w:r>
          </w:p>
        </w:tc>
        <w:tc>
          <w:tcPr>
            <w:tcW w:w="851" w:type="pct"/>
            <w:tcMar>
              <w:left w:w="28" w:type="dxa"/>
              <w:right w:w="28" w:type="dxa"/>
            </w:tcMar>
            <w:vAlign w:val="center"/>
          </w:tcPr>
          <w:p w14:paraId="1061101C"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21.5%</w:t>
            </w:r>
          </w:p>
        </w:tc>
        <w:tc>
          <w:tcPr>
            <w:tcW w:w="365" w:type="pct"/>
            <w:tcMar>
              <w:left w:w="28" w:type="dxa"/>
              <w:right w:w="28" w:type="dxa"/>
            </w:tcMar>
            <w:vAlign w:val="center"/>
          </w:tcPr>
          <w:p w14:paraId="76B3CBAC"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19.7%</w:t>
            </w:r>
          </w:p>
        </w:tc>
        <w:tc>
          <w:tcPr>
            <w:tcW w:w="403" w:type="pct"/>
            <w:tcMar>
              <w:left w:w="28" w:type="dxa"/>
              <w:right w:w="28" w:type="dxa"/>
            </w:tcMar>
            <w:vAlign w:val="center"/>
          </w:tcPr>
          <w:p w14:paraId="6A998CF4"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31.2%</w:t>
            </w:r>
          </w:p>
        </w:tc>
        <w:tc>
          <w:tcPr>
            <w:tcW w:w="531" w:type="pct"/>
            <w:tcMar>
              <w:left w:w="28" w:type="dxa"/>
              <w:right w:w="28" w:type="dxa"/>
            </w:tcMar>
            <w:vAlign w:val="center"/>
          </w:tcPr>
          <w:p w14:paraId="1FC15611" w14:textId="77777777" w:rsidR="00C90289" w:rsidRPr="007F787A" w:rsidRDefault="004412C5"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570F9374" w14:textId="77777777" w:rsidR="00C90289" w:rsidRPr="007F787A" w:rsidRDefault="00C90289" w:rsidP="00ED70FB">
            <w:pPr>
              <w:pStyle w:val="TableText"/>
              <w:keepNext w:val="0"/>
              <w:widowControl w:val="0"/>
              <w:jc w:val="center"/>
              <w:rPr>
                <w:szCs w:val="18"/>
              </w:rPr>
            </w:pPr>
            <w:r w:rsidRPr="007F787A">
              <w:rPr>
                <w:szCs w:val="18"/>
              </w:rPr>
              <w:t>Meta-analysis during evaluation</w:t>
            </w:r>
          </w:p>
        </w:tc>
      </w:tr>
      <w:tr w:rsidR="00C90289" w:rsidRPr="007F787A" w14:paraId="6119A0EF" w14:textId="77777777" w:rsidTr="003039ED">
        <w:trPr>
          <w:cantSplit/>
          <w:trHeight w:val="170"/>
        </w:trPr>
        <w:tc>
          <w:tcPr>
            <w:tcW w:w="1601" w:type="pct"/>
            <w:tcMar>
              <w:left w:w="28" w:type="dxa"/>
              <w:right w:w="28" w:type="dxa"/>
            </w:tcMar>
            <w:vAlign w:val="center"/>
          </w:tcPr>
          <w:p w14:paraId="7D65DE2D"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RESP: 1</w:t>
            </w:r>
            <w:r w:rsidRPr="007F787A">
              <w:rPr>
                <w:rFonts w:ascii="Arial Narrow" w:hAnsi="Arial Narrow" w:cs="Arial"/>
                <w:sz w:val="18"/>
                <w:szCs w:val="18"/>
                <w:vertAlign w:val="superscript"/>
              </w:rPr>
              <w:t>st</w:t>
            </w:r>
            <w:r w:rsidRPr="007F787A">
              <w:rPr>
                <w:rFonts w:ascii="Arial Narrow" w:hAnsi="Arial Narrow" w:cs="Arial"/>
                <w:sz w:val="18"/>
                <w:szCs w:val="18"/>
              </w:rPr>
              <w:t xml:space="preserve"> treatment</w:t>
            </w:r>
          </w:p>
        </w:tc>
        <w:tc>
          <w:tcPr>
            <w:tcW w:w="851" w:type="pct"/>
            <w:tcMar>
              <w:left w:w="28" w:type="dxa"/>
              <w:right w:w="28" w:type="dxa"/>
            </w:tcMar>
            <w:vAlign w:val="center"/>
          </w:tcPr>
          <w:p w14:paraId="480952DE"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37.5%</w:t>
            </w:r>
          </w:p>
        </w:tc>
        <w:tc>
          <w:tcPr>
            <w:tcW w:w="365" w:type="pct"/>
            <w:tcMar>
              <w:left w:w="28" w:type="dxa"/>
              <w:right w:w="28" w:type="dxa"/>
            </w:tcMar>
            <w:vAlign w:val="center"/>
          </w:tcPr>
          <w:p w14:paraId="28BCE57E"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33.2%</w:t>
            </w:r>
          </w:p>
        </w:tc>
        <w:tc>
          <w:tcPr>
            <w:tcW w:w="403" w:type="pct"/>
            <w:tcMar>
              <w:left w:w="28" w:type="dxa"/>
              <w:right w:w="28" w:type="dxa"/>
            </w:tcMar>
            <w:vAlign w:val="center"/>
          </w:tcPr>
          <w:p w14:paraId="71BCDA41"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48.7%</w:t>
            </w:r>
          </w:p>
        </w:tc>
        <w:tc>
          <w:tcPr>
            <w:tcW w:w="531" w:type="pct"/>
            <w:tcMar>
              <w:left w:w="28" w:type="dxa"/>
              <w:right w:w="28" w:type="dxa"/>
            </w:tcMar>
            <w:vAlign w:val="center"/>
          </w:tcPr>
          <w:p w14:paraId="750DD464"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2E99E602" w14:textId="77777777" w:rsidR="00C90289" w:rsidRPr="007F787A" w:rsidRDefault="00C90289" w:rsidP="00ED70FB">
            <w:pPr>
              <w:pStyle w:val="TableText"/>
              <w:keepNext w:val="0"/>
              <w:widowControl w:val="0"/>
              <w:jc w:val="center"/>
              <w:rPr>
                <w:szCs w:val="18"/>
              </w:rPr>
            </w:pPr>
            <w:r w:rsidRPr="007F787A">
              <w:rPr>
                <w:szCs w:val="18"/>
              </w:rPr>
              <w:t>Meta-analysis during evaluation</w:t>
            </w:r>
          </w:p>
        </w:tc>
      </w:tr>
      <w:tr w:rsidR="00C90289" w:rsidRPr="007F787A" w14:paraId="6F39C272" w14:textId="77777777" w:rsidTr="003039ED">
        <w:trPr>
          <w:cantSplit/>
          <w:trHeight w:val="170"/>
        </w:trPr>
        <w:tc>
          <w:tcPr>
            <w:tcW w:w="1601" w:type="pct"/>
            <w:tcMar>
              <w:left w:w="28" w:type="dxa"/>
              <w:right w:w="28" w:type="dxa"/>
            </w:tcMar>
            <w:vAlign w:val="center"/>
          </w:tcPr>
          <w:p w14:paraId="2F3FD23B"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Start maintenance </w:t>
            </w:r>
          </w:p>
        </w:tc>
        <w:tc>
          <w:tcPr>
            <w:tcW w:w="851" w:type="pct"/>
            <w:tcMar>
              <w:left w:w="28" w:type="dxa"/>
              <w:right w:w="28" w:type="dxa"/>
            </w:tcMar>
            <w:vAlign w:val="center"/>
          </w:tcPr>
          <w:p w14:paraId="3E71005E"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10.0%</w:t>
            </w:r>
          </w:p>
        </w:tc>
        <w:tc>
          <w:tcPr>
            <w:tcW w:w="365" w:type="pct"/>
            <w:tcMar>
              <w:left w:w="28" w:type="dxa"/>
              <w:right w:w="28" w:type="dxa"/>
            </w:tcMar>
            <w:vAlign w:val="center"/>
          </w:tcPr>
          <w:p w14:paraId="1027F550"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5.0%</w:t>
            </w:r>
          </w:p>
        </w:tc>
        <w:tc>
          <w:tcPr>
            <w:tcW w:w="403" w:type="pct"/>
            <w:tcMar>
              <w:left w:w="28" w:type="dxa"/>
              <w:right w:w="28" w:type="dxa"/>
            </w:tcMar>
            <w:vAlign w:val="center"/>
          </w:tcPr>
          <w:p w14:paraId="67FAA566"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15.0%</w:t>
            </w:r>
          </w:p>
        </w:tc>
        <w:tc>
          <w:tcPr>
            <w:tcW w:w="531" w:type="pct"/>
            <w:tcMar>
              <w:left w:w="28" w:type="dxa"/>
              <w:right w:w="28" w:type="dxa"/>
            </w:tcMar>
            <w:vAlign w:val="center"/>
          </w:tcPr>
          <w:p w14:paraId="15A821C2"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6E23D1EF" w14:textId="4C7E96F9" w:rsidR="00C90289" w:rsidRPr="007F787A" w:rsidRDefault="00E45AF4" w:rsidP="00ED70FB">
            <w:pPr>
              <w:pStyle w:val="TableText"/>
              <w:keepNext w:val="0"/>
              <w:widowControl w:val="0"/>
              <w:jc w:val="center"/>
              <w:rPr>
                <w:szCs w:val="18"/>
              </w:rPr>
            </w:pPr>
            <w:r>
              <w:rPr>
                <w:szCs w:val="18"/>
              </w:rPr>
              <w:t>Protocol</w:t>
            </w:r>
            <w:r w:rsidR="00C90289" w:rsidRPr="007F787A">
              <w:rPr>
                <w:szCs w:val="18"/>
              </w:rPr>
              <w:t xml:space="preserve"> 1196</w:t>
            </w:r>
          </w:p>
        </w:tc>
      </w:tr>
      <w:tr w:rsidR="00C90289" w:rsidRPr="007F787A" w14:paraId="78FD8ABB" w14:textId="77777777" w:rsidTr="003039ED">
        <w:trPr>
          <w:cantSplit/>
          <w:trHeight w:val="170"/>
        </w:trPr>
        <w:tc>
          <w:tcPr>
            <w:tcW w:w="1601" w:type="pct"/>
            <w:tcMar>
              <w:left w:w="28" w:type="dxa"/>
              <w:right w:w="28" w:type="dxa"/>
            </w:tcMar>
            <w:vAlign w:val="center"/>
          </w:tcPr>
          <w:p w14:paraId="15E57CBD"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Lose remission (no maintenance) </w:t>
            </w:r>
          </w:p>
        </w:tc>
        <w:tc>
          <w:tcPr>
            <w:tcW w:w="851" w:type="pct"/>
            <w:tcMar>
              <w:left w:w="28" w:type="dxa"/>
              <w:right w:w="28" w:type="dxa"/>
            </w:tcMar>
            <w:vAlign w:val="center"/>
          </w:tcPr>
          <w:p w14:paraId="1FEF12BD"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16.6%</w:t>
            </w:r>
          </w:p>
        </w:tc>
        <w:tc>
          <w:tcPr>
            <w:tcW w:w="365" w:type="pct"/>
            <w:tcMar>
              <w:left w:w="28" w:type="dxa"/>
              <w:right w:w="28" w:type="dxa"/>
            </w:tcMar>
            <w:vAlign w:val="center"/>
          </w:tcPr>
          <w:p w14:paraId="31AE995A"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10.0%</w:t>
            </w:r>
          </w:p>
        </w:tc>
        <w:tc>
          <w:tcPr>
            <w:tcW w:w="403" w:type="pct"/>
            <w:tcMar>
              <w:left w:w="28" w:type="dxa"/>
              <w:right w:w="28" w:type="dxa"/>
            </w:tcMar>
            <w:vAlign w:val="center"/>
          </w:tcPr>
          <w:p w14:paraId="123DF07C"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20.0%</w:t>
            </w:r>
          </w:p>
        </w:tc>
        <w:tc>
          <w:tcPr>
            <w:tcW w:w="531" w:type="pct"/>
            <w:tcMar>
              <w:left w:w="28" w:type="dxa"/>
              <w:right w:w="28" w:type="dxa"/>
            </w:tcMar>
            <w:vAlign w:val="center"/>
          </w:tcPr>
          <w:p w14:paraId="6D3F6FE7"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35B4ED3A" w14:textId="77777777" w:rsidR="00C90289" w:rsidRPr="007F787A" w:rsidRDefault="00C90289" w:rsidP="00ED70FB">
            <w:pPr>
              <w:pStyle w:val="TableText"/>
              <w:keepNext w:val="0"/>
              <w:widowControl w:val="0"/>
              <w:jc w:val="center"/>
              <w:rPr>
                <w:szCs w:val="18"/>
              </w:rPr>
            </w:pPr>
            <w:r w:rsidRPr="007F787A">
              <w:rPr>
                <w:szCs w:val="18"/>
              </w:rPr>
              <w:t xml:space="preserve">Calculated </w:t>
            </w:r>
          </w:p>
        </w:tc>
      </w:tr>
      <w:tr w:rsidR="00C90289" w:rsidRPr="007F787A" w14:paraId="5E0D162B" w14:textId="77777777" w:rsidTr="003039ED">
        <w:trPr>
          <w:cantSplit/>
          <w:trHeight w:val="170"/>
        </w:trPr>
        <w:tc>
          <w:tcPr>
            <w:tcW w:w="1601" w:type="pct"/>
            <w:tcBorders>
              <w:bottom w:val="single" w:sz="4" w:space="0" w:color="auto"/>
            </w:tcBorders>
            <w:tcMar>
              <w:left w:w="28" w:type="dxa"/>
              <w:right w:w="28" w:type="dxa"/>
            </w:tcMar>
            <w:vAlign w:val="center"/>
          </w:tcPr>
          <w:p w14:paraId="31C01EC5"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Lose remission with maintenance</w:t>
            </w:r>
          </w:p>
        </w:tc>
        <w:tc>
          <w:tcPr>
            <w:tcW w:w="851" w:type="pct"/>
            <w:tcBorders>
              <w:bottom w:val="single" w:sz="4" w:space="0" w:color="auto"/>
            </w:tcBorders>
            <w:tcMar>
              <w:left w:w="28" w:type="dxa"/>
              <w:right w:w="28" w:type="dxa"/>
            </w:tcMar>
            <w:vAlign w:val="center"/>
          </w:tcPr>
          <w:p w14:paraId="326948B4"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12.0%</w:t>
            </w:r>
          </w:p>
        </w:tc>
        <w:tc>
          <w:tcPr>
            <w:tcW w:w="365" w:type="pct"/>
            <w:tcBorders>
              <w:bottom w:val="single" w:sz="4" w:space="0" w:color="auto"/>
            </w:tcBorders>
            <w:tcMar>
              <w:left w:w="28" w:type="dxa"/>
              <w:right w:w="28" w:type="dxa"/>
            </w:tcMar>
            <w:vAlign w:val="center"/>
          </w:tcPr>
          <w:p w14:paraId="0C16F2C4"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8.0%</w:t>
            </w:r>
          </w:p>
        </w:tc>
        <w:tc>
          <w:tcPr>
            <w:tcW w:w="403" w:type="pct"/>
            <w:tcBorders>
              <w:bottom w:val="single" w:sz="4" w:space="0" w:color="auto"/>
            </w:tcBorders>
            <w:tcMar>
              <w:left w:w="28" w:type="dxa"/>
              <w:right w:w="28" w:type="dxa"/>
            </w:tcMar>
            <w:vAlign w:val="center"/>
          </w:tcPr>
          <w:p w14:paraId="676C06B8"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16.0%</w:t>
            </w:r>
          </w:p>
        </w:tc>
        <w:tc>
          <w:tcPr>
            <w:tcW w:w="531" w:type="pct"/>
            <w:tcBorders>
              <w:bottom w:val="single" w:sz="4" w:space="0" w:color="auto"/>
            </w:tcBorders>
            <w:tcMar>
              <w:left w:w="28" w:type="dxa"/>
              <w:right w:w="28" w:type="dxa"/>
            </w:tcMar>
            <w:vAlign w:val="center"/>
          </w:tcPr>
          <w:p w14:paraId="364A9F8E"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Borders>
              <w:bottom w:val="single" w:sz="4" w:space="0" w:color="auto"/>
            </w:tcBorders>
            <w:tcMar>
              <w:left w:w="28" w:type="dxa"/>
              <w:right w:w="28" w:type="dxa"/>
            </w:tcMar>
            <w:vAlign w:val="center"/>
          </w:tcPr>
          <w:p w14:paraId="67D7D4D6" w14:textId="77777777" w:rsidR="00C90289" w:rsidRPr="007F787A" w:rsidRDefault="00C90289" w:rsidP="00ED70FB">
            <w:pPr>
              <w:pStyle w:val="TableText"/>
              <w:keepNext w:val="0"/>
              <w:widowControl w:val="0"/>
              <w:jc w:val="center"/>
              <w:rPr>
                <w:szCs w:val="18"/>
              </w:rPr>
            </w:pPr>
            <w:r w:rsidRPr="007F787A">
              <w:rPr>
                <w:szCs w:val="18"/>
              </w:rPr>
              <w:t>Calculated</w:t>
            </w:r>
          </w:p>
        </w:tc>
      </w:tr>
      <w:tr w:rsidR="004412C5" w:rsidRPr="007F787A" w14:paraId="36F7AF07" w14:textId="77777777" w:rsidTr="003039ED">
        <w:trPr>
          <w:cantSplit/>
          <w:trHeight w:val="170"/>
        </w:trPr>
        <w:tc>
          <w:tcPr>
            <w:tcW w:w="1601" w:type="pct"/>
            <w:tcBorders>
              <w:right w:val="nil"/>
            </w:tcBorders>
            <w:tcMar>
              <w:left w:w="28" w:type="dxa"/>
              <w:right w:w="28" w:type="dxa"/>
            </w:tcMar>
            <w:vAlign w:val="center"/>
          </w:tcPr>
          <w:p w14:paraId="37185633" w14:textId="77777777" w:rsidR="004412C5" w:rsidRPr="007F787A" w:rsidRDefault="004412C5" w:rsidP="00ED70FB">
            <w:pPr>
              <w:widowControl w:val="0"/>
              <w:spacing w:before="40" w:after="40"/>
              <w:ind w:left="0"/>
              <w:rPr>
                <w:rFonts w:ascii="Arial Narrow" w:hAnsi="Arial Narrow" w:cs="Arial"/>
                <w:sz w:val="18"/>
                <w:szCs w:val="18"/>
              </w:rPr>
            </w:pPr>
            <w:r w:rsidRPr="007F787A">
              <w:rPr>
                <w:rFonts w:ascii="Arial Narrow" w:hAnsi="Arial Narrow" w:cs="Arial"/>
                <w:b/>
                <w:i/>
                <w:sz w:val="18"/>
                <w:szCs w:val="18"/>
              </w:rPr>
              <w:t xml:space="preserve">  Antidepressant medications  </w:t>
            </w:r>
          </w:p>
        </w:tc>
        <w:tc>
          <w:tcPr>
            <w:tcW w:w="851" w:type="pct"/>
            <w:tcBorders>
              <w:left w:val="nil"/>
              <w:right w:val="nil"/>
            </w:tcBorders>
            <w:tcMar>
              <w:left w:w="28" w:type="dxa"/>
              <w:right w:w="28" w:type="dxa"/>
            </w:tcMar>
            <w:vAlign w:val="center"/>
          </w:tcPr>
          <w:p w14:paraId="3BAFAF8E"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365" w:type="pct"/>
            <w:tcBorders>
              <w:left w:val="nil"/>
              <w:right w:val="nil"/>
            </w:tcBorders>
            <w:tcMar>
              <w:left w:w="28" w:type="dxa"/>
              <w:right w:w="28" w:type="dxa"/>
            </w:tcMar>
            <w:vAlign w:val="center"/>
          </w:tcPr>
          <w:p w14:paraId="5DEEA9EF"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403" w:type="pct"/>
            <w:tcBorders>
              <w:left w:val="nil"/>
              <w:right w:val="nil"/>
            </w:tcBorders>
            <w:tcMar>
              <w:left w:w="28" w:type="dxa"/>
              <w:right w:w="28" w:type="dxa"/>
            </w:tcMar>
            <w:vAlign w:val="center"/>
          </w:tcPr>
          <w:p w14:paraId="27FA1D60"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531" w:type="pct"/>
            <w:tcBorders>
              <w:left w:val="nil"/>
              <w:right w:val="nil"/>
            </w:tcBorders>
            <w:tcMar>
              <w:left w:w="28" w:type="dxa"/>
              <w:right w:w="28" w:type="dxa"/>
            </w:tcMar>
            <w:vAlign w:val="center"/>
          </w:tcPr>
          <w:p w14:paraId="4145C6C3" w14:textId="77777777" w:rsidR="004412C5" w:rsidRPr="007F787A" w:rsidRDefault="004412C5" w:rsidP="00ED70FB">
            <w:pPr>
              <w:pStyle w:val="TableText"/>
              <w:keepNext w:val="0"/>
              <w:widowControl w:val="0"/>
              <w:jc w:val="center"/>
              <w:rPr>
                <w:szCs w:val="18"/>
              </w:rPr>
            </w:pPr>
          </w:p>
        </w:tc>
        <w:tc>
          <w:tcPr>
            <w:tcW w:w="1249" w:type="pct"/>
            <w:tcBorders>
              <w:left w:val="nil"/>
            </w:tcBorders>
            <w:tcMar>
              <w:left w:w="28" w:type="dxa"/>
              <w:right w:w="28" w:type="dxa"/>
            </w:tcMar>
            <w:vAlign w:val="center"/>
          </w:tcPr>
          <w:p w14:paraId="2CE70D58" w14:textId="77777777" w:rsidR="004412C5" w:rsidRPr="007F787A" w:rsidRDefault="004412C5" w:rsidP="00ED70FB">
            <w:pPr>
              <w:pStyle w:val="TableText"/>
              <w:keepNext w:val="0"/>
              <w:widowControl w:val="0"/>
              <w:jc w:val="center"/>
              <w:rPr>
                <w:szCs w:val="18"/>
              </w:rPr>
            </w:pPr>
          </w:p>
        </w:tc>
      </w:tr>
      <w:tr w:rsidR="00C90289" w:rsidRPr="007F787A" w14:paraId="77B6B5B0" w14:textId="77777777" w:rsidTr="003039ED">
        <w:trPr>
          <w:cantSplit/>
          <w:trHeight w:val="170"/>
        </w:trPr>
        <w:tc>
          <w:tcPr>
            <w:tcW w:w="1601" w:type="pct"/>
            <w:tcMar>
              <w:left w:w="28" w:type="dxa"/>
              <w:right w:w="28" w:type="dxa"/>
            </w:tcMar>
            <w:vAlign w:val="center"/>
          </w:tcPr>
          <w:p w14:paraId="57027303"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REM: 1</w:t>
            </w:r>
            <w:r w:rsidRPr="007F787A">
              <w:rPr>
                <w:rFonts w:ascii="Arial Narrow" w:hAnsi="Arial Narrow" w:cs="Arial"/>
                <w:sz w:val="18"/>
                <w:szCs w:val="18"/>
                <w:vertAlign w:val="superscript"/>
              </w:rPr>
              <w:t>st</w:t>
            </w:r>
            <w:r w:rsidRPr="007F787A">
              <w:rPr>
                <w:rFonts w:ascii="Arial Narrow" w:hAnsi="Arial Narrow" w:cs="Arial"/>
                <w:sz w:val="18"/>
                <w:szCs w:val="18"/>
              </w:rPr>
              <w:t xml:space="preserve"> treatment</w:t>
            </w:r>
            <w:r w:rsidR="001507E1" w:rsidRPr="007F787A">
              <w:rPr>
                <w:rFonts w:ascii="Arial Narrow" w:hAnsi="Arial Narrow" w:cs="Arial"/>
                <w:sz w:val="18"/>
                <w:szCs w:val="18"/>
              </w:rPr>
              <w:t xml:space="preserve"> </w:t>
            </w:r>
            <w:r w:rsidR="001507E1" w:rsidRPr="007F787A">
              <w:rPr>
                <w:rFonts w:ascii="Arial Narrow" w:hAnsi="Arial Narrow" w:cs="Arial"/>
                <w:sz w:val="18"/>
                <w:szCs w:val="18"/>
                <w:vertAlign w:val="superscript"/>
              </w:rPr>
              <w:t>1</w:t>
            </w:r>
          </w:p>
        </w:tc>
        <w:tc>
          <w:tcPr>
            <w:tcW w:w="851" w:type="pct"/>
            <w:tcMar>
              <w:left w:w="28" w:type="dxa"/>
              <w:right w:w="28" w:type="dxa"/>
            </w:tcMar>
            <w:vAlign w:val="center"/>
          </w:tcPr>
          <w:p w14:paraId="14032145"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13.6%</w:t>
            </w:r>
          </w:p>
        </w:tc>
        <w:tc>
          <w:tcPr>
            <w:tcW w:w="365" w:type="pct"/>
            <w:tcMar>
              <w:left w:w="28" w:type="dxa"/>
              <w:right w:w="28" w:type="dxa"/>
            </w:tcMar>
            <w:vAlign w:val="center"/>
          </w:tcPr>
          <w:p w14:paraId="57200C1D"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13.0%</w:t>
            </w:r>
          </w:p>
        </w:tc>
        <w:tc>
          <w:tcPr>
            <w:tcW w:w="403" w:type="pct"/>
            <w:tcMar>
              <w:left w:w="28" w:type="dxa"/>
              <w:right w:w="28" w:type="dxa"/>
            </w:tcMar>
            <w:vAlign w:val="center"/>
          </w:tcPr>
          <w:p w14:paraId="037D8948"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36.8%</w:t>
            </w:r>
          </w:p>
        </w:tc>
        <w:tc>
          <w:tcPr>
            <w:tcW w:w="531" w:type="pct"/>
            <w:tcMar>
              <w:left w:w="28" w:type="dxa"/>
              <w:right w:w="28" w:type="dxa"/>
            </w:tcMar>
            <w:vAlign w:val="center"/>
          </w:tcPr>
          <w:p w14:paraId="02085358"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147215B0" w14:textId="77777777" w:rsidR="00C90289" w:rsidRPr="007F787A" w:rsidRDefault="00C90289" w:rsidP="00ED70FB">
            <w:pPr>
              <w:pStyle w:val="TableText"/>
              <w:keepNext w:val="0"/>
              <w:widowControl w:val="0"/>
              <w:jc w:val="center"/>
              <w:rPr>
                <w:szCs w:val="18"/>
              </w:rPr>
            </w:pPr>
            <w:r w:rsidRPr="007F787A">
              <w:rPr>
                <w:szCs w:val="18"/>
              </w:rPr>
              <w:t>Rush 2006</w:t>
            </w:r>
          </w:p>
        </w:tc>
      </w:tr>
      <w:tr w:rsidR="00C90289" w:rsidRPr="007F787A" w14:paraId="63532106" w14:textId="77777777" w:rsidTr="003039ED">
        <w:trPr>
          <w:cantSplit/>
          <w:trHeight w:val="170"/>
        </w:trPr>
        <w:tc>
          <w:tcPr>
            <w:tcW w:w="1601" w:type="pct"/>
            <w:tcMar>
              <w:left w:w="28" w:type="dxa"/>
              <w:right w:w="28" w:type="dxa"/>
            </w:tcMar>
            <w:vAlign w:val="center"/>
          </w:tcPr>
          <w:p w14:paraId="37650CFC"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RESP: 1</w:t>
            </w:r>
            <w:r w:rsidRPr="007F787A">
              <w:rPr>
                <w:rFonts w:ascii="Arial Narrow" w:hAnsi="Arial Narrow" w:cs="Arial"/>
                <w:sz w:val="18"/>
                <w:szCs w:val="18"/>
                <w:vertAlign w:val="superscript"/>
              </w:rPr>
              <w:t>st</w:t>
            </w:r>
            <w:r w:rsidRPr="007F787A">
              <w:rPr>
                <w:rFonts w:ascii="Arial Narrow" w:hAnsi="Arial Narrow" w:cs="Arial"/>
                <w:sz w:val="18"/>
                <w:szCs w:val="18"/>
              </w:rPr>
              <w:t xml:space="preserve"> treatment</w:t>
            </w:r>
          </w:p>
        </w:tc>
        <w:tc>
          <w:tcPr>
            <w:tcW w:w="851" w:type="pct"/>
            <w:tcMar>
              <w:left w:w="28" w:type="dxa"/>
              <w:right w:w="28" w:type="dxa"/>
            </w:tcMar>
            <w:vAlign w:val="center"/>
          </w:tcPr>
          <w:p w14:paraId="3AAFF6B0"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16.8%</w:t>
            </w:r>
          </w:p>
        </w:tc>
        <w:tc>
          <w:tcPr>
            <w:tcW w:w="365" w:type="pct"/>
            <w:tcMar>
              <w:left w:w="28" w:type="dxa"/>
              <w:right w:w="28" w:type="dxa"/>
            </w:tcMar>
            <w:vAlign w:val="center"/>
          </w:tcPr>
          <w:p w14:paraId="0B97A14C"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16.0%</w:t>
            </w:r>
          </w:p>
        </w:tc>
        <w:tc>
          <w:tcPr>
            <w:tcW w:w="403" w:type="pct"/>
            <w:tcMar>
              <w:left w:w="28" w:type="dxa"/>
              <w:right w:w="28" w:type="dxa"/>
            </w:tcMar>
            <w:vAlign w:val="center"/>
          </w:tcPr>
          <w:p w14:paraId="53138E8A"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48.6%</w:t>
            </w:r>
          </w:p>
        </w:tc>
        <w:tc>
          <w:tcPr>
            <w:tcW w:w="531" w:type="pct"/>
            <w:tcMar>
              <w:left w:w="28" w:type="dxa"/>
              <w:right w:w="28" w:type="dxa"/>
            </w:tcMar>
            <w:vAlign w:val="center"/>
          </w:tcPr>
          <w:p w14:paraId="30502B3C"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0E97743E" w14:textId="77777777" w:rsidR="00C90289" w:rsidRPr="007F787A" w:rsidRDefault="00C90289" w:rsidP="00ED70FB">
            <w:pPr>
              <w:pStyle w:val="TableText"/>
              <w:keepNext w:val="0"/>
              <w:widowControl w:val="0"/>
              <w:jc w:val="center"/>
              <w:rPr>
                <w:szCs w:val="18"/>
              </w:rPr>
            </w:pPr>
            <w:r w:rsidRPr="007F787A">
              <w:rPr>
                <w:szCs w:val="18"/>
              </w:rPr>
              <w:t>Rush 2006</w:t>
            </w:r>
          </w:p>
        </w:tc>
      </w:tr>
      <w:tr w:rsidR="00C90289" w:rsidRPr="007F787A" w14:paraId="5AC07F9B" w14:textId="77777777" w:rsidTr="003039ED">
        <w:trPr>
          <w:cantSplit/>
          <w:trHeight w:val="170"/>
        </w:trPr>
        <w:tc>
          <w:tcPr>
            <w:tcW w:w="1601" w:type="pct"/>
            <w:tcBorders>
              <w:bottom w:val="single" w:sz="4" w:space="0" w:color="auto"/>
            </w:tcBorders>
            <w:tcMar>
              <w:left w:w="28" w:type="dxa"/>
              <w:right w:w="28" w:type="dxa"/>
            </w:tcMar>
            <w:vAlign w:val="center"/>
          </w:tcPr>
          <w:p w14:paraId="0726CD5B"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Lose remission </w:t>
            </w:r>
          </w:p>
        </w:tc>
        <w:tc>
          <w:tcPr>
            <w:tcW w:w="851" w:type="pct"/>
            <w:tcBorders>
              <w:bottom w:val="single" w:sz="4" w:space="0" w:color="auto"/>
            </w:tcBorders>
            <w:tcMar>
              <w:left w:w="28" w:type="dxa"/>
              <w:right w:w="28" w:type="dxa"/>
            </w:tcMar>
            <w:vAlign w:val="center"/>
          </w:tcPr>
          <w:p w14:paraId="76A0DE4B"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28.1%</w:t>
            </w:r>
          </w:p>
        </w:tc>
        <w:tc>
          <w:tcPr>
            <w:tcW w:w="365" w:type="pct"/>
            <w:tcBorders>
              <w:bottom w:val="single" w:sz="4" w:space="0" w:color="auto"/>
            </w:tcBorders>
            <w:tcMar>
              <w:left w:w="28" w:type="dxa"/>
              <w:right w:w="28" w:type="dxa"/>
            </w:tcMar>
            <w:vAlign w:val="center"/>
          </w:tcPr>
          <w:p w14:paraId="147CD2F8"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20.0%</w:t>
            </w:r>
          </w:p>
        </w:tc>
        <w:tc>
          <w:tcPr>
            <w:tcW w:w="403" w:type="pct"/>
            <w:tcBorders>
              <w:bottom w:val="single" w:sz="4" w:space="0" w:color="auto"/>
            </w:tcBorders>
            <w:tcMar>
              <w:left w:w="28" w:type="dxa"/>
              <w:right w:w="28" w:type="dxa"/>
            </w:tcMar>
            <w:vAlign w:val="center"/>
          </w:tcPr>
          <w:p w14:paraId="13B620FB"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40.0%</w:t>
            </w:r>
          </w:p>
        </w:tc>
        <w:tc>
          <w:tcPr>
            <w:tcW w:w="531" w:type="pct"/>
            <w:tcBorders>
              <w:bottom w:val="single" w:sz="4" w:space="0" w:color="auto"/>
            </w:tcBorders>
            <w:tcMar>
              <w:left w:w="28" w:type="dxa"/>
              <w:right w:w="28" w:type="dxa"/>
            </w:tcMar>
            <w:vAlign w:val="center"/>
          </w:tcPr>
          <w:p w14:paraId="4D1BE917"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Borders>
              <w:bottom w:val="single" w:sz="4" w:space="0" w:color="auto"/>
            </w:tcBorders>
            <w:tcMar>
              <w:left w:w="28" w:type="dxa"/>
              <w:right w:w="28" w:type="dxa"/>
            </w:tcMar>
            <w:vAlign w:val="center"/>
          </w:tcPr>
          <w:p w14:paraId="42CA0221" w14:textId="77777777" w:rsidR="00C90289" w:rsidRPr="007F787A" w:rsidRDefault="00C90289" w:rsidP="00ED70FB">
            <w:pPr>
              <w:pStyle w:val="TableText"/>
              <w:keepNext w:val="0"/>
              <w:widowControl w:val="0"/>
              <w:jc w:val="center"/>
              <w:rPr>
                <w:szCs w:val="18"/>
              </w:rPr>
            </w:pPr>
            <w:r w:rsidRPr="007F787A">
              <w:rPr>
                <w:szCs w:val="18"/>
              </w:rPr>
              <w:t>Rush 2006</w:t>
            </w:r>
          </w:p>
        </w:tc>
      </w:tr>
      <w:tr w:rsidR="004412C5" w:rsidRPr="007F787A" w14:paraId="403ED362" w14:textId="77777777" w:rsidTr="003039ED">
        <w:trPr>
          <w:cantSplit/>
          <w:trHeight w:val="170"/>
        </w:trPr>
        <w:tc>
          <w:tcPr>
            <w:tcW w:w="1601" w:type="pct"/>
            <w:tcBorders>
              <w:right w:val="nil"/>
            </w:tcBorders>
            <w:tcMar>
              <w:left w:w="28" w:type="dxa"/>
              <w:right w:w="28" w:type="dxa"/>
            </w:tcMar>
            <w:vAlign w:val="center"/>
          </w:tcPr>
          <w:p w14:paraId="25EC526C" w14:textId="77777777" w:rsidR="004412C5" w:rsidRPr="007F787A" w:rsidRDefault="004412C5" w:rsidP="00ED70FB">
            <w:pPr>
              <w:widowControl w:val="0"/>
              <w:spacing w:before="40" w:after="40"/>
              <w:ind w:left="0"/>
              <w:rPr>
                <w:rFonts w:ascii="Arial Narrow" w:hAnsi="Arial Narrow" w:cs="Arial"/>
                <w:sz w:val="18"/>
                <w:szCs w:val="18"/>
              </w:rPr>
            </w:pPr>
            <w:r w:rsidRPr="007F787A">
              <w:rPr>
                <w:rFonts w:ascii="Arial Narrow" w:hAnsi="Arial Narrow" w:cs="Arial"/>
                <w:b/>
                <w:i/>
                <w:sz w:val="18"/>
                <w:szCs w:val="18"/>
              </w:rPr>
              <w:t xml:space="preserve">  ECT</w:t>
            </w:r>
          </w:p>
        </w:tc>
        <w:tc>
          <w:tcPr>
            <w:tcW w:w="851" w:type="pct"/>
            <w:tcBorders>
              <w:left w:val="nil"/>
              <w:right w:val="nil"/>
            </w:tcBorders>
            <w:tcMar>
              <w:left w:w="28" w:type="dxa"/>
              <w:right w:w="28" w:type="dxa"/>
            </w:tcMar>
            <w:vAlign w:val="center"/>
          </w:tcPr>
          <w:p w14:paraId="7622CF66"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365" w:type="pct"/>
            <w:tcBorders>
              <w:left w:val="nil"/>
              <w:right w:val="nil"/>
            </w:tcBorders>
            <w:tcMar>
              <w:left w:w="28" w:type="dxa"/>
              <w:right w:w="28" w:type="dxa"/>
            </w:tcMar>
            <w:vAlign w:val="center"/>
          </w:tcPr>
          <w:p w14:paraId="307B77EA"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403" w:type="pct"/>
            <w:tcBorders>
              <w:left w:val="nil"/>
              <w:right w:val="nil"/>
            </w:tcBorders>
            <w:tcMar>
              <w:left w:w="28" w:type="dxa"/>
              <w:right w:w="28" w:type="dxa"/>
            </w:tcMar>
            <w:vAlign w:val="center"/>
          </w:tcPr>
          <w:p w14:paraId="0BB4093A"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531" w:type="pct"/>
            <w:tcBorders>
              <w:left w:val="nil"/>
              <w:right w:val="nil"/>
            </w:tcBorders>
            <w:tcMar>
              <w:left w:w="28" w:type="dxa"/>
              <w:right w:w="28" w:type="dxa"/>
            </w:tcMar>
            <w:vAlign w:val="center"/>
          </w:tcPr>
          <w:p w14:paraId="14D2B8E9" w14:textId="77777777" w:rsidR="004412C5" w:rsidRPr="007F787A" w:rsidRDefault="004412C5" w:rsidP="00ED70FB">
            <w:pPr>
              <w:pStyle w:val="TableText"/>
              <w:keepNext w:val="0"/>
              <w:widowControl w:val="0"/>
              <w:jc w:val="center"/>
              <w:rPr>
                <w:szCs w:val="18"/>
              </w:rPr>
            </w:pPr>
          </w:p>
        </w:tc>
        <w:tc>
          <w:tcPr>
            <w:tcW w:w="1249" w:type="pct"/>
            <w:tcBorders>
              <w:left w:val="nil"/>
            </w:tcBorders>
            <w:tcMar>
              <w:left w:w="28" w:type="dxa"/>
              <w:right w:w="28" w:type="dxa"/>
            </w:tcMar>
            <w:vAlign w:val="center"/>
          </w:tcPr>
          <w:p w14:paraId="730C7704" w14:textId="77777777" w:rsidR="004412C5" w:rsidRPr="007F787A" w:rsidRDefault="004412C5" w:rsidP="00ED70FB">
            <w:pPr>
              <w:pStyle w:val="TableText"/>
              <w:keepNext w:val="0"/>
              <w:widowControl w:val="0"/>
              <w:jc w:val="center"/>
              <w:rPr>
                <w:szCs w:val="18"/>
              </w:rPr>
            </w:pPr>
          </w:p>
        </w:tc>
      </w:tr>
      <w:tr w:rsidR="00C90289" w:rsidRPr="007F787A" w14:paraId="38D67BF4" w14:textId="77777777" w:rsidTr="003039ED">
        <w:trPr>
          <w:cantSplit/>
          <w:trHeight w:val="170"/>
        </w:trPr>
        <w:tc>
          <w:tcPr>
            <w:tcW w:w="1601" w:type="pct"/>
            <w:tcMar>
              <w:left w:w="28" w:type="dxa"/>
              <w:right w:w="28" w:type="dxa"/>
            </w:tcMar>
            <w:vAlign w:val="center"/>
          </w:tcPr>
          <w:p w14:paraId="4540250D"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REM: 1</w:t>
            </w:r>
            <w:r w:rsidRPr="007F787A">
              <w:rPr>
                <w:rFonts w:ascii="Arial Narrow" w:hAnsi="Arial Narrow" w:cs="Arial"/>
                <w:sz w:val="18"/>
                <w:szCs w:val="18"/>
                <w:vertAlign w:val="superscript"/>
              </w:rPr>
              <w:t>st</w:t>
            </w:r>
            <w:r w:rsidRPr="007F787A">
              <w:rPr>
                <w:rFonts w:ascii="Arial Narrow" w:hAnsi="Arial Narrow" w:cs="Arial"/>
                <w:sz w:val="18"/>
                <w:szCs w:val="18"/>
              </w:rPr>
              <w:t xml:space="preserve"> treatment</w:t>
            </w:r>
          </w:p>
        </w:tc>
        <w:tc>
          <w:tcPr>
            <w:tcW w:w="851" w:type="pct"/>
            <w:tcMar>
              <w:left w:w="28" w:type="dxa"/>
              <w:right w:w="28" w:type="dxa"/>
            </w:tcMar>
            <w:vAlign w:val="center"/>
          </w:tcPr>
          <w:p w14:paraId="48DA4461"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46.3%</w:t>
            </w:r>
          </w:p>
        </w:tc>
        <w:tc>
          <w:tcPr>
            <w:tcW w:w="365" w:type="pct"/>
            <w:tcMar>
              <w:left w:w="28" w:type="dxa"/>
              <w:right w:w="28" w:type="dxa"/>
            </w:tcMar>
            <w:vAlign w:val="center"/>
          </w:tcPr>
          <w:p w14:paraId="787E2336"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20.0%</w:t>
            </w:r>
          </w:p>
        </w:tc>
        <w:tc>
          <w:tcPr>
            <w:tcW w:w="403" w:type="pct"/>
            <w:tcMar>
              <w:left w:w="28" w:type="dxa"/>
              <w:right w:w="28" w:type="dxa"/>
            </w:tcMar>
            <w:vAlign w:val="center"/>
          </w:tcPr>
          <w:p w14:paraId="1A19D6FD"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70.0%</w:t>
            </w:r>
          </w:p>
        </w:tc>
        <w:tc>
          <w:tcPr>
            <w:tcW w:w="531" w:type="pct"/>
            <w:tcMar>
              <w:left w:w="28" w:type="dxa"/>
              <w:right w:w="28" w:type="dxa"/>
            </w:tcMar>
            <w:vAlign w:val="center"/>
          </w:tcPr>
          <w:p w14:paraId="6C5971DD"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3E720FD7" w14:textId="77777777" w:rsidR="00C90289" w:rsidRPr="007F787A" w:rsidRDefault="00C90289" w:rsidP="00ED70FB">
            <w:pPr>
              <w:pStyle w:val="TableText"/>
              <w:keepNext w:val="0"/>
              <w:widowControl w:val="0"/>
              <w:jc w:val="center"/>
              <w:rPr>
                <w:szCs w:val="18"/>
              </w:rPr>
            </w:pPr>
            <w:r w:rsidRPr="007F787A">
              <w:rPr>
                <w:szCs w:val="18"/>
              </w:rPr>
              <w:t>Meta-analysis during evaluation</w:t>
            </w:r>
          </w:p>
        </w:tc>
      </w:tr>
      <w:tr w:rsidR="00C90289" w:rsidRPr="007F787A" w14:paraId="4236CB7D" w14:textId="77777777" w:rsidTr="003039ED">
        <w:trPr>
          <w:cantSplit/>
          <w:trHeight w:val="170"/>
        </w:trPr>
        <w:tc>
          <w:tcPr>
            <w:tcW w:w="1601" w:type="pct"/>
            <w:tcMar>
              <w:left w:w="28" w:type="dxa"/>
              <w:right w:w="28" w:type="dxa"/>
            </w:tcMar>
            <w:vAlign w:val="center"/>
          </w:tcPr>
          <w:p w14:paraId="175E191C"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RESP: 1</w:t>
            </w:r>
            <w:r w:rsidRPr="007F787A">
              <w:rPr>
                <w:rFonts w:ascii="Arial Narrow" w:hAnsi="Arial Narrow" w:cs="Arial"/>
                <w:sz w:val="18"/>
                <w:szCs w:val="18"/>
                <w:vertAlign w:val="superscript"/>
              </w:rPr>
              <w:t>st</w:t>
            </w:r>
            <w:r w:rsidRPr="007F787A">
              <w:rPr>
                <w:rFonts w:ascii="Arial Narrow" w:hAnsi="Arial Narrow" w:cs="Arial"/>
                <w:sz w:val="18"/>
                <w:szCs w:val="18"/>
              </w:rPr>
              <w:t xml:space="preserve"> treatment</w:t>
            </w:r>
          </w:p>
        </w:tc>
        <w:tc>
          <w:tcPr>
            <w:tcW w:w="851" w:type="pct"/>
            <w:tcMar>
              <w:left w:w="28" w:type="dxa"/>
              <w:right w:w="28" w:type="dxa"/>
            </w:tcMar>
            <w:vAlign w:val="center"/>
          </w:tcPr>
          <w:p w14:paraId="0FF5F601"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60.9%</w:t>
            </w:r>
          </w:p>
        </w:tc>
        <w:tc>
          <w:tcPr>
            <w:tcW w:w="365" w:type="pct"/>
            <w:tcMar>
              <w:left w:w="28" w:type="dxa"/>
              <w:right w:w="28" w:type="dxa"/>
            </w:tcMar>
            <w:vAlign w:val="center"/>
          </w:tcPr>
          <w:p w14:paraId="69EB4BFE"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40.0%</w:t>
            </w:r>
          </w:p>
        </w:tc>
        <w:tc>
          <w:tcPr>
            <w:tcW w:w="403" w:type="pct"/>
            <w:tcMar>
              <w:left w:w="28" w:type="dxa"/>
              <w:right w:w="28" w:type="dxa"/>
            </w:tcMar>
            <w:vAlign w:val="center"/>
          </w:tcPr>
          <w:p w14:paraId="02CF41FE"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80.0%</w:t>
            </w:r>
          </w:p>
        </w:tc>
        <w:tc>
          <w:tcPr>
            <w:tcW w:w="531" w:type="pct"/>
            <w:tcMar>
              <w:left w:w="28" w:type="dxa"/>
              <w:right w:w="28" w:type="dxa"/>
            </w:tcMar>
            <w:vAlign w:val="center"/>
          </w:tcPr>
          <w:p w14:paraId="64236445"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3CCA9159" w14:textId="77777777" w:rsidR="00C90289" w:rsidRPr="007F787A" w:rsidRDefault="00C90289" w:rsidP="00ED70FB">
            <w:pPr>
              <w:pStyle w:val="TableText"/>
              <w:keepNext w:val="0"/>
              <w:widowControl w:val="0"/>
              <w:jc w:val="center"/>
              <w:rPr>
                <w:szCs w:val="18"/>
              </w:rPr>
            </w:pPr>
            <w:r w:rsidRPr="007F787A">
              <w:rPr>
                <w:szCs w:val="18"/>
              </w:rPr>
              <w:t>Meta-analysis during evaluation</w:t>
            </w:r>
          </w:p>
        </w:tc>
      </w:tr>
      <w:tr w:rsidR="00C90289" w:rsidRPr="007F787A" w14:paraId="263D87A1" w14:textId="77777777" w:rsidTr="003039ED">
        <w:trPr>
          <w:cantSplit/>
          <w:trHeight w:val="170"/>
        </w:trPr>
        <w:tc>
          <w:tcPr>
            <w:tcW w:w="1601" w:type="pct"/>
            <w:tcBorders>
              <w:bottom w:val="single" w:sz="4" w:space="0" w:color="auto"/>
            </w:tcBorders>
            <w:tcMar>
              <w:left w:w="28" w:type="dxa"/>
              <w:right w:w="28" w:type="dxa"/>
            </w:tcMar>
            <w:vAlign w:val="center"/>
          </w:tcPr>
          <w:p w14:paraId="4B29512D"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Lose remission</w:t>
            </w:r>
          </w:p>
        </w:tc>
        <w:tc>
          <w:tcPr>
            <w:tcW w:w="851" w:type="pct"/>
            <w:tcBorders>
              <w:bottom w:val="single" w:sz="4" w:space="0" w:color="auto"/>
            </w:tcBorders>
            <w:tcMar>
              <w:left w:w="28" w:type="dxa"/>
              <w:right w:w="28" w:type="dxa"/>
            </w:tcMar>
            <w:vAlign w:val="center"/>
          </w:tcPr>
          <w:p w14:paraId="0B1C123A"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22.3%</w:t>
            </w:r>
          </w:p>
        </w:tc>
        <w:tc>
          <w:tcPr>
            <w:tcW w:w="365" w:type="pct"/>
            <w:tcBorders>
              <w:bottom w:val="single" w:sz="4" w:space="0" w:color="auto"/>
            </w:tcBorders>
            <w:tcMar>
              <w:left w:w="28" w:type="dxa"/>
              <w:right w:w="28" w:type="dxa"/>
            </w:tcMar>
            <w:vAlign w:val="center"/>
          </w:tcPr>
          <w:p w14:paraId="4EF3FD9B"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15.0%</w:t>
            </w:r>
          </w:p>
        </w:tc>
        <w:tc>
          <w:tcPr>
            <w:tcW w:w="403" w:type="pct"/>
            <w:tcBorders>
              <w:bottom w:val="single" w:sz="4" w:space="0" w:color="auto"/>
            </w:tcBorders>
            <w:tcMar>
              <w:left w:w="28" w:type="dxa"/>
              <w:right w:w="28" w:type="dxa"/>
            </w:tcMar>
            <w:vAlign w:val="center"/>
          </w:tcPr>
          <w:p w14:paraId="0155088A"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35.0%</w:t>
            </w:r>
          </w:p>
        </w:tc>
        <w:tc>
          <w:tcPr>
            <w:tcW w:w="531" w:type="pct"/>
            <w:tcBorders>
              <w:bottom w:val="single" w:sz="4" w:space="0" w:color="auto"/>
            </w:tcBorders>
            <w:tcMar>
              <w:left w:w="28" w:type="dxa"/>
              <w:right w:w="28" w:type="dxa"/>
            </w:tcMar>
            <w:vAlign w:val="center"/>
          </w:tcPr>
          <w:p w14:paraId="363558D2"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Borders>
              <w:bottom w:val="single" w:sz="4" w:space="0" w:color="auto"/>
            </w:tcBorders>
            <w:tcMar>
              <w:left w:w="28" w:type="dxa"/>
              <w:right w:w="28" w:type="dxa"/>
            </w:tcMar>
            <w:vAlign w:val="center"/>
          </w:tcPr>
          <w:p w14:paraId="379D3D18" w14:textId="77777777" w:rsidR="00C90289" w:rsidRPr="007F787A" w:rsidRDefault="00C90289" w:rsidP="00ED70FB">
            <w:pPr>
              <w:pStyle w:val="TableText"/>
              <w:keepNext w:val="0"/>
              <w:widowControl w:val="0"/>
              <w:jc w:val="center"/>
              <w:rPr>
                <w:szCs w:val="18"/>
              </w:rPr>
            </w:pPr>
            <w:r w:rsidRPr="007F787A">
              <w:rPr>
                <w:szCs w:val="18"/>
              </w:rPr>
              <w:t>Sackiem 2001</w:t>
            </w:r>
          </w:p>
        </w:tc>
      </w:tr>
      <w:tr w:rsidR="004412C5" w:rsidRPr="007F787A" w14:paraId="30356398" w14:textId="77777777" w:rsidTr="003039ED">
        <w:trPr>
          <w:cantSplit/>
          <w:trHeight w:val="170"/>
        </w:trPr>
        <w:tc>
          <w:tcPr>
            <w:tcW w:w="1601" w:type="pct"/>
            <w:tcBorders>
              <w:right w:val="nil"/>
            </w:tcBorders>
            <w:tcMar>
              <w:left w:w="28" w:type="dxa"/>
              <w:right w:w="28" w:type="dxa"/>
            </w:tcMar>
            <w:vAlign w:val="center"/>
          </w:tcPr>
          <w:p w14:paraId="2188F106" w14:textId="77777777" w:rsidR="004412C5" w:rsidRPr="007F787A" w:rsidRDefault="004412C5" w:rsidP="00ED70FB">
            <w:pPr>
              <w:widowControl w:val="0"/>
              <w:spacing w:before="40" w:after="40"/>
              <w:ind w:left="0"/>
              <w:rPr>
                <w:rFonts w:ascii="Arial Narrow" w:hAnsi="Arial Narrow" w:cs="Arial"/>
                <w:sz w:val="18"/>
                <w:szCs w:val="18"/>
              </w:rPr>
            </w:pPr>
            <w:r w:rsidRPr="007F787A">
              <w:rPr>
                <w:rFonts w:ascii="Arial Narrow" w:hAnsi="Arial Narrow" w:cs="Arial"/>
                <w:b/>
                <w:i/>
                <w:sz w:val="18"/>
                <w:szCs w:val="18"/>
              </w:rPr>
              <w:t xml:space="preserve">  For all treatment arms</w:t>
            </w:r>
          </w:p>
        </w:tc>
        <w:tc>
          <w:tcPr>
            <w:tcW w:w="851" w:type="pct"/>
            <w:tcBorders>
              <w:left w:val="nil"/>
              <w:right w:val="nil"/>
            </w:tcBorders>
            <w:tcMar>
              <w:left w:w="28" w:type="dxa"/>
              <w:right w:w="28" w:type="dxa"/>
            </w:tcMar>
            <w:vAlign w:val="center"/>
          </w:tcPr>
          <w:p w14:paraId="1D933C3D"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365" w:type="pct"/>
            <w:tcBorders>
              <w:left w:val="nil"/>
              <w:right w:val="nil"/>
            </w:tcBorders>
            <w:tcMar>
              <w:left w:w="28" w:type="dxa"/>
              <w:right w:w="28" w:type="dxa"/>
            </w:tcMar>
            <w:vAlign w:val="center"/>
          </w:tcPr>
          <w:p w14:paraId="347AA775"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403" w:type="pct"/>
            <w:tcBorders>
              <w:left w:val="nil"/>
              <w:right w:val="nil"/>
            </w:tcBorders>
            <w:tcMar>
              <w:left w:w="28" w:type="dxa"/>
              <w:right w:w="28" w:type="dxa"/>
            </w:tcMar>
            <w:vAlign w:val="center"/>
          </w:tcPr>
          <w:p w14:paraId="60770F4A" w14:textId="77777777" w:rsidR="004412C5" w:rsidRPr="007F787A" w:rsidRDefault="004412C5" w:rsidP="00ED70FB">
            <w:pPr>
              <w:widowControl w:val="0"/>
              <w:spacing w:before="40" w:after="40"/>
              <w:ind w:left="0"/>
              <w:jc w:val="center"/>
              <w:rPr>
                <w:rFonts w:ascii="Arial Narrow" w:hAnsi="Arial Narrow" w:cs="Arial"/>
                <w:sz w:val="18"/>
                <w:szCs w:val="18"/>
              </w:rPr>
            </w:pPr>
          </w:p>
        </w:tc>
        <w:tc>
          <w:tcPr>
            <w:tcW w:w="531" w:type="pct"/>
            <w:tcBorders>
              <w:left w:val="nil"/>
              <w:right w:val="nil"/>
            </w:tcBorders>
            <w:tcMar>
              <w:left w:w="28" w:type="dxa"/>
              <w:right w:w="28" w:type="dxa"/>
            </w:tcMar>
            <w:vAlign w:val="center"/>
          </w:tcPr>
          <w:p w14:paraId="52927747" w14:textId="77777777" w:rsidR="004412C5" w:rsidRPr="007F787A" w:rsidRDefault="004412C5" w:rsidP="00ED70FB">
            <w:pPr>
              <w:pStyle w:val="TableText"/>
              <w:keepNext w:val="0"/>
              <w:widowControl w:val="0"/>
              <w:jc w:val="center"/>
              <w:rPr>
                <w:rFonts w:cs="Arial"/>
                <w:szCs w:val="18"/>
              </w:rPr>
            </w:pPr>
          </w:p>
        </w:tc>
        <w:tc>
          <w:tcPr>
            <w:tcW w:w="1249" w:type="pct"/>
            <w:tcBorders>
              <w:left w:val="nil"/>
            </w:tcBorders>
            <w:tcMar>
              <w:left w:w="28" w:type="dxa"/>
              <w:right w:w="28" w:type="dxa"/>
            </w:tcMar>
            <w:vAlign w:val="center"/>
          </w:tcPr>
          <w:p w14:paraId="57F6C020" w14:textId="77777777" w:rsidR="004412C5" w:rsidRPr="007F787A" w:rsidRDefault="004412C5" w:rsidP="00ED70FB">
            <w:pPr>
              <w:pStyle w:val="TableText"/>
              <w:keepNext w:val="0"/>
              <w:widowControl w:val="0"/>
              <w:jc w:val="center"/>
              <w:rPr>
                <w:rFonts w:cs="Arial"/>
                <w:szCs w:val="18"/>
              </w:rPr>
            </w:pPr>
          </w:p>
        </w:tc>
      </w:tr>
      <w:tr w:rsidR="00C90289" w:rsidRPr="007F787A" w14:paraId="3E995617" w14:textId="77777777" w:rsidTr="003039ED">
        <w:trPr>
          <w:cantSplit/>
          <w:trHeight w:val="170"/>
        </w:trPr>
        <w:tc>
          <w:tcPr>
            <w:tcW w:w="1601" w:type="pct"/>
            <w:tcMar>
              <w:left w:w="28" w:type="dxa"/>
              <w:right w:w="28" w:type="dxa"/>
            </w:tcMar>
            <w:vAlign w:val="center"/>
          </w:tcPr>
          <w:p w14:paraId="0B3A7B24"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Hospitalisation </w:t>
            </w:r>
          </w:p>
        </w:tc>
        <w:tc>
          <w:tcPr>
            <w:tcW w:w="851" w:type="pct"/>
            <w:tcMar>
              <w:left w:w="28" w:type="dxa"/>
              <w:right w:w="28" w:type="dxa"/>
            </w:tcMar>
            <w:vAlign w:val="center"/>
          </w:tcPr>
          <w:p w14:paraId="5D92BB0A"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10.4%</w:t>
            </w:r>
          </w:p>
        </w:tc>
        <w:tc>
          <w:tcPr>
            <w:tcW w:w="365" w:type="pct"/>
            <w:tcMar>
              <w:left w:w="28" w:type="dxa"/>
              <w:right w:w="28" w:type="dxa"/>
            </w:tcMar>
            <w:vAlign w:val="center"/>
          </w:tcPr>
          <w:p w14:paraId="611E59DA"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8.0%</w:t>
            </w:r>
          </w:p>
        </w:tc>
        <w:tc>
          <w:tcPr>
            <w:tcW w:w="403" w:type="pct"/>
            <w:tcMar>
              <w:left w:w="28" w:type="dxa"/>
              <w:right w:w="28" w:type="dxa"/>
            </w:tcMar>
            <w:vAlign w:val="center"/>
          </w:tcPr>
          <w:p w14:paraId="6469FDA0"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12.0%</w:t>
            </w:r>
          </w:p>
        </w:tc>
        <w:tc>
          <w:tcPr>
            <w:tcW w:w="531" w:type="pct"/>
            <w:tcMar>
              <w:left w:w="28" w:type="dxa"/>
              <w:right w:w="28" w:type="dxa"/>
            </w:tcMar>
            <w:vAlign w:val="center"/>
          </w:tcPr>
          <w:p w14:paraId="5133BF83" w14:textId="77777777" w:rsidR="00C90289" w:rsidRPr="007F787A" w:rsidRDefault="00C90289" w:rsidP="00ED70FB">
            <w:pPr>
              <w:pStyle w:val="TableText"/>
              <w:keepNext w:val="0"/>
              <w:widowControl w:val="0"/>
              <w:jc w:val="center"/>
              <w:rPr>
                <w:rFonts w:cs="Arial"/>
                <w:szCs w:val="18"/>
              </w:rPr>
            </w:pPr>
            <w:r w:rsidRPr="007F787A">
              <w:rPr>
                <w:rFonts w:cs="Arial"/>
                <w:szCs w:val="18"/>
              </w:rPr>
              <w:t>-</w:t>
            </w:r>
          </w:p>
        </w:tc>
        <w:tc>
          <w:tcPr>
            <w:tcW w:w="1249" w:type="pct"/>
            <w:tcMar>
              <w:left w:w="28" w:type="dxa"/>
              <w:right w:w="28" w:type="dxa"/>
            </w:tcMar>
            <w:vAlign w:val="center"/>
          </w:tcPr>
          <w:p w14:paraId="4946DD01" w14:textId="77777777" w:rsidR="00C90289" w:rsidRPr="007F787A" w:rsidRDefault="00C90289" w:rsidP="00ED70FB">
            <w:pPr>
              <w:pStyle w:val="TableText"/>
              <w:keepNext w:val="0"/>
              <w:widowControl w:val="0"/>
              <w:jc w:val="center"/>
              <w:rPr>
                <w:rFonts w:cs="Arial"/>
                <w:szCs w:val="18"/>
              </w:rPr>
            </w:pPr>
            <w:r w:rsidRPr="007F787A">
              <w:rPr>
                <w:rFonts w:cs="Arial"/>
                <w:szCs w:val="18"/>
              </w:rPr>
              <w:t xml:space="preserve">Estimation </w:t>
            </w:r>
          </w:p>
        </w:tc>
      </w:tr>
      <w:tr w:rsidR="00C90289" w:rsidRPr="007F787A" w14:paraId="26A82943" w14:textId="77777777" w:rsidTr="003039ED">
        <w:trPr>
          <w:cantSplit/>
          <w:trHeight w:val="170"/>
        </w:trPr>
        <w:tc>
          <w:tcPr>
            <w:tcW w:w="1601" w:type="pct"/>
            <w:tcMar>
              <w:left w:w="28" w:type="dxa"/>
              <w:right w:w="28" w:type="dxa"/>
            </w:tcMar>
            <w:vAlign w:val="center"/>
          </w:tcPr>
          <w:p w14:paraId="1B888B52"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Gaining REM after hospitalisation</w:t>
            </w:r>
          </w:p>
        </w:tc>
        <w:tc>
          <w:tcPr>
            <w:tcW w:w="851" w:type="pct"/>
            <w:tcMar>
              <w:left w:w="28" w:type="dxa"/>
              <w:right w:w="28" w:type="dxa"/>
            </w:tcMar>
            <w:vAlign w:val="center"/>
          </w:tcPr>
          <w:p w14:paraId="60558FE5"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35.0%</w:t>
            </w:r>
          </w:p>
        </w:tc>
        <w:tc>
          <w:tcPr>
            <w:tcW w:w="365" w:type="pct"/>
            <w:tcMar>
              <w:left w:w="28" w:type="dxa"/>
              <w:right w:w="28" w:type="dxa"/>
            </w:tcMar>
            <w:vAlign w:val="center"/>
          </w:tcPr>
          <w:p w14:paraId="4D7E2C7E"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20.0%</w:t>
            </w:r>
          </w:p>
        </w:tc>
        <w:tc>
          <w:tcPr>
            <w:tcW w:w="403" w:type="pct"/>
            <w:tcMar>
              <w:left w:w="28" w:type="dxa"/>
              <w:right w:w="28" w:type="dxa"/>
            </w:tcMar>
            <w:vAlign w:val="center"/>
          </w:tcPr>
          <w:p w14:paraId="7C7DB19D"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50.0%</w:t>
            </w:r>
          </w:p>
        </w:tc>
        <w:tc>
          <w:tcPr>
            <w:tcW w:w="531" w:type="pct"/>
            <w:tcMar>
              <w:left w:w="28" w:type="dxa"/>
              <w:right w:w="28" w:type="dxa"/>
            </w:tcMar>
            <w:vAlign w:val="center"/>
          </w:tcPr>
          <w:p w14:paraId="7D13DE0D"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7E3A8909" w14:textId="77777777" w:rsidR="00C90289" w:rsidRPr="007F787A" w:rsidRDefault="00C90289" w:rsidP="00ED70FB">
            <w:pPr>
              <w:pStyle w:val="TableText"/>
              <w:keepNext w:val="0"/>
              <w:widowControl w:val="0"/>
              <w:jc w:val="center"/>
              <w:rPr>
                <w:szCs w:val="18"/>
              </w:rPr>
            </w:pPr>
            <w:r w:rsidRPr="007F787A">
              <w:rPr>
                <w:szCs w:val="18"/>
              </w:rPr>
              <w:t>Assumption</w:t>
            </w:r>
          </w:p>
        </w:tc>
      </w:tr>
      <w:tr w:rsidR="00C90289" w:rsidRPr="007F787A" w14:paraId="3F49B1C9" w14:textId="77777777" w:rsidTr="003039ED">
        <w:trPr>
          <w:cantSplit/>
          <w:trHeight w:val="170"/>
        </w:trPr>
        <w:tc>
          <w:tcPr>
            <w:tcW w:w="1601" w:type="pct"/>
            <w:tcMar>
              <w:left w:w="28" w:type="dxa"/>
              <w:right w:w="28" w:type="dxa"/>
            </w:tcMar>
            <w:vAlign w:val="center"/>
          </w:tcPr>
          <w:p w14:paraId="1C43C715"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REM: % </w:t>
            </w:r>
            <w:r w:rsidR="001507E1" w:rsidRPr="007F787A">
              <w:rPr>
                <w:rFonts w:ascii="Arial Narrow" w:hAnsi="Arial Narrow" w:cs="Arial"/>
                <w:sz w:val="18"/>
                <w:szCs w:val="18"/>
              </w:rPr>
              <w:t>decrement for each subsequent treatment</w:t>
            </w:r>
          </w:p>
        </w:tc>
        <w:tc>
          <w:tcPr>
            <w:tcW w:w="851" w:type="pct"/>
            <w:tcMar>
              <w:left w:w="28" w:type="dxa"/>
              <w:right w:w="28" w:type="dxa"/>
            </w:tcMar>
            <w:vAlign w:val="center"/>
          </w:tcPr>
          <w:p w14:paraId="6F393F00"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20.0%</w:t>
            </w:r>
          </w:p>
        </w:tc>
        <w:tc>
          <w:tcPr>
            <w:tcW w:w="365" w:type="pct"/>
            <w:tcMar>
              <w:left w:w="28" w:type="dxa"/>
              <w:right w:w="28" w:type="dxa"/>
            </w:tcMar>
            <w:vAlign w:val="center"/>
          </w:tcPr>
          <w:p w14:paraId="0232E30E"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15.0%</w:t>
            </w:r>
          </w:p>
        </w:tc>
        <w:tc>
          <w:tcPr>
            <w:tcW w:w="403" w:type="pct"/>
            <w:tcMar>
              <w:left w:w="28" w:type="dxa"/>
              <w:right w:w="28" w:type="dxa"/>
            </w:tcMar>
            <w:vAlign w:val="center"/>
          </w:tcPr>
          <w:p w14:paraId="753D53E5"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25.0%</w:t>
            </w:r>
          </w:p>
        </w:tc>
        <w:tc>
          <w:tcPr>
            <w:tcW w:w="531" w:type="pct"/>
            <w:tcMar>
              <w:left w:w="28" w:type="dxa"/>
              <w:right w:w="28" w:type="dxa"/>
            </w:tcMar>
            <w:vAlign w:val="center"/>
          </w:tcPr>
          <w:p w14:paraId="4CC860CB"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3E362C2E" w14:textId="77777777" w:rsidR="00C90289" w:rsidRPr="007F787A" w:rsidRDefault="00C90289" w:rsidP="00ED70FB">
            <w:pPr>
              <w:pStyle w:val="TableText"/>
              <w:keepNext w:val="0"/>
              <w:widowControl w:val="0"/>
              <w:jc w:val="center"/>
              <w:rPr>
                <w:szCs w:val="18"/>
              </w:rPr>
            </w:pPr>
            <w:r w:rsidRPr="007F787A">
              <w:rPr>
                <w:szCs w:val="18"/>
              </w:rPr>
              <w:t>Assumption</w:t>
            </w:r>
          </w:p>
        </w:tc>
      </w:tr>
      <w:tr w:rsidR="00C90289" w:rsidRPr="007F787A" w14:paraId="5C30462C" w14:textId="77777777" w:rsidTr="003039ED">
        <w:trPr>
          <w:cantSplit/>
          <w:trHeight w:val="170"/>
        </w:trPr>
        <w:tc>
          <w:tcPr>
            <w:tcW w:w="1601" w:type="pct"/>
            <w:tcMar>
              <w:left w:w="28" w:type="dxa"/>
              <w:right w:w="28" w:type="dxa"/>
            </w:tcMar>
            <w:vAlign w:val="center"/>
          </w:tcPr>
          <w:p w14:paraId="09363407"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RESP: % decrement for each subsequent </w:t>
            </w:r>
            <w:r w:rsidR="001507E1" w:rsidRPr="007F787A">
              <w:rPr>
                <w:rFonts w:ascii="Arial Narrow" w:hAnsi="Arial Narrow" w:cs="Arial"/>
                <w:sz w:val="18"/>
                <w:szCs w:val="18"/>
              </w:rPr>
              <w:t>treatment</w:t>
            </w:r>
          </w:p>
        </w:tc>
        <w:tc>
          <w:tcPr>
            <w:tcW w:w="851" w:type="pct"/>
            <w:tcMar>
              <w:left w:w="28" w:type="dxa"/>
              <w:right w:w="28" w:type="dxa"/>
            </w:tcMar>
            <w:vAlign w:val="center"/>
          </w:tcPr>
          <w:p w14:paraId="7F76B95F"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15.0%</w:t>
            </w:r>
          </w:p>
        </w:tc>
        <w:tc>
          <w:tcPr>
            <w:tcW w:w="365" w:type="pct"/>
            <w:tcMar>
              <w:left w:w="28" w:type="dxa"/>
              <w:right w:w="28" w:type="dxa"/>
            </w:tcMar>
            <w:vAlign w:val="center"/>
          </w:tcPr>
          <w:p w14:paraId="08B260A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10.0%</w:t>
            </w:r>
          </w:p>
        </w:tc>
        <w:tc>
          <w:tcPr>
            <w:tcW w:w="403" w:type="pct"/>
            <w:tcMar>
              <w:left w:w="28" w:type="dxa"/>
              <w:right w:w="28" w:type="dxa"/>
            </w:tcMar>
            <w:vAlign w:val="center"/>
          </w:tcPr>
          <w:p w14:paraId="3E31E8B7"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20.0%</w:t>
            </w:r>
          </w:p>
        </w:tc>
        <w:tc>
          <w:tcPr>
            <w:tcW w:w="531" w:type="pct"/>
            <w:tcMar>
              <w:left w:w="28" w:type="dxa"/>
              <w:right w:w="28" w:type="dxa"/>
            </w:tcMar>
            <w:vAlign w:val="center"/>
          </w:tcPr>
          <w:p w14:paraId="1BB9815C"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36A467D6" w14:textId="77777777" w:rsidR="00C90289" w:rsidRPr="007F787A" w:rsidRDefault="00C90289" w:rsidP="00ED70FB">
            <w:pPr>
              <w:pStyle w:val="TableText"/>
              <w:keepNext w:val="0"/>
              <w:widowControl w:val="0"/>
              <w:jc w:val="center"/>
              <w:rPr>
                <w:szCs w:val="18"/>
              </w:rPr>
            </w:pPr>
            <w:r w:rsidRPr="007F787A">
              <w:rPr>
                <w:szCs w:val="18"/>
              </w:rPr>
              <w:t xml:space="preserve">Assumption </w:t>
            </w:r>
          </w:p>
        </w:tc>
      </w:tr>
      <w:tr w:rsidR="00C90289" w:rsidRPr="007F787A" w14:paraId="45B6549E" w14:textId="77777777" w:rsidTr="003039ED">
        <w:trPr>
          <w:cantSplit/>
          <w:trHeight w:val="170"/>
        </w:trPr>
        <w:tc>
          <w:tcPr>
            <w:tcW w:w="1601" w:type="pct"/>
            <w:tcMar>
              <w:left w:w="28" w:type="dxa"/>
              <w:right w:w="28" w:type="dxa"/>
            </w:tcMar>
            <w:vAlign w:val="center"/>
          </w:tcPr>
          <w:p w14:paraId="4300E020"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Retreatment after relapse</w:t>
            </w:r>
          </w:p>
        </w:tc>
        <w:tc>
          <w:tcPr>
            <w:tcW w:w="851" w:type="pct"/>
            <w:tcMar>
              <w:left w:w="28" w:type="dxa"/>
              <w:right w:w="28" w:type="dxa"/>
            </w:tcMar>
            <w:vAlign w:val="center"/>
          </w:tcPr>
          <w:p w14:paraId="13A2F2CF"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36.2%</w:t>
            </w:r>
          </w:p>
        </w:tc>
        <w:tc>
          <w:tcPr>
            <w:tcW w:w="365" w:type="pct"/>
            <w:tcMar>
              <w:left w:w="28" w:type="dxa"/>
              <w:right w:w="28" w:type="dxa"/>
            </w:tcMar>
            <w:vAlign w:val="center"/>
          </w:tcPr>
          <w:p w14:paraId="6D49B81A"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25.0%</w:t>
            </w:r>
          </w:p>
        </w:tc>
        <w:tc>
          <w:tcPr>
            <w:tcW w:w="403" w:type="pct"/>
            <w:tcMar>
              <w:left w:w="28" w:type="dxa"/>
              <w:right w:w="28" w:type="dxa"/>
            </w:tcMar>
            <w:vAlign w:val="center"/>
          </w:tcPr>
          <w:p w14:paraId="4028B388"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45.0%</w:t>
            </w:r>
          </w:p>
        </w:tc>
        <w:tc>
          <w:tcPr>
            <w:tcW w:w="531" w:type="pct"/>
            <w:tcMar>
              <w:left w:w="28" w:type="dxa"/>
              <w:right w:w="28" w:type="dxa"/>
            </w:tcMar>
            <w:vAlign w:val="center"/>
          </w:tcPr>
          <w:p w14:paraId="747C4C6F" w14:textId="77777777" w:rsidR="00C90289" w:rsidRPr="007F787A" w:rsidRDefault="00C90289"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5F8D2AF8" w14:textId="77777777" w:rsidR="00C90289" w:rsidRPr="007F787A" w:rsidRDefault="00C90289" w:rsidP="00ED70FB">
            <w:pPr>
              <w:pStyle w:val="TableText"/>
              <w:keepNext w:val="0"/>
              <w:widowControl w:val="0"/>
              <w:jc w:val="center"/>
              <w:rPr>
                <w:szCs w:val="18"/>
              </w:rPr>
            </w:pPr>
            <w:r w:rsidRPr="007F787A">
              <w:rPr>
                <w:szCs w:val="18"/>
              </w:rPr>
              <w:t>NeuroNetics for rTMS; assumed equivalent for ECT and Antidepressant</w:t>
            </w:r>
          </w:p>
        </w:tc>
      </w:tr>
      <w:tr w:rsidR="00C90289" w:rsidRPr="007F787A" w14:paraId="0E99E750" w14:textId="77777777" w:rsidTr="003039ED">
        <w:trPr>
          <w:cantSplit/>
          <w:trHeight w:val="170"/>
        </w:trPr>
        <w:tc>
          <w:tcPr>
            <w:tcW w:w="1601" w:type="pct"/>
            <w:tcMar>
              <w:left w:w="28" w:type="dxa"/>
              <w:right w:w="28" w:type="dxa"/>
            </w:tcMar>
            <w:vAlign w:val="center"/>
          </w:tcPr>
          <w:p w14:paraId="7ED91A25"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Relapse from partial remission</w:t>
            </w:r>
          </w:p>
        </w:tc>
        <w:tc>
          <w:tcPr>
            <w:tcW w:w="851" w:type="pct"/>
            <w:tcMar>
              <w:left w:w="28" w:type="dxa"/>
              <w:right w:w="28" w:type="dxa"/>
            </w:tcMar>
            <w:vAlign w:val="center"/>
          </w:tcPr>
          <w:p w14:paraId="69CCFB18"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50.0%</w:t>
            </w:r>
          </w:p>
        </w:tc>
        <w:tc>
          <w:tcPr>
            <w:tcW w:w="365" w:type="pct"/>
            <w:tcMar>
              <w:left w:w="28" w:type="dxa"/>
              <w:right w:w="28" w:type="dxa"/>
            </w:tcMar>
            <w:vAlign w:val="center"/>
          </w:tcPr>
          <w:p w14:paraId="77C9B915"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40.0%</w:t>
            </w:r>
          </w:p>
        </w:tc>
        <w:tc>
          <w:tcPr>
            <w:tcW w:w="403" w:type="pct"/>
            <w:tcMar>
              <w:left w:w="28" w:type="dxa"/>
              <w:right w:w="28" w:type="dxa"/>
            </w:tcMar>
            <w:vAlign w:val="center"/>
          </w:tcPr>
          <w:p w14:paraId="10CE5404"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58.0%</w:t>
            </w:r>
          </w:p>
        </w:tc>
        <w:tc>
          <w:tcPr>
            <w:tcW w:w="531" w:type="pct"/>
            <w:tcMar>
              <w:left w:w="28" w:type="dxa"/>
              <w:right w:w="28" w:type="dxa"/>
            </w:tcMar>
            <w:vAlign w:val="center"/>
          </w:tcPr>
          <w:p w14:paraId="5679DAD1" w14:textId="77777777" w:rsidR="00C90289" w:rsidRPr="007F787A" w:rsidRDefault="00C90289" w:rsidP="00ED70FB">
            <w:pPr>
              <w:pStyle w:val="TableText"/>
              <w:keepNext w:val="0"/>
              <w:widowControl w:val="0"/>
              <w:jc w:val="center"/>
              <w:rPr>
                <w:rFonts w:cs="Arial"/>
                <w:szCs w:val="18"/>
              </w:rPr>
            </w:pPr>
            <w:r w:rsidRPr="007F787A">
              <w:rPr>
                <w:rFonts w:cs="Arial"/>
                <w:szCs w:val="18"/>
              </w:rPr>
              <w:t>-</w:t>
            </w:r>
          </w:p>
        </w:tc>
        <w:tc>
          <w:tcPr>
            <w:tcW w:w="1249" w:type="pct"/>
            <w:tcMar>
              <w:left w:w="28" w:type="dxa"/>
              <w:right w:w="28" w:type="dxa"/>
            </w:tcMar>
            <w:vAlign w:val="center"/>
          </w:tcPr>
          <w:p w14:paraId="1BCC7B10" w14:textId="77777777" w:rsidR="00C90289" w:rsidRPr="007F787A" w:rsidRDefault="00C90289" w:rsidP="00ED70FB">
            <w:pPr>
              <w:pStyle w:val="TableText"/>
              <w:keepNext w:val="0"/>
              <w:widowControl w:val="0"/>
              <w:jc w:val="center"/>
              <w:rPr>
                <w:rFonts w:cs="Arial"/>
                <w:szCs w:val="18"/>
              </w:rPr>
            </w:pPr>
            <w:r w:rsidRPr="007F787A">
              <w:rPr>
                <w:rFonts w:cs="Arial"/>
                <w:szCs w:val="18"/>
              </w:rPr>
              <w:t>Assumption</w:t>
            </w:r>
          </w:p>
        </w:tc>
      </w:tr>
      <w:tr w:rsidR="00C90289" w:rsidRPr="007F787A" w14:paraId="63B617A4" w14:textId="77777777" w:rsidTr="003039ED">
        <w:trPr>
          <w:cantSplit/>
          <w:trHeight w:val="170"/>
        </w:trPr>
        <w:tc>
          <w:tcPr>
            <w:tcW w:w="1601" w:type="pct"/>
            <w:tcMar>
              <w:left w:w="28" w:type="dxa"/>
              <w:right w:w="28" w:type="dxa"/>
            </w:tcMar>
            <w:vAlign w:val="center"/>
          </w:tcPr>
          <w:p w14:paraId="414B9B04"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Relapse: % increase for each subsequent </w:t>
            </w:r>
            <w:r w:rsidR="001507E1" w:rsidRPr="007F787A">
              <w:rPr>
                <w:rFonts w:ascii="Arial Narrow" w:hAnsi="Arial Narrow" w:cs="Arial"/>
                <w:sz w:val="18"/>
                <w:szCs w:val="18"/>
              </w:rPr>
              <w:t>treatment</w:t>
            </w:r>
          </w:p>
        </w:tc>
        <w:tc>
          <w:tcPr>
            <w:tcW w:w="851" w:type="pct"/>
            <w:tcMar>
              <w:left w:w="28" w:type="dxa"/>
              <w:right w:w="28" w:type="dxa"/>
            </w:tcMar>
            <w:vAlign w:val="center"/>
          </w:tcPr>
          <w:p w14:paraId="0C86AFB7"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10.0%</w:t>
            </w:r>
          </w:p>
        </w:tc>
        <w:tc>
          <w:tcPr>
            <w:tcW w:w="365" w:type="pct"/>
            <w:tcMar>
              <w:left w:w="28" w:type="dxa"/>
              <w:right w:w="28" w:type="dxa"/>
            </w:tcMar>
            <w:vAlign w:val="center"/>
          </w:tcPr>
          <w:p w14:paraId="260FA8FE"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5.0%</w:t>
            </w:r>
          </w:p>
        </w:tc>
        <w:tc>
          <w:tcPr>
            <w:tcW w:w="403" w:type="pct"/>
            <w:tcMar>
              <w:left w:w="28" w:type="dxa"/>
              <w:right w:w="28" w:type="dxa"/>
            </w:tcMar>
            <w:vAlign w:val="center"/>
          </w:tcPr>
          <w:p w14:paraId="41D2E3E0"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15.0%</w:t>
            </w:r>
          </w:p>
        </w:tc>
        <w:tc>
          <w:tcPr>
            <w:tcW w:w="531" w:type="pct"/>
            <w:tcMar>
              <w:left w:w="28" w:type="dxa"/>
              <w:right w:w="28" w:type="dxa"/>
            </w:tcMar>
            <w:vAlign w:val="center"/>
          </w:tcPr>
          <w:p w14:paraId="527CECC7" w14:textId="77777777" w:rsidR="00C90289" w:rsidRPr="007F787A" w:rsidRDefault="00C90289" w:rsidP="00ED70FB">
            <w:pPr>
              <w:pStyle w:val="TableText"/>
              <w:keepNext w:val="0"/>
              <w:widowControl w:val="0"/>
              <w:jc w:val="center"/>
              <w:rPr>
                <w:rFonts w:cs="Arial"/>
                <w:szCs w:val="18"/>
              </w:rPr>
            </w:pPr>
            <w:r w:rsidRPr="007F787A">
              <w:rPr>
                <w:rFonts w:cs="Arial"/>
                <w:szCs w:val="18"/>
              </w:rPr>
              <w:t>-</w:t>
            </w:r>
          </w:p>
        </w:tc>
        <w:tc>
          <w:tcPr>
            <w:tcW w:w="1249" w:type="pct"/>
            <w:tcMar>
              <w:left w:w="28" w:type="dxa"/>
              <w:right w:w="28" w:type="dxa"/>
            </w:tcMar>
            <w:vAlign w:val="center"/>
          </w:tcPr>
          <w:p w14:paraId="1D94776B" w14:textId="77777777" w:rsidR="00C90289" w:rsidRPr="007F787A" w:rsidRDefault="00C90289" w:rsidP="00ED70FB">
            <w:pPr>
              <w:pStyle w:val="TableText"/>
              <w:keepNext w:val="0"/>
              <w:widowControl w:val="0"/>
              <w:jc w:val="center"/>
              <w:rPr>
                <w:rFonts w:cs="Arial"/>
                <w:szCs w:val="18"/>
              </w:rPr>
            </w:pPr>
            <w:r w:rsidRPr="007F787A">
              <w:rPr>
                <w:rFonts w:cs="Arial"/>
                <w:szCs w:val="18"/>
              </w:rPr>
              <w:t>Assumption</w:t>
            </w:r>
          </w:p>
        </w:tc>
      </w:tr>
      <w:tr w:rsidR="00C90289" w:rsidRPr="007F787A" w14:paraId="7C161090" w14:textId="77777777" w:rsidTr="003039ED">
        <w:trPr>
          <w:cantSplit/>
          <w:trHeight w:val="170"/>
        </w:trPr>
        <w:tc>
          <w:tcPr>
            <w:tcW w:w="1601" w:type="pct"/>
            <w:tcMar>
              <w:left w:w="28" w:type="dxa"/>
              <w:right w:w="28" w:type="dxa"/>
            </w:tcMar>
            <w:vAlign w:val="center"/>
          </w:tcPr>
          <w:p w14:paraId="5BB5CB43"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Getting ECT after failing the main treatment</w:t>
            </w:r>
          </w:p>
        </w:tc>
        <w:tc>
          <w:tcPr>
            <w:tcW w:w="851" w:type="pct"/>
            <w:tcMar>
              <w:left w:w="28" w:type="dxa"/>
              <w:right w:w="28" w:type="dxa"/>
            </w:tcMar>
            <w:vAlign w:val="center"/>
          </w:tcPr>
          <w:p w14:paraId="6843BDA0"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25.0%</w:t>
            </w:r>
          </w:p>
        </w:tc>
        <w:tc>
          <w:tcPr>
            <w:tcW w:w="365" w:type="pct"/>
            <w:tcMar>
              <w:left w:w="28" w:type="dxa"/>
              <w:right w:w="28" w:type="dxa"/>
            </w:tcMar>
            <w:vAlign w:val="center"/>
          </w:tcPr>
          <w:p w14:paraId="09CE9FBC"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20.0%</w:t>
            </w:r>
          </w:p>
        </w:tc>
        <w:tc>
          <w:tcPr>
            <w:tcW w:w="403" w:type="pct"/>
            <w:tcMar>
              <w:left w:w="28" w:type="dxa"/>
              <w:right w:w="28" w:type="dxa"/>
            </w:tcMar>
            <w:vAlign w:val="center"/>
          </w:tcPr>
          <w:p w14:paraId="56D2A565"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30.0%</w:t>
            </w:r>
          </w:p>
        </w:tc>
        <w:tc>
          <w:tcPr>
            <w:tcW w:w="531" w:type="pct"/>
            <w:tcMar>
              <w:left w:w="28" w:type="dxa"/>
              <w:right w:w="28" w:type="dxa"/>
            </w:tcMar>
            <w:vAlign w:val="center"/>
          </w:tcPr>
          <w:p w14:paraId="6A1FF313" w14:textId="77777777" w:rsidR="00C90289" w:rsidRPr="007F787A" w:rsidRDefault="00C90289" w:rsidP="00ED70FB">
            <w:pPr>
              <w:pStyle w:val="TableText"/>
              <w:keepNext w:val="0"/>
              <w:widowControl w:val="0"/>
              <w:jc w:val="center"/>
              <w:rPr>
                <w:rFonts w:cs="Arial"/>
                <w:szCs w:val="18"/>
              </w:rPr>
            </w:pPr>
            <w:r w:rsidRPr="007F787A">
              <w:rPr>
                <w:rFonts w:cs="Arial"/>
                <w:szCs w:val="18"/>
              </w:rPr>
              <w:t>-</w:t>
            </w:r>
          </w:p>
        </w:tc>
        <w:tc>
          <w:tcPr>
            <w:tcW w:w="1249" w:type="pct"/>
            <w:tcMar>
              <w:left w:w="28" w:type="dxa"/>
              <w:right w:w="28" w:type="dxa"/>
            </w:tcMar>
            <w:vAlign w:val="center"/>
          </w:tcPr>
          <w:p w14:paraId="66BD0282" w14:textId="77777777" w:rsidR="00C90289" w:rsidRPr="007F787A" w:rsidRDefault="00C90289" w:rsidP="00ED70FB">
            <w:pPr>
              <w:pStyle w:val="TableText"/>
              <w:keepNext w:val="0"/>
              <w:widowControl w:val="0"/>
              <w:jc w:val="center"/>
              <w:rPr>
                <w:rFonts w:cs="Arial"/>
                <w:szCs w:val="18"/>
              </w:rPr>
            </w:pPr>
            <w:r w:rsidRPr="007F787A">
              <w:rPr>
                <w:rFonts w:cs="Arial"/>
                <w:szCs w:val="18"/>
              </w:rPr>
              <w:t>Assumption</w:t>
            </w:r>
          </w:p>
        </w:tc>
      </w:tr>
      <w:tr w:rsidR="00C90289" w:rsidRPr="007F787A" w14:paraId="69195C39" w14:textId="77777777" w:rsidTr="003039ED">
        <w:trPr>
          <w:cantSplit/>
          <w:trHeight w:val="170"/>
        </w:trPr>
        <w:tc>
          <w:tcPr>
            <w:tcW w:w="1601" w:type="pct"/>
            <w:tcBorders>
              <w:bottom w:val="single" w:sz="4" w:space="0" w:color="auto"/>
            </w:tcBorders>
            <w:tcMar>
              <w:left w:w="28" w:type="dxa"/>
              <w:right w:w="28" w:type="dxa"/>
            </w:tcMar>
            <w:vAlign w:val="center"/>
          </w:tcPr>
          <w:p w14:paraId="75864E42"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Having adverse events during treatment</w:t>
            </w:r>
          </w:p>
        </w:tc>
        <w:tc>
          <w:tcPr>
            <w:tcW w:w="851" w:type="pct"/>
            <w:tcBorders>
              <w:bottom w:val="single" w:sz="4" w:space="0" w:color="auto"/>
            </w:tcBorders>
            <w:tcMar>
              <w:left w:w="28" w:type="dxa"/>
              <w:right w:w="28" w:type="dxa"/>
            </w:tcMar>
            <w:vAlign w:val="center"/>
          </w:tcPr>
          <w:p w14:paraId="3C75342F"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5.8%</w:t>
            </w:r>
          </w:p>
        </w:tc>
        <w:tc>
          <w:tcPr>
            <w:tcW w:w="365" w:type="pct"/>
            <w:tcBorders>
              <w:bottom w:val="single" w:sz="4" w:space="0" w:color="auto"/>
            </w:tcBorders>
            <w:tcMar>
              <w:left w:w="28" w:type="dxa"/>
              <w:right w:w="28" w:type="dxa"/>
            </w:tcMar>
            <w:vAlign w:val="center"/>
          </w:tcPr>
          <w:p w14:paraId="775FD2CD"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4.0%</w:t>
            </w:r>
          </w:p>
        </w:tc>
        <w:tc>
          <w:tcPr>
            <w:tcW w:w="403" w:type="pct"/>
            <w:tcBorders>
              <w:bottom w:val="single" w:sz="4" w:space="0" w:color="auto"/>
            </w:tcBorders>
            <w:tcMar>
              <w:left w:w="28" w:type="dxa"/>
              <w:right w:w="28" w:type="dxa"/>
            </w:tcMar>
            <w:vAlign w:val="center"/>
          </w:tcPr>
          <w:p w14:paraId="3226F99C"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8.0%</w:t>
            </w:r>
          </w:p>
        </w:tc>
        <w:tc>
          <w:tcPr>
            <w:tcW w:w="531" w:type="pct"/>
            <w:tcBorders>
              <w:bottom w:val="single" w:sz="4" w:space="0" w:color="auto"/>
            </w:tcBorders>
            <w:tcMar>
              <w:left w:w="28" w:type="dxa"/>
              <w:right w:w="28" w:type="dxa"/>
            </w:tcMar>
            <w:vAlign w:val="center"/>
          </w:tcPr>
          <w:p w14:paraId="1C42A85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1249" w:type="pct"/>
            <w:tcBorders>
              <w:bottom w:val="single" w:sz="4" w:space="0" w:color="auto"/>
            </w:tcBorders>
            <w:tcMar>
              <w:left w:w="28" w:type="dxa"/>
              <w:right w:w="28" w:type="dxa"/>
            </w:tcMar>
            <w:vAlign w:val="center"/>
          </w:tcPr>
          <w:p w14:paraId="444012AD"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O'Reardon 2007 for rTMS; equivalent assumed for ECT and Antidepressant</w:t>
            </w:r>
          </w:p>
        </w:tc>
      </w:tr>
      <w:tr w:rsidR="00C90289" w:rsidRPr="007F787A" w14:paraId="78582200" w14:textId="77777777" w:rsidTr="003039ED">
        <w:trPr>
          <w:cantSplit/>
          <w:trHeight w:val="170"/>
        </w:trPr>
        <w:tc>
          <w:tcPr>
            <w:tcW w:w="1601" w:type="pct"/>
            <w:tcBorders>
              <w:right w:val="nil"/>
            </w:tcBorders>
            <w:tcMar>
              <w:left w:w="28" w:type="dxa"/>
              <w:right w:w="28" w:type="dxa"/>
            </w:tcMar>
            <w:vAlign w:val="center"/>
          </w:tcPr>
          <w:p w14:paraId="0CF3EDB2" w14:textId="77777777" w:rsidR="00C90289" w:rsidRPr="007F787A" w:rsidRDefault="00C90289" w:rsidP="00ED70FB">
            <w:pPr>
              <w:widowControl w:val="0"/>
              <w:spacing w:before="40" w:after="40"/>
              <w:ind w:left="0"/>
              <w:rPr>
                <w:rFonts w:ascii="Arial Narrow" w:hAnsi="Arial Narrow" w:cs="Arial"/>
                <w:b/>
                <w:sz w:val="18"/>
                <w:szCs w:val="18"/>
              </w:rPr>
            </w:pPr>
            <w:r w:rsidRPr="007F787A">
              <w:rPr>
                <w:rFonts w:ascii="Arial Narrow" w:hAnsi="Arial Narrow" w:cs="Arial"/>
                <w:b/>
                <w:sz w:val="18"/>
                <w:szCs w:val="18"/>
              </w:rPr>
              <w:t xml:space="preserve">Mortality risk </w:t>
            </w:r>
          </w:p>
        </w:tc>
        <w:tc>
          <w:tcPr>
            <w:tcW w:w="851" w:type="pct"/>
            <w:tcBorders>
              <w:left w:val="nil"/>
              <w:right w:val="nil"/>
            </w:tcBorders>
            <w:tcMar>
              <w:left w:w="28" w:type="dxa"/>
              <w:right w:w="28" w:type="dxa"/>
            </w:tcMar>
            <w:vAlign w:val="center"/>
          </w:tcPr>
          <w:p w14:paraId="04F28A3A" w14:textId="77777777" w:rsidR="00C90289" w:rsidRPr="007F787A" w:rsidRDefault="00C90289" w:rsidP="00ED70FB">
            <w:pPr>
              <w:widowControl w:val="0"/>
              <w:spacing w:before="40" w:after="40"/>
              <w:ind w:left="0"/>
              <w:jc w:val="center"/>
              <w:rPr>
                <w:rFonts w:ascii="Arial Narrow" w:hAnsi="Arial Narrow" w:cs="Arial"/>
                <w:b/>
                <w:sz w:val="18"/>
                <w:szCs w:val="18"/>
              </w:rPr>
            </w:pPr>
          </w:p>
        </w:tc>
        <w:tc>
          <w:tcPr>
            <w:tcW w:w="365" w:type="pct"/>
            <w:tcBorders>
              <w:left w:val="nil"/>
              <w:bottom w:val="single" w:sz="4" w:space="0" w:color="auto"/>
              <w:right w:val="nil"/>
            </w:tcBorders>
            <w:tcMar>
              <w:left w:w="28" w:type="dxa"/>
              <w:right w:w="28" w:type="dxa"/>
            </w:tcMar>
            <w:vAlign w:val="center"/>
          </w:tcPr>
          <w:p w14:paraId="67AD8E43" w14:textId="77777777" w:rsidR="00C90289" w:rsidRPr="007F787A" w:rsidRDefault="00C90289" w:rsidP="00ED70FB">
            <w:pPr>
              <w:widowControl w:val="0"/>
              <w:spacing w:before="40" w:after="40"/>
              <w:ind w:left="0"/>
              <w:jc w:val="center"/>
              <w:rPr>
                <w:rFonts w:ascii="Arial Narrow" w:hAnsi="Arial Narrow" w:cs="Arial"/>
                <w:b/>
                <w:sz w:val="18"/>
                <w:szCs w:val="18"/>
              </w:rPr>
            </w:pPr>
          </w:p>
        </w:tc>
        <w:tc>
          <w:tcPr>
            <w:tcW w:w="403" w:type="pct"/>
            <w:tcBorders>
              <w:left w:val="nil"/>
              <w:bottom w:val="single" w:sz="4" w:space="0" w:color="auto"/>
              <w:right w:val="nil"/>
            </w:tcBorders>
            <w:tcMar>
              <w:left w:w="28" w:type="dxa"/>
              <w:right w:w="28" w:type="dxa"/>
            </w:tcMar>
            <w:vAlign w:val="center"/>
          </w:tcPr>
          <w:p w14:paraId="08378D37" w14:textId="77777777" w:rsidR="00C90289" w:rsidRPr="007F787A" w:rsidRDefault="00C90289" w:rsidP="00ED70FB">
            <w:pPr>
              <w:widowControl w:val="0"/>
              <w:spacing w:before="40" w:after="40"/>
              <w:ind w:left="0"/>
              <w:jc w:val="center"/>
              <w:rPr>
                <w:rFonts w:ascii="Arial Narrow" w:hAnsi="Arial Narrow" w:cs="Arial"/>
                <w:b/>
                <w:sz w:val="18"/>
                <w:szCs w:val="18"/>
              </w:rPr>
            </w:pPr>
          </w:p>
        </w:tc>
        <w:tc>
          <w:tcPr>
            <w:tcW w:w="531" w:type="pct"/>
            <w:tcBorders>
              <w:left w:val="nil"/>
              <w:bottom w:val="single" w:sz="4" w:space="0" w:color="auto"/>
              <w:right w:val="nil"/>
            </w:tcBorders>
            <w:tcMar>
              <w:left w:w="28" w:type="dxa"/>
              <w:right w:w="28" w:type="dxa"/>
            </w:tcMar>
            <w:vAlign w:val="center"/>
          </w:tcPr>
          <w:p w14:paraId="56312788" w14:textId="77777777" w:rsidR="00C90289" w:rsidRPr="007F787A" w:rsidRDefault="00C90289" w:rsidP="00ED70FB">
            <w:pPr>
              <w:pStyle w:val="TableText"/>
              <w:keepNext w:val="0"/>
              <w:widowControl w:val="0"/>
              <w:jc w:val="center"/>
              <w:rPr>
                <w:b/>
                <w:szCs w:val="18"/>
              </w:rPr>
            </w:pPr>
          </w:p>
        </w:tc>
        <w:tc>
          <w:tcPr>
            <w:tcW w:w="1249" w:type="pct"/>
            <w:tcBorders>
              <w:left w:val="nil"/>
            </w:tcBorders>
            <w:tcMar>
              <w:left w:w="28" w:type="dxa"/>
              <w:right w:w="28" w:type="dxa"/>
            </w:tcMar>
            <w:vAlign w:val="center"/>
          </w:tcPr>
          <w:p w14:paraId="36C68138" w14:textId="77777777" w:rsidR="00C90289" w:rsidRPr="007F787A" w:rsidRDefault="00C90289" w:rsidP="00ED70FB">
            <w:pPr>
              <w:pStyle w:val="TableText"/>
              <w:keepNext w:val="0"/>
              <w:widowControl w:val="0"/>
              <w:jc w:val="center"/>
              <w:rPr>
                <w:b/>
                <w:szCs w:val="18"/>
                <w:highlight w:val="yellow"/>
              </w:rPr>
            </w:pPr>
          </w:p>
        </w:tc>
      </w:tr>
      <w:tr w:rsidR="00C90289" w:rsidRPr="007F787A" w14:paraId="7F06BB2B" w14:textId="77777777" w:rsidTr="003039ED">
        <w:trPr>
          <w:cantSplit/>
          <w:trHeight w:val="170"/>
        </w:trPr>
        <w:tc>
          <w:tcPr>
            <w:tcW w:w="1601" w:type="pct"/>
            <w:tcMar>
              <w:left w:w="28" w:type="dxa"/>
              <w:right w:w="28" w:type="dxa"/>
            </w:tcMar>
            <w:vAlign w:val="center"/>
          </w:tcPr>
          <w:p w14:paraId="681D3FFA"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Mortality risk by all causes</w:t>
            </w:r>
          </w:p>
        </w:tc>
        <w:tc>
          <w:tcPr>
            <w:tcW w:w="851" w:type="pct"/>
            <w:tcMar>
              <w:left w:w="28" w:type="dxa"/>
              <w:right w:w="28" w:type="dxa"/>
            </w:tcMar>
            <w:vAlign w:val="center"/>
          </w:tcPr>
          <w:p w14:paraId="452C3BE7"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Life table</w:t>
            </w:r>
          </w:p>
        </w:tc>
        <w:tc>
          <w:tcPr>
            <w:tcW w:w="365" w:type="pct"/>
            <w:shd w:val="clear" w:color="auto" w:fill="auto"/>
            <w:tcMar>
              <w:left w:w="28" w:type="dxa"/>
              <w:right w:w="28" w:type="dxa"/>
            </w:tcMar>
            <w:vAlign w:val="center"/>
          </w:tcPr>
          <w:p w14:paraId="4D02DDD7"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shd w:val="clear" w:color="auto" w:fill="auto"/>
            <w:tcMar>
              <w:left w:w="28" w:type="dxa"/>
              <w:right w:w="28" w:type="dxa"/>
            </w:tcMar>
            <w:vAlign w:val="center"/>
          </w:tcPr>
          <w:p w14:paraId="0205618B"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shd w:val="clear" w:color="auto" w:fill="auto"/>
            <w:tcMar>
              <w:left w:w="28" w:type="dxa"/>
              <w:right w:w="28" w:type="dxa"/>
            </w:tcMar>
            <w:vAlign w:val="center"/>
          </w:tcPr>
          <w:p w14:paraId="237BBC35"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1249" w:type="pct"/>
            <w:tcMar>
              <w:left w:w="28" w:type="dxa"/>
              <w:right w:w="28" w:type="dxa"/>
            </w:tcMar>
            <w:vAlign w:val="center"/>
          </w:tcPr>
          <w:p w14:paraId="5CF00543"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ABS</w:t>
            </w:r>
          </w:p>
        </w:tc>
      </w:tr>
      <w:tr w:rsidR="00C90289" w:rsidRPr="007F787A" w14:paraId="5218E2D8" w14:textId="77777777" w:rsidTr="003039ED">
        <w:trPr>
          <w:cantSplit/>
          <w:trHeight w:val="170"/>
        </w:trPr>
        <w:tc>
          <w:tcPr>
            <w:tcW w:w="1601" w:type="pct"/>
            <w:tcMar>
              <w:left w:w="28" w:type="dxa"/>
              <w:right w:w="28" w:type="dxa"/>
            </w:tcMar>
            <w:vAlign w:val="center"/>
          </w:tcPr>
          <w:p w14:paraId="40476D09"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Mortality risk – partial remission</w:t>
            </w:r>
          </w:p>
        </w:tc>
        <w:tc>
          <w:tcPr>
            <w:tcW w:w="851" w:type="pct"/>
            <w:tcMar>
              <w:left w:w="28" w:type="dxa"/>
              <w:right w:w="28" w:type="dxa"/>
            </w:tcMar>
            <w:vAlign w:val="center"/>
          </w:tcPr>
          <w:p w14:paraId="0F2EDB66"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Mortality risk by all causes * 1.81</w:t>
            </w:r>
          </w:p>
        </w:tc>
        <w:tc>
          <w:tcPr>
            <w:tcW w:w="365" w:type="pct"/>
            <w:shd w:val="clear" w:color="auto" w:fill="auto"/>
            <w:tcMar>
              <w:left w:w="28" w:type="dxa"/>
              <w:right w:w="28" w:type="dxa"/>
            </w:tcMar>
            <w:vAlign w:val="center"/>
          </w:tcPr>
          <w:p w14:paraId="13A38577"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shd w:val="clear" w:color="auto" w:fill="auto"/>
            <w:tcMar>
              <w:left w:w="28" w:type="dxa"/>
              <w:right w:w="28" w:type="dxa"/>
            </w:tcMar>
            <w:vAlign w:val="center"/>
          </w:tcPr>
          <w:p w14:paraId="0343DC8F"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shd w:val="clear" w:color="auto" w:fill="auto"/>
            <w:tcMar>
              <w:left w:w="28" w:type="dxa"/>
              <w:right w:w="28" w:type="dxa"/>
            </w:tcMar>
            <w:vAlign w:val="center"/>
          </w:tcPr>
          <w:p w14:paraId="5D710183"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1249" w:type="pct"/>
            <w:tcMar>
              <w:left w:w="28" w:type="dxa"/>
              <w:right w:w="28" w:type="dxa"/>
            </w:tcMar>
            <w:vAlign w:val="center"/>
          </w:tcPr>
          <w:p w14:paraId="5353D4D5"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Cuijpers 2002</w:t>
            </w:r>
          </w:p>
        </w:tc>
      </w:tr>
      <w:tr w:rsidR="00C90289" w:rsidRPr="007F787A" w14:paraId="1701FAB4" w14:textId="77777777" w:rsidTr="003039ED">
        <w:trPr>
          <w:cantSplit/>
          <w:trHeight w:val="170"/>
        </w:trPr>
        <w:tc>
          <w:tcPr>
            <w:tcW w:w="1601" w:type="pct"/>
            <w:tcBorders>
              <w:bottom w:val="single" w:sz="4" w:space="0" w:color="auto"/>
            </w:tcBorders>
            <w:tcMar>
              <w:left w:w="28" w:type="dxa"/>
              <w:right w:w="28" w:type="dxa"/>
            </w:tcMar>
            <w:vAlign w:val="center"/>
          </w:tcPr>
          <w:p w14:paraId="1FC34ECA"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lastRenderedPageBreak/>
              <w:t xml:space="preserve">Mortality risk – no response/ relapse </w:t>
            </w:r>
          </w:p>
        </w:tc>
        <w:tc>
          <w:tcPr>
            <w:tcW w:w="851" w:type="pct"/>
            <w:tcBorders>
              <w:bottom w:val="single" w:sz="4" w:space="0" w:color="auto"/>
            </w:tcBorders>
            <w:tcMar>
              <w:left w:w="28" w:type="dxa"/>
              <w:right w:w="28" w:type="dxa"/>
            </w:tcMar>
            <w:vAlign w:val="center"/>
          </w:tcPr>
          <w:p w14:paraId="22B25874"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Mortality risk by all causes * 6</w:t>
            </w:r>
          </w:p>
        </w:tc>
        <w:tc>
          <w:tcPr>
            <w:tcW w:w="365" w:type="pct"/>
            <w:tcBorders>
              <w:bottom w:val="single" w:sz="4" w:space="0" w:color="auto"/>
            </w:tcBorders>
            <w:shd w:val="clear" w:color="auto" w:fill="auto"/>
            <w:tcMar>
              <w:left w:w="28" w:type="dxa"/>
              <w:right w:w="28" w:type="dxa"/>
            </w:tcMar>
            <w:vAlign w:val="center"/>
          </w:tcPr>
          <w:p w14:paraId="2EF80F0B"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tcBorders>
              <w:bottom w:val="single" w:sz="4" w:space="0" w:color="auto"/>
            </w:tcBorders>
            <w:shd w:val="clear" w:color="auto" w:fill="auto"/>
            <w:tcMar>
              <w:left w:w="28" w:type="dxa"/>
              <w:right w:w="28" w:type="dxa"/>
            </w:tcMar>
            <w:vAlign w:val="center"/>
          </w:tcPr>
          <w:p w14:paraId="7D65D59C"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tcBorders>
              <w:bottom w:val="single" w:sz="4" w:space="0" w:color="auto"/>
            </w:tcBorders>
            <w:shd w:val="clear" w:color="auto" w:fill="auto"/>
            <w:tcMar>
              <w:left w:w="28" w:type="dxa"/>
              <w:right w:w="28" w:type="dxa"/>
            </w:tcMar>
            <w:vAlign w:val="center"/>
          </w:tcPr>
          <w:p w14:paraId="46C0BFDA" w14:textId="77777777" w:rsidR="00C90289" w:rsidRPr="007F787A" w:rsidRDefault="004412C5"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1249" w:type="pct"/>
            <w:tcBorders>
              <w:bottom w:val="single" w:sz="4" w:space="0" w:color="auto"/>
            </w:tcBorders>
            <w:tcMar>
              <w:left w:w="28" w:type="dxa"/>
              <w:right w:w="28" w:type="dxa"/>
            </w:tcMar>
            <w:vAlign w:val="center"/>
          </w:tcPr>
          <w:p w14:paraId="6B8CE389"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Olin 2012</w:t>
            </w:r>
          </w:p>
        </w:tc>
      </w:tr>
      <w:tr w:rsidR="00C90289" w:rsidRPr="007F787A" w14:paraId="77F7CE64" w14:textId="77777777" w:rsidTr="003039ED">
        <w:trPr>
          <w:cantSplit/>
          <w:trHeight w:val="170"/>
        </w:trPr>
        <w:tc>
          <w:tcPr>
            <w:tcW w:w="1601" w:type="pct"/>
            <w:tcBorders>
              <w:right w:val="nil"/>
            </w:tcBorders>
            <w:tcMar>
              <w:left w:w="28" w:type="dxa"/>
              <w:right w:w="28" w:type="dxa"/>
            </w:tcMar>
            <w:vAlign w:val="center"/>
          </w:tcPr>
          <w:p w14:paraId="41FB8FA7" w14:textId="77777777" w:rsidR="00C90289" w:rsidRPr="007F787A" w:rsidRDefault="00C90289" w:rsidP="00ED70FB">
            <w:pPr>
              <w:widowControl w:val="0"/>
              <w:spacing w:before="40" w:after="40"/>
              <w:ind w:left="0"/>
              <w:rPr>
                <w:rFonts w:ascii="Arial Narrow" w:hAnsi="Arial Narrow" w:cs="Arial"/>
                <w:b/>
                <w:sz w:val="18"/>
                <w:szCs w:val="18"/>
              </w:rPr>
            </w:pPr>
            <w:r w:rsidRPr="007F787A">
              <w:rPr>
                <w:rFonts w:ascii="Arial Narrow" w:hAnsi="Arial Narrow" w:cs="Arial"/>
                <w:b/>
                <w:sz w:val="18"/>
                <w:szCs w:val="18"/>
              </w:rPr>
              <w:t>Utilities</w:t>
            </w:r>
          </w:p>
        </w:tc>
        <w:tc>
          <w:tcPr>
            <w:tcW w:w="851" w:type="pct"/>
            <w:tcBorders>
              <w:left w:val="nil"/>
              <w:right w:val="nil"/>
            </w:tcBorders>
            <w:tcMar>
              <w:left w:w="28" w:type="dxa"/>
              <w:right w:w="28" w:type="dxa"/>
            </w:tcMar>
            <w:vAlign w:val="center"/>
          </w:tcPr>
          <w:p w14:paraId="6AC2BF59" w14:textId="77777777" w:rsidR="00C90289" w:rsidRPr="007F787A" w:rsidRDefault="00C90289" w:rsidP="00ED70FB">
            <w:pPr>
              <w:widowControl w:val="0"/>
              <w:spacing w:before="40" w:after="40"/>
              <w:ind w:left="0"/>
              <w:jc w:val="center"/>
              <w:rPr>
                <w:rFonts w:ascii="Arial Narrow" w:hAnsi="Arial Narrow" w:cs="Arial"/>
                <w:b/>
                <w:sz w:val="18"/>
                <w:szCs w:val="18"/>
              </w:rPr>
            </w:pPr>
          </w:p>
        </w:tc>
        <w:tc>
          <w:tcPr>
            <w:tcW w:w="365" w:type="pct"/>
            <w:tcBorders>
              <w:left w:val="nil"/>
              <w:right w:val="nil"/>
            </w:tcBorders>
            <w:tcMar>
              <w:left w:w="28" w:type="dxa"/>
              <w:right w:w="28" w:type="dxa"/>
            </w:tcMar>
            <w:vAlign w:val="center"/>
          </w:tcPr>
          <w:p w14:paraId="4C33B6B0" w14:textId="77777777" w:rsidR="00C90289" w:rsidRPr="007F787A" w:rsidRDefault="00C90289" w:rsidP="00ED70FB">
            <w:pPr>
              <w:widowControl w:val="0"/>
              <w:spacing w:before="40" w:after="40"/>
              <w:ind w:left="0"/>
              <w:jc w:val="center"/>
              <w:rPr>
                <w:rFonts w:ascii="Arial Narrow" w:hAnsi="Arial Narrow" w:cs="Arial"/>
                <w:b/>
                <w:sz w:val="18"/>
                <w:szCs w:val="18"/>
              </w:rPr>
            </w:pPr>
          </w:p>
        </w:tc>
        <w:tc>
          <w:tcPr>
            <w:tcW w:w="403" w:type="pct"/>
            <w:tcBorders>
              <w:left w:val="nil"/>
              <w:right w:val="nil"/>
            </w:tcBorders>
            <w:tcMar>
              <w:left w:w="28" w:type="dxa"/>
              <w:right w:w="28" w:type="dxa"/>
            </w:tcMar>
            <w:vAlign w:val="center"/>
          </w:tcPr>
          <w:p w14:paraId="76F4535A" w14:textId="77777777" w:rsidR="00C90289" w:rsidRPr="007F787A" w:rsidRDefault="00C90289" w:rsidP="00ED70FB">
            <w:pPr>
              <w:widowControl w:val="0"/>
              <w:spacing w:before="40" w:after="40"/>
              <w:ind w:left="0"/>
              <w:jc w:val="center"/>
              <w:rPr>
                <w:rFonts w:ascii="Arial Narrow" w:hAnsi="Arial Narrow" w:cs="Arial"/>
                <w:b/>
                <w:sz w:val="18"/>
                <w:szCs w:val="18"/>
              </w:rPr>
            </w:pPr>
          </w:p>
        </w:tc>
        <w:tc>
          <w:tcPr>
            <w:tcW w:w="531" w:type="pct"/>
            <w:tcBorders>
              <w:left w:val="nil"/>
              <w:right w:val="nil"/>
            </w:tcBorders>
            <w:tcMar>
              <w:left w:w="28" w:type="dxa"/>
              <w:right w:w="28" w:type="dxa"/>
            </w:tcMar>
            <w:vAlign w:val="center"/>
          </w:tcPr>
          <w:p w14:paraId="162EA699" w14:textId="77777777" w:rsidR="00C90289" w:rsidRPr="007F787A" w:rsidRDefault="00C90289" w:rsidP="00ED70FB">
            <w:pPr>
              <w:pStyle w:val="TableText"/>
              <w:keepNext w:val="0"/>
              <w:widowControl w:val="0"/>
              <w:jc w:val="center"/>
              <w:rPr>
                <w:b/>
                <w:szCs w:val="18"/>
              </w:rPr>
            </w:pPr>
          </w:p>
        </w:tc>
        <w:tc>
          <w:tcPr>
            <w:tcW w:w="1249" w:type="pct"/>
            <w:tcBorders>
              <w:left w:val="nil"/>
            </w:tcBorders>
            <w:tcMar>
              <w:left w:w="28" w:type="dxa"/>
              <w:right w:w="28" w:type="dxa"/>
            </w:tcMar>
            <w:vAlign w:val="center"/>
          </w:tcPr>
          <w:p w14:paraId="16B9FBA6" w14:textId="77777777" w:rsidR="00C90289" w:rsidRPr="007F787A" w:rsidRDefault="00C90289" w:rsidP="00ED70FB">
            <w:pPr>
              <w:pStyle w:val="TableText"/>
              <w:keepNext w:val="0"/>
              <w:widowControl w:val="0"/>
              <w:jc w:val="center"/>
              <w:rPr>
                <w:b/>
                <w:szCs w:val="18"/>
                <w:highlight w:val="yellow"/>
              </w:rPr>
            </w:pPr>
          </w:p>
        </w:tc>
      </w:tr>
      <w:tr w:rsidR="00C90289" w:rsidRPr="007F787A" w14:paraId="572FFD5F" w14:textId="77777777" w:rsidTr="003039ED">
        <w:trPr>
          <w:cantSplit/>
          <w:trHeight w:val="170"/>
        </w:trPr>
        <w:tc>
          <w:tcPr>
            <w:tcW w:w="1601" w:type="pct"/>
            <w:tcMar>
              <w:left w:w="28" w:type="dxa"/>
              <w:right w:w="28" w:type="dxa"/>
            </w:tcMar>
            <w:vAlign w:val="center"/>
          </w:tcPr>
          <w:p w14:paraId="78B5D048"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 xml:space="preserve">Full remission </w:t>
            </w:r>
          </w:p>
        </w:tc>
        <w:tc>
          <w:tcPr>
            <w:tcW w:w="851" w:type="pct"/>
            <w:tcMar>
              <w:left w:w="28" w:type="dxa"/>
              <w:right w:w="28" w:type="dxa"/>
            </w:tcMar>
            <w:vAlign w:val="center"/>
          </w:tcPr>
          <w:p w14:paraId="72044108"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0.860</w:t>
            </w:r>
          </w:p>
        </w:tc>
        <w:tc>
          <w:tcPr>
            <w:tcW w:w="365" w:type="pct"/>
            <w:tcMar>
              <w:left w:w="28" w:type="dxa"/>
              <w:right w:w="28" w:type="dxa"/>
            </w:tcMar>
            <w:vAlign w:val="center"/>
          </w:tcPr>
          <w:p w14:paraId="283FB8E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0.750</w:t>
            </w:r>
          </w:p>
        </w:tc>
        <w:tc>
          <w:tcPr>
            <w:tcW w:w="403" w:type="pct"/>
            <w:tcMar>
              <w:left w:w="28" w:type="dxa"/>
              <w:right w:w="28" w:type="dxa"/>
            </w:tcMar>
            <w:vAlign w:val="center"/>
          </w:tcPr>
          <w:p w14:paraId="2FA47C03"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0.900</w:t>
            </w:r>
          </w:p>
        </w:tc>
        <w:tc>
          <w:tcPr>
            <w:tcW w:w="531" w:type="pct"/>
            <w:tcMar>
              <w:left w:w="28" w:type="dxa"/>
              <w:right w:w="28" w:type="dxa"/>
            </w:tcMar>
            <w:vAlign w:val="center"/>
          </w:tcPr>
          <w:p w14:paraId="5436449F" w14:textId="77777777" w:rsidR="00C90289" w:rsidRPr="007F787A" w:rsidRDefault="00C90289" w:rsidP="00ED70FB">
            <w:pPr>
              <w:pStyle w:val="TableText"/>
              <w:keepNext w:val="0"/>
              <w:widowControl w:val="0"/>
              <w:jc w:val="center"/>
              <w:rPr>
                <w:szCs w:val="18"/>
              </w:rPr>
            </w:pPr>
            <w:r w:rsidRPr="007F787A">
              <w:rPr>
                <w:szCs w:val="18"/>
              </w:rPr>
              <w:t>Beta</w:t>
            </w:r>
          </w:p>
        </w:tc>
        <w:tc>
          <w:tcPr>
            <w:tcW w:w="1249" w:type="pct"/>
            <w:tcMar>
              <w:left w:w="28" w:type="dxa"/>
              <w:right w:w="28" w:type="dxa"/>
            </w:tcMar>
            <w:vAlign w:val="center"/>
          </w:tcPr>
          <w:p w14:paraId="40F3772E" w14:textId="7E41A7FB" w:rsidR="00C90289" w:rsidRPr="007F787A" w:rsidRDefault="00C90289" w:rsidP="00ED70FB">
            <w:pPr>
              <w:pStyle w:val="TableText"/>
              <w:keepNext w:val="0"/>
              <w:widowControl w:val="0"/>
              <w:jc w:val="center"/>
              <w:rPr>
                <w:szCs w:val="18"/>
              </w:rPr>
            </w:pPr>
            <w:r w:rsidRPr="007F787A">
              <w:rPr>
                <w:szCs w:val="18"/>
              </w:rPr>
              <w:t xml:space="preserve">Appendix </w:t>
            </w:r>
            <w:r w:rsidR="00C907B9">
              <w:rPr>
                <w:szCs w:val="18"/>
              </w:rPr>
              <w:t>D</w:t>
            </w:r>
          </w:p>
        </w:tc>
      </w:tr>
      <w:tr w:rsidR="00C90289" w:rsidRPr="007F787A" w14:paraId="7B0E6FD4" w14:textId="77777777" w:rsidTr="003039ED">
        <w:trPr>
          <w:cantSplit/>
          <w:trHeight w:val="170"/>
        </w:trPr>
        <w:tc>
          <w:tcPr>
            <w:tcW w:w="1601" w:type="pct"/>
            <w:tcMar>
              <w:left w:w="28" w:type="dxa"/>
              <w:right w:w="28" w:type="dxa"/>
            </w:tcMar>
            <w:vAlign w:val="center"/>
          </w:tcPr>
          <w:p w14:paraId="6718014C"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 xml:space="preserve">Partial remission </w:t>
            </w:r>
          </w:p>
        </w:tc>
        <w:tc>
          <w:tcPr>
            <w:tcW w:w="851" w:type="pct"/>
            <w:tcMar>
              <w:left w:w="28" w:type="dxa"/>
              <w:right w:w="28" w:type="dxa"/>
            </w:tcMar>
            <w:vAlign w:val="center"/>
          </w:tcPr>
          <w:p w14:paraId="1EF6AE0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0.710</w:t>
            </w:r>
          </w:p>
        </w:tc>
        <w:tc>
          <w:tcPr>
            <w:tcW w:w="365" w:type="pct"/>
            <w:tcMar>
              <w:left w:w="28" w:type="dxa"/>
              <w:right w:w="28" w:type="dxa"/>
            </w:tcMar>
            <w:vAlign w:val="center"/>
          </w:tcPr>
          <w:p w14:paraId="787E3DB1"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0.650</w:t>
            </w:r>
          </w:p>
        </w:tc>
        <w:tc>
          <w:tcPr>
            <w:tcW w:w="403" w:type="pct"/>
            <w:tcMar>
              <w:left w:w="28" w:type="dxa"/>
              <w:right w:w="28" w:type="dxa"/>
            </w:tcMar>
            <w:vAlign w:val="center"/>
          </w:tcPr>
          <w:p w14:paraId="1E11ADA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0.820</w:t>
            </w:r>
          </w:p>
        </w:tc>
        <w:tc>
          <w:tcPr>
            <w:tcW w:w="531" w:type="pct"/>
            <w:tcMar>
              <w:left w:w="28" w:type="dxa"/>
              <w:right w:w="28" w:type="dxa"/>
            </w:tcMar>
            <w:vAlign w:val="center"/>
          </w:tcPr>
          <w:p w14:paraId="273EDCEC" w14:textId="77777777" w:rsidR="00C90289" w:rsidRPr="007F787A" w:rsidRDefault="00C90289" w:rsidP="00ED70FB">
            <w:pPr>
              <w:pStyle w:val="TableText"/>
              <w:keepNext w:val="0"/>
              <w:widowControl w:val="0"/>
              <w:jc w:val="center"/>
              <w:rPr>
                <w:szCs w:val="18"/>
              </w:rPr>
            </w:pPr>
            <w:r w:rsidRPr="007F787A">
              <w:rPr>
                <w:szCs w:val="18"/>
              </w:rPr>
              <w:t>Beta</w:t>
            </w:r>
          </w:p>
        </w:tc>
        <w:tc>
          <w:tcPr>
            <w:tcW w:w="1249" w:type="pct"/>
            <w:tcMar>
              <w:left w:w="28" w:type="dxa"/>
              <w:right w:w="28" w:type="dxa"/>
            </w:tcMar>
            <w:vAlign w:val="center"/>
          </w:tcPr>
          <w:p w14:paraId="31ADFEA3" w14:textId="37D65520" w:rsidR="00C90289" w:rsidRPr="007F787A" w:rsidRDefault="00C90289" w:rsidP="00ED70FB">
            <w:pPr>
              <w:pStyle w:val="TableText"/>
              <w:keepNext w:val="0"/>
              <w:widowControl w:val="0"/>
              <w:jc w:val="center"/>
              <w:rPr>
                <w:szCs w:val="18"/>
              </w:rPr>
            </w:pPr>
            <w:r w:rsidRPr="007F787A">
              <w:rPr>
                <w:szCs w:val="18"/>
              </w:rPr>
              <w:t>Appendix</w:t>
            </w:r>
            <w:r w:rsidR="00C907B9">
              <w:rPr>
                <w:szCs w:val="18"/>
              </w:rPr>
              <w:t xml:space="preserve"> D</w:t>
            </w:r>
          </w:p>
        </w:tc>
      </w:tr>
      <w:tr w:rsidR="00C90289" w:rsidRPr="007F787A" w14:paraId="3DF54CB2" w14:textId="77777777" w:rsidTr="003039ED">
        <w:trPr>
          <w:cantSplit/>
          <w:trHeight w:val="170"/>
        </w:trPr>
        <w:tc>
          <w:tcPr>
            <w:tcW w:w="1601" w:type="pct"/>
            <w:tcMar>
              <w:left w:w="28" w:type="dxa"/>
              <w:right w:w="28" w:type="dxa"/>
            </w:tcMar>
            <w:vAlign w:val="center"/>
          </w:tcPr>
          <w:p w14:paraId="73E51631"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No response / Relapse</w:t>
            </w:r>
          </w:p>
        </w:tc>
        <w:tc>
          <w:tcPr>
            <w:tcW w:w="851" w:type="pct"/>
            <w:tcMar>
              <w:left w:w="28" w:type="dxa"/>
              <w:right w:w="28" w:type="dxa"/>
            </w:tcMar>
            <w:vAlign w:val="center"/>
          </w:tcPr>
          <w:p w14:paraId="3691518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0.540</w:t>
            </w:r>
          </w:p>
        </w:tc>
        <w:tc>
          <w:tcPr>
            <w:tcW w:w="365" w:type="pct"/>
            <w:tcMar>
              <w:left w:w="28" w:type="dxa"/>
              <w:right w:w="28" w:type="dxa"/>
            </w:tcMar>
            <w:vAlign w:val="center"/>
          </w:tcPr>
          <w:p w14:paraId="7FF0BDDE"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0.250</w:t>
            </w:r>
          </w:p>
        </w:tc>
        <w:tc>
          <w:tcPr>
            <w:tcW w:w="403" w:type="pct"/>
            <w:tcMar>
              <w:left w:w="28" w:type="dxa"/>
              <w:right w:w="28" w:type="dxa"/>
            </w:tcMar>
            <w:vAlign w:val="center"/>
          </w:tcPr>
          <w:p w14:paraId="51B0DF17"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0.580</w:t>
            </w:r>
          </w:p>
        </w:tc>
        <w:tc>
          <w:tcPr>
            <w:tcW w:w="531" w:type="pct"/>
            <w:tcMar>
              <w:left w:w="28" w:type="dxa"/>
              <w:right w:w="28" w:type="dxa"/>
            </w:tcMar>
            <w:vAlign w:val="center"/>
          </w:tcPr>
          <w:p w14:paraId="096B4F7F" w14:textId="77777777" w:rsidR="00C90289" w:rsidRPr="007F787A" w:rsidRDefault="00C90289" w:rsidP="00ED70FB">
            <w:pPr>
              <w:pStyle w:val="TableText"/>
              <w:keepNext w:val="0"/>
              <w:widowControl w:val="0"/>
              <w:jc w:val="center"/>
              <w:rPr>
                <w:szCs w:val="18"/>
              </w:rPr>
            </w:pPr>
            <w:r w:rsidRPr="007F787A">
              <w:rPr>
                <w:szCs w:val="18"/>
              </w:rPr>
              <w:t>Beta</w:t>
            </w:r>
          </w:p>
        </w:tc>
        <w:tc>
          <w:tcPr>
            <w:tcW w:w="1249" w:type="pct"/>
            <w:tcMar>
              <w:left w:w="28" w:type="dxa"/>
              <w:right w:w="28" w:type="dxa"/>
            </w:tcMar>
            <w:vAlign w:val="center"/>
          </w:tcPr>
          <w:p w14:paraId="74D58251" w14:textId="348C79BA" w:rsidR="00C90289" w:rsidRPr="007F787A" w:rsidRDefault="00C90289" w:rsidP="00ED70FB">
            <w:pPr>
              <w:pStyle w:val="TableText"/>
              <w:keepNext w:val="0"/>
              <w:widowControl w:val="0"/>
              <w:jc w:val="center"/>
              <w:rPr>
                <w:szCs w:val="18"/>
              </w:rPr>
            </w:pPr>
            <w:r w:rsidRPr="007F787A">
              <w:rPr>
                <w:szCs w:val="18"/>
              </w:rPr>
              <w:t>Appendix</w:t>
            </w:r>
            <w:r w:rsidR="00C907B9">
              <w:rPr>
                <w:szCs w:val="18"/>
              </w:rPr>
              <w:t xml:space="preserve"> D</w:t>
            </w:r>
          </w:p>
        </w:tc>
      </w:tr>
      <w:tr w:rsidR="00C90289" w:rsidRPr="007F787A" w14:paraId="544075ED" w14:textId="77777777" w:rsidTr="003039ED">
        <w:trPr>
          <w:cantSplit/>
          <w:trHeight w:val="170"/>
        </w:trPr>
        <w:tc>
          <w:tcPr>
            <w:tcW w:w="1601" w:type="pct"/>
            <w:tcMar>
              <w:left w:w="28" w:type="dxa"/>
              <w:right w:w="28" w:type="dxa"/>
            </w:tcMar>
            <w:vAlign w:val="center"/>
          </w:tcPr>
          <w:p w14:paraId="068C1877"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 xml:space="preserve">Hospitalisation </w:t>
            </w:r>
          </w:p>
        </w:tc>
        <w:tc>
          <w:tcPr>
            <w:tcW w:w="851" w:type="pct"/>
            <w:tcMar>
              <w:left w:w="28" w:type="dxa"/>
              <w:right w:w="28" w:type="dxa"/>
            </w:tcMar>
            <w:vAlign w:val="center"/>
          </w:tcPr>
          <w:p w14:paraId="479351DD"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0.300</w:t>
            </w:r>
          </w:p>
        </w:tc>
        <w:tc>
          <w:tcPr>
            <w:tcW w:w="365" w:type="pct"/>
            <w:tcMar>
              <w:left w:w="28" w:type="dxa"/>
              <w:right w:w="28" w:type="dxa"/>
            </w:tcMar>
            <w:vAlign w:val="center"/>
          </w:tcPr>
          <w:p w14:paraId="79B873CF"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0.090</w:t>
            </w:r>
          </w:p>
        </w:tc>
        <w:tc>
          <w:tcPr>
            <w:tcW w:w="403" w:type="pct"/>
            <w:tcMar>
              <w:left w:w="28" w:type="dxa"/>
              <w:right w:w="28" w:type="dxa"/>
            </w:tcMar>
            <w:vAlign w:val="center"/>
          </w:tcPr>
          <w:p w14:paraId="343FB4F3"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0.400</w:t>
            </w:r>
          </w:p>
        </w:tc>
        <w:tc>
          <w:tcPr>
            <w:tcW w:w="531" w:type="pct"/>
            <w:tcMar>
              <w:left w:w="28" w:type="dxa"/>
              <w:right w:w="28" w:type="dxa"/>
            </w:tcMar>
            <w:vAlign w:val="center"/>
          </w:tcPr>
          <w:p w14:paraId="0B0DA5B9" w14:textId="77777777" w:rsidR="00C90289" w:rsidRPr="007F787A" w:rsidRDefault="00C90289" w:rsidP="00ED70FB">
            <w:pPr>
              <w:pStyle w:val="TableText"/>
              <w:keepNext w:val="0"/>
              <w:widowControl w:val="0"/>
              <w:jc w:val="center"/>
              <w:rPr>
                <w:szCs w:val="18"/>
              </w:rPr>
            </w:pPr>
            <w:r w:rsidRPr="007F787A">
              <w:rPr>
                <w:szCs w:val="18"/>
              </w:rPr>
              <w:t>Beta</w:t>
            </w:r>
          </w:p>
        </w:tc>
        <w:tc>
          <w:tcPr>
            <w:tcW w:w="1249" w:type="pct"/>
            <w:tcMar>
              <w:left w:w="28" w:type="dxa"/>
              <w:right w:w="28" w:type="dxa"/>
            </w:tcMar>
            <w:vAlign w:val="center"/>
          </w:tcPr>
          <w:p w14:paraId="259B5CB6" w14:textId="0C26AAE4" w:rsidR="00C90289" w:rsidRPr="007F787A" w:rsidRDefault="00C90289" w:rsidP="00ED70FB">
            <w:pPr>
              <w:pStyle w:val="TableText"/>
              <w:keepNext w:val="0"/>
              <w:widowControl w:val="0"/>
              <w:jc w:val="center"/>
              <w:rPr>
                <w:szCs w:val="18"/>
              </w:rPr>
            </w:pPr>
            <w:r w:rsidRPr="007F787A">
              <w:rPr>
                <w:szCs w:val="18"/>
              </w:rPr>
              <w:t>Appendix</w:t>
            </w:r>
            <w:r w:rsidR="00C907B9">
              <w:rPr>
                <w:szCs w:val="18"/>
              </w:rPr>
              <w:t xml:space="preserve"> D</w:t>
            </w:r>
          </w:p>
        </w:tc>
      </w:tr>
      <w:tr w:rsidR="00C90289" w:rsidRPr="007F787A" w14:paraId="20321601" w14:textId="77777777" w:rsidTr="003039ED">
        <w:trPr>
          <w:cantSplit/>
          <w:trHeight w:val="170"/>
        </w:trPr>
        <w:tc>
          <w:tcPr>
            <w:tcW w:w="1601" w:type="pct"/>
            <w:tcMar>
              <w:left w:w="28" w:type="dxa"/>
              <w:right w:w="28" w:type="dxa"/>
            </w:tcMar>
            <w:vAlign w:val="center"/>
          </w:tcPr>
          <w:p w14:paraId="47F8EDB3"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 xml:space="preserve">Decrement due to rTMS treatment </w:t>
            </w:r>
          </w:p>
        </w:tc>
        <w:tc>
          <w:tcPr>
            <w:tcW w:w="851" w:type="pct"/>
            <w:tcMar>
              <w:left w:w="28" w:type="dxa"/>
              <w:right w:w="28" w:type="dxa"/>
            </w:tcMar>
            <w:vAlign w:val="center"/>
          </w:tcPr>
          <w:p w14:paraId="33C3B56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-0.101</w:t>
            </w:r>
          </w:p>
        </w:tc>
        <w:tc>
          <w:tcPr>
            <w:tcW w:w="365" w:type="pct"/>
            <w:tcMar>
              <w:left w:w="28" w:type="dxa"/>
              <w:right w:w="28" w:type="dxa"/>
            </w:tcMar>
            <w:vAlign w:val="center"/>
          </w:tcPr>
          <w:p w14:paraId="761243C5"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-0.050</w:t>
            </w:r>
          </w:p>
        </w:tc>
        <w:tc>
          <w:tcPr>
            <w:tcW w:w="403" w:type="pct"/>
            <w:tcMar>
              <w:left w:w="28" w:type="dxa"/>
              <w:right w:w="28" w:type="dxa"/>
            </w:tcMar>
            <w:vAlign w:val="center"/>
          </w:tcPr>
          <w:p w14:paraId="35BECE3C"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-0.150</w:t>
            </w:r>
          </w:p>
        </w:tc>
        <w:tc>
          <w:tcPr>
            <w:tcW w:w="531" w:type="pct"/>
            <w:tcMar>
              <w:left w:w="28" w:type="dxa"/>
              <w:right w:w="28" w:type="dxa"/>
            </w:tcMar>
            <w:vAlign w:val="center"/>
          </w:tcPr>
          <w:p w14:paraId="73FA9C66" w14:textId="77777777" w:rsidR="00C90289" w:rsidRPr="007F787A" w:rsidRDefault="00C90289" w:rsidP="00ED70FB">
            <w:pPr>
              <w:pStyle w:val="TableText"/>
              <w:keepNext w:val="0"/>
              <w:widowControl w:val="0"/>
              <w:jc w:val="center"/>
              <w:rPr>
                <w:szCs w:val="18"/>
              </w:rPr>
            </w:pPr>
            <w:r w:rsidRPr="007F787A">
              <w:rPr>
                <w:szCs w:val="18"/>
              </w:rPr>
              <w:t>Beta</w:t>
            </w:r>
          </w:p>
        </w:tc>
        <w:tc>
          <w:tcPr>
            <w:tcW w:w="1249" w:type="pct"/>
            <w:tcMar>
              <w:left w:w="28" w:type="dxa"/>
              <w:right w:w="28" w:type="dxa"/>
            </w:tcMar>
            <w:vAlign w:val="center"/>
          </w:tcPr>
          <w:p w14:paraId="704EF5A1" w14:textId="4276A9E5" w:rsidR="00C90289" w:rsidRPr="007F787A" w:rsidRDefault="00C90289" w:rsidP="00ED70FB">
            <w:pPr>
              <w:pStyle w:val="TableText"/>
              <w:keepNext w:val="0"/>
              <w:widowControl w:val="0"/>
              <w:jc w:val="center"/>
              <w:rPr>
                <w:szCs w:val="18"/>
              </w:rPr>
            </w:pPr>
            <w:r w:rsidRPr="007F787A">
              <w:rPr>
                <w:szCs w:val="18"/>
              </w:rPr>
              <w:t xml:space="preserve">Appendix </w:t>
            </w:r>
            <w:r w:rsidR="00C907B9">
              <w:rPr>
                <w:szCs w:val="18"/>
              </w:rPr>
              <w:t>D</w:t>
            </w:r>
          </w:p>
        </w:tc>
      </w:tr>
      <w:tr w:rsidR="00C90289" w:rsidRPr="007F787A" w14:paraId="6579F013" w14:textId="77777777" w:rsidTr="003039ED">
        <w:trPr>
          <w:cantSplit/>
          <w:trHeight w:val="170"/>
        </w:trPr>
        <w:tc>
          <w:tcPr>
            <w:tcW w:w="1601" w:type="pct"/>
            <w:tcMar>
              <w:left w:w="28" w:type="dxa"/>
              <w:right w:w="28" w:type="dxa"/>
            </w:tcMar>
            <w:vAlign w:val="center"/>
          </w:tcPr>
          <w:p w14:paraId="3C82E939"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Decrement due to ECT treatment</w:t>
            </w:r>
          </w:p>
        </w:tc>
        <w:tc>
          <w:tcPr>
            <w:tcW w:w="851" w:type="pct"/>
            <w:tcMar>
              <w:left w:w="28" w:type="dxa"/>
              <w:right w:w="28" w:type="dxa"/>
            </w:tcMar>
            <w:vAlign w:val="center"/>
          </w:tcPr>
          <w:p w14:paraId="053A06C7"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-0.104</w:t>
            </w:r>
          </w:p>
        </w:tc>
        <w:tc>
          <w:tcPr>
            <w:tcW w:w="365" w:type="pct"/>
            <w:tcMar>
              <w:left w:w="28" w:type="dxa"/>
              <w:right w:w="28" w:type="dxa"/>
            </w:tcMar>
            <w:vAlign w:val="center"/>
          </w:tcPr>
          <w:p w14:paraId="1E22B65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-0.050</w:t>
            </w:r>
          </w:p>
        </w:tc>
        <w:tc>
          <w:tcPr>
            <w:tcW w:w="403" w:type="pct"/>
            <w:tcMar>
              <w:left w:w="28" w:type="dxa"/>
              <w:right w:w="28" w:type="dxa"/>
            </w:tcMar>
            <w:vAlign w:val="center"/>
          </w:tcPr>
          <w:p w14:paraId="34B919D8"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-0.150</w:t>
            </w:r>
          </w:p>
        </w:tc>
        <w:tc>
          <w:tcPr>
            <w:tcW w:w="531" w:type="pct"/>
            <w:tcMar>
              <w:left w:w="28" w:type="dxa"/>
              <w:right w:w="28" w:type="dxa"/>
            </w:tcMar>
            <w:vAlign w:val="center"/>
          </w:tcPr>
          <w:p w14:paraId="3C2133D5" w14:textId="77777777" w:rsidR="00C90289" w:rsidRPr="007F787A" w:rsidRDefault="00C90289" w:rsidP="00ED70FB">
            <w:pPr>
              <w:pStyle w:val="TableText"/>
              <w:keepNext w:val="0"/>
              <w:widowControl w:val="0"/>
              <w:jc w:val="center"/>
              <w:rPr>
                <w:szCs w:val="18"/>
              </w:rPr>
            </w:pPr>
            <w:r w:rsidRPr="007F787A">
              <w:rPr>
                <w:szCs w:val="18"/>
              </w:rPr>
              <w:t>Beta</w:t>
            </w:r>
          </w:p>
        </w:tc>
        <w:tc>
          <w:tcPr>
            <w:tcW w:w="1249" w:type="pct"/>
            <w:tcMar>
              <w:left w:w="28" w:type="dxa"/>
              <w:right w:w="28" w:type="dxa"/>
            </w:tcMar>
            <w:vAlign w:val="center"/>
          </w:tcPr>
          <w:p w14:paraId="60CE4D57" w14:textId="5D609174" w:rsidR="00C90289" w:rsidRPr="007F787A" w:rsidRDefault="00C90289" w:rsidP="00ED70FB">
            <w:pPr>
              <w:pStyle w:val="TableText"/>
              <w:keepNext w:val="0"/>
              <w:widowControl w:val="0"/>
              <w:jc w:val="center"/>
              <w:rPr>
                <w:szCs w:val="18"/>
              </w:rPr>
            </w:pPr>
            <w:r w:rsidRPr="007F787A">
              <w:rPr>
                <w:szCs w:val="18"/>
              </w:rPr>
              <w:t>Appendix</w:t>
            </w:r>
            <w:r w:rsidR="00C907B9">
              <w:rPr>
                <w:szCs w:val="18"/>
              </w:rPr>
              <w:t xml:space="preserve"> D</w:t>
            </w:r>
          </w:p>
        </w:tc>
      </w:tr>
      <w:tr w:rsidR="00C90289" w:rsidRPr="007F787A" w14:paraId="0347D481" w14:textId="77777777" w:rsidTr="003039ED">
        <w:trPr>
          <w:cantSplit/>
          <w:trHeight w:val="170"/>
        </w:trPr>
        <w:tc>
          <w:tcPr>
            <w:tcW w:w="1601" w:type="pct"/>
            <w:tcBorders>
              <w:bottom w:val="single" w:sz="4" w:space="0" w:color="auto"/>
            </w:tcBorders>
            <w:tcMar>
              <w:left w:w="28" w:type="dxa"/>
              <w:right w:w="28" w:type="dxa"/>
            </w:tcMar>
            <w:vAlign w:val="center"/>
          </w:tcPr>
          <w:p w14:paraId="11FBF135" w14:textId="77777777" w:rsidR="00C90289" w:rsidRPr="007F787A" w:rsidRDefault="00C90289" w:rsidP="00ED70FB">
            <w:pPr>
              <w:widowControl w:val="0"/>
              <w:spacing w:before="40" w:after="40"/>
              <w:ind w:left="142"/>
              <w:rPr>
                <w:rFonts w:ascii="Arial Narrow" w:hAnsi="Arial Narrow" w:cs="Arial"/>
                <w:sz w:val="18"/>
                <w:szCs w:val="18"/>
              </w:rPr>
            </w:pPr>
            <w:r w:rsidRPr="007F787A">
              <w:rPr>
                <w:rFonts w:ascii="Arial Narrow" w:hAnsi="Arial Narrow" w:cs="Arial"/>
                <w:sz w:val="18"/>
                <w:szCs w:val="18"/>
              </w:rPr>
              <w:t xml:space="preserve">Decrement due to Antidepressant  </w:t>
            </w:r>
          </w:p>
        </w:tc>
        <w:tc>
          <w:tcPr>
            <w:tcW w:w="851" w:type="pct"/>
            <w:tcBorders>
              <w:bottom w:val="single" w:sz="4" w:space="0" w:color="auto"/>
            </w:tcBorders>
            <w:tcMar>
              <w:left w:w="28" w:type="dxa"/>
              <w:right w:w="28" w:type="dxa"/>
            </w:tcMar>
            <w:vAlign w:val="center"/>
          </w:tcPr>
          <w:p w14:paraId="09612BBD"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-0.066</w:t>
            </w:r>
          </w:p>
        </w:tc>
        <w:tc>
          <w:tcPr>
            <w:tcW w:w="365" w:type="pct"/>
            <w:tcBorders>
              <w:bottom w:val="single" w:sz="4" w:space="0" w:color="auto"/>
            </w:tcBorders>
            <w:tcMar>
              <w:left w:w="28" w:type="dxa"/>
              <w:right w:w="28" w:type="dxa"/>
            </w:tcMar>
            <w:vAlign w:val="center"/>
          </w:tcPr>
          <w:p w14:paraId="6FD7AEF3"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-0.040</w:t>
            </w:r>
          </w:p>
        </w:tc>
        <w:tc>
          <w:tcPr>
            <w:tcW w:w="403" w:type="pct"/>
            <w:tcBorders>
              <w:bottom w:val="single" w:sz="4" w:space="0" w:color="auto"/>
            </w:tcBorders>
            <w:tcMar>
              <w:left w:w="28" w:type="dxa"/>
              <w:right w:w="28" w:type="dxa"/>
            </w:tcMar>
            <w:vAlign w:val="center"/>
          </w:tcPr>
          <w:p w14:paraId="405F907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-0.100</w:t>
            </w:r>
          </w:p>
        </w:tc>
        <w:tc>
          <w:tcPr>
            <w:tcW w:w="531" w:type="pct"/>
            <w:tcBorders>
              <w:bottom w:val="single" w:sz="4" w:space="0" w:color="auto"/>
            </w:tcBorders>
            <w:tcMar>
              <w:left w:w="28" w:type="dxa"/>
              <w:right w:w="28" w:type="dxa"/>
            </w:tcMar>
            <w:vAlign w:val="center"/>
          </w:tcPr>
          <w:p w14:paraId="2D353C1C" w14:textId="77777777" w:rsidR="00C90289" w:rsidRPr="007F787A" w:rsidRDefault="00C90289" w:rsidP="00ED70FB">
            <w:pPr>
              <w:pStyle w:val="TableText"/>
              <w:keepNext w:val="0"/>
              <w:widowControl w:val="0"/>
              <w:jc w:val="center"/>
              <w:rPr>
                <w:szCs w:val="18"/>
              </w:rPr>
            </w:pPr>
            <w:r w:rsidRPr="007F787A">
              <w:rPr>
                <w:szCs w:val="18"/>
              </w:rPr>
              <w:t>Beta</w:t>
            </w:r>
          </w:p>
        </w:tc>
        <w:tc>
          <w:tcPr>
            <w:tcW w:w="1249" w:type="pct"/>
            <w:tcBorders>
              <w:bottom w:val="single" w:sz="4" w:space="0" w:color="auto"/>
            </w:tcBorders>
            <w:tcMar>
              <w:left w:w="28" w:type="dxa"/>
              <w:right w:w="28" w:type="dxa"/>
            </w:tcMar>
            <w:vAlign w:val="center"/>
          </w:tcPr>
          <w:p w14:paraId="6E4FB7B7" w14:textId="5CB8F21F" w:rsidR="00C90289" w:rsidRPr="007F787A" w:rsidRDefault="00C90289" w:rsidP="00ED70FB">
            <w:pPr>
              <w:pStyle w:val="TableText"/>
              <w:keepNext w:val="0"/>
              <w:widowControl w:val="0"/>
              <w:jc w:val="center"/>
              <w:rPr>
                <w:szCs w:val="18"/>
              </w:rPr>
            </w:pPr>
            <w:r w:rsidRPr="007F787A">
              <w:rPr>
                <w:szCs w:val="18"/>
              </w:rPr>
              <w:t>Appendix</w:t>
            </w:r>
            <w:r w:rsidR="00C907B9">
              <w:rPr>
                <w:szCs w:val="18"/>
              </w:rPr>
              <w:t xml:space="preserve"> D</w:t>
            </w:r>
          </w:p>
        </w:tc>
      </w:tr>
      <w:tr w:rsidR="00000D58" w:rsidRPr="007F787A" w14:paraId="160C7175" w14:textId="77777777" w:rsidTr="003039ED">
        <w:trPr>
          <w:cantSplit/>
          <w:trHeight w:val="170"/>
        </w:trPr>
        <w:tc>
          <w:tcPr>
            <w:tcW w:w="1601" w:type="pct"/>
            <w:tcBorders>
              <w:bottom w:val="single" w:sz="4" w:space="0" w:color="auto"/>
              <w:right w:val="nil"/>
            </w:tcBorders>
            <w:tcMar>
              <w:left w:w="28" w:type="dxa"/>
              <w:right w:w="28" w:type="dxa"/>
            </w:tcMar>
            <w:vAlign w:val="center"/>
          </w:tcPr>
          <w:p w14:paraId="75B0176D" w14:textId="77777777" w:rsidR="00000D58" w:rsidRPr="007F787A" w:rsidRDefault="00000D58" w:rsidP="00ED70FB">
            <w:pPr>
              <w:pStyle w:val="TableText"/>
              <w:keepNext w:val="0"/>
              <w:widowControl w:val="0"/>
              <w:rPr>
                <w:b/>
                <w:szCs w:val="18"/>
              </w:rPr>
            </w:pPr>
            <w:r w:rsidRPr="007F787A">
              <w:rPr>
                <w:b/>
                <w:szCs w:val="18"/>
              </w:rPr>
              <w:t>Costs</w:t>
            </w:r>
          </w:p>
        </w:tc>
        <w:tc>
          <w:tcPr>
            <w:tcW w:w="851" w:type="pct"/>
            <w:tcBorders>
              <w:left w:val="nil"/>
              <w:bottom w:val="single" w:sz="4" w:space="0" w:color="auto"/>
              <w:right w:val="nil"/>
            </w:tcBorders>
            <w:tcMar>
              <w:left w:w="28" w:type="dxa"/>
              <w:right w:w="28" w:type="dxa"/>
            </w:tcMar>
            <w:vAlign w:val="center"/>
          </w:tcPr>
          <w:p w14:paraId="7F7FA423" w14:textId="77777777" w:rsidR="00000D58" w:rsidRPr="007F787A" w:rsidRDefault="00000D58" w:rsidP="00ED70FB">
            <w:pPr>
              <w:widowControl w:val="0"/>
              <w:spacing w:before="40" w:after="40"/>
              <w:ind w:left="0"/>
              <w:jc w:val="center"/>
              <w:rPr>
                <w:rFonts w:ascii="Arial Narrow" w:hAnsi="Arial Narrow" w:cs="Arial"/>
                <w:sz w:val="18"/>
                <w:szCs w:val="18"/>
              </w:rPr>
            </w:pPr>
          </w:p>
        </w:tc>
        <w:tc>
          <w:tcPr>
            <w:tcW w:w="365" w:type="pct"/>
            <w:tcBorders>
              <w:left w:val="nil"/>
              <w:bottom w:val="single" w:sz="4" w:space="0" w:color="auto"/>
              <w:right w:val="nil"/>
            </w:tcBorders>
            <w:shd w:val="clear" w:color="auto" w:fill="auto"/>
            <w:tcMar>
              <w:left w:w="28" w:type="dxa"/>
              <w:right w:w="28" w:type="dxa"/>
            </w:tcMar>
            <w:vAlign w:val="center"/>
          </w:tcPr>
          <w:p w14:paraId="5EC8C714" w14:textId="77777777" w:rsidR="00000D58" w:rsidRPr="007F787A" w:rsidRDefault="00000D58" w:rsidP="00ED70FB">
            <w:pPr>
              <w:widowControl w:val="0"/>
              <w:spacing w:before="40" w:after="40"/>
              <w:ind w:left="0"/>
              <w:jc w:val="center"/>
              <w:rPr>
                <w:rFonts w:ascii="Arial Narrow" w:hAnsi="Arial Narrow" w:cs="Arial"/>
                <w:sz w:val="18"/>
                <w:szCs w:val="18"/>
              </w:rPr>
            </w:pPr>
          </w:p>
        </w:tc>
        <w:tc>
          <w:tcPr>
            <w:tcW w:w="403" w:type="pct"/>
            <w:tcBorders>
              <w:left w:val="nil"/>
              <w:bottom w:val="single" w:sz="4" w:space="0" w:color="auto"/>
              <w:right w:val="nil"/>
            </w:tcBorders>
            <w:shd w:val="clear" w:color="auto" w:fill="auto"/>
            <w:tcMar>
              <w:left w:w="28" w:type="dxa"/>
              <w:right w:w="28" w:type="dxa"/>
            </w:tcMar>
            <w:vAlign w:val="center"/>
          </w:tcPr>
          <w:p w14:paraId="578A278D" w14:textId="77777777" w:rsidR="00000D58" w:rsidRPr="007F787A" w:rsidRDefault="00000D58" w:rsidP="00ED70FB">
            <w:pPr>
              <w:widowControl w:val="0"/>
              <w:spacing w:before="40" w:after="40"/>
              <w:ind w:left="0"/>
              <w:jc w:val="center"/>
              <w:rPr>
                <w:rFonts w:ascii="Arial Narrow" w:hAnsi="Arial Narrow" w:cs="Arial"/>
                <w:sz w:val="18"/>
                <w:szCs w:val="18"/>
              </w:rPr>
            </w:pPr>
          </w:p>
        </w:tc>
        <w:tc>
          <w:tcPr>
            <w:tcW w:w="531" w:type="pct"/>
            <w:tcBorders>
              <w:left w:val="nil"/>
              <w:bottom w:val="single" w:sz="4" w:space="0" w:color="auto"/>
              <w:right w:val="nil"/>
            </w:tcBorders>
            <w:shd w:val="clear" w:color="auto" w:fill="auto"/>
            <w:tcMar>
              <w:left w:w="28" w:type="dxa"/>
              <w:right w:w="28" w:type="dxa"/>
            </w:tcMar>
            <w:vAlign w:val="center"/>
          </w:tcPr>
          <w:p w14:paraId="6A1C2B87" w14:textId="77777777" w:rsidR="00000D58" w:rsidRPr="007F787A" w:rsidRDefault="00000D58" w:rsidP="00ED70FB">
            <w:pPr>
              <w:pStyle w:val="TableText"/>
              <w:keepNext w:val="0"/>
              <w:widowControl w:val="0"/>
              <w:jc w:val="center"/>
              <w:rPr>
                <w:szCs w:val="18"/>
              </w:rPr>
            </w:pPr>
          </w:p>
        </w:tc>
        <w:tc>
          <w:tcPr>
            <w:tcW w:w="1249" w:type="pct"/>
            <w:tcBorders>
              <w:left w:val="nil"/>
              <w:bottom w:val="single" w:sz="4" w:space="0" w:color="auto"/>
            </w:tcBorders>
            <w:tcMar>
              <w:left w:w="28" w:type="dxa"/>
              <w:right w:w="28" w:type="dxa"/>
            </w:tcMar>
            <w:vAlign w:val="center"/>
          </w:tcPr>
          <w:p w14:paraId="55BEDC0B" w14:textId="77777777" w:rsidR="00000D58" w:rsidRPr="007F787A" w:rsidRDefault="00000D58" w:rsidP="00ED70FB">
            <w:pPr>
              <w:pStyle w:val="TableText"/>
              <w:keepNext w:val="0"/>
              <w:widowControl w:val="0"/>
              <w:jc w:val="center"/>
              <w:rPr>
                <w:szCs w:val="18"/>
              </w:rPr>
            </w:pPr>
          </w:p>
        </w:tc>
      </w:tr>
      <w:tr w:rsidR="00000D58" w:rsidRPr="007F787A" w14:paraId="2CD3B932" w14:textId="77777777" w:rsidTr="003039ED">
        <w:trPr>
          <w:cantSplit/>
          <w:trHeight w:val="170"/>
        </w:trPr>
        <w:tc>
          <w:tcPr>
            <w:tcW w:w="1601" w:type="pct"/>
            <w:tcBorders>
              <w:right w:val="nil"/>
            </w:tcBorders>
            <w:tcMar>
              <w:left w:w="28" w:type="dxa"/>
              <w:right w:w="28" w:type="dxa"/>
            </w:tcMar>
            <w:vAlign w:val="center"/>
          </w:tcPr>
          <w:p w14:paraId="766958B6" w14:textId="77777777" w:rsidR="00000D58" w:rsidRPr="007F787A" w:rsidRDefault="00000D58" w:rsidP="00ED70FB">
            <w:pPr>
              <w:widowControl w:val="0"/>
              <w:spacing w:before="40" w:after="40"/>
              <w:ind w:left="0"/>
              <w:rPr>
                <w:rFonts w:ascii="Arial Narrow" w:hAnsi="Arial Narrow" w:cs="Arial"/>
                <w:sz w:val="18"/>
                <w:szCs w:val="18"/>
              </w:rPr>
            </w:pPr>
            <w:r w:rsidRPr="007F787A">
              <w:rPr>
                <w:rFonts w:ascii="Arial Narrow" w:hAnsi="Arial Narrow" w:cs="Arial"/>
                <w:b/>
                <w:i/>
                <w:sz w:val="18"/>
                <w:szCs w:val="18"/>
              </w:rPr>
              <w:t xml:space="preserve">   Treatment and monitoring cost</w:t>
            </w:r>
          </w:p>
        </w:tc>
        <w:tc>
          <w:tcPr>
            <w:tcW w:w="851" w:type="pct"/>
            <w:tcBorders>
              <w:left w:val="nil"/>
              <w:right w:val="nil"/>
            </w:tcBorders>
            <w:tcMar>
              <w:left w:w="28" w:type="dxa"/>
              <w:right w:w="28" w:type="dxa"/>
            </w:tcMar>
            <w:vAlign w:val="center"/>
          </w:tcPr>
          <w:p w14:paraId="427D3BB2" w14:textId="77777777" w:rsidR="00000D58" w:rsidRPr="007F787A" w:rsidRDefault="00000D58" w:rsidP="00ED70FB">
            <w:pPr>
              <w:widowControl w:val="0"/>
              <w:spacing w:before="40" w:after="40"/>
              <w:ind w:left="0"/>
              <w:jc w:val="center"/>
              <w:rPr>
                <w:rFonts w:ascii="Arial Narrow" w:hAnsi="Arial Narrow" w:cs="Arial"/>
                <w:sz w:val="18"/>
                <w:szCs w:val="18"/>
              </w:rPr>
            </w:pPr>
          </w:p>
        </w:tc>
        <w:tc>
          <w:tcPr>
            <w:tcW w:w="365" w:type="pct"/>
            <w:tcBorders>
              <w:left w:val="nil"/>
              <w:right w:val="nil"/>
            </w:tcBorders>
            <w:shd w:val="clear" w:color="auto" w:fill="auto"/>
            <w:tcMar>
              <w:left w:w="28" w:type="dxa"/>
              <w:right w:w="28" w:type="dxa"/>
            </w:tcMar>
            <w:vAlign w:val="center"/>
          </w:tcPr>
          <w:p w14:paraId="596805FC" w14:textId="77777777" w:rsidR="00000D58" w:rsidRPr="007F787A" w:rsidRDefault="00000D58" w:rsidP="00ED70FB">
            <w:pPr>
              <w:widowControl w:val="0"/>
              <w:spacing w:before="40" w:after="40"/>
              <w:ind w:left="0"/>
              <w:jc w:val="center"/>
              <w:rPr>
                <w:rFonts w:ascii="Arial Narrow" w:hAnsi="Arial Narrow" w:cs="Arial"/>
                <w:sz w:val="18"/>
                <w:szCs w:val="18"/>
              </w:rPr>
            </w:pPr>
          </w:p>
        </w:tc>
        <w:tc>
          <w:tcPr>
            <w:tcW w:w="403" w:type="pct"/>
            <w:tcBorders>
              <w:left w:val="nil"/>
              <w:right w:val="nil"/>
            </w:tcBorders>
            <w:shd w:val="clear" w:color="auto" w:fill="auto"/>
            <w:tcMar>
              <w:left w:w="28" w:type="dxa"/>
              <w:right w:w="28" w:type="dxa"/>
            </w:tcMar>
            <w:vAlign w:val="center"/>
          </w:tcPr>
          <w:p w14:paraId="06BA8B16" w14:textId="77777777" w:rsidR="00000D58" w:rsidRPr="007F787A" w:rsidRDefault="00000D58" w:rsidP="00ED70FB">
            <w:pPr>
              <w:widowControl w:val="0"/>
              <w:spacing w:before="40" w:after="40"/>
              <w:ind w:left="0"/>
              <w:jc w:val="center"/>
              <w:rPr>
                <w:rFonts w:ascii="Arial Narrow" w:hAnsi="Arial Narrow" w:cs="Arial"/>
                <w:sz w:val="18"/>
                <w:szCs w:val="18"/>
              </w:rPr>
            </w:pPr>
          </w:p>
        </w:tc>
        <w:tc>
          <w:tcPr>
            <w:tcW w:w="531" w:type="pct"/>
            <w:tcBorders>
              <w:left w:val="nil"/>
              <w:right w:val="nil"/>
            </w:tcBorders>
            <w:shd w:val="clear" w:color="auto" w:fill="auto"/>
            <w:tcMar>
              <w:left w:w="28" w:type="dxa"/>
              <w:right w:w="28" w:type="dxa"/>
            </w:tcMar>
            <w:vAlign w:val="center"/>
          </w:tcPr>
          <w:p w14:paraId="3D768C1B" w14:textId="77777777" w:rsidR="00000D58" w:rsidRPr="007F787A" w:rsidRDefault="00000D58" w:rsidP="00ED70FB">
            <w:pPr>
              <w:pStyle w:val="TableText"/>
              <w:keepNext w:val="0"/>
              <w:widowControl w:val="0"/>
              <w:jc w:val="center"/>
              <w:rPr>
                <w:szCs w:val="18"/>
              </w:rPr>
            </w:pPr>
          </w:p>
        </w:tc>
        <w:tc>
          <w:tcPr>
            <w:tcW w:w="1249" w:type="pct"/>
            <w:tcBorders>
              <w:left w:val="nil"/>
            </w:tcBorders>
            <w:tcMar>
              <w:left w:w="28" w:type="dxa"/>
              <w:right w:w="28" w:type="dxa"/>
            </w:tcMar>
            <w:vAlign w:val="center"/>
          </w:tcPr>
          <w:p w14:paraId="07E9BBBB" w14:textId="77777777" w:rsidR="00000D58" w:rsidRPr="007F787A" w:rsidRDefault="00000D58" w:rsidP="00ED70FB">
            <w:pPr>
              <w:pStyle w:val="TableText"/>
              <w:keepNext w:val="0"/>
              <w:widowControl w:val="0"/>
              <w:jc w:val="center"/>
              <w:rPr>
                <w:szCs w:val="18"/>
              </w:rPr>
            </w:pPr>
          </w:p>
        </w:tc>
      </w:tr>
      <w:tr w:rsidR="00C90289" w:rsidRPr="007F787A" w14:paraId="0B7CB3CC" w14:textId="77777777" w:rsidTr="003039ED">
        <w:trPr>
          <w:cantSplit/>
          <w:trHeight w:val="170"/>
        </w:trPr>
        <w:tc>
          <w:tcPr>
            <w:tcW w:w="1601" w:type="pct"/>
            <w:tcMar>
              <w:left w:w="28" w:type="dxa"/>
              <w:right w:w="28" w:type="dxa"/>
            </w:tcMar>
            <w:vAlign w:val="center"/>
          </w:tcPr>
          <w:p w14:paraId="517478D9"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rTMS dose</w:t>
            </w:r>
            <w:r w:rsidR="001507E1" w:rsidRPr="007F787A">
              <w:rPr>
                <w:rFonts w:ascii="Arial Narrow" w:hAnsi="Arial Narrow" w:cs="Arial"/>
                <w:sz w:val="18"/>
                <w:szCs w:val="18"/>
              </w:rPr>
              <w:t xml:space="preserve"> </w:t>
            </w:r>
            <w:r w:rsidRPr="007F787A">
              <w:rPr>
                <w:rFonts w:ascii="Arial Narrow" w:hAnsi="Arial Narrow" w:cs="Arial"/>
                <w:sz w:val="18"/>
                <w:szCs w:val="18"/>
                <w:vertAlign w:val="superscript"/>
              </w:rPr>
              <w:t>2</w:t>
            </w:r>
            <w:r w:rsidRPr="007F787A">
              <w:rPr>
                <w:rFonts w:ascii="Arial Narrow" w:hAnsi="Arial Narrow" w:cs="Arial"/>
                <w:sz w:val="18"/>
                <w:szCs w:val="18"/>
              </w:rPr>
              <w:t xml:space="preserve"> (per course of acute treatment)</w:t>
            </w:r>
          </w:p>
        </w:tc>
        <w:tc>
          <w:tcPr>
            <w:tcW w:w="851" w:type="pct"/>
            <w:tcMar>
              <w:left w:w="28" w:type="dxa"/>
              <w:right w:w="28" w:type="dxa"/>
            </w:tcMar>
            <w:vAlign w:val="center"/>
          </w:tcPr>
          <w:p w14:paraId="7C4CF3D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28.3</w:t>
            </w:r>
          </w:p>
        </w:tc>
        <w:tc>
          <w:tcPr>
            <w:tcW w:w="365" w:type="pct"/>
            <w:shd w:val="clear" w:color="auto" w:fill="auto"/>
            <w:tcMar>
              <w:left w:w="28" w:type="dxa"/>
              <w:right w:w="28" w:type="dxa"/>
            </w:tcMar>
            <w:vAlign w:val="center"/>
          </w:tcPr>
          <w:p w14:paraId="2F32BB12"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20.0</w:t>
            </w:r>
          </w:p>
        </w:tc>
        <w:tc>
          <w:tcPr>
            <w:tcW w:w="403" w:type="pct"/>
            <w:shd w:val="clear" w:color="auto" w:fill="auto"/>
            <w:tcMar>
              <w:left w:w="28" w:type="dxa"/>
              <w:right w:w="28" w:type="dxa"/>
            </w:tcMar>
            <w:vAlign w:val="center"/>
          </w:tcPr>
          <w:p w14:paraId="483F7E13"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30.0</w:t>
            </w:r>
          </w:p>
        </w:tc>
        <w:tc>
          <w:tcPr>
            <w:tcW w:w="531" w:type="pct"/>
            <w:shd w:val="clear" w:color="auto" w:fill="auto"/>
            <w:tcMar>
              <w:left w:w="28" w:type="dxa"/>
              <w:right w:w="28" w:type="dxa"/>
            </w:tcMar>
            <w:vAlign w:val="center"/>
          </w:tcPr>
          <w:p w14:paraId="46D48541" w14:textId="77777777" w:rsidR="00C90289" w:rsidRPr="007F787A" w:rsidRDefault="004412C5"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6208ED19" w14:textId="77777777" w:rsidR="00C90289"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 xml:space="preserve">Table </w:t>
            </w:r>
            <w:r w:rsidR="004C1C27" w:rsidRPr="004C1C27">
              <w:rPr>
                <w:noProof/>
                <w:szCs w:val="18"/>
              </w:rPr>
              <w:t>2</w:t>
            </w:r>
            <w:r w:rsidRPr="007F787A">
              <w:rPr>
                <w:szCs w:val="18"/>
              </w:rPr>
              <w:fldChar w:fldCharType="end"/>
            </w:r>
          </w:p>
        </w:tc>
      </w:tr>
      <w:tr w:rsidR="00C90289" w:rsidRPr="007F787A" w14:paraId="600CF537" w14:textId="77777777" w:rsidTr="003039ED">
        <w:trPr>
          <w:cantSplit/>
          <w:trHeight w:val="170"/>
        </w:trPr>
        <w:tc>
          <w:tcPr>
            <w:tcW w:w="1601" w:type="pct"/>
            <w:tcMar>
              <w:left w:w="28" w:type="dxa"/>
              <w:right w:w="28" w:type="dxa"/>
            </w:tcMar>
            <w:vAlign w:val="center"/>
          </w:tcPr>
          <w:p w14:paraId="4A0A592C"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rTMS dose</w:t>
            </w:r>
            <w:r w:rsidR="001507E1" w:rsidRPr="007F787A">
              <w:rPr>
                <w:rFonts w:ascii="Arial Narrow" w:hAnsi="Arial Narrow" w:cs="Arial"/>
                <w:sz w:val="18"/>
                <w:szCs w:val="18"/>
              </w:rPr>
              <w:t xml:space="preserve"> </w:t>
            </w:r>
            <w:r w:rsidRPr="007F787A">
              <w:rPr>
                <w:rFonts w:ascii="Arial Narrow" w:hAnsi="Arial Narrow" w:cs="Arial"/>
                <w:sz w:val="18"/>
                <w:szCs w:val="18"/>
                <w:vertAlign w:val="superscript"/>
              </w:rPr>
              <w:t>2</w:t>
            </w:r>
            <w:r w:rsidRPr="007F787A">
              <w:rPr>
                <w:rFonts w:ascii="Arial Narrow" w:hAnsi="Arial Narrow" w:cs="Arial"/>
                <w:sz w:val="18"/>
                <w:szCs w:val="18"/>
              </w:rPr>
              <w:t xml:space="preserve"> (per month for maintenance)</w:t>
            </w:r>
          </w:p>
        </w:tc>
        <w:tc>
          <w:tcPr>
            <w:tcW w:w="851" w:type="pct"/>
            <w:tcMar>
              <w:left w:w="28" w:type="dxa"/>
              <w:right w:w="28" w:type="dxa"/>
            </w:tcMar>
            <w:vAlign w:val="center"/>
          </w:tcPr>
          <w:p w14:paraId="0A0BD271" w14:textId="77777777" w:rsidR="00C90289" w:rsidRPr="007F787A" w:rsidRDefault="00455CBC"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4.3</w:t>
            </w:r>
          </w:p>
        </w:tc>
        <w:tc>
          <w:tcPr>
            <w:tcW w:w="365" w:type="pct"/>
            <w:shd w:val="clear" w:color="auto" w:fill="auto"/>
            <w:tcMar>
              <w:left w:w="28" w:type="dxa"/>
              <w:right w:w="28" w:type="dxa"/>
            </w:tcMar>
            <w:vAlign w:val="center"/>
          </w:tcPr>
          <w:p w14:paraId="0294EA48"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1.0</w:t>
            </w:r>
          </w:p>
        </w:tc>
        <w:tc>
          <w:tcPr>
            <w:tcW w:w="403" w:type="pct"/>
            <w:shd w:val="clear" w:color="auto" w:fill="auto"/>
            <w:tcMar>
              <w:left w:w="28" w:type="dxa"/>
              <w:right w:w="28" w:type="dxa"/>
            </w:tcMar>
            <w:vAlign w:val="center"/>
          </w:tcPr>
          <w:p w14:paraId="25EC8C99"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4.0</w:t>
            </w:r>
          </w:p>
        </w:tc>
        <w:tc>
          <w:tcPr>
            <w:tcW w:w="531" w:type="pct"/>
            <w:shd w:val="clear" w:color="auto" w:fill="auto"/>
            <w:tcMar>
              <w:left w:w="28" w:type="dxa"/>
              <w:right w:w="28" w:type="dxa"/>
            </w:tcMar>
            <w:vAlign w:val="center"/>
          </w:tcPr>
          <w:p w14:paraId="7EDA8526" w14:textId="77777777" w:rsidR="00C90289" w:rsidRPr="007F787A" w:rsidRDefault="004412C5"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20330329" w14:textId="77777777" w:rsidR="00C90289"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Table 2</w:t>
            </w:r>
            <w:r w:rsidRPr="007F787A">
              <w:rPr>
                <w:szCs w:val="18"/>
              </w:rPr>
              <w:fldChar w:fldCharType="end"/>
            </w:r>
          </w:p>
        </w:tc>
      </w:tr>
      <w:tr w:rsidR="001507E1" w:rsidRPr="007F787A" w14:paraId="04C5A893" w14:textId="77777777" w:rsidTr="003039ED">
        <w:trPr>
          <w:cantSplit/>
          <w:trHeight w:val="170"/>
        </w:trPr>
        <w:tc>
          <w:tcPr>
            <w:tcW w:w="1601" w:type="pct"/>
            <w:tcMar>
              <w:left w:w="28" w:type="dxa"/>
              <w:right w:w="28" w:type="dxa"/>
            </w:tcMar>
            <w:vAlign w:val="center"/>
          </w:tcPr>
          <w:p w14:paraId="6C281718" w14:textId="77777777" w:rsidR="001507E1" w:rsidRPr="007F787A" w:rsidRDefault="001507E1"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ECT dose </w:t>
            </w:r>
            <w:r w:rsidRPr="007F787A">
              <w:rPr>
                <w:rFonts w:ascii="Arial Narrow" w:hAnsi="Arial Narrow" w:cs="Arial"/>
                <w:sz w:val="18"/>
                <w:szCs w:val="18"/>
                <w:vertAlign w:val="superscript"/>
              </w:rPr>
              <w:t>2</w:t>
            </w:r>
            <w:r w:rsidRPr="007F787A">
              <w:rPr>
                <w:rFonts w:ascii="Arial Narrow" w:hAnsi="Arial Narrow" w:cs="Arial"/>
                <w:sz w:val="18"/>
                <w:szCs w:val="18"/>
              </w:rPr>
              <w:t xml:space="preserve"> (per course of acute treatment)</w:t>
            </w:r>
          </w:p>
        </w:tc>
        <w:tc>
          <w:tcPr>
            <w:tcW w:w="851" w:type="pct"/>
            <w:tcMar>
              <w:left w:w="28" w:type="dxa"/>
              <w:right w:w="28" w:type="dxa"/>
            </w:tcMar>
            <w:vAlign w:val="center"/>
          </w:tcPr>
          <w:p w14:paraId="590AE4EF"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10.0</w:t>
            </w:r>
          </w:p>
        </w:tc>
        <w:tc>
          <w:tcPr>
            <w:tcW w:w="365" w:type="pct"/>
            <w:shd w:val="clear" w:color="auto" w:fill="auto"/>
            <w:tcMar>
              <w:left w:w="28" w:type="dxa"/>
              <w:right w:w="28" w:type="dxa"/>
            </w:tcMar>
            <w:vAlign w:val="center"/>
          </w:tcPr>
          <w:p w14:paraId="11FD9059"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8.0</w:t>
            </w:r>
          </w:p>
        </w:tc>
        <w:tc>
          <w:tcPr>
            <w:tcW w:w="403" w:type="pct"/>
            <w:shd w:val="clear" w:color="auto" w:fill="auto"/>
            <w:tcMar>
              <w:left w:w="28" w:type="dxa"/>
              <w:right w:w="28" w:type="dxa"/>
            </w:tcMar>
            <w:vAlign w:val="center"/>
          </w:tcPr>
          <w:p w14:paraId="479772E9"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12.0</w:t>
            </w:r>
          </w:p>
        </w:tc>
        <w:tc>
          <w:tcPr>
            <w:tcW w:w="531" w:type="pct"/>
            <w:shd w:val="clear" w:color="auto" w:fill="auto"/>
            <w:tcMar>
              <w:left w:w="28" w:type="dxa"/>
              <w:right w:w="28" w:type="dxa"/>
            </w:tcMar>
            <w:vAlign w:val="center"/>
          </w:tcPr>
          <w:p w14:paraId="1820208D" w14:textId="77777777" w:rsidR="001507E1" w:rsidRPr="007F787A" w:rsidRDefault="001507E1"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238D74C6" w14:textId="77777777" w:rsidR="001507E1"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 xml:space="preserve">Table </w:t>
            </w:r>
            <w:r w:rsidR="004C1C27" w:rsidRPr="004C1C27">
              <w:rPr>
                <w:noProof/>
                <w:szCs w:val="18"/>
              </w:rPr>
              <w:t>2</w:t>
            </w:r>
            <w:r w:rsidRPr="007F787A">
              <w:rPr>
                <w:szCs w:val="18"/>
              </w:rPr>
              <w:fldChar w:fldCharType="end"/>
            </w:r>
          </w:p>
        </w:tc>
      </w:tr>
      <w:tr w:rsidR="001507E1" w:rsidRPr="007F787A" w14:paraId="7C1016CB" w14:textId="77777777" w:rsidTr="003039ED">
        <w:trPr>
          <w:cantSplit/>
          <w:trHeight w:val="170"/>
        </w:trPr>
        <w:tc>
          <w:tcPr>
            <w:tcW w:w="1601" w:type="pct"/>
            <w:tcMar>
              <w:left w:w="28" w:type="dxa"/>
              <w:right w:w="28" w:type="dxa"/>
            </w:tcMar>
            <w:vAlign w:val="center"/>
          </w:tcPr>
          <w:p w14:paraId="2DE0BE4F" w14:textId="77777777" w:rsidR="001507E1" w:rsidRPr="007F787A" w:rsidRDefault="001507E1"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Antidepressant (per course of acute treatment)</w:t>
            </w:r>
          </w:p>
        </w:tc>
        <w:tc>
          <w:tcPr>
            <w:tcW w:w="851" w:type="pct"/>
            <w:tcMar>
              <w:left w:w="28" w:type="dxa"/>
              <w:right w:w="28" w:type="dxa"/>
            </w:tcMar>
            <w:vAlign w:val="center"/>
          </w:tcPr>
          <w:p w14:paraId="21F1AB4D"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12.0</w:t>
            </w:r>
          </w:p>
        </w:tc>
        <w:tc>
          <w:tcPr>
            <w:tcW w:w="365" w:type="pct"/>
            <w:shd w:val="clear" w:color="auto" w:fill="auto"/>
            <w:tcMar>
              <w:left w:w="28" w:type="dxa"/>
              <w:right w:w="28" w:type="dxa"/>
            </w:tcMar>
            <w:vAlign w:val="center"/>
          </w:tcPr>
          <w:p w14:paraId="4F457134"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8.0</w:t>
            </w:r>
          </w:p>
        </w:tc>
        <w:tc>
          <w:tcPr>
            <w:tcW w:w="403" w:type="pct"/>
            <w:shd w:val="clear" w:color="auto" w:fill="auto"/>
            <w:tcMar>
              <w:left w:w="28" w:type="dxa"/>
              <w:right w:w="28" w:type="dxa"/>
            </w:tcMar>
            <w:vAlign w:val="center"/>
          </w:tcPr>
          <w:p w14:paraId="3614B5A0"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20.0</w:t>
            </w:r>
          </w:p>
        </w:tc>
        <w:tc>
          <w:tcPr>
            <w:tcW w:w="531" w:type="pct"/>
            <w:shd w:val="clear" w:color="auto" w:fill="auto"/>
            <w:tcMar>
              <w:left w:w="28" w:type="dxa"/>
              <w:right w:w="28" w:type="dxa"/>
            </w:tcMar>
            <w:vAlign w:val="center"/>
          </w:tcPr>
          <w:p w14:paraId="53889DE1" w14:textId="77777777" w:rsidR="001507E1" w:rsidRPr="007F787A" w:rsidRDefault="001507E1"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3B1DAA03" w14:textId="77777777" w:rsidR="001507E1"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Table 2</w:t>
            </w:r>
            <w:r w:rsidRPr="007F787A">
              <w:rPr>
                <w:szCs w:val="18"/>
              </w:rPr>
              <w:fldChar w:fldCharType="end"/>
            </w:r>
          </w:p>
        </w:tc>
      </w:tr>
      <w:tr w:rsidR="001507E1" w:rsidRPr="007F787A" w14:paraId="22B108C4" w14:textId="77777777" w:rsidTr="003039ED">
        <w:trPr>
          <w:cantSplit/>
          <w:trHeight w:val="170"/>
        </w:trPr>
        <w:tc>
          <w:tcPr>
            <w:tcW w:w="1601" w:type="pct"/>
            <w:tcMar>
              <w:left w:w="28" w:type="dxa"/>
              <w:right w:w="28" w:type="dxa"/>
            </w:tcMar>
            <w:vAlign w:val="center"/>
          </w:tcPr>
          <w:p w14:paraId="1047648F" w14:textId="77777777" w:rsidR="001507E1" w:rsidRPr="007F787A" w:rsidRDefault="001507E1"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rTMS – acute treatment </w:t>
            </w:r>
          </w:p>
        </w:tc>
        <w:tc>
          <w:tcPr>
            <w:tcW w:w="851" w:type="pct"/>
            <w:tcMar>
              <w:left w:w="28" w:type="dxa"/>
              <w:right w:w="28" w:type="dxa"/>
            </w:tcMar>
            <w:vAlign w:val="center"/>
          </w:tcPr>
          <w:p w14:paraId="1DE96A57"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$4,595</w:t>
            </w:r>
          </w:p>
        </w:tc>
        <w:tc>
          <w:tcPr>
            <w:tcW w:w="365" w:type="pct"/>
            <w:shd w:val="clear" w:color="auto" w:fill="auto"/>
            <w:tcMar>
              <w:left w:w="28" w:type="dxa"/>
              <w:right w:w="28" w:type="dxa"/>
            </w:tcMar>
            <w:vAlign w:val="center"/>
          </w:tcPr>
          <w:p w14:paraId="1EA13B69"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shd w:val="clear" w:color="auto" w:fill="auto"/>
            <w:tcMar>
              <w:left w:w="28" w:type="dxa"/>
              <w:right w:w="28" w:type="dxa"/>
            </w:tcMar>
            <w:vAlign w:val="center"/>
          </w:tcPr>
          <w:p w14:paraId="2A7100A4"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shd w:val="clear" w:color="auto" w:fill="auto"/>
            <w:tcMar>
              <w:left w:w="28" w:type="dxa"/>
              <w:right w:w="28" w:type="dxa"/>
            </w:tcMar>
            <w:vAlign w:val="center"/>
          </w:tcPr>
          <w:p w14:paraId="4C3250B8" w14:textId="77777777" w:rsidR="001507E1" w:rsidRPr="007F787A" w:rsidRDefault="001507E1"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414F8513" w14:textId="77777777" w:rsidR="001507E1"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 xml:space="preserve">Table </w:t>
            </w:r>
            <w:r w:rsidR="004C1C27" w:rsidRPr="004C1C27">
              <w:rPr>
                <w:noProof/>
                <w:szCs w:val="18"/>
              </w:rPr>
              <w:t>2</w:t>
            </w:r>
            <w:r w:rsidRPr="007F787A">
              <w:rPr>
                <w:szCs w:val="18"/>
              </w:rPr>
              <w:fldChar w:fldCharType="end"/>
            </w:r>
          </w:p>
        </w:tc>
      </w:tr>
      <w:tr w:rsidR="001507E1" w:rsidRPr="007F787A" w14:paraId="44B75FD7" w14:textId="77777777" w:rsidTr="003039ED">
        <w:trPr>
          <w:cantSplit/>
          <w:trHeight w:val="170"/>
        </w:trPr>
        <w:tc>
          <w:tcPr>
            <w:tcW w:w="1601" w:type="pct"/>
            <w:tcMar>
              <w:left w:w="28" w:type="dxa"/>
              <w:right w:w="28" w:type="dxa"/>
            </w:tcMar>
            <w:vAlign w:val="center"/>
          </w:tcPr>
          <w:p w14:paraId="7CA9F907" w14:textId="77777777" w:rsidR="001507E1" w:rsidRPr="007F787A" w:rsidRDefault="001507E1"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rTMS – maintenance </w:t>
            </w:r>
          </w:p>
        </w:tc>
        <w:tc>
          <w:tcPr>
            <w:tcW w:w="851" w:type="pct"/>
            <w:tcMar>
              <w:left w:w="28" w:type="dxa"/>
              <w:right w:w="28" w:type="dxa"/>
            </w:tcMar>
            <w:vAlign w:val="center"/>
          </w:tcPr>
          <w:p w14:paraId="1FC379BB"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$1,000</w:t>
            </w:r>
          </w:p>
        </w:tc>
        <w:tc>
          <w:tcPr>
            <w:tcW w:w="365" w:type="pct"/>
            <w:shd w:val="clear" w:color="auto" w:fill="auto"/>
            <w:tcMar>
              <w:left w:w="28" w:type="dxa"/>
              <w:right w:w="28" w:type="dxa"/>
            </w:tcMar>
            <w:vAlign w:val="center"/>
          </w:tcPr>
          <w:p w14:paraId="2921BBE6"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shd w:val="clear" w:color="auto" w:fill="auto"/>
            <w:tcMar>
              <w:left w:w="28" w:type="dxa"/>
              <w:right w:w="28" w:type="dxa"/>
            </w:tcMar>
            <w:vAlign w:val="center"/>
          </w:tcPr>
          <w:p w14:paraId="0E322C8B"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shd w:val="clear" w:color="auto" w:fill="auto"/>
            <w:tcMar>
              <w:left w:w="28" w:type="dxa"/>
              <w:right w:w="28" w:type="dxa"/>
            </w:tcMar>
            <w:vAlign w:val="center"/>
          </w:tcPr>
          <w:p w14:paraId="35E376A3" w14:textId="77777777" w:rsidR="001507E1" w:rsidRPr="007F787A" w:rsidRDefault="001507E1"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724B1025" w14:textId="77777777" w:rsidR="001507E1"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Table 2</w:t>
            </w:r>
            <w:r w:rsidRPr="007F787A">
              <w:rPr>
                <w:szCs w:val="18"/>
              </w:rPr>
              <w:fldChar w:fldCharType="end"/>
            </w:r>
          </w:p>
        </w:tc>
      </w:tr>
      <w:tr w:rsidR="001507E1" w:rsidRPr="007F787A" w14:paraId="384530CA" w14:textId="77777777" w:rsidTr="003039ED">
        <w:trPr>
          <w:cantSplit/>
          <w:trHeight w:val="170"/>
        </w:trPr>
        <w:tc>
          <w:tcPr>
            <w:tcW w:w="1601" w:type="pct"/>
            <w:tcMar>
              <w:left w:w="28" w:type="dxa"/>
              <w:right w:w="28" w:type="dxa"/>
            </w:tcMar>
            <w:vAlign w:val="center"/>
          </w:tcPr>
          <w:p w14:paraId="49E49372" w14:textId="77777777" w:rsidR="001507E1" w:rsidRPr="007F787A" w:rsidRDefault="001507E1"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ECT </w:t>
            </w:r>
          </w:p>
        </w:tc>
        <w:tc>
          <w:tcPr>
            <w:tcW w:w="851" w:type="pct"/>
            <w:tcMar>
              <w:left w:w="28" w:type="dxa"/>
              <w:right w:w="28" w:type="dxa"/>
            </w:tcMar>
            <w:vAlign w:val="center"/>
          </w:tcPr>
          <w:p w14:paraId="60F95C2C"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$8,490</w:t>
            </w:r>
          </w:p>
        </w:tc>
        <w:tc>
          <w:tcPr>
            <w:tcW w:w="365" w:type="pct"/>
            <w:shd w:val="clear" w:color="auto" w:fill="auto"/>
            <w:tcMar>
              <w:left w:w="28" w:type="dxa"/>
              <w:right w:w="28" w:type="dxa"/>
            </w:tcMar>
            <w:vAlign w:val="center"/>
          </w:tcPr>
          <w:p w14:paraId="5951E311"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shd w:val="clear" w:color="auto" w:fill="auto"/>
            <w:tcMar>
              <w:left w:w="28" w:type="dxa"/>
              <w:right w:w="28" w:type="dxa"/>
            </w:tcMar>
            <w:vAlign w:val="center"/>
          </w:tcPr>
          <w:p w14:paraId="3580F046"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shd w:val="clear" w:color="auto" w:fill="auto"/>
            <w:tcMar>
              <w:left w:w="28" w:type="dxa"/>
              <w:right w:w="28" w:type="dxa"/>
            </w:tcMar>
            <w:vAlign w:val="center"/>
          </w:tcPr>
          <w:p w14:paraId="2E8E72E4" w14:textId="77777777" w:rsidR="001507E1" w:rsidRPr="007F787A" w:rsidRDefault="001507E1"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29DA56EB" w14:textId="77777777" w:rsidR="001507E1"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 xml:space="preserve">Table </w:t>
            </w:r>
            <w:r w:rsidR="004C1C27" w:rsidRPr="004C1C27">
              <w:rPr>
                <w:noProof/>
                <w:szCs w:val="18"/>
              </w:rPr>
              <w:t>2</w:t>
            </w:r>
            <w:r w:rsidRPr="007F787A">
              <w:rPr>
                <w:szCs w:val="18"/>
              </w:rPr>
              <w:fldChar w:fldCharType="end"/>
            </w:r>
          </w:p>
        </w:tc>
      </w:tr>
      <w:tr w:rsidR="001507E1" w:rsidRPr="007F787A" w14:paraId="17CDCF78" w14:textId="77777777" w:rsidTr="003039ED">
        <w:trPr>
          <w:cantSplit/>
          <w:trHeight w:val="170"/>
        </w:trPr>
        <w:tc>
          <w:tcPr>
            <w:tcW w:w="1601" w:type="pct"/>
            <w:tcMar>
              <w:left w:w="28" w:type="dxa"/>
              <w:right w:w="28" w:type="dxa"/>
            </w:tcMar>
            <w:vAlign w:val="center"/>
          </w:tcPr>
          <w:p w14:paraId="516D90CB" w14:textId="77777777" w:rsidR="001507E1" w:rsidRPr="007F787A" w:rsidRDefault="001507E1"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Antidepressant – acute treatment </w:t>
            </w:r>
          </w:p>
        </w:tc>
        <w:tc>
          <w:tcPr>
            <w:tcW w:w="851" w:type="pct"/>
            <w:tcMar>
              <w:left w:w="28" w:type="dxa"/>
              <w:right w:w="28" w:type="dxa"/>
            </w:tcMar>
            <w:vAlign w:val="center"/>
          </w:tcPr>
          <w:p w14:paraId="7358ACA9"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$505</w:t>
            </w:r>
          </w:p>
        </w:tc>
        <w:tc>
          <w:tcPr>
            <w:tcW w:w="365" w:type="pct"/>
            <w:shd w:val="clear" w:color="auto" w:fill="auto"/>
            <w:tcMar>
              <w:left w:w="28" w:type="dxa"/>
              <w:right w:w="28" w:type="dxa"/>
            </w:tcMar>
            <w:vAlign w:val="center"/>
          </w:tcPr>
          <w:p w14:paraId="2BE4C555"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shd w:val="clear" w:color="auto" w:fill="auto"/>
            <w:tcMar>
              <w:left w:w="28" w:type="dxa"/>
              <w:right w:w="28" w:type="dxa"/>
            </w:tcMar>
            <w:vAlign w:val="center"/>
          </w:tcPr>
          <w:p w14:paraId="02732420"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shd w:val="clear" w:color="auto" w:fill="auto"/>
            <w:tcMar>
              <w:left w:w="28" w:type="dxa"/>
              <w:right w:w="28" w:type="dxa"/>
            </w:tcMar>
            <w:vAlign w:val="center"/>
          </w:tcPr>
          <w:p w14:paraId="163D95BA" w14:textId="77777777" w:rsidR="001507E1" w:rsidRPr="007F787A" w:rsidRDefault="001507E1"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53A5B998" w14:textId="77777777" w:rsidR="001507E1"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Table 2</w:t>
            </w:r>
            <w:r w:rsidRPr="007F787A">
              <w:rPr>
                <w:szCs w:val="18"/>
              </w:rPr>
              <w:fldChar w:fldCharType="end"/>
            </w:r>
          </w:p>
        </w:tc>
      </w:tr>
      <w:tr w:rsidR="001507E1" w:rsidRPr="007F787A" w14:paraId="73FDEC7A" w14:textId="77777777" w:rsidTr="003039ED">
        <w:trPr>
          <w:cantSplit/>
          <w:trHeight w:val="170"/>
        </w:trPr>
        <w:tc>
          <w:tcPr>
            <w:tcW w:w="1601" w:type="pct"/>
            <w:tcMar>
              <w:left w:w="28" w:type="dxa"/>
              <w:right w:w="28" w:type="dxa"/>
            </w:tcMar>
            <w:vAlign w:val="center"/>
          </w:tcPr>
          <w:p w14:paraId="4D9CDA80" w14:textId="77777777" w:rsidR="001507E1" w:rsidRPr="007F787A" w:rsidRDefault="001507E1"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Lithium augmentation (after main treatment) </w:t>
            </w:r>
          </w:p>
        </w:tc>
        <w:tc>
          <w:tcPr>
            <w:tcW w:w="851" w:type="pct"/>
            <w:tcMar>
              <w:left w:w="28" w:type="dxa"/>
              <w:right w:w="28" w:type="dxa"/>
            </w:tcMar>
            <w:vAlign w:val="center"/>
          </w:tcPr>
          <w:p w14:paraId="15774B47"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$152</w:t>
            </w:r>
          </w:p>
        </w:tc>
        <w:tc>
          <w:tcPr>
            <w:tcW w:w="365" w:type="pct"/>
            <w:shd w:val="clear" w:color="auto" w:fill="auto"/>
            <w:tcMar>
              <w:left w:w="28" w:type="dxa"/>
              <w:right w:w="28" w:type="dxa"/>
            </w:tcMar>
            <w:vAlign w:val="center"/>
          </w:tcPr>
          <w:p w14:paraId="1C8F900D"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shd w:val="clear" w:color="auto" w:fill="auto"/>
            <w:tcMar>
              <w:left w:w="28" w:type="dxa"/>
              <w:right w:w="28" w:type="dxa"/>
            </w:tcMar>
            <w:vAlign w:val="center"/>
          </w:tcPr>
          <w:p w14:paraId="4A961179"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shd w:val="clear" w:color="auto" w:fill="auto"/>
            <w:tcMar>
              <w:left w:w="28" w:type="dxa"/>
              <w:right w:w="28" w:type="dxa"/>
            </w:tcMar>
            <w:vAlign w:val="center"/>
          </w:tcPr>
          <w:p w14:paraId="7A29251F" w14:textId="77777777" w:rsidR="001507E1" w:rsidRPr="007F787A" w:rsidRDefault="001507E1" w:rsidP="00ED70FB">
            <w:pPr>
              <w:pStyle w:val="TableText"/>
              <w:keepNext w:val="0"/>
              <w:widowControl w:val="0"/>
              <w:jc w:val="center"/>
              <w:rPr>
                <w:szCs w:val="18"/>
              </w:rPr>
            </w:pPr>
            <w:r w:rsidRPr="007F787A">
              <w:rPr>
                <w:szCs w:val="18"/>
              </w:rPr>
              <w:t>-</w:t>
            </w:r>
          </w:p>
        </w:tc>
        <w:tc>
          <w:tcPr>
            <w:tcW w:w="1249" w:type="pct"/>
            <w:tcMar>
              <w:left w:w="28" w:type="dxa"/>
              <w:right w:w="28" w:type="dxa"/>
            </w:tcMar>
            <w:vAlign w:val="center"/>
          </w:tcPr>
          <w:p w14:paraId="1782121F" w14:textId="77777777" w:rsidR="001507E1"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 xml:space="preserve">Table </w:t>
            </w:r>
            <w:r w:rsidR="004C1C27" w:rsidRPr="004C1C27">
              <w:rPr>
                <w:noProof/>
                <w:szCs w:val="18"/>
              </w:rPr>
              <w:t>2</w:t>
            </w:r>
            <w:r w:rsidRPr="007F787A">
              <w:rPr>
                <w:szCs w:val="18"/>
              </w:rPr>
              <w:fldChar w:fldCharType="end"/>
            </w:r>
          </w:p>
        </w:tc>
      </w:tr>
      <w:tr w:rsidR="001507E1" w:rsidRPr="007F787A" w14:paraId="7ED2C147" w14:textId="77777777" w:rsidTr="003039ED">
        <w:trPr>
          <w:cantSplit/>
          <w:trHeight w:val="170"/>
        </w:trPr>
        <w:tc>
          <w:tcPr>
            <w:tcW w:w="1601" w:type="pct"/>
            <w:tcMar>
              <w:left w:w="28" w:type="dxa"/>
              <w:right w:w="28" w:type="dxa"/>
            </w:tcMar>
            <w:vAlign w:val="center"/>
          </w:tcPr>
          <w:p w14:paraId="6F65ED84" w14:textId="77777777" w:rsidR="001507E1" w:rsidRPr="007F787A" w:rsidRDefault="001507E1"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Hospitalisation </w:t>
            </w:r>
          </w:p>
        </w:tc>
        <w:tc>
          <w:tcPr>
            <w:tcW w:w="851" w:type="pct"/>
            <w:tcMar>
              <w:left w:w="28" w:type="dxa"/>
              <w:right w:w="28" w:type="dxa"/>
            </w:tcMar>
            <w:vAlign w:val="center"/>
          </w:tcPr>
          <w:p w14:paraId="3455E20E"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$14,018</w:t>
            </w:r>
          </w:p>
        </w:tc>
        <w:tc>
          <w:tcPr>
            <w:tcW w:w="365" w:type="pct"/>
            <w:tcBorders>
              <w:bottom w:val="single" w:sz="4" w:space="0" w:color="auto"/>
            </w:tcBorders>
            <w:tcMar>
              <w:left w:w="28" w:type="dxa"/>
              <w:right w:w="28" w:type="dxa"/>
            </w:tcMar>
            <w:vAlign w:val="center"/>
          </w:tcPr>
          <w:p w14:paraId="5DCE0BBA"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$13,106</w:t>
            </w:r>
          </w:p>
        </w:tc>
        <w:tc>
          <w:tcPr>
            <w:tcW w:w="403" w:type="pct"/>
            <w:tcBorders>
              <w:bottom w:val="single" w:sz="4" w:space="0" w:color="auto"/>
            </w:tcBorders>
            <w:tcMar>
              <w:left w:w="28" w:type="dxa"/>
              <w:right w:w="28" w:type="dxa"/>
            </w:tcMar>
            <w:vAlign w:val="center"/>
          </w:tcPr>
          <w:p w14:paraId="44A4B3D7"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$20,484</w:t>
            </w:r>
          </w:p>
        </w:tc>
        <w:tc>
          <w:tcPr>
            <w:tcW w:w="531" w:type="pct"/>
            <w:tcBorders>
              <w:bottom w:val="single" w:sz="4" w:space="0" w:color="auto"/>
            </w:tcBorders>
            <w:tcMar>
              <w:left w:w="28" w:type="dxa"/>
              <w:right w:w="28" w:type="dxa"/>
            </w:tcMar>
            <w:vAlign w:val="center"/>
          </w:tcPr>
          <w:p w14:paraId="7D940DB4" w14:textId="77777777" w:rsidR="001507E1" w:rsidRPr="007F787A" w:rsidRDefault="001507E1" w:rsidP="00ED70FB">
            <w:pPr>
              <w:pStyle w:val="TableText"/>
              <w:keepNext w:val="0"/>
              <w:widowControl w:val="0"/>
              <w:jc w:val="center"/>
              <w:rPr>
                <w:szCs w:val="18"/>
              </w:rPr>
            </w:pPr>
            <w:r w:rsidRPr="007F787A">
              <w:rPr>
                <w:szCs w:val="18"/>
              </w:rPr>
              <w:t>Gamma</w:t>
            </w:r>
          </w:p>
        </w:tc>
        <w:tc>
          <w:tcPr>
            <w:tcW w:w="1249" w:type="pct"/>
            <w:tcMar>
              <w:left w:w="28" w:type="dxa"/>
              <w:right w:w="28" w:type="dxa"/>
            </w:tcMar>
            <w:vAlign w:val="center"/>
          </w:tcPr>
          <w:p w14:paraId="33DEA0FC" w14:textId="77777777" w:rsidR="001507E1"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Table 2</w:t>
            </w:r>
            <w:r w:rsidRPr="007F787A">
              <w:rPr>
                <w:szCs w:val="18"/>
              </w:rPr>
              <w:fldChar w:fldCharType="end"/>
            </w:r>
          </w:p>
        </w:tc>
      </w:tr>
      <w:tr w:rsidR="001507E1" w:rsidRPr="007F787A" w14:paraId="2CC7C0B6" w14:textId="77777777" w:rsidTr="003039ED">
        <w:trPr>
          <w:cantSplit/>
          <w:trHeight w:val="170"/>
        </w:trPr>
        <w:tc>
          <w:tcPr>
            <w:tcW w:w="1601" w:type="pct"/>
            <w:tcBorders>
              <w:bottom w:val="single" w:sz="4" w:space="0" w:color="auto"/>
            </w:tcBorders>
            <w:tcMar>
              <w:left w:w="28" w:type="dxa"/>
              <w:right w:w="28" w:type="dxa"/>
            </w:tcMar>
            <w:vAlign w:val="center"/>
          </w:tcPr>
          <w:p w14:paraId="764DC9E9" w14:textId="77777777" w:rsidR="001507E1" w:rsidRPr="007F787A" w:rsidRDefault="001507E1"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Monitoring cost during partial remission </w:t>
            </w:r>
          </w:p>
        </w:tc>
        <w:tc>
          <w:tcPr>
            <w:tcW w:w="851" w:type="pct"/>
            <w:tcBorders>
              <w:bottom w:val="single" w:sz="4" w:space="0" w:color="auto"/>
            </w:tcBorders>
            <w:tcMar>
              <w:left w:w="28" w:type="dxa"/>
              <w:right w:w="28" w:type="dxa"/>
            </w:tcMar>
            <w:vAlign w:val="center"/>
          </w:tcPr>
          <w:p w14:paraId="2147D912"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$73.5</w:t>
            </w:r>
          </w:p>
        </w:tc>
        <w:tc>
          <w:tcPr>
            <w:tcW w:w="365" w:type="pct"/>
            <w:tcBorders>
              <w:bottom w:val="single" w:sz="4" w:space="0" w:color="auto"/>
            </w:tcBorders>
            <w:shd w:val="clear" w:color="auto" w:fill="auto"/>
            <w:tcMar>
              <w:left w:w="28" w:type="dxa"/>
              <w:right w:w="28" w:type="dxa"/>
            </w:tcMar>
            <w:vAlign w:val="center"/>
          </w:tcPr>
          <w:p w14:paraId="5C5F50E4"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tcBorders>
              <w:bottom w:val="single" w:sz="4" w:space="0" w:color="auto"/>
            </w:tcBorders>
            <w:shd w:val="clear" w:color="auto" w:fill="auto"/>
            <w:tcMar>
              <w:left w:w="28" w:type="dxa"/>
              <w:right w:w="28" w:type="dxa"/>
            </w:tcMar>
            <w:vAlign w:val="center"/>
          </w:tcPr>
          <w:p w14:paraId="4FAF345C" w14:textId="77777777" w:rsidR="001507E1" w:rsidRPr="007F787A" w:rsidRDefault="001507E1"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tcBorders>
              <w:bottom w:val="single" w:sz="4" w:space="0" w:color="auto"/>
            </w:tcBorders>
            <w:shd w:val="clear" w:color="auto" w:fill="auto"/>
            <w:tcMar>
              <w:left w:w="28" w:type="dxa"/>
              <w:right w:w="28" w:type="dxa"/>
            </w:tcMar>
            <w:vAlign w:val="center"/>
          </w:tcPr>
          <w:p w14:paraId="0F789F17" w14:textId="77777777" w:rsidR="001507E1" w:rsidRPr="007F787A" w:rsidRDefault="001507E1" w:rsidP="00ED70FB">
            <w:pPr>
              <w:pStyle w:val="TableText"/>
              <w:keepNext w:val="0"/>
              <w:widowControl w:val="0"/>
              <w:jc w:val="center"/>
              <w:rPr>
                <w:szCs w:val="18"/>
              </w:rPr>
            </w:pPr>
            <w:r w:rsidRPr="007F787A">
              <w:rPr>
                <w:szCs w:val="18"/>
              </w:rPr>
              <w:t>-</w:t>
            </w:r>
          </w:p>
        </w:tc>
        <w:tc>
          <w:tcPr>
            <w:tcW w:w="1249" w:type="pct"/>
            <w:tcBorders>
              <w:bottom w:val="single" w:sz="4" w:space="0" w:color="auto"/>
            </w:tcBorders>
            <w:tcMar>
              <w:left w:w="28" w:type="dxa"/>
              <w:right w:w="28" w:type="dxa"/>
            </w:tcMar>
            <w:vAlign w:val="center"/>
          </w:tcPr>
          <w:p w14:paraId="217BFDE3" w14:textId="77777777" w:rsidR="001507E1" w:rsidRPr="007F787A" w:rsidRDefault="001507E1" w:rsidP="00ED70FB">
            <w:pPr>
              <w:pStyle w:val="TableText"/>
              <w:keepNext w:val="0"/>
              <w:widowControl w:val="0"/>
              <w:jc w:val="center"/>
              <w:rPr>
                <w:szCs w:val="18"/>
              </w:rPr>
            </w:pPr>
            <w:r w:rsidRPr="007F787A">
              <w:rPr>
                <w:szCs w:val="18"/>
              </w:rPr>
              <w:fldChar w:fldCharType="begin"/>
            </w:r>
            <w:r w:rsidRPr="007F787A">
              <w:rPr>
                <w:szCs w:val="18"/>
              </w:rPr>
              <w:instrText xml:space="preserve"> REF _Ref386031492 \h  \* MERGEFORMAT </w:instrText>
            </w:r>
            <w:r w:rsidRPr="007F787A">
              <w:rPr>
                <w:szCs w:val="18"/>
              </w:rPr>
            </w:r>
            <w:r w:rsidRPr="007F787A">
              <w:rPr>
                <w:szCs w:val="18"/>
              </w:rPr>
              <w:fldChar w:fldCharType="separate"/>
            </w:r>
            <w:r w:rsidR="004C1C27" w:rsidRPr="004C1C27">
              <w:rPr>
                <w:szCs w:val="18"/>
              </w:rPr>
              <w:t xml:space="preserve">Table </w:t>
            </w:r>
            <w:r w:rsidR="004C1C27" w:rsidRPr="004C1C27">
              <w:rPr>
                <w:noProof/>
                <w:szCs w:val="18"/>
              </w:rPr>
              <w:t>2</w:t>
            </w:r>
            <w:r w:rsidRPr="007F787A">
              <w:rPr>
                <w:szCs w:val="18"/>
              </w:rPr>
              <w:fldChar w:fldCharType="end"/>
            </w:r>
          </w:p>
        </w:tc>
      </w:tr>
      <w:tr w:rsidR="00000D58" w:rsidRPr="007F787A" w14:paraId="04712793" w14:textId="77777777" w:rsidTr="003039ED">
        <w:trPr>
          <w:cantSplit/>
          <w:trHeight w:val="170"/>
        </w:trPr>
        <w:tc>
          <w:tcPr>
            <w:tcW w:w="1601" w:type="pct"/>
            <w:tcBorders>
              <w:right w:val="nil"/>
            </w:tcBorders>
            <w:tcMar>
              <w:left w:w="28" w:type="dxa"/>
              <w:right w:w="28" w:type="dxa"/>
            </w:tcMar>
            <w:vAlign w:val="center"/>
          </w:tcPr>
          <w:p w14:paraId="0638D864" w14:textId="77777777" w:rsidR="00000D58" w:rsidRPr="007F787A" w:rsidRDefault="00000D58" w:rsidP="00ED70FB">
            <w:pPr>
              <w:widowControl w:val="0"/>
              <w:spacing w:before="40" w:after="40"/>
              <w:ind w:left="0"/>
              <w:rPr>
                <w:rFonts w:ascii="Arial Narrow" w:hAnsi="Arial Narrow" w:cs="Arial"/>
                <w:sz w:val="18"/>
                <w:szCs w:val="18"/>
              </w:rPr>
            </w:pPr>
            <w:r w:rsidRPr="007F787A">
              <w:rPr>
                <w:rFonts w:ascii="Arial Narrow" w:hAnsi="Arial Narrow" w:cs="Arial"/>
                <w:b/>
                <w:i/>
                <w:sz w:val="18"/>
                <w:szCs w:val="18"/>
              </w:rPr>
              <w:t>Adverse events</w:t>
            </w:r>
          </w:p>
        </w:tc>
        <w:tc>
          <w:tcPr>
            <w:tcW w:w="851" w:type="pct"/>
            <w:tcBorders>
              <w:left w:val="nil"/>
              <w:right w:val="nil"/>
            </w:tcBorders>
            <w:tcMar>
              <w:left w:w="28" w:type="dxa"/>
              <w:right w:w="28" w:type="dxa"/>
            </w:tcMar>
            <w:vAlign w:val="center"/>
          </w:tcPr>
          <w:p w14:paraId="4DD238BD" w14:textId="77777777" w:rsidR="00000D58" w:rsidRPr="007F787A" w:rsidRDefault="00000D58" w:rsidP="00ED70FB">
            <w:pPr>
              <w:widowControl w:val="0"/>
              <w:spacing w:before="40" w:after="40"/>
              <w:ind w:left="0"/>
              <w:jc w:val="center"/>
              <w:rPr>
                <w:rFonts w:ascii="Arial Narrow" w:hAnsi="Arial Narrow" w:cs="Arial"/>
                <w:sz w:val="18"/>
                <w:szCs w:val="18"/>
              </w:rPr>
            </w:pPr>
          </w:p>
        </w:tc>
        <w:tc>
          <w:tcPr>
            <w:tcW w:w="365" w:type="pct"/>
            <w:tcBorders>
              <w:left w:val="nil"/>
              <w:right w:val="nil"/>
            </w:tcBorders>
            <w:tcMar>
              <w:left w:w="28" w:type="dxa"/>
              <w:right w:w="28" w:type="dxa"/>
            </w:tcMar>
            <w:vAlign w:val="center"/>
          </w:tcPr>
          <w:p w14:paraId="14D77E48" w14:textId="77777777" w:rsidR="00000D58" w:rsidRPr="007F787A" w:rsidRDefault="00000D58" w:rsidP="00ED70FB">
            <w:pPr>
              <w:widowControl w:val="0"/>
              <w:spacing w:before="40" w:after="40"/>
              <w:ind w:left="0"/>
              <w:jc w:val="center"/>
              <w:rPr>
                <w:rFonts w:ascii="Arial Narrow" w:hAnsi="Arial Narrow" w:cs="Arial"/>
                <w:sz w:val="18"/>
                <w:szCs w:val="18"/>
              </w:rPr>
            </w:pPr>
          </w:p>
        </w:tc>
        <w:tc>
          <w:tcPr>
            <w:tcW w:w="403" w:type="pct"/>
            <w:tcBorders>
              <w:left w:val="nil"/>
              <w:right w:val="nil"/>
            </w:tcBorders>
            <w:tcMar>
              <w:left w:w="28" w:type="dxa"/>
              <w:right w:w="28" w:type="dxa"/>
            </w:tcMar>
            <w:vAlign w:val="center"/>
          </w:tcPr>
          <w:p w14:paraId="2A145EE8" w14:textId="77777777" w:rsidR="00000D58" w:rsidRPr="007F787A" w:rsidRDefault="00000D58" w:rsidP="00ED70FB">
            <w:pPr>
              <w:widowControl w:val="0"/>
              <w:spacing w:before="40" w:after="40"/>
              <w:ind w:left="0"/>
              <w:jc w:val="center"/>
              <w:rPr>
                <w:rFonts w:ascii="Arial Narrow" w:hAnsi="Arial Narrow" w:cs="Arial"/>
                <w:sz w:val="18"/>
                <w:szCs w:val="18"/>
              </w:rPr>
            </w:pPr>
          </w:p>
        </w:tc>
        <w:tc>
          <w:tcPr>
            <w:tcW w:w="531" w:type="pct"/>
            <w:tcBorders>
              <w:left w:val="nil"/>
              <w:right w:val="nil"/>
            </w:tcBorders>
            <w:tcMar>
              <w:left w:w="28" w:type="dxa"/>
              <w:right w:w="28" w:type="dxa"/>
            </w:tcMar>
            <w:vAlign w:val="center"/>
          </w:tcPr>
          <w:p w14:paraId="6A89C072" w14:textId="77777777" w:rsidR="00000D58" w:rsidRPr="007F787A" w:rsidRDefault="00000D58" w:rsidP="00ED70FB">
            <w:pPr>
              <w:pStyle w:val="TableText"/>
              <w:keepNext w:val="0"/>
              <w:widowControl w:val="0"/>
              <w:jc w:val="center"/>
              <w:rPr>
                <w:szCs w:val="18"/>
              </w:rPr>
            </w:pPr>
          </w:p>
        </w:tc>
        <w:tc>
          <w:tcPr>
            <w:tcW w:w="1249" w:type="pct"/>
            <w:tcBorders>
              <w:left w:val="nil"/>
            </w:tcBorders>
            <w:tcMar>
              <w:left w:w="28" w:type="dxa"/>
              <w:right w:w="28" w:type="dxa"/>
            </w:tcMar>
            <w:vAlign w:val="center"/>
          </w:tcPr>
          <w:p w14:paraId="41A8D145" w14:textId="77777777" w:rsidR="00000D58" w:rsidRPr="007F787A" w:rsidRDefault="00000D58" w:rsidP="00ED70FB">
            <w:pPr>
              <w:pStyle w:val="TableText"/>
              <w:keepNext w:val="0"/>
              <w:widowControl w:val="0"/>
              <w:jc w:val="center"/>
              <w:rPr>
                <w:szCs w:val="18"/>
              </w:rPr>
            </w:pPr>
          </w:p>
        </w:tc>
      </w:tr>
      <w:tr w:rsidR="00C90289" w:rsidRPr="007F787A" w14:paraId="0E585C85" w14:textId="77777777" w:rsidTr="003039ED">
        <w:trPr>
          <w:cantSplit/>
          <w:trHeight w:val="170"/>
        </w:trPr>
        <w:tc>
          <w:tcPr>
            <w:tcW w:w="1601" w:type="pct"/>
            <w:tcMar>
              <w:left w:w="28" w:type="dxa"/>
              <w:right w:w="28" w:type="dxa"/>
            </w:tcMar>
            <w:vAlign w:val="center"/>
          </w:tcPr>
          <w:p w14:paraId="0407EE46"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 xml:space="preserve">rTMS </w:t>
            </w:r>
          </w:p>
        </w:tc>
        <w:tc>
          <w:tcPr>
            <w:tcW w:w="851" w:type="pct"/>
            <w:tcMar>
              <w:left w:w="28" w:type="dxa"/>
              <w:right w:w="28" w:type="dxa"/>
            </w:tcMar>
            <w:vAlign w:val="center"/>
          </w:tcPr>
          <w:p w14:paraId="3F4CABED"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$82</w:t>
            </w:r>
          </w:p>
        </w:tc>
        <w:tc>
          <w:tcPr>
            <w:tcW w:w="365" w:type="pct"/>
            <w:tcMar>
              <w:left w:w="28" w:type="dxa"/>
              <w:right w:w="28" w:type="dxa"/>
            </w:tcMar>
            <w:vAlign w:val="center"/>
          </w:tcPr>
          <w:p w14:paraId="7B6C7B49"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tcMar>
              <w:left w:w="28" w:type="dxa"/>
              <w:right w:w="28" w:type="dxa"/>
            </w:tcMar>
            <w:vAlign w:val="center"/>
          </w:tcPr>
          <w:p w14:paraId="0BC297B5"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tcMar>
              <w:left w:w="28" w:type="dxa"/>
              <w:right w:w="28" w:type="dxa"/>
            </w:tcMar>
            <w:vAlign w:val="center"/>
          </w:tcPr>
          <w:p w14:paraId="4342BBB8" w14:textId="77777777" w:rsidR="00C90289" w:rsidRPr="007F787A" w:rsidRDefault="00C90289" w:rsidP="00ED70FB">
            <w:pPr>
              <w:pStyle w:val="TableText"/>
              <w:keepNext w:val="0"/>
              <w:widowControl w:val="0"/>
              <w:jc w:val="center"/>
              <w:rPr>
                <w:szCs w:val="18"/>
              </w:rPr>
            </w:pPr>
            <w:r w:rsidRPr="007F787A">
              <w:rPr>
                <w:szCs w:val="18"/>
              </w:rPr>
              <w:t>Gamma</w:t>
            </w:r>
          </w:p>
        </w:tc>
        <w:tc>
          <w:tcPr>
            <w:tcW w:w="1249" w:type="pct"/>
            <w:tcMar>
              <w:left w:w="28" w:type="dxa"/>
              <w:right w:w="28" w:type="dxa"/>
            </w:tcMar>
            <w:vAlign w:val="center"/>
          </w:tcPr>
          <w:p w14:paraId="722847D3" w14:textId="77777777" w:rsidR="00C90289" w:rsidRPr="007F787A" w:rsidRDefault="001507E1" w:rsidP="00ED70FB">
            <w:pPr>
              <w:pStyle w:val="TableText"/>
              <w:keepNext w:val="0"/>
              <w:widowControl w:val="0"/>
              <w:jc w:val="center"/>
              <w:rPr>
                <w:szCs w:val="18"/>
              </w:rPr>
            </w:pPr>
            <w:r w:rsidRPr="007F787A">
              <w:rPr>
                <w:szCs w:val="18"/>
              </w:rPr>
              <w:t>Appendix</w:t>
            </w:r>
          </w:p>
        </w:tc>
      </w:tr>
      <w:tr w:rsidR="00C90289" w:rsidRPr="007F787A" w14:paraId="1DD650E2" w14:textId="77777777" w:rsidTr="003039ED">
        <w:trPr>
          <w:cantSplit/>
          <w:trHeight w:val="170"/>
        </w:trPr>
        <w:tc>
          <w:tcPr>
            <w:tcW w:w="1601" w:type="pct"/>
            <w:tcMar>
              <w:left w:w="28" w:type="dxa"/>
              <w:right w:w="28" w:type="dxa"/>
            </w:tcMar>
            <w:vAlign w:val="center"/>
          </w:tcPr>
          <w:p w14:paraId="6EE21F53" w14:textId="77777777" w:rsidR="00C90289" w:rsidRPr="007F787A" w:rsidRDefault="00C90289" w:rsidP="00ED70FB">
            <w:pPr>
              <w:widowControl w:val="0"/>
              <w:spacing w:before="40" w:after="40"/>
              <w:ind w:left="284"/>
              <w:rPr>
                <w:rFonts w:ascii="Arial Narrow" w:hAnsi="Arial Narrow" w:cs="Arial"/>
                <w:sz w:val="18"/>
                <w:szCs w:val="18"/>
              </w:rPr>
            </w:pPr>
            <w:r w:rsidRPr="007F787A">
              <w:rPr>
                <w:rFonts w:ascii="Arial Narrow" w:hAnsi="Arial Narrow" w:cs="Arial"/>
                <w:sz w:val="18"/>
                <w:szCs w:val="18"/>
              </w:rPr>
              <w:t>ECT</w:t>
            </w:r>
          </w:p>
        </w:tc>
        <w:tc>
          <w:tcPr>
            <w:tcW w:w="851" w:type="pct"/>
            <w:tcMar>
              <w:left w:w="28" w:type="dxa"/>
              <w:right w:w="28" w:type="dxa"/>
            </w:tcMar>
            <w:vAlign w:val="center"/>
          </w:tcPr>
          <w:p w14:paraId="73D89827"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$72</w:t>
            </w:r>
          </w:p>
        </w:tc>
        <w:tc>
          <w:tcPr>
            <w:tcW w:w="365" w:type="pct"/>
            <w:tcMar>
              <w:left w:w="28" w:type="dxa"/>
              <w:right w:w="28" w:type="dxa"/>
            </w:tcMar>
            <w:vAlign w:val="center"/>
          </w:tcPr>
          <w:p w14:paraId="57520AAD"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tcMar>
              <w:left w:w="28" w:type="dxa"/>
              <w:right w:w="28" w:type="dxa"/>
            </w:tcMar>
            <w:vAlign w:val="center"/>
          </w:tcPr>
          <w:p w14:paraId="01706817" w14:textId="77777777" w:rsidR="00C90289" w:rsidRPr="007F787A" w:rsidRDefault="00C90289" w:rsidP="00ED70FB">
            <w:pPr>
              <w:widowControl w:val="0"/>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tcMar>
              <w:left w:w="28" w:type="dxa"/>
              <w:right w:w="28" w:type="dxa"/>
            </w:tcMar>
            <w:vAlign w:val="center"/>
          </w:tcPr>
          <w:p w14:paraId="5055FAA5" w14:textId="77777777" w:rsidR="00C90289" w:rsidRPr="007F787A" w:rsidRDefault="00C90289" w:rsidP="00ED70FB">
            <w:pPr>
              <w:pStyle w:val="TableText"/>
              <w:keepNext w:val="0"/>
              <w:widowControl w:val="0"/>
              <w:jc w:val="center"/>
              <w:rPr>
                <w:szCs w:val="18"/>
              </w:rPr>
            </w:pPr>
            <w:r w:rsidRPr="007F787A">
              <w:rPr>
                <w:szCs w:val="18"/>
              </w:rPr>
              <w:t>Gamma</w:t>
            </w:r>
          </w:p>
        </w:tc>
        <w:tc>
          <w:tcPr>
            <w:tcW w:w="1249" w:type="pct"/>
            <w:tcMar>
              <w:left w:w="28" w:type="dxa"/>
              <w:right w:w="28" w:type="dxa"/>
            </w:tcMar>
            <w:vAlign w:val="center"/>
          </w:tcPr>
          <w:p w14:paraId="0D7D5FF1" w14:textId="77777777" w:rsidR="00C90289" w:rsidRPr="007F787A" w:rsidRDefault="001507E1" w:rsidP="00ED70FB">
            <w:pPr>
              <w:pStyle w:val="TableText"/>
              <w:keepNext w:val="0"/>
              <w:widowControl w:val="0"/>
              <w:jc w:val="center"/>
              <w:rPr>
                <w:szCs w:val="18"/>
              </w:rPr>
            </w:pPr>
            <w:r w:rsidRPr="007F787A">
              <w:rPr>
                <w:szCs w:val="18"/>
              </w:rPr>
              <w:t>Appendix</w:t>
            </w:r>
          </w:p>
        </w:tc>
      </w:tr>
      <w:tr w:rsidR="00C90289" w:rsidRPr="007F787A" w14:paraId="4260DC36" w14:textId="77777777" w:rsidTr="003039ED">
        <w:trPr>
          <w:cantSplit/>
          <w:trHeight w:val="170"/>
        </w:trPr>
        <w:tc>
          <w:tcPr>
            <w:tcW w:w="1601" w:type="pct"/>
            <w:tcMar>
              <w:left w:w="28" w:type="dxa"/>
              <w:right w:w="28" w:type="dxa"/>
            </w:tcMar>
            <w:vAlign w:val="center"/>
          </w:tcPr>
          <w:p w14:paraId="41E9A7A6" w14:textId="77777777" w:rsidR="00C90289" w:rsidRPr="007F787A" w:rsidRDefault="00C90289" w:rsidP="00ED70FB">
            <w:pPr>
              <w:keepNext/>
              <w:spacing w:before="40" w:after="40"/>
              <w:ind w:left="284"/>
              <w:rPr>
                <w:rFonts w:ascii="Arial Narrow" w:hAnsi="Arial Narrow" w:cs="Arial"/>
                <w:sz w:val="18"/>
                <w:szCs w:val="18"/>
              </w:rPr>
            </w:pPr>
            <w:r w:rsidRPr="007F787A">
              <w:rPr>
                <w:rFonts w:ascii="Arial Narrow" w:hAnsi="Arial Narrow" w:cs="Arial"/>
                <w:sz w:val="18"/>
                <w:szCs w:val="18"/>
              </w:rPr>
              <w:t>Antidepressant</w:t>
            </w:r>
          </w:p>
        </w:tc>
        <w:tc>
          <w:tcPr>
            <w:tcW w:w="851" w:type="pct"/>
            <w:tcMar>
              <w:left w:w="28" w:type="dxa"/>
              <w:right w:w="28" w:type="dxa"/>
            </w:tcMar>
            <w:vAlign w:val="center"/>
          </w:tcPr>
          <w:p w14:paraId="3BD151F6" w14:textId="77777777" w:rsidR="00C90289" w:rsidRPr="007F787A" w:rsidRDefault="00C90289" w:rsidP="00ED70FB">
            <w:pPr>
              <w:keepNext/>
              <w:spacing w:before="40" w:after="40"/>
              <w:ind w:left="0"/>
              <w:jc w:val="center"/>
              <w:rPr>
                <w:rFonts w:ascii="Arial Narrow" w:hAnsi="Arial Narrow" w:cs="Arial"/>
                <w:sz w:val="18"/>
                <w:szCs w:val="18"/>
              </w:rPr>
            </w:pPr>
            <w:r w:rsidRPr="007F787A">
              <w:rPr>
                <w:rFonts w:ascii="Arial Narrow" w:hAnsi="Arial Narrow" w:cs="Arial"/>
                <w:sz w:val="18"/>
                <w:szCs w:val="18"/>
              </w:rPr>
              <w:t>$81</w:t>
            </w:r>
          </w:p>
        </w:tc>
        <w:tc>
          <w:tcPr>
            <w:tcW w:w="365" w:type="pct"/>
            <w:tcMar>
              <w:left w:w="28" w:type="dxa"/>
              <w:right w:w="28" w:type="dxa"/>
            </w:tcMar>
            <w:vAlign w:val="center"/>
          </w:tcPr>
          <w:p w14:paraId="68422F38" w14:textId="77777777" w:rsidR="00C90289" w:rsidRPr="007F787A" w:rsidRDefault="00C90289" w:rsidP="00ED70FB">
            <w:pPr>
              <w:keepNext/>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403" w:type="pct"/>
            <w:tcMar>
              <w:left w:w="28" w:type="dxa"/>
              <w:right w:w="28" w:type="dxa"/>
            </w:tcMar>
            <w:vAlign w:val="center"/>
          </w:tcPr>
          <w:p w14:paraId="4E1A63EA" w14:textId="77777777" w:rsidR="00C90289" w:rsidRPr="007F787A" w:rsidRDefault="00C90289" w:rsidP="00ED70FB">
            <w:pPr>
              <w:keepNext/>
              <w:spacing w:before="40" w:after="40"/>
              <w:ind w:left="0"/>
              <w:jc w:val="center"/>
              <w:rPr>
                <w:rFonts w:ascii="Arial Narrow" w:hAnsi="Arial Narrow" w:cs="Arial"/>
                <w:sz w:val="18"/>
                <w:szCs w:val="18"/>
              </w:rPr>
            </w:pPr>
            <w:r w:rsidRPr="007F787A">
              <w:rPr>
                <w:rFonts w:ascii="Arial Narrow" w:hAnsi="Arial Narrow" w:cs="Arial"/>
                <w:sz w:val="18"/>
                <w:szCs w:val="18"/>
              </w:rPr>
              <w:t>-</w:t>
            </w:r>
          </w:p>
        </w:tc>
        <w:tc>
          <w:tcPr>
            <w:tcW w:w="531" w:type="pct"/>
            <w:tcMar>
              <w:left w:w="28" w:type="dxa"/>
              <w:right w:w="28" w:type="dxa"/>
            </w:tcMar>
            <w:vAlign w:val="center"/>
          </w:tcPr>
          <w:p w14:paraId="6577E96A" w14:textId="77777777" w:rsidR="00C90289" w:rsidRPr="007F787A" w:rsidRDefault="00C90289" w:rsidP="00ED70FB">
            <w:pPr>
              <w:pStyle w:val="TableText"/>
              <w:jc w:val="center"/>
              <w:rPr>
                <w:szCs w:val="18"/>
              </w:rPr>
            </w:pPr>
            <w:r w:rsidRPr="007F787A">
              <w:rPr>
                <w:szCs w:val="18"/>
              </w:rPr>
              <w:t>Gamma</w:t>
            </w:r>
          </w:p>
        </w:tc>
        <w:tc>
          <w:tcPr>
            <w:tcW w:w="1249" w:type="pct"/>
            <w:tcMar>
              <w:left w:w="28" w:type="dxa"/>
              <w:right w:w="28" w:type="dxa"/>
            </w:tcMar>
            <w:vAlign w:val="center"/>
          </w:tcPr>
          <w:p w14:paraId="44426671" w14:textId="77777777" w:rsidR="00C90289" w:rsidRPr="007F787A" w:rsidRDefault="001507E1" w:rsidP="00ED70FB">
            <w:pPr>
              <w:pStyle w:val="TableText"/>
              <w:jc w:val="center"/>
              <w:rPr>
                <w:szCs w:val="18"/>
              </w:rPr>
            </w:pPr>
            <w:r w:rsidRPr="007F787A">
              <w:rPr>
                <w:szCs w:val="18"/>
              </w:rPr>
              <w:t>Appendix</w:t>
            </w:r>
          </w:p>
        </w:tc>
      </w:tr>
    </w:tbl>
    <w:p w14:paraId="18ECD152" w14:textId="77777777" w:rsidR="004413C9" w:rsidRDefault="004413C9" w:rsidP="00ED70FB">
      <w:pPr>
        <w:keepNext/>
        <w:spacing w:before="40" w:after="40"/>
        <w:ind w:left="709"/>
        <w:rPr>
          <w:rFonts w:ascii="Arial Narrow" w:hAnsi="Arial Narrow"/>
          <w:sz w:val="18"/>
          <w:szCs w:val="18"/>
        </w:rPr>
      </w:pPr>
      <w:r w:rsidRPr="004413C9">
        <w:rPr>
          <w:rFonts w:ascii="Arial Narrow" w:hAnsi="Arial Narrow"/>
          <w:sz w:val="18"/>
          <w:szCs w:val="18"/>
        </w:rPr>
        <w:t>Source:</w:t>
      </w:r>
      <w:r>
        <w:rPr>
          <w:rFonts w:ascii="Arial Narrow" w:hAnsi="Arial Narrow"/>
          <w:sz w:val="18"/>
          <w:szCs w:val="18"/>
        </w:rPr>
        <w:t xml:space="preserve"> rTMS Section D working table.xlsx</w:t>
      </w:r>
    </w:p>
    <w:p w14:paraId="5026F820" w14:textId="77777777" w:rsidR="00C90289" w:rsidRDefault="00C90289" w:rsidP="00ED70FB">
      <w:pPr>
        <w:keepNext/>
        <w:spacing w:before="40" w:after="40"/>
        <w:ind w:left="709"/>
        <w:jc w:val="both"/>
        <w:rPr>
          <w:rFonts w:ascii="Arial Narrow" w:hAnsi="Arial Narrow"/>
          <w:sz w:val="18"/>
          <w:szCs w:val="18"/>
        </w:rPr>
      </w:pPr>
      <w:r>
        <w:rPr>
          <w:rFonts w:ascii="Arial Narrow" w:hAnsi="Arial Narrow"/>
          <w:sz w:val="18"/>
          <w:szCs w:val="18"/>
        </w:rPr>
        <w:t xml:space="preserve">ECT = Electroconvulsive therapy; rTMS = repetitive Transcranial Magnetic Stimulation; </w:t>
      </w:r>
    </w:p>
    <w:p w14:paraId="0209CC74" w14:textId="77777777" w:rsidR="00C90289" w:rsidRPr="007A3B82" w:rsidRDefault="001507E1" w:rsidP="00ED70FB">
      <w:pPr>
        <w:pStyle w:val="TableText"/>
        <w:ind w:left="709"/>
      </w:pPr>
      <w:r w:rsidRPr="001507E1">
        <w:rPr>
          <w:vertAlign w:val="superscript"/>
        </w:rPr>
        <w:t>1</w:t>
      </w:r>
      <w:r>
        <w:t xml:space="preserve"> </w:t>
      </w:r>
      <w:r w:rsidR="00C90289" w:rsidRPr="007A3B82">
        <w:t>First treatment after failing two adequate course of antidepressants (third line treatment); equivalent to Level 3 in STAR*D study (Rush 2006)</w:t>
      </w:r>
    </w:p>
    <w:p w14:paraId="4CF53609" w14:textId="77777777" w:rsidR="004F691A" w:rsidRDefault="001507E1" w:rsidP="00ED70FB">
      <w:pPr>
        <w:pStyle w:val="TableText"/>
        <w:ind w:left="709"/>
      </w:pPr>
      <w:r>
        <w:rPr>
          <w:vertAlign w:val="superscript"/>
        </w:rPr>
        <w:t xml:space="preserve">2 </w:t>
      </w:r>
      <w:r w:rsidR="00C90289" w:rsidRPr="007A3B82">
        <w:t>Dose here refers to per session of treatment.</w:t>
      </w:r>
    </w:p>
    <w:p w14:paraId="7626E470" w14:textId="77777777" w:rsidR="00140741" w:rsidRDefault="00140741" w:rsidP="00404A6E">
      <w:pPr>
        <w:pStyle w:val="Heading4"/>
      </w:pPr>
      <w:r>
        <w:t>Base case and sensitivity analyses</w:t>
      </w:r>
    </w:p>
    <w:p w14:paraId="78FD9805" w14:textId="3E2D6714" w:rsidR="00140741" w:rsidRDefault="00140741" w:rsidP="001507E1">
      <w:pPr>
        <w:jc w:val="both"/>
      </w:pPr>
      <w:r>
        <w:t>A micro-simulation was performed with 50,000 trials to achieve stable results. The costs and QALYs were averaged to produce mean o</w:t>
      </w:r>
      <w:r w:rsidR="001507E1">
        <w:t xml:space="preserve">utcomes for each treatment arm. </w:t>
      </w:r>
      <w:r>
        <w:t xml:space="preserve">Sensitivity analyses were undertaken as </w:t>
      </w:r>
      <w:r w:rsidR="004F691A">
        <w:t xml:space="preserve">these are standard practice and </w:t>
      </w:r>
      <w:r>
        <w:t xml:space="preserve">warranted by the </w:t>
      </w:r>
      <w:r w:rsidR="00BE41D5">
        <w:t>numer</w:t>
      </w:r>
      <w:r w:rsidR="004F691A">
        <w:t>ous</w:t>
      </w:r>
      <w:r>
        <w:t xml:space="preserve"> assumptions made in the data parameters.  One-way sensitivity analyses were undertaken for selected var</w:t>
      </w:r>
      <w:r w:rsidR="00186811">
        <w:t>iables using either t</w:t>
      </w:r>
      <w:r>
        <w:t xml:space="preserve">he 95% confidence intervals for the high and low values, where available, or </w:t>
      </w:r>
      <w:r w:rsidR="00186811">
        <w:t>e</w:t>
      </w:r>
      <w:r>
        <w:t xml:space="preserve">stimates assigned to reflect wide variation in the base value, or </w:t>
      </w:r>
      <w:r w:rsidR="00186811">
        <w:t>d</w:t>
      </w:r>
      <w:r>
        <w:t xml:space="preserve">istributions assumed to approximate the variation of the variable (beta distribution for utilities and gamma distribution for cost). </w:t>
      </w:r>
    </w:p>
    <w:p w14:paraId="33BDE1C4" w14:textId="3B24C2F4" w:rsidR="00140741" w:rsidRDefault="00140741" w:rsidP="00186811">
      <w:r w:rsidRPr="00B012A7">
        <w:lastRenderedPageBreak/>
        <w:t xml:space="preserve">The results of the economic model are presented in </w:t>
      </w:r>
      <w:r w:rsidR="009A71BE">
        <w:fldChar w:fldCharType="begin"/>
      </w:r>
      <w:r w:rsidR="009A71BE">
        <w:instrText xml:space="preserve"> REF _Ref386032082 \h  \* MERGEFORMAT </w:instrText>
      </w:r>
      <w:r w:rsidR="009A71BE">
        <w:fldChar w:fldCharType="separate"/>
      </w:r>
      <w:r w:rsidR="004C1C27" w:rsidRPr="00632D26">
        <w:t xml:space="preserve">Table </w:t>
      </w:r>
      <w:r w:rsidR="004C1C27">
        <w:t>4</w:t>
      </w:r>
      <w:r w:rsidR="009A71BE">
        <w:fldChar w:fldCharType="end"/>
      </w:r>
      <w:r w:rsidR="009A71BE">
        <w:t xml:space="preserve"> to </w:t>
      </w:r>
      <w:r w:rsidR="009A71BE">
        <w:fldChar w:fldCharType="begin"/>
      </w:r>
      <w:r w:rsidR="009A71BE">
        <w:instrText xml:space="preserve"> REF _Ref386032084 \h  \* MERGEFORMAT </w:instrText>
      </w:r>
      <w:r w:rsidR="009A71BE">
        <w:fldChar w:fldCharType="separate"/>
      </w:r>
      <w:r w:rsidR="004C1C27" w:rsidRPr="00632D26">
        <w:t xml:space="preserve">Table </w:t>
      </w:r>
      <w:r w:rsidR="004C1C27">
        <w:rPr>
          <w:noProof/>
        </w:rPr>
        <w:t>6</w:t>
      </w:r>
      <w:r w:rsidR="009A71BE">
        <w:fldChar w:fldCharType="end"/>
      </w:r>
      <w:r w:rsidR="009A71BE">
        <w:t xml:space="preserve">. </w:t>
      </w:r>
    </w:p>
    <w:p w14:paraId="168AF00D" w14:textId="2052D1F9" w:rsidR="009E57CE" w:rsidRDefault="001507E1" w:rsidP="00ED70FB">
      <w:pPr>
        <w:pStyle w:val="TableName"/>
      </w:pPr>
      <w:bookmarkStart w:id="154" w:name="_Ref386032082"/>
      <w:bookmarkStart w:id="155" w:name="_Toc389140547"/>
      <w:bookmarkStart w:id="156" w:name="_Toc389142166"/>
      <w:bookmarkStart w:id="157" w:name="_Toc389143589"/>
      <w:r w:rsidRPr="00632D26">
        <w:t xml:space="preserve">Table </w:t>
      </w:r>
      <w:r w:rsidR="004C1C27">
        <w:fldChar w:fldCharType="begin"/>
      </w:r>
      <w:r w:rsidR="004C1C27">
        <w:instrText xml:space="preserve"> SEQ Table </w:instrText>
      </w:r>
      <w:r w:rsidR="004C1C27">
        <w:instrText xml:space="preserve">\* ARABIC </w:instrText>
      </w:r>
      <w:r w:rsidR="004C1C27">
        <w:fldChar w:fldCharType="separate"/>
      </w:r>
      <w:r w:rsidR="004C1C27">
        <w:rPr>
          <w:noProof/>
        </w:rPr>
        <w:t>4</w:t>
      </w:r>
      <w:r w:rsidR="004C1C27">
        <w:rPr>
          <w:noProof/>
        </w:rPr>
        <w:fldChar w:fldCharType="end"/>
      </w:r>
      <w:bookmarkEnd w:id="154"/>
      <w:r w:rsidRPr="00632D26">
        <w:t xml:space="preserve">: </w:t>
      </w:r>
      <w:r w:rsidR="009E57CE">
        <w:t>Key economic evaluation findings (3 year duration)</w:t>
      </w:r>
      <w:bookmarkEnd w:id="155"/>
      <w:bookmarkEnd w:id="156"/>
      <w:bookmarkEnd w:id="157"/>
    </w:p>
    <w:tbl>
      <w:tblPr>
        <w:tblStyle w:val="TableGrid"/>
        <w:tblW w:w="0" w:type="auto"/>
        <w:tblInd w:w="817" w:type="dxa"/>
        <w:tblLook w:val="04A0" w:firstRow="1" w:lastRow="0" w:firstColumn="1" w:lastColumn="0" w:noHBand="0" w:noVBand="1"/>
        <w:tblCaption w:val="Key economic evaluatlion findings"/>
      </w:tblPr>
      <w:tblGrid>
        <w:gridCol w:w="1323"/>
        <w:gridCol w:w="1420"/>
        <w:gridCol w:w="1420"/>
        <w:gridCol w:w="1420"/>
        <w:gridCol w:w="1421"/>
        <w:gridCol w:w="1421"/>
      </w:tblGrid>
      <w:tr w:rsidR="009E57CE" w14:paraId="72CADF07" w14:textId="77777777" w:rsidTr="00194AED">
        <w:trPr>
          <w:cantSplit/>
          <w:tblHeader/>
        </w:trPr>
        <w:tc>
          <w:tcPr>
            <w:tcW w:w="1323" w:type="dxa"/>
          </w:tcPr>
          <w:p w14:paraId="6B27E003" w14:textId="77777777" w:rsidR="009E57CE" w:rsidRPr="001D6431" w:rsidRDefault="009E57CE" w:rsidP="00ED70FB">
            <w:pPr>
              <w:pStyle w:val="TableText"/>
              <w:rPr>
                <w:b/>
              </w:rPr>
            </w:pPr>
            <w:r w:rsidRPr="001D6431">
              <w:rPr>
                <w:b/>
              </w:rPr>
              <w:t>Strategy</w:t>
            </w:r>
          </w:p>
        </w:tc>
        <w:tc>
          <w:tcPr>
            <w:tcW w:w="1420" w:type="dxa"/>
          </w:tcPr>
          <w:p w14:paraId="73C9C341" w14:textId="77777777" w:rsidR="009E57CE" w:rsidRPr="001D6431" w:rsidRDefault="009E57CE" w:rsidP="00ED70FB">
            <w:pPr>
              <w:pStyle w:val="TableText"/>
              <w:jc w:val="center"/>
              <w:rPr>
                <w:b/>
              </w:rPr>
            </w:pPr>
            <w:r>
              <w:rPr>
                <w:b/>
              </w:rPr>
              <w:t xml:space="preserve">Mean </w:t>
            </w:r>
            <w:r w:rsidRPr="001D6431">
              <w:rPr>
                <w:b/>
              </w:rPr>
              <w:t>Costs</w:t>
            </w:r>
          </w:p>
        </w:tc>
        <w:tc>
          <w:tcPr>
            <w:tcW w:w="1420" w:type="dxa"/>
          </w:tcPr>
          <w:p w14:paraId="1E5491AC" w14:textId="77777777" w:rsidR="009E57CE" w:rsidRPr="001D6431" w:rsidRDefault="009E57CE" w:rsidP="00ED70FB">
            <w:pPr>
              <w:pStyle w:val="TableText"/>
              <w:jc w:val="center"/>
              <w:rPr>
                <w:b/>
              </w:rPr>
            </w:pPr>
            <w:r>
              <w:rPr>
                <w:b/>
              </w:rPr>
              <w:t xml:space="preserve">Mean </w:t>
            </w:r>
            <w:r w:rsidRPr="001D6431">
              <w:rPr>
                <w:b/>
              </w:rPr>
              <w:t>QALYs</w:t>
            </w:r>
          </w:p>
        </w:tc>
        <w:tc>
          <w:tcPr>
            <w:tcW w:w="1420" w:type="dxa"/>
            <w:vAlign w:val="center"/>
          </w:tcPr>
          <w:p w14:paraId="2D652D1B" w14:textId="77777777" w:rsidR="009E57CE" w:rsidRPr="00112D81" w:rsidRDefault="009E57CE" w:rsidP="00ED70FB">
            <w:pPr>
              <w:pStyle w:val="TableText"/>
              <w:jc w:val="center"/>
              <w:rPr>
                <w:rFonts w:eastAsiaTheme="minorHAnsi" w:cs="Arial Narrow"/>
                <w:b/>
                <w:bCs/>
                <w:szCs w:val="18"/>
              </w:rPr>
            </w:pPr>
            <w:r w:rsidRPr="00112D81">
              <w:rPr>
                <w:rFonts w:eastAsiaTheme="minorHAnsi" w:cs="Arial Narrow"/>
                <w:b/>
                <w:bCs/>
                <w:szCs w:val="18"/>
              </w:rPr>
              <w:sym w:font="Symbol" w:char="F044"/>
            </w:r>
            <w:r w:rsidRPr="00112D81">
              <w:rPr>
                <w:rFonts w:eastAsiaTheme="minorHAnsi" w:cs="Arial Narrow"/>
                <w:b/>
                <w:bCs/>
                <w:szCs w:val="18"/>
              </w:rPr>
              <w:t>Cost</w:t>
            </w:r>
          </w:p>
        </w:tc>
        <w:tc>
          <w:tcPr>
            <w:tcW w:w="1421" w:type="dxa"/>
            <w:vAlign w:val="center"/>
          </w:tcPr>
          <w:p w14:paraId="1D803270" w14:textId="77777777" w:rsidR="009E57CE" w:rsidRPr="00112D81" w:rsidRDefault="009E57CE" w:rsidP="00ED70FB">
            <w:pPr>
              <w:pStyle w:val="TableText"/>
              <w:jc w:val="center"/>
              <w:rPr>
                <w:rFonts w:eastAsiaTheme="minorHAnsi" w:cs="Arial Narrow"/>
                <w:b/>
                <w:bCs/>
                <w:szCs w:val="18"/>
              </w:rPr>
            </w:pPr>
            <w:r w:rsidRPr="00112D81">
              <w:rPr>
                <w:rFonts w:eastAsiaTheme="minorHAnsi" w:cs="Arial Narrow"/>
                <w:b/>
                <w:bCs/>
                <w:szCs w:val="18"/>
              </w:rPr>
              <w:sym w:font="Symbol" w:char="F044"/>
            </w:r>
            <w:r w:rsidRPr="00112D81">
              <w:rPr>
                <w:rFonts w:eastAsiaTheme="minorHAnsi" w:cs="Arial Narrow"/>
                <w:b/>
                <w:bCs/>
                <w:szCs w:val="18"/>
              </w:rPr>
              <w:t>QALY</w:t>
            </w:r>
          </w:p>
        </w:tc>
        <w:tc>
          <w:tcPr>
            <w:tcW w:w="1421" w:type="dxa"/>
            <w:vAlign w:val="center"/>
          </w:tcPr>
          <w:p w14:paraId="5A1BAD0E" w14:textId="77777777" w:rsidR="009E57CE" w:rsidRPr="00112D81" w:rsidRDefault="009E57CE" w:rsidP="00ED70FB">
            <w:pPr>
              <w:pStyle w:val="TableText"/>
              <w:jc w:val="center"/>
              <w:rPr>
                <w:rFonts w:eastAsiaTheme="minorHAnsi" w:cs="Arial Narrow"/>
                <w:b/>
                <w:bCs/>
                <w:szCs w:val="18"/>
              </w:rPr>
            </w:pPr>
            <w:r w:rsidRPr="00112D81">
              <w:rPr>
                <w:rFonts w:eastAsiaTheme="minorHAnsi" w:cs="Arial Narrow"/>
                <w:b/>
                <w:bCs/>
                <w:szCs w:val="18"/>
              </w:rPr>
              <w:t>ICER</w:t>
            </w:r>
          </w:p>
        </w:tc>
      </w:tr>
      <w:tr w:rsidR="009E57CE" w14:paraId="58A56483" w14:textId="77777777" w:rsidTr="009A71BE">
        <w:tc>
          <w:tcPr>
            <w:tcW w:w="1323" w:type="dxa"/>
          </w:tcPr>
          <w:p w14:paraId="6BDB13CA" w14:textId="77777777" w:rsidR="009E57CE" w:rsidRDefault="009E57CE" w:rsidP="00ED70FB">
            <w:pPr>
              <w:pStyle w:val="TableText"/>
            </w:pPr>
            <w:r>
              <w:t>rTMS</w:t>
            </w:r>
          </w:p>
        </w:tc>
        <w:tc>
          <w:tcPr>
            <w:tcW w:w="1420" w:type="dxa"/>
          </w:tcPr>
          <w:p w14:paraId="4E931D26" w14:textId="77777777" w:rsidR="009E57CE" w:rsidRDefault="009E57CE" w:rsidP="00ED70FB">
            <w:pPr>
              <w:pStyle w:val="TableText"/>
              <w:jc w:val="center"/>
            </w:pPr>
            <w:r>
              <w:t>$29,670</w:t>
            </w:r>
          </w:p>
        </w:tc>
        <w:tc>
          <w:tcPr>
            <w:tcW w:w="1420" w:type="dxa"/>
          </w:tcPr>
          <w:p w14:paraId="7CD222E0" w14:textId="77777777" w:rsidR="009E57CE" w:rsidRDefault="009E57CE" w:rsidP="00ED70FB">
            <w:pPr>
              <w:pStyle w:val="TableText"/>
              <w:jc w:val="center"/>
            </w:pPr>
            <w:r>
              <w:t>1.250</w:t>
            </w:r>
          </w:p>
        </w:tc>
        <w:tc>
          <w:tcPr>
            <w:tcW w:w="1420" w:type="dxa"/>
          </w:tcPr>
          <w:p w14:paraId="2490F70B" w14:textId="77777777" w:rsidR="009E57CE" w:rsidRDefault="009E57CE" w:rsidP="00ED70FB">
            <w:pPr>
              <w:pStyle w:val="TableText"/>
              <w:jc w:val="center"/>
            </w:pPr>
            <w:r>
              <w:t>referent</w:t>
            </w:r>
          </w:p>
        </w:tc>
        <w:tc>
          <w:tcPr>
            <w:tcW w:w="1421" w:type="dxa"/>
          </w:tcPr>
          <w:p w14:paraId="68622AA6" w14:textId="77777777" w:rsidR="009E57CE" w:rsidRDefault="009E57CE" w:rsidP="00ED70FB">
            <w:pPr>
              <w:pStyle w:val="TableText"/>
              <w:jc w:val="center"/>
            </w:pPr>
            <w:r>
              <w:t>referent</w:t>
            </w:r>
          </w:p>
        </w:tc>
        <w:tc>
          <w:tcPr>
            <w:tcW w:w="1421" w:type="dxa"/>
          </w:tcPr>
          <w:p w14:paraId="190B115A" w14:textId="77777777" w:rsidR="009E57CE" w:rsidRDefault="009E57CE" w:rsidP="00ED70FB">
            <w:pPr>
              <w:pStyle w:val="TableText"/>
              <w:jc w:val="center"/>
            </w:pPr>
            <w:r>
              <w:t>referent</w:t>
            </w:r>
          </w:p>
        </w:tc>
      </w:tr>
      <w:tr w:rsidR="009E57CE" w14:paraId="0541987C" w14:textId="77777777" w:rsidTr="009A71BE">
        <w:tc>
          <w:tcPr>
            <w:tcW w:w="1323" w:type="dxa"/>
          </w:tcPr>
          <w:p w14:paraId="5C0DE5FB" w14:textId="77777777" w:rsidR="009E57CE" w:rsidRDefault="009E57CE" w:rsidP="00ED70FB">
            <w:pPr>
              <w:pStyle w:val="TableText"/>
            </w:pPr>
            <w:r>
              <w:t>Antidepressants</w:t>
            </w:r>
          </w:p>
        </w:tc>
        <w:tc>
          <w:tcPr>
            <w:tcW w:w="1420" w:type="dxa"/>
          </w:tcPr>
          <w:p w14:paraId="1C3CB9B5" w14:textId="77777777" w:rsidR="009E57CE" w:rsidRDefault="009E57CE" w:rsidP="00ED70FB">
            <w:pPr>
              <w:pStyle w:val="TableText"/>
              <w:jc w:val="center"/>
            </w:pPr>
            <w:r>
              <w:t>$31,330</w:t>
            </w:r>
          </w:p>
        </w:tc>
        <w:tc>
          <w:tcPr>
            <w:tcW w:w="1420" w:type="dxa"/>
          </w:tcPr>
          <w:p w14:paraId="60AD2154" w14:textId="77777777" w:rsidR="009E57CE" w:rsidRDefault="009E57CE" w:rsidP="00ED70FB">
            <w:pPr>
              <w:pStyle w:val="TableText"/>
              <w:jc w:val="center"/>
            </w:pPr>
            <w:r>
              <w:t>1.180</w:t>
            </w:r>
          </w:p>
        </w:tc>
        <w:tc>
          <w:tcPr>
            <w:tcW w:w="1420" w:type="dxa"/>
          </w:tcPr>
          <w:p w14:paraId="6CE485C7" w14:textId="77777777" w:rsidR="009E57CE" w:rsidRDefault="009E57CE" w:rsidP="00ED70FB">
            <w:pPr>
              <w:pStyle w:val="TableText"/>
              <w:jc w:val="center"/>
            </w:pPr>
            <w:r>
              <w:t>-$1,660</w:t>
            </w:r>
          </w:p>
        </w:tc>
        <w:tc>
          <w:tcPr>
            <w:tcW w:w="1421" w:type="dxa"/>
          </w:tcPr>
          <w:p w14:paraId="15ED2393" w14:textId="77777777" w:rsidR="009E57CE" w:rsidRDefault="009E57CE" w:rsidP="00ED70FB">
            <w:pPr>
              <w:pStyle w:val="TableText"/>
              <w:jc w:val="center"/>
            </w:pPr>
            <w:r>
              <w:t>0.070</w:t>
            </w:r>
          </w:p>
        </w:tc>
        <w:tc>
          <w:tcPr>
            <w:tcW w:w="1421" w:type="dxa"/>
          </w:tcPr>
          <w:p w14:paraId="457A70AE" w14:textId="77777777" w:rsidR="009E57CE" w:rsidRDefault="009E57CE" w:rsidP="00ED70FB">
            <w:pPr>
              <w:pStyle w:val="TableText"/>
              <w:jc w:val="center"/>
            </w:pPr>
            <w:r>
              <w:t>rTMS dominant</w:t>
            </w:r>
          </w:p>
        </w:tc>
      </w:tr>
      <w:tr w:rsidR="009E57CE" w14:paraId="1D19B1F2" w14:textId="77777777" w:rsidTr="009A71BE">
        <w:tc>
          <w:tcPr>
            <w:tcW w:w="1323" w:type="dxa"/>
          </w:tcPr>
          <w:p w14:paraId="40837549" w14:textId="77777777" w:rsidR="009E57CE" w:rsidRDefault="009E57CE" w:rsidP="00ED70FB">
            <w:pPr>
              <w:pStyle w:val="TableText"/>
            </w:pPr>
            <w:r>
              <w:t>ECT</w:t>
            </w:r>
          </w:p>
        </w:tc>
        <w:tc>
          <w:tcPr>
            <w:tcW w:w="1420" w:type="dxa"/>
          </w:tcPr>
          <w:p w14:paraId="0E3739C1" w14:textId="77777777" w:rsidR="009E57CE" w:rsidRDefault="009E57CE" w:rsidP="00ED70FB">
            <w:pPr>
              <w:pStyle w:val="TableText"/>
              <w:jc w:val="center"/>
            </w:pPr>
            <w:r>
              <w:t>$31,260</w:t>
            </w:r>
          </w:p>
        </w:tc>
        <w:tc>
          <w:tcPr>
            <w:tcW w:w="1420" w:type="dxa"/>
          </w:tcPr>
          <w:p w14:paraId="77AF587B" w14:textId="77777777" w:rsidR="009E57CE" w:rsidRDefault="009E57CE" w:rsidP="00ED70FB">
            <w:pPr>
              <w:pStyle w:val="TableText"/>
              <w:jc w:val="center"/>
            </w:pPr>
            <w:r>
              <w:t>1.280</w:t>
            </w:r>
          </w:p>
        </w:tc>
        <w:tc>
          <w:tcPr>
            <w:tcW w:w="1420" w:type="dxa"/>
          </w:tcPr>
          <w:p w14:paraId="1CE26FCE" w14:textId="77777777" w:rsidR="009E57CE" w:rsidRDefault="009E57CE" w:rsidP="00ED70FB">
            <w:pPr>
              <w:pStyle w:val="TableText"/>
              <w:jc w:val="center"/>
            </w:pPr>
            <w:r>
              <w:t>-$1,591</w:t>
            </w:r>
          </w:p>
        </w:tc>
        <w:tc>
          <w:tcPr>
            <w:tcW w:w="1421" w:type="dxa"/>
          </w:tcPr>
          <w:p w14:paraId="35E7F4E6" w14:textId="77777777" w:rsidR="009E57CE" w:rsidRDefault="009E57CE" w:rsidP="00ED70FB">
            <w:pPr>
              <w:pStyle w:val="TableText"/>
              <w:jc w:val="center"/>
            </w:pPr>
            <w:r>
              <w:t>-0.030</w:t>
            </w:r>
          </w:p>
        </w:tc>
        <w:tc>
          <w:tcPr>
            <w:tcW w:w="1421" w:type="dxa"/>
          </w:tcPr>
          <w:p w14:paraId="1EAAE4D6" w14:textId="77777777" w:rsidR="009E57CE" w:rsidRDefault="009E57CE" w:rsidP="00ED70FB">
            <w:pPr>
              <w:pStyle w:val="TableText"/>
              <w:jc w:val="center"/>
            </w:pPr>
            <w:r>
              <w:t>$75,844</w:t>
            </w:r>
          </w:p>
        </w:tc>
      </w:tr>
    </w:tbl>
    <w:p w14:paraId="7DCC6056" w14:textId="77777777" w:rsidR="004413C9" w:rsidRDefault="004413C9" w:rsidP="00ED70FB">
      <w:pPr>
        <w:keepNext/>
        <w:spacing w:before="40" w:after="40"/>
        <w:ind w:left="709"/>
        <w:rPr>
          <w:rFonts w:ascii="Arial Narrow" w:hAnsi="Arial Narrow"/>
          <w:sz w:val="18"/>
          <w:szCs w:val="18"/>
        </w:rPr>
      </w:pPr>
      <w:r w:rsidRPr="004413C9">
        <w:rPr>
          <w:rFonts w:ascii="Arial Narrow" w:hAnsi="Arial Narrow"/>
          <w:sz w:val="18"/>
          <w:szCs w:val="18"/>
        </w:rPr>
        <w:t>Source:</w:t>
      </w:r>
      <w:r>
        <w:rPr>
          <w:rFonts w:ascii="Arial Narrow" w:hAnsi="Arial Narrow"/>
          <w:sz w:val="18"/>
          <w:szCs w:val="18"/>
        </w:rPr>
        <w:t xml:space="preserve"> </w:t>
      </w:r>
      <w:r w:rsidRPr="004413C9">
        <w:rPr>
          <w:rFonts w:ascii="Arial Narrow" w:hAnsi="Arial Narrow"/>
          <w:sz w:val="18"/>
          <w:szCs w:val="18"/>
        </w:rPr>
        <w:t>rTMS final results - base case and sensitivity analysis</w:t>
      </w:r>
      <w:r>
        <w:rPr>
          <w:rFonts w:ascii="Arial Narrow" w:hAnsi="Arial Narrow"/>
          <w:sz w:val="18"/>
          <w:szCs w:val="18"/>
        </w:rPr>
        <w:t>.xlsx</w:t>
      </w:r>
    </w:p>
    <w:p w14:paraId="2498B1C3" w14:textId="77777777" w:rsidR="009A71BE" w:rsidRDefault="009E57CE" w:rsidP="00ED70FB">
      <w:pPr>
        <w:keepNext/>
        <w:spacing w:before="40" w:after="40"/>
        <w:rPr>
          <w:rFonts w:ascii="Arial Narrow" w:hAnsi="Arial Narrow"/>
          <w:sz w:val="18"/>
          <w:szCs w:val="18"/>
        </w:rPr>
      </w:pPr>
      <w:r>
        <w:rPr>
          <w:rFonts w:ascii="Arial Narrow" w:hAnsi="Arial Narrow"/>
          <w:sz w:val="18"/>
          <w:szCs w:val="18"/>
        </w:rPr>
        <w:t>ECT = Electroconvulsive therapy; rTMS = repetitive Transcranial Magnetic Stimulation; QALY = quality-adjusted life years; ICER = incremental cost effectiveness ratio</w:t>
      </w:r>
      <w:bookmarkStart w:id="158" w:name="_Ref385405303"/>
    </w:p>
    <w:p w14:paraId="10E85CAF" w14:textId="77777777" w:rsidR="00ED70FB" w:rsidRPr="00404A6E" w:rsidRDefault="00ED70FB" w:rsidP="00ED70FB"/>
    <w:p w14:paraId="3D386D0E" w14:textId="60820B91" w:rsidR="003B7664" w:rsidRPr="003B7664" w:rsidRDefault="001507E1" w:rsidP="004E72DC">
      <w:pPr>
        <w:pStyle w:val="TableName"/>
      </w:pPr>
      <w:bookmarkStart w:id="159" w:name="_Toc386017840"/>
      <w:bookmarkStart w:id="160" w:name="_Toc389140548"/>
      <w:bookmarkStart w:id="161" w:name="_Toc389142167"/>
      <w:bookmarkStart w:id="162" w:name="_Toc389143590"/>
      <w:bookmarkEnd w:id="158"/>
      <w:r w:rsidRPr="00632D26">
        <w:t xml:space="preserve">Table </w:t>
      </w:r>
      <w:r w:rsidR="004C1C27">
        <w:fldChar w:fldCharType="begin"/>
      </w:r>
      <w:r w:rsidR="004C1C27">
        <w:instrText xml:space="preserve"> SE</w:instrText>
      </w:r>
      <w:r w:rsidR="004C1C27">
        <w:instrText xml:space="preserve">Q Table \* ARABIC </w:instrText>
      </w:r>
      <w:r w:rsidR="004C1C27">
        <w:fldChar w:fldCharType="separate"/>
      </w:r>
      <w:r w:rsidR="004C1C27">
        <w:rPr>
          <w:noProof/>
        </w:rPr>
        <w:t>5</w:t>
      </w:r>
      <w:r w:rsidR="004C1C27">
        <w:rPr>
          <w:noProof/>
        </w:rPr>
        <w:fldChar w:fldCharType="end"/>
      </w:r>
      <w:r w:rsidRPr="00632D26">
        <w:t xml:space="preserve">: </w:t>
      </w:r>
      <w:r w:rsidR="003B7664" w:rsidRPr="003B7664">
        <w:t>Results of the economic model – rTMS vs Antidepressants</w:t>
      </w:r>
      <w:bookmarkEnd w:id="159"/>
      <w:bookmarkEnd w:id="160"/>
      <w:bookmarkEnd w:id="161"/>
      <w:bookmarkEnd w:id="162"/>
    </w:p>
    <w:tbl>
      <w:tblPr>
        <w:tblW w:w="4582" w:type="pct"/>
        <w:tblInd w:w="7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Caption w:val="Result of economic model: rTMS vs AntiDep"/>
      </w:tblPr>
      <w:tblGrid>
        <w:gridCol w:w="2398"/>
        <w:gridCol w:w="871"/>
        <w:gridCol w:w="742"/>
        <w:gridCol w:w="874"/>
        <w:gridCol w:w="741"/>
        <w:gridCol w:w="836"/>
        <w:gridCol w:w="856"/>
        <w:gridCol w:w="1005"/>
      </w:tblGrid>
      <w:tr w:rsidR="003B7664" w:rsidRPr="00112D81" w14:paraId="4269BA10" w14:textId="77777777" w:rsidTr="009A71BE">
        <w:trPr>
          <w:cantSplit/>
          <w:trHeight w:val="262"/>
          <w:tblHeader/>
        </w:trPr>
        <w:tc>
          <w:tcPr>
            <w:tcW w:w="1441" w:type="pct"/>
            <w:vMerge w:val="restart"/>
            <w:shd w:val="clear" w:color="auto" w:fill="auto"/>
            <w:tcMar>
              <w:left w:w="28" w:type="dxa"/>
              <w:right w:w="28" w:type="dxa"/>
            </w:tcMar>
            <w:vAlign w:val="center"/>
          </w:tcPr>
          <w:p w14:paraId="38BC96DE" w14:textId="77777777" w:rsidR="003B7664" w:rsidRPr="00112D81" w:rsidRDefault="003B7664" w:rsidP="004E72DC">
            <w:pPr>
              <w:keepNext/>
              <w:autoSpaceDE w:val="0"/>
              <w:autoSpaceDN w:val="0"/>
              <w:adjustRightInd w:val="0"/>
              <w:spacing w:before="40" w:after="40"/>
              <w:ind w:left="0"/>
              <w:jc w:val="right"/>
              <w:rPr>
                <w:rFonts w:ascii="Arial Narrow" w:eastAsiaTheme="minorHAnsi" w:hAnsi="Arial Narrow" w:cs="Arial Narrow"/>
                <w:sz w:val="18"/>
                <w:szCs w:val="18"/>
              </w:rPr>
            </w:pPr>
          </w:p>
        </w:tc>
        <w:tc>
          <w:tcPr>
            <w:tcW w:w="969" w:type="pct"/>
            <w:gridSpan w:val="2"/>
            <w:shd w:val="clear" w:color="auto" w:fill="auto"/>
            <w:tcMar>
              <w:left w:w="28" w:type="dxa"/>
              <w:right w:w="28" w:type="dxa"/>
            </w:tcMar>
            <w:vAlign w:val="center"/>
          </w:tcPr>
          <w:p w14:paraId="35F481E4"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rTMS</w:t>
            </w:r>
          </w:p>
        </w:tc>
        <w:tc>
          <w:tcPr>
            <w:tcW w:w="970" w:type="pct"/>
            <w:gridSpan w:val="2"/>
            <w:shd w:val="clear" w:color="auto" w:fill="auto"/>
            <w:tcMar>
              <w:left w:w="28" w:type="dxa"/>
              <w:right w:w="28" w:type="dxa"/>
            </w:tcMar>
            <w:vAlign w:val="center"/>
          </w:tcPr>
          <w:p w14:paraId="0027C6FF"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AntiDep</w:t>
            </w:r>
          </w:p>
        </w:tc>
        <w:tc>
          <w:tcPr>
            <w:tcW w:w="1620" w:type="pct"/>
            <w:gridSpan w:val="3"/>
            <w:shd w:val="clear" w:color="auto" w:fill="auto"/>
            <w:tcMar>
              <w:left w:w="28" w:type="dxa"/>
              <w:right w:w="28" w:type="dxa"/>
            </w:tcMar>
            <w:vAlign w:val="center"/>
          </w:tcPr>
          <w:p w14:paraId="1109DCD6"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rTMS vs. Antidepressant</w:t>
            </w:r>
          </w:p>
        </w:tc>
      </w:tr>
      <w:tr w:rsidR="003B7664" w:rsidRPr="00112D81" w14:paraId="56046815" w14:textId="77777777" w:rsidTr="004413C9">
        <w:trPr>
          <w:cantSplit/>
          <w:trHeight w:val="262"/>
          <w:tblHeader/>
        </w:trPr>
        <w:tc>
          <w:tcPr>
            <w:tcW w:w="1441" w:type="pct"/>
            <w:vMerge/>
            <w:shd w:val="clear" w:color="auto" w:fill="auto"/>
            <w:tcMar>
              <w:left w:w="28" w:type="dxa"/>
              <w:right w:w="28" w:type="dxa"/>
            </w:tcMar>
            <w:vAlign w:val="center"/>
          </w:tcPr>
          <w:p w14:paraId="6D13C21F" w14:textId="77777777" w:rsidR="003B7664" w:rsidRPr="00112D81" w:rsidRDefault="003B7664" w:rsidP="004E72DC">
            <w:pPr>
              <w:keepNext/>
              <w:autoSpaceDE w:val="0"/>
              <w:autoSpaceDN w:val="0"/>
              <w:adjustRightInd w:val="0"/>
              <w:spacing w:before="40" w:after="40"/>
              <w:ind w:left="0"/>
              <w:rPr>
                <w:rFonts w:ascii="Arial Narrow" w:eastAsiaTheme="minorHAnsi" w:hAnsi="Arial Narrow" w:cs="Arial Narrow"/>
                <w:b/>
                <w:bCs/>
                <w:sz w:val="18"/>
                <w:szCs w:val="18"/>
              </w:rPr>
            </w:pPr>
          </w:p>
        </w:tc>
        <w:tc>
          <w:tcPr>
            <w:tcW w:w="523" w:type="pct"/>
            <w:shd w:val="clear" w:color="auto" w:fill="auto"/>
            <w:tcMar>
              <w:left w:w="28" w:type="dxa"/>
              <w:right w:w="28" w:type="dxa"/>
            </w:tcMar>
            <w:vAlign w:val="center"/>
          </w:tcPr>
          <w:p w14:paraId="2A0B082A"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Cost</w:t>
            </w:r>
          </w:p>
        </w:tc>
        <w:tc>
          <w:tcPr>
            <w:tcW w:w="446" w:type="pct"/>
            <w:shd w:val="clear" w:color="auto" w:fill="auto"/>
            <w:tcMar>
              <w:left w:w="28" w:type="dxa"/>
              <w:right w:w="28" w:type="dxa"/>
            </w:tcMar>
            <w:vAlign w:val="center"/>
          </w:tcPr>
          <w:p w14:paraId="0444F220"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QALY</w:t>
            </w:r>
          </w:p>
        </w:tc>
        <w:tc>
          <w:tcPr>
            <w:tcW w:w="525" w:type="pct"/>
            <w:shd w:val="clear" w:color="auto" w:fill="auto"/>
            <w:tcMar>
              <w:left w:w="28" w:type="dxa"/>
              <w:right w:w="28" w:type="dxa"/>
            </w:tcMar>
            <w:vAlign w:val="center"/>
          </w:tcPr>
          <w:p w14:paraId="6409784F"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Cost</w:t>
            </w:r>
          </w:p>
        </w:tc>
        <w:tc>
          <w:tcPr>
            <w:tcW w:w="445" w:type="pct"/>
            <w:shd w:val="clear" w:color="auto" w:fill="auto"/>
            <w:tcMar>
              <w:left w:w="28" w:type="dxa"/>
              <w:right w:w="28" w:type="dxa"/>
            </w:tcMar>
            <w:vAlign w:val="center"/>
          </w:tcPr>
          <w:p w14:paraId="5A5961DD"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QALY</w:t>
            </w:r>
          </w:p>
        </w:tc>
        <w:tc>
          <w:tcPr>
            <w:tcW w:w="502" w:type="pct"/>
            <w:shd w:val="clear" w:color="auto" w:fill="auto"/>
            <w:tcMar>
              <w:left w:w="28" w:type="dxa"/>
              <w:right w:w="28" w:type="dxa"/>
            </w:tcMar>
            <w:vAlign w:val="center"/>
          </w:tcPr>
          <w:p w14:paraId="320C3C18"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sym w:font="Symbol" w:char="F044"/>
            </w:r>
            <w:r w:rsidRPr="00112D81">
              <w:rPr>
                <w:rFonts w:ascii="Arial Narrow" w:eastAsiaTheme="minorHAnsi" w:hAnsi="Arial Narrow" w:cs="Arial Narrow"/>
                <w:b/>
                <w:bCs/>
                <w:sz w:val="18"/>
                <w:szCs w:val="18"/>
              </w:rPr>
              <w:t>Cost</w:t>
            </w:r>
          </w:p>
        </w:tc>
        <w:tc>
          <w:tcPr>
            <w:tcW w:w="514" w:type="pct"/>
            <w:shd w:val="clear" w:color="auto" w:fill="auto"/>
            <w:tcMar>
              <w:left w:w="28" w:type="dxa"/>
              <w:right w:w="28" w:type="dxa"/>
            </w:tcMar>
            <w:vAlign w:val="center"/>
          </w:tcPr>
          <w:p w14:paraId="1A6A3246"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sym w:font="Symbol" w:char="F044"/>
            </w:r>
            <w:r w:rsidRPr="00112D81">
              <w:rPr>
                <w:rFonts w:ascii="Arial Narrow" w:eastAsiaTheme="minorHAnsi" w:hAnsi="Arial Narrow" w:cs="Arial Narrow"/>
                <w:b/>
                <w:bCs/>
                <w:sz w:val="18"/>
                <w:szCs w:val="18"/>
              </w:rPr>
              <w:t>QALY</w:t>
            </w:r>
          </w:p>
        </w:tc>
        <w:tc>
          <w:tcPr>
            <w:tcW w:w="604" w:type="pct"/>
            <w:shd w:val="clear" w:color="auto" w:fill="auto"/>
            <w:tcMar>
              <w:left w:w="28" w:type="dxa"/>
              <w:right w:w="28" w:type="dxa"/>
            </w:tcMar>
            <w:vAlign w:val="center"/>
          </w:tcPr>
          <w:p w14:paraId="77175AD4"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ICER</w:t>
            </w:r>
          </w:p>
        </w:tc>
      </w:tr>
      <w:tr w:rsidR="003B7664" w:rsidRPr="00112D81" w14:paraId="3295D1CD" w14:textId="77777777" w:rsidTr="009A71BE">
        <w:trPr>
          <w:cantSplit/>
          <w:trHeight w:val="262"/>
          <w:tblHeader/>
        </w:trPr>
        <w:tc>
          <w:tcPr>
            <w:tcW w:w="5000" w:type="pct"/>
            <w:gridSpan w:val="8"/>
            <w:shd w:val="clear" w:color="auto" w:fill="auto"/>
            <w:tcMar>
              <w:left w:w="28" w:type="dxa"/>
              <w:right w:w="28" w:type="dxa"/>
            </w:tcMar>
            <w:vAlign w:val="center"/>
          </w:tcPr>
          <w:p w14:paraId="0219CB38" w14:textId="77777777" w:rsidR="003B7664" w:rsidRPr="00ED70FB" w:rsidRDefault="003B7664" w:rsidP="004E72DC">
            <w:pPr>
              <w:keepNext/>
              <w:autoSpaceDE w:val="0"/>
              <w:autoSpaceDN w:val="0"/>
              <w:adjustRightInd w:val="0"/>
              <w:spacing w:before="40" w:after="40"/>
              <w:ind w:left="0"/>
              <w:rPr>
                <w:rFonts w:ascii="Arial Narrow" w:eastAsiaTheme="minorHAnsi" w:hAnsi="Arial Narrow" w:cs="Arial Narrow"/>
                <w:b/>
                <w:sz w:val="18"/>
                <w:szCs w:val="18"/>
              </w:rPr>
            </w:pPr>
            <w:r w:rsidRPr="00ED70FB">
              <w:rPr>
                <w:rFonts w:ascii="Arial Narrow" w:eastAsiaTheme="minorHAnsi" w:hAnsi="Arial Narrow" w:cs="Arial Narrow"/>
                <w:b/>
                <w:bCs/>
                <w:sz w:val="18"/>
                <w:szCs w:val="18"/>
              </w:rPr>
              <w:t>Base case</w:t>
            </w:r>
          </w:p>
        </w:tc>
      </w:tr>
      <w:tr w:rsidR="003B7664" w:rsidRPr="00112D81" w14:paraId="1B419C20" w14:textId="77777777" w:rsidTr="004413C9">
        <w:trPr>
          <w:cantSplit/>
          <w:trHeight w:val="262"/>
          <w:tblHeader/>
        </w:trPr>
        <w:tc>
          <w:tcPr>
            <w:tcW w:w="1441" w:type="pct"/>
            <w:shd w:val="clear" w:color="auto" w:fill="auto"/>
            <w:tcMar>
              <w:left w:w="28" w:type="dxa"/>
              <w:right w:w="28" w:type="dxa"/>
            </w:tcMar>
            <w:vAlign w:val="center"/>
          </w:tcPr>
          <w:p w14:paraId="389E70A1" w14:textId="77777777" w:rsidR="003B7664" w:rsidRPr="00ED70FB" w:rsidRDefault="003B7664" w:rsidP="004E72DC">
            <w:pPr>
              <w:keepNext/>
              <w:autoSpaceDE w:val="0"/>
              <w:autoSpaceDN w:val="0"/>
              <w:adjustRightInd w:val="0"/>
              <w:spacing w:before="40" w:after="40"/>
              <w:ind w:left="142"/>
              <w:rPr>
                <w:rFonts w:ascii="Arial Narrow" w:eastAsiaTheme="minorHAnsi" w:hAnsi="Arial Narrow" w:cs="Arial Narrow"/>
                <w:b/>
                <w:sz w:val="18"/>
                <w:szCs w:val="18"/>
              </w:rPr>
            </w:pPr>
            <w:r w:rsidRPr="00ED70FB">
              <w:rPr>
                <w:rFonts w:ascii="Arial Narrow" w:eastAsiaTheme="minorHAnsi" w:hAnsi="Arial Narrow" w:cs="Arial Narrow"/>
                <w:b/>
                <w:sz w:val="18"/>
                <w:szCs w:val="18"/>
              </w:rPr>
              <w:t xml:space="preserve">50,000 trials </w:t>
            </w:r>
          </w:p>
        </w:tc>
        <w:tc>
          <w:tcPr>
            <w:tcW w:w="523" w:type="pct"/>
            <w:shd w:val="clear" w:color="auto" w:fill="auto"/>
            <w:tcMar>
              <w:left w:w="28" w:type="dxa"/>
              <w:right w:w="28" w:type="dxa"/>
            </w:tcMar>
            <w:vAlign w:val="center"/>
          </w:tcPr>
          <w:p w14:paraId="3153A216" w14:textId="77777777" w:rsidR="003B7664" w:rsidRPr="00ED70F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D70FB">
              <w:rPr>
                <w:rFonts w:ascii="Arial Narrow" w:eastAsiaTheme="minorHAnsi" w:hAnsi="Arial Narrow" w:cs="Arial Narrow"/>
                <w:b/>
                <w:color w:val="000000"/>
                <w:sz w:val="18"/>
                <w:szCs w:val="18"/>
              </w:rPr>
              <w:t>$29,670</w:t>
            </w:r>
          </w:p>
        </w:tc>
        <w:tc>
          <w:tcPr>
            <w:tcW w:w="446" w:type="pct"/>
            <w:shd w:val="clear" w:color="auto" w:fill="auto"/>
            <w:tcMar>
              <w:left w:w="28" w:type="dxa"/>
              <w:right w:w="28" w:type="dxa"/>
            </w:tcMar>
            <w:vAlign w:val="center"/>
          </w:tcPr>
          <w:p w14:paraId="707DF869" w14:textId="77777777" w:rsidR="003B7664" w:rsidRPr="00ED70F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D70FB">
              <w:rPr>
                <w:rFonts w:ascii="Arial Narrow" w:eastAsiaTheme="minorHAnsi" w:hAnsi="Arial Narrow" w:cs="Arial Narrow"/>
                <w:b/>
                <w:color w:val="000000"/>
                <w:sz w:val="18"/>
                <w:szCs w:val="18"/>
              </w:rPr>
              <w:t xml:space="preserve">1.2500 </w:t>
            </w:r>
          </w:p>
        </w:tc>
        <w:tc>
          <w:tcPr>
            <w:tcW w:w="525" w:type="pct"/>
            <w:shd w:val="clear" w:color="auto" w:fill="auto"/>
            <w:tcMar>
              <w:left w:w="28" w:type="dxa"/>
              <w:right w:w="28" w:type="dxa"/>
            </w:tcMar>
            <w:vAlign w:val="center"/>
          </w:tcPr>
          <w:p w14:paraId="2BAFCCDB" w14:textId="77777777" w:rsidR="003B7664" w:rsidRPr="00ED70F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D70FB">
              <w:rPr>
                <w:rFonts w:ascii="Arial Narrow" w:eastAsiaTheme="minorHAnsi" w:hAnsi="Arial Narrow" w:cs="Arial Narrow"/>
                <w:b/>
                <w:color w:val="000000"/>
                <w:sz w:val="18"/>
                <w:szCs w:val="18"/>
              </w:rPr>
              <w:t>$31,330</w:t>
            </w:r>
          </w:p>
        </w:tc>
        <w:tc>
          <w:tcPr>
            <w:tcW w:w="445" w:type="pct"/>
            <w:shd w:val="clear" w:color="auto" w:fill="auto"/>
            <w:tcMar>
              <w:left w:w="28" w:type="dxa"/>
              <w:right w:w="28" w:type="dxa"/>
            </w:tcMar>
            <w:vAlign w:val="center"/>
          </w:tcPr>
          <w:p w14:paraId="1252B904" w14:textId="77777777" w:rsidR="003B7664" w:rsidRPr="00ED70F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D70FB">
              <w:rPr>
                <w:rFonts w:ascii="Arial Narrow" w:eastAsiaTheme="minorHAnsi" w:hAnsi="Arial Narrow" w:cs="Arial Narrow"/>
                <w:b/>
                <w:color w:val="000000"/>
                <w:sz w:val="18"/>
                <w:szCs w:val="18"/>
              </w:rPr>
              <w:t xml:space="preserve">1.1800 </w:t>
            </w:r>
          </w:p>
        </w:tc>
        <w:tc>
          <w:tcPr>
            <w:tcW w:w="502" w:type="pct"/>
            <w:shd w:val="clear" w:color="auto" w:fill="auto"/>
            <w:tcMar>
              <w:left w:w="28" w:type="dxa"/>
              <w:right w:w="28" w:type="dxa"/>
            </w:tcMar>
            <w:vAlign w:val="center"/>
          </w:tcPr>
          <w:p w14:paraId="0A907E90" w14:textId="77777777" w:rsidR="003B7664" w:rsidRPr="00ED70F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D70FB">
              <w:rPr>
                <w:rFonts w:ascii="Arial Narrow" w:eastAsiaTheme="minorHAnsi" w:hAnsi="Arial Narrow" w:cs="Arial Narrow"/>
                <w:b/>
                <w:color w:val="000000"/>
                <w:sz w:val="18"/>
                <w:szCs w:val="18"/>
              </w:rPr>
              <w:t>-$1,660</w:t>
            </w:r>
          </w:p>
        </w:tc>
        <w:tc>
          <w:tcPr>
            <w:tcW w:w="514" w:type="pct"/>
            <w:shd w:val="clear" w:color="auto" w:fill="auto"/>
            <w:tcMar>
              <w:left w:w="28" w:type="dxa"/>
              <w:right w:w="28" w:type="dxa"/>
            </w:tcMar>
            <w:vAlign w:val="center"/>
          </w:tcPr>
          <w:p w14:paraId="6453FEF3" w14:textId="77777777" w:rsidR="003B7664" w:rsidRPr="00ED70F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D70FB">
              <w:rPr>
                <w:rFonts w:ascii="Arial Narrow" w:eastAsiaTheme="minorHAnsi" w:hAnsi="Arial Narrow" w:cs="Arial Narrow"/>
                <w:b/>
                <w:color w:val="000000"/>
                <w:sz w:val="18"/>
                <w:szCs w:val="18"/>
              </w:rPr>
              <w:t xml:space="preserve">0.0700 </w:t>
            </w:r>
          </w:p>
        </w:tc>
        <w:tc>
          <w:tcPr>
            <w:tcW w:w="604" w:type="pct"/>
            <w:shd w:val="clear" w:color="auto" w:fill="auto"/>
            <w:tcMar>
              <w:left w:w="28" w:type="dxa"/>
              <w:right w:w="28" w:type="dxa"/>
            </w:tcMar>
            <w:vAlign w:val="center"/>
          </w:tcPr>
          <w:p w14:paraId="0568A9AA" w14:textId="77777777" w:rsidR="003B7664" w:rsidRPr="00ED70F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D70FB">
              <w:rPr>
                <w:rFonts w:ascii="Arial Narrow" w:eastAsiaTheme="minorHAnsi" w:hAnsi="Arial Narrow" w:cs="Arial Narrow"/>
                <w:b/>
                <w:color w:val="000000"/>
                <w:sz w:val="18"/>
                <w:szCs w:val="18"/>
              </w:rPr>
              <w:t>Dominant</w:t>
            </w:r>
          </w:p>
        </w:tc>
      </w:tr>
      <w:tr w:rsidR="003B7664" w:rsidRPr="00112D81" w14:paraId="4859438D" w14:textId="77777777" w:rsidTr="009A71BE">
        <w:trPr>
          <w:cantSplit/>
          <w:trHeight w:val="262"/>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14:paraId="3F0F4866" w14:textId="77777777" w:rsidR="003B7664" w:rsidRPr="00112D81" w:rsidRDefault="003B7664" w:rsidP="004E72DC">
            <w:pPr>
              <w:keepNext/>
              <w:autoSpaceDE w:val="0"/>
              <w:autoSpaceDN w:val="0"/>
              <w:adjustRightInd w:val="0"/>
              <w:spacing w:before="40" w:after="40"/>
              <w:ind w:left="0"/>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 xml:space="preserve">One-way sensitivity analyses (selected) </w:t>
            </w:r>
            <w:r w:rsidRPr="00112D81">
              <w:rPr>
                <w:rFonts w:ascii="Arial Narrow" w:eastAsiaTheme="minorHAnsi" w:hAnsi="Arial Narrow" w:cs="Arial Narrow"/>
                <w:b/>
                <w:bCs/>
                <w:sz w:val="18"/>
                <w:szCs w:val="18"/>
                <w:vertAlign w:val="superscript"/>
              </w:rPr>
              <w:t>a</w:t>
            </w:r>
          </w:p>
        </w:tc>
      </w:tr>
      <w:tr w:rsidR="003B7664" w:rsidRPr="00112D81" w14:paraId="2CA297E7" w14:textId="77777777" w:rsidTr="004413C9">
        <w:trPr>
          <w:cantSplit/>
          <w:trHeight w:val="262"/>
        </w:trPr>
        <w:tc>
          <w:tcPr>
            <w:tcW w:w="1441" w:type="pct"/>
            <w:shd w:val="clear" w:color="auto" w:fill="auto"/>
            <w:tcMar>
              <w:left w:w="28" w:type="dxa"/>
              <w:right w:w="28" w:type="dxa"/>
            </w:tcMar>
            <w:vAlign w:val="center"/>
          </w:tcPr>
          <w:p w14:paraId="2381518A" w14:textId="77777777" w:rsidR="003B7664" w:rsidRPr="00112D81" w:rsidRDefault="003B7664" w:rsidP="004E72DC">
            <w:pPr>
              <w:keepNext/>
              <w:autoSpaceDE w:val="0"/>
              <w:autoSpaceDN w:val="0"/>
              <w:adjustRightInd w:val="0"/>
              <w:spacing w:before="40" w:after="40"/>
              <w:ind w:left="142"/>
              <w:rPr>
                <w:rFonts w:ascii="Arial Narrow" w:eastAsiaTheme="minorHAnsi" w:hAnsi="Arial Narrow" w:cs="Arial Narrow"/>
                <w:sz w:val="18"/>
                <w:szCs w:val="18"/>
              </w:rPr>
            </w:pPr>
            <w:r w:rsidRPr="00112D81">
              <w:rPr>
                <w:rFonts w:ascii="Arial Narrow" w:eastAsiaTheme="minorHAnsi" w:hAnsi="Arial Narrow" w:cs="Arial Narrow"/>
                <w:sz w:val="18"/>
                <w:szCs w:val="18"/>
              </w:rPr>
              <w:t>100 samples of 50,000 trials</w:t>
            </w:r>
          </w:p>
        </w:tc>
        <w:tc>
          <w:tcPr>
            <w:tcW w:w="523" w:type="pct"/>
            <w:shd w:val="clear" w:color="auto" w:fill="auto"/>
            <w:tcMar>
              <w:left w:w="28" w:type="dxa"/>
              <w:right w:w="28" w:type="dxa"/>
            </w:tcMar>
            <w:vAlign w:val="center"/>
          </w:tcPr>
          <w:p w14:paraId="3321E264"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$29,675</w:t>
            </w:r>
          </w:p>
        </w:tc>
        <w:tc>
          <w:tcPr>
            <w:tcW w:w="446" w:type="pct"/>
            <w:shd w:val="clear" w:color="auto" w:fill="auto"/>
            <w:tcMar>
              <w:left w:w="28" w:type="dxa"/>
              <w:right w:w="28" w:type="dxa"/>
            </w:tcMar>
            <w:vAlign w:val="center"/>
          </w:tcPr>
          <w:p w14:paraId="35F6E634"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1.2500 </w:t>
            </w:r>
          </w:p>
        </w:tc>
        <w:tc>
          <w:tcPr>
            <w:tcW w:w="525" w:type="pct"/>
            <w:shd w:val="clear" w:color="auto" w:fill="auto"/>
            <w:tcMar>
              <w:left w:w="28" w:type="dxa"/>
              <w:right w:w="28" w:type="dxa"/>
            </w:tcMar>
            <w:vAlign w:val="center"/>
          </w:tcPr>
          <w:p w14:paraId="5BEA247E"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$31,371</w:t>
            </w:r>
          </w:p>
        </w:tc>
        <w:tc>
          <w:tcPr>
            <w:tcW w:w="445" w:type="pct"/>
            <w:shd w:val="clear" w:color="auto" w:fill="auto"/>
            <w:tcMar>
              <w:left w:w="28" w:type="dxa"/>
              <w:right w:w="28" w:type="dxa"/>
            </w:tcMar>
            <w:vAlign w:val="center"/>
          </w:tcPr>
          <w:p w14:paraId="4086DA2D"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1.1800 </w:t>
            </w:r>
          </w:p>
        </w:tc>
        <w:tc>
          <w:tcPr>
            <w:tcW w:w="502" w:type="pct"/>
            <w:shd w:val="clear" w:color="auto" w:fill="auto"/>
            <w:tcMar>
              <w:left w:w="28" w:type="dxa"/>
              <w:right w:w="28" w:type="dxa"/>
            </w:tcMar>
            <w:vAlign w:val="center"/>
          </w:tcPr>
          <w:p w14:paraId="106CD97A"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-$1,696</w:t>
            </w:r>
          </w:p>
        </w:tc>
        <w:tc>
          <w:tcPr>
            <w:tcW w:w="514" w:type="pct"/>
            <w:shd w:val="clear" w:color="auto" w:fill="auto"/>
            <w:tcMar>
              <w:left w:w="28" w:type="dxa"/>
              <w:right w:w="28" w:type="dxa"/>
            </w:tcMar>
            <w:vAlign w:val="center"/>
          </w:tcPr>
          <w:p w14:paraId="3ADFCABA"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0.0700 </w:t>
            </w:r>
          </w:p>
        </w:tc>
        <w:tc>
          <w:tcPr>
            <w:tcW w:w="604" w:type="pct"/>
            <w:shd w:val="clear" w:color="auto" w:fill="auto"/>
            <w:tcMar>
              <w:left w:w="28" w:type="dxa"/>
              <w:right w:w="28" w:type="dxa"/>
            </w:tcMar>
            <w:vAlign w:val="center"/>
          </w:tcPr>
          <w:p w14:paraId="36711E42"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44ABB45B" w14:textId="77777777" w:rsidTr="009A71BE">
        <w:trPr>
          <w:cantSplit/>
          <w:trHeight w:val="262"/>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14:paraId="74AA4F28" w14:textId="77777777" w:rsidR="003B7664" w:rsidRDefault="003B7664" w:rsidP="00ED70FB">
            <w:pPr>
              <w:autoSpaceDE w:val="0"/>
              <w:autoSpaceDN w:val="0"/>
              <w:adjustRightInd w:val="0"/>
              <w:spacing w:before="40" w:after="40"/>
              <w:ind w:left="142"/>
              <w:rPr>
                <w:rFonts w:ascii="Arial Narrow" w:eastAsiaTheme="minorHAnsi" w:hAnsi="Arial Narrow" w:cs="Arial Narrow"/>
                <w:b/>
                <w:bCs/>
                <w:color w:val="000000"/>
                <w:sz w:val="18"/>
                <w:szCs w:val="18"/>
              </w:rPr>
            </w:pPr>
            <w:r>
              <w:rPr>
                <w:rFonts w:ascii="Arial Narrow" w:eastAsiaTheme="minorHAnsi" w:hAnsi="Arial Narrow" w:cs="Arial Narrow"/>
                <w:b/>
                <w:bCs/>
                <w:color w:val="000000"/>
                <w:sz w:val="18"/>
                <w:szCs w:val="18"/>
              </w:rPr>
              <w:t xml:space="preserve">Transition probabilities </w:t>
            </w:r>
          </w:p>
        </w:tc>
      </w:tr>
      <w:tr w:rsidR="003B7664" w:rsidRPr="00112D81" w14:paraId="0B595D95" w14:textId="77777777" w:rsidTr="004413C9">
        <w:trPr>
          <w:cantSplit/>
          <w:trHeight w:val="262"/>
        </w:trPr>
        <w:tc>
          <w:tcPr>
            <w:tcW w:w="1441" w:type="pct"/>
            <w:shd w:val="clear" w:color="auto" w:fill="auto"/>
            <w:tcMar>
              <w:left w:w="28" w:type="dxa"/>
              <w:right w:w="28" w:type="dxa"/>
            </w:tcMar>
            <w:vAlign w:val="center"/>
          </w:tcPr>
          <w:p w14:paraId="0A32E699"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Antidepressant REM: 1st treatment (24.9%; base=13.6%)</w:t>
            </w:r>
          </w:p>
        </w:tc>
        <w:tc>
          <w:tcPr>
            <w:tcW w:w="523" w:type="pct"/>
            <w:shd w:val="clear" w:color="auto" w:fill="auto"/>
            <w:tcMar>
              <w:left w:w="28" w:type="dxa"/>
              <w:right w:w="28" w:type="dxa"/>
            </w:tcMar>
            <w:vAlign w:val="center"/>
          </w:tcPr>
          <w:p w14:paraId="5DC51F65"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$28,035</w:t>
            </w:r>
          </w:p>
        </w:tc>
        <w:tc>
          <w:tcPr>
            <w:tcW w:w="446" w:type="pct"/>
            <w:shd w:val="clear" w:color="auto" w:fill="auto"/>
            <w:tcMar>
              <w:left w:w="28" w:type="dxa"/>
              <w:right w:w="28" w:type="dxa"/>
            </w:tcMar>
            <w:vAlign w:val="center"/>
          </w:tcPr>
          <w:p w14:paraId="6E525F26"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1.2653 </w:t>
            </w:r>
          </w:p>
        </w:tc>
        <w:tc>
          <w:tcPr>
            <w:tcW w:w="525" w:type="pct"/>
            <w:shd w:val="clear" w:color="auto" w:fill="auto"/>
            <w:tcMar>
              <w:left w:w="28" w:type="dxa"/>
              <w:right w:w="28" w:type="dxa"/>
            </w:tcMar>
            <w:vAlign w:val="center"/>
          </w:tcPr>
          <w:p w14:paraId="69191F80"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$27,496</w:t>
            </w:r>
          </w:p>
        </w:tc>
        <w:tc>
          <w:tcPr>
            <w:tcW w:w="445" w:type="pct"/>
            <w:shd w:val="clear" w:color="auto" w:fill="auto"/>
            <w:tcMar>
              <w:left w:w="28" w:type="dxa"/>
              <w:right w:w="28" w:type="dxa"/>
            </w:tcMar>
            <w:vAlign w:val="center"/>
          </w:tcPr>
          <w:p w14:paraId="03DA6485"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1.2152 </w:t>
            </w:r>
          </w:p>
        </w:tc>
        <w:tc>
          <w:tcPr>
            <w:tcW w:w="502" w:type="pct"/>
            <w:shd w:val="clear" w:color="auto" w:fill="auto"/>
            <w:tcMar>
              <w:left w:w="28" w:type="dxa"/>
              <w:right w:w="28" w:type="dxa"/>
            </w:tcMar>
            <w:vAlign w:val="center"/>
          </w:tcPr>
          <w:p w14:paraId="6C4EEED2"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$539</w:t>
            </w:r>
          </w:p>
        </w:tc>
        <w:tc>
          <w:tcPr>
            <w:tcW w:w="514" w:type="pct"/>
            <w:shd w:val="clear" w:color="auto" w:fill="auto"/>
            <w:tcMar>
              <w:left w:w="28" w:type="dxa"/>
              <w:right w:w="28" w:type="dxa"/>
            </w:tcMar>
            <w:vAlign w:val="center"/>
          </w:tcPr>
          <w:p w14:paraId="2B2CEA72"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0.0501 </w:t>
            </w:r>
          </w:p>
        </w:tc>
        <w:tc>
          <w:tcPr>
            <w:tcW w:w="604" w:type="pct"/>
            <w:shd w:val="clear" w:color="auto" w:fill="auto"/>
            <w:tcMar>
              <w:left w:w="28" w:type="dxa"/>
              <w:right w:w="28" w:type="dxa"/>
            </w:tcMar>
            <w:vAlign w:val="center"/>
          </w:tcPr>
          <w:p w14:paraId="752AF080"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$10,761</w:t>
            </w:r>
          </w:p>
        </w:tc>
      </w:tr>
      <w:tr w:rsidR="003B7664" w:rsidRPr="00112D81" w14:paraId="1A673AA7" w14:textId="77777777" w:rsidTr="004413C9">
        <w:trPr>
          <w:cantSplit/>
          <w:trHeight w:val="262"/>
        </w:trPr>
        <w:tc>
          <w:tcPr>
            <w:tcW w:w="1441" w:type="pct"/>
            <w:shd w:val="clear" w:color="auto" w:fill="auto"/>
            <w:tcMar>
              <w:left w:w="28" w:type="dxa"/>
              <w:right w:w="28" w:type="dxa"/>
            </w:tcMar>
            <w:vAlign w:val="center"/>
          </w:tcPr>
          <w:p w14:paraId="7E67D300"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Antidepressant REM: 1st treatment (36.8%; base=13.6%)</w:t>
            </w:r>
          </w:p>
        </w:tc>
        <w:tc>
          <w:tcPr>
            <w:tcW w:w="523" w:type="pct"/>
            <w:shd w:val="clear" w:color="auto" w:fill="auto"/>
            <w:tcMar>
              <w:left w:w="28" w:type="dxa"/>
              <w:right w:w="28" w:type="dxa"/>
            </w:tcMar>
            <w:vAlign w:val="center"/>
          </w:tcPr>
          <w:p w14:paraId="701697D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$26,611</w:t>
            </w:r>
          </w:p>
        </w:tc>
        <w:tc>
          <w:tcPr>
            <w:tcW w:w="446" w:type="pct"/>
            <w:shd w:val="clear" w:color="auto" w:fill="auto"/>
            <w:tcMar>
              <w:left w:w="28" w:type="dxa"/>
              <w:right w:w="28" w:type="dxa"/>
            </w:tcMar>
            <w:vAlign w:val="center"/>
          </w:tcPr>
          <w:p w14:paraId="2DCC023A"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1.2777 </w:t>
            </w:r>
          </w:p>
        </w:tc>
        <w:tc>
          <w:tcPr>
            <w:tcW w:w="525" w:type="pct"/>
            <w:shd w:val="clear" w:color="auto" w:fill="auto"/>
            <w:tcMar>
              <w:left w:w="28" w:type="dxa"/>
              <w:right w:w="28" w:type="dxa"/>
            </w:tcMar>
            <w:vAlign w:val="center"/>
          </w:tcPr>
          <w:p w14:paraId="067E2CF0"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$23,897</w:t>
            </w:r>
          </w:p>
        </w:tc>
        <w:tc>
          <w:tcPr>
            <w:tcW w:w="445" w:type="pct"/>
            <w:shd w:val="clear" w:color="auto" w:fill="auto"/>
            <w:tcMar>
              <w:left w:w="28" w:type="dxa"/>
              <w:right w:w="28" w:type="dxa"/>
            </w:tcMar>
            <w:vAlign w:val="center"/>
          </w:tcPr>
          <w:p w14:paraId="318E99B4"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1.2506 </w:t>
            </w:r>
          </w:p>
        </w:tc>
        <w:tc>
          <w:tcPr>
            <w:tcW w:w="502" w:type="pct"/>
            <w:shd w:val="clear" w:color="auto" w:fill="auto"/>
            <w:tcMar>
              <w:left w:w="28" w:type="dxa"/>
              <w:right w:w="28" w:type="dxa"/>
            </w:tcMar>
            <w:vAlign w:val="center"/>
          </w:tcPr>
          <w:p w14:paraId="46AB4FCE"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$2,713</w:t>
            </w:r>
          </w:p>
        </w:tc>
        <w:tc>
          <w:tcPr>
            <w:tcW w:w="514" w:type="pct"/>
            <w:shd w:val="clear" w:color="auto" w:fill="auto"/>
            <w:tcMar>
              <w:left w:w="28" w:type="dxa"/>
              <w:right w:w="28" w:type="dxa"/>
            </w:tcMar>
            <w:vAlign w:val="center"/>
          </w:tcPr>
          <w:p w14:paraId="35215B44"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0.0271 </w:t>
            </w:r>
          </w:p>
        </w:tc>
        <w:tc>
          <w:tcPr>
            <w:tcW w:w="604" w:type="pct"/>
            <w:shd w:val="clear" w:color="auto" w:fill="auto"/>
            <w:tcMar>
              <w:left w:w="28" w:type="dxa"/>
              <w:right w:w="28" w:type="dxa"/>
            </w:tcMar>
            <w:vAlign w:val="center"/>
          </w:tcPr>
          <w:p w14:paraId="5BB719D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$100,088</w:t>
            </w:r>
          </w:p>
        </w:tc>
      </w:tr>
      <w:tr w:rsidR="003B7664" w:rsidRPr="00112D81" w14:paraId="6C5119DF" w14:textId="77777777" w:rsidTr="004413C9">
        <w:trPr>
          <w:cantSplit/>
          <w:trHeight w:val="262"/>
        </w:trPr>
        <w:tc>
          <w:tcPr>
            <w:tcW w:w="1441" w:type="pct"/>
            <w:shd w:val="clear" w:color="auto" w:fill="auto"/>
            <w:tcMar>
              <w:left w:w="28" w:type="dxa"/>
              <w:right w:w="28" w:type="dxa"/>
            </w:tcMar>
            <w:vAlign w:val="center"/>
          </w:tcPr>
          <w:p w14:paraId="0541E194"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Lose REM after Antidepressant treatment (20%; base=28.1%)</w:t>
            </w:r>
          </w:p>
        </w:tc>
        <w:tc>
          <w:tcPr>
            <w:tcW w:w="523" w:type="pct"/>
            <w:shd w:val="clear" w:color="auto" w:fill="auto"/>
            <w:tcMar>
              <w:left w:w="28" w:type="dxa"/>
              <w:right w:w="28" w:type="dxa"/>
            </w:tcMar>
            <w:vAlign w:val="center"/>
          </w:tcPr>
          <w:p w14:paraId="4B779420"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$29,703</w:t>
            </w:r>
          </w:p>
        </w:tc>
        <w:tc>
          <w:tcPr>
            <w:tcW w:w="446" w:type="pct"/>
            <w:shd w:val="clear" w:color="auto" w:fill="auto"/>
            <w:tcMar>
              <w:left w:w="28" w:type="dxa"/>
              <w:right w:w="28" w:type="dxa"/>
            </w:tcMar>
            <w:vAlign w:val="center"/>
          </w:tcPr>
          <w:p w14:paraId="457A73A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1.2553 </w:t>
            </w:r>
          </w:p>
        </w:tc>
        <w:tc>
          <w:tcPr>
            <w:tcW w:w="525" w:type="pct"/>
            <w:shd w:val="clear" w:color="auto" w:fill="auto"/>
            <w:tcMar>
              <w:left w:w="28" w:type="dxa"/>
              <w:right w:w="28" w:type="dxa"/>
            </w:tcMar>
            <w:vAlign w:val="center"/>
          </w:tcPr>
          <w:p w14:paraId="05B3BA51"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$29,678</w:t>
            </w:r>
          </w:p>
        </w:tc>
        <w:tc>
          <w:tcPr>
            <w:tcW w:w="445" w:type="pct"/>
            <w:shd w:val="clear" w:color="auto" w:fill="auto"/>
            <w:tcMar>
              <w:left w:w="28" w:type="dxa"/>
              <w:right w:w="28" w:type="dxa"/>
            </w:tcMar>
            <w:vAlign w:val="center"/>
          </w:tcPr>
          <w:p w14:paraId="5AFF7770"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1.2109 </w:t>
            </w:r>
          </w:p>
        </w:tc>
        <w:tc>
          <w:tcPr>
            <w:tcW w:w="502" w:type="pct"/>
            <w:shd w:val="clear" w:color="auto" w:fill="auto"/>
            <w:tcMar>
              <w:left w:w="28" w:type="dxa"/>
              <w:right w:w="28" w:type="dxa"/>
            </w:tcMar>
            <w:vAlign w:val="center"/>
          </w:tcPr>
          <w:p w14:paraId="1595DE81"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$25</w:t>
            </w:r>
          </w:p>
        </w:tc>
        <w:tc>
          <w:tcPr>
            <w:tcW w:w="514" w:type="pct"/>
            <w:shd w:val="clear" w:color="auto" w:fill="auto"/>
            <w:tcMar>
              <w:left w:w="28" w:type="dxa"/>
              <w:right w:w="28" w:type="dxa"/>
            </w:tcMar>
            <w:vAlign w:val="center"/>
          </w:tcPr>
          <w:p w14:paraId="3185B409"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0.0443 </w:t>
            </w:r>
          </w:p>
        </w:tc>
        <w:tc>
          <w:tcPr>
            <w:tcW w:w="604" w:type="pct"/>
            <w:shd w:val="clear" w:color="auto" w:fill="auto"/>
            <w:tcMar>
              <w:left w:w="28" w:type="dxa"/>
              <w:right w:w="28" w:type="dxa"/>
            </w:tcMar>
            <w:vAlign w:val="center"/>
          </w:tcPr>
          <w:p w14:paraId="71588772"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$573</w:t>
            </w:r>
          </w:p>
        </w:tc>
      </w:tr>
      <w:tr w:rsidR="003B7664" w:rsidRPr="00112D81" w14:paraId="6DBF74B6" w14:textId="77777777" w:rsidTr="009A71BE">
        <w:trPr>
          <w:cantSplit/>
          <w:trHeight w:val="262"/>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14:paraId="7E5A6AC8" w14:textId="77777777" w:rsidR="003B7664" w:rsidRPr="00112D81" w:rsidRDefault="003B7664" w:rsidP="00ED70FB">
            <w:pPr>
              <w:autoSpaceDE w:val="0"/>
              <w:autoSpaceDN w:val="0"/>
              <w:adjustRightInd w:val="0"/>
              <w:spacing w:before="40" w:after="40"/>
              <w:ind w:left="142"/>
              <w:rPr>
                <w:rFonts w:ascii="Arial Narrow" w:eastAsiaTheme="minorHAnsi" w:hAnsi="Arial Narrow" w:cs="Arial Narrow"/>
                <w:b/>
                <w:bCs/>
                <w:sz w:val="18"/>
                <w:szCs w:val="18"/>
              </w:rPr>
            </w:pPr>
            <w:r w:rsidRPr="00666B61">
              <w:rPr>
                <w:rFonts w:ascii="Arial Narrow" w:eastAsiaTheme="minorHAnsi" w:hAnsi="Arial Narrow" w:cs="Arial Narrow"/>
                <w:b/>
                <w:bCs/>
                <w:color w:val="000000"/>
                <w:sz w:val="18"/>
                <w:szCs w:val="18"/>
              </w:rPr>
              <w:t>Utility</w:t>
            </w:r>
          </w:p>
        </w:tc>
      </w:tr>
      <w:tr w:rsidR="003B7664" w:rsidRPr="00112D81" w14:paraId="6926EED1" w14:textId="77777777" w:rsidTr="004413C9">
        <w:trPr>
          <w:cantSplit/>
          <w:trHeight w:val="262"/>
        </w:trPr>
        <w:tc>
          <w:tcPr>
            <w:tcW w:w="1441" w:type="pct"/>
            <w:shd w:val="clear" w:color="auto" w:fill="auto"/>
            <w:tcMar>
              <w:left w:w="28" w:type="dxa"/>
              <w:right w:w="28" w:type="dxa"/>
            </w:tcMar>
            <w:vAlign w:val="center"/>
          </w:tcPr>
          <w:p w14:paraId="64ED6645"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Remission (0.75; base=0.86)</w:t>
            </w:r>
          </w:p>
        </w:tc>
        <w:tc>
          <w:tcPr>
            <w:tcW w:w="523" w:type="pct"/>
            <w:shd w:val="clear" w:color="auto" w:fill="auto"/>
            <w:tcMar>
              <w:left w:w="28" w:type="dxa"/>
              <w:right w:w="28" w:type="dxa"/>
            </w:tcMar>
            <w:vAlign w:val="center"/>
          </w:tcPr>
          <w:p w14:paraId="02796486"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$29,639</w:t>
            </w:r>
          </w:p>
        </w:tc>
        <w:tc>
          <w:tcPr>
            <w:tcW w:w="446" w:type="pct"/>
            <w:shd w:val="clear" w:color="auto" w:fill="auto"/>
            <w:tcMar>
              <w:left w:w="28" w:type="dxa"/>
              <w:right w:w="28" w:type="dxa"/>
            </w:tcMar>
            <w:vAlign w:val="center"/>
          </w:tcPr>
          <w:p w14:paraId="06121B09"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1.1911 </w:t>
            </w:r>
          </w:p>
        </w:tc>
        <w:tc>
          <w:tcPr>
            <w:tcW w:w="525" w:type="pct"/>
            <w:shd w:val="clear" w:color="auto" w:fill="auto"/>
            <w:tcMar>
              <w:left w:w="28" w:type="dxa"/>
              <w:right w:w="28" w:type="dxa"/>
            </w:tcMar>
            <w:vAlign w:val="center"/>
          </w:tcPr>
          <w:p w14:paraId="7FA3DE24"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$31,253</w:t>
            </w:r>
          </w:p>
        </w:tc>
        <w:tc>
          <w:tcPr>
            <w:tcW w:w="445" w:type="pct"/>
            <w:shd w:val="clear" w:color="auto" w:fill="auto"/>
            <w:tcMar>
              <w:left w:w="28" w:type="dxa"/>
              <w:right w:w="28" w:type="dxa"/>
            </w:tcMar>
            <w:vAlign w:val="center"/>
          </w:tcPr>
          <w:p w14:paraId="4C8E12EA"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1.1355 </w:t>
            </w:r>
          </w:p>
        </w:tc>
        <w:tc>
          <w:tcPr>
            <w:tcW w:w="502" w:type="pct"/>
            <w:shd w:val="clear" w:color="auto" w:fill="auto"/>
            <w:tcMar>
              <w:left w:w="28" w:type="dxa"/>
              <w:right w:w="28" w:type="dxa"/>
            </w:tcMar>
            <w:vAlign w:val="center"/>
          </w:tcPr>
          <w:p w14:paraId="017871B4"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-$1,615</w:t>
            </w:r>
          </w:p>
        </w:tc>
        <w:tc>
          <w:tcPr>
            <w:tcW w:w="514" w:type="pct"/>
            <w:shd w:val="clear" w:color="auto" w:fill="auto"/>
            <w:tcMar>
              <w:left w:w="28" w:type="dxa"/>
              <w:right w:w="28" w:type="dxa"/>
            </w:tcMar>
            <w:vAlign w:val="center"/>
          </w:tcPr>
          <w:p w14:paraId="04AEBFF1"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0.0556 </w:t>
            </w:r>
          </w:p>
        </w:tc>
        <w:tc>
          <w:tcPr>
            <w:tcW w:w="604" w:type="pct"/>
            <w:shd w:val="clear" w:color="auto" w:fill="auto"/>
            <w:tcMar>
              <w:left w:w="28" w:type="dxa"/>
              <w:right w:w="28" w:type="dxa"/>
            </w:tcMar>
            <w:vAlign w:val="center"/>
          </w:tcPr>
          <w:p w14:paraId="3F0620D9"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5FB757F0" w14:textId="77777777" w:rsidTr="004413C9">
        <w:trPr>
          <w:cantSplit/>
          <w:trHeight w:val="262"/>
        </w:trPr>
        <w:tc>
          <w:tcPr>
            <w:tcW w:w="1441" w:type="pct"/>
            <w:shd w:val="clear" w:color="auto" w:fill="auto"/>
            <w:tcMar>
              <w:left w:w="28" w:type="dxa"/>
              <w:right w:w="28" w:type="dxa"/>
            </w:tcMar>
            <w:vAlign w:val="center"/>
          </w:tcPr>
          <w:p w14:paraId="15A4BB8B"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Remission (0.90; base=0.86)</w:t>
            </w:r>
          </w:p>
        </w:tc>
        <w:tc>
          <w:tcPr>
            <w:tcW w:w="523" w:type="pct"/>
            <w:shd w:val="clear" w:color="auto" w:fill="auto"/>
            <w:tcMar>
              <w:left w:w="28" w:type="dxa"/>
              <w:right w:w="28" w:type="dxa"/>
            </w:tcMar>
            <w:vAlign w:val="center"/>
          </w:tcPr>
          <w:p w14:paraId="6BBB8162"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$29,590</w:t>
            </w:r>
          </w:p>
        </w:tc>
        <w:tc>
          <w:tcPr>
            <w:tcW w:w="446" w:type="pct"/>
            <w:shd w:val="clear" w:color="auto" w:fill="auto"/>
            <w:tcMar>
              <w:left w:w="28" w:type="dxa"/>
              <w:right w:w="28" w:type="dxa"/>
            </w:tcMar>
            <w:vAlign w:val="center"/>
          </w:tcPr>
          <w:p w14:paraId="135F8E28"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1.2870 </w:t>
            </w:r>
          </w:p>
        </w:tc>
        <w:tc>
          <w:tcPr>
            <w:tcW w:w="525" w:type="pct"/>
            <w:shd w:val="clear" w:color="auto" w:fill="auto"/>
            <w:tcMar>
              <w:left w:w="28" w:type="dxa"/>
              <w:right w:w="28" w:type="dxa"/>
            </w:tcMar>
            <w:vAlign w:val="center"/>
          </w:tcPr>
          <w:p w14:paraId="53DD4A41"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$31,346</w:t>
            </w:r>
          </w:p>
        </w:tc>
        <w:tc>
          <w:tcPr>
            <w:tcW w:w="445" w:type="pct"/>
            <w:shd w:val="clear" w:color="auto" w:fill="auto"/>
            <w:tcMar>
              <w:left w:w="28" w:type="dxa"/>
              <w:right w:w="28" w:type="dxa"/>
            </w:tcMar>
            <w:vAlign w:val="center"/>
          </w:tcPr>
          <w:p w14:paraId="6B768284"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1.2020 </w:t>
            </w:r>
          </w:p>
        </w:tc>
        <w:tc>
          <w:tcPr>
            <w:tcW w:w="502" w:type="pct"/>
            <w:shd w:val="clear" w:color="auto" w:fill="auto"/>
            <w:tcMar>
              <w:left w:w="28" w:type="dxa"/>
              <w:right w:w="28" w:type="dxa"/>
            </w:tcMar>
            <w:vAlign w:val="center"/>
          </w:tcPr>
          <w:p w14:paraId="3C79F92A"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-$1,755</w:t>
            </w:r>
          </w:p>
        </w:tc>
        <w:tc>
          <w:tcPr>
            <w:tcW w:w="514" w:type="pct"/>
            <w:shd w:val="clear" w:color="auto" w:fill="auto"/>
            <w:tcMar>
              <w:left w:w="28" w:type="dxa"/>
              <w:right w:w="28" w:type="dxa"/>
            </w:tcMar>
            <w:vAlign w:val="center"/>
          </w:tcPr>
          <w:p w14:paraId="2E5899CC"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0.0850 </w:t>
            </w:r>
          </w:p>
        </w:tc>
        <w:tc>
          <w:tcPr>
            <w:tcW w:w="604" w:type="pct"/>
            <w:shd w:val="clear" w:color="auto" w:fill="auto"/>
            <w:tcMar>
              <w:left w:w="28" w:type="dxa"/>
              <w:right w:w="28" w:type="dxa"/>
            </w:tcMar>
            <w:vAlign w:val="center"/>
          </w:tcPr>
          <w:p w14:paraId="18110346"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64031EB1" w14:textId="77777777" w:rsidTr="004413C9">
        <w:trPr>
          <w:cantSplit/>
          <w:trHeight w:val="262"/>
        </w:trPr>
        <w:tc>
          <w:tcPr>
            <w:tcW w:w="1441" w:type="pct"/>
            <w:shd w:val="clear" w:color="auto" w:fill="auto"/>
            <w:tcMar>
              <w:left w:w="28" w:type="dxa"/>
              <w:right w:w="28" w:type="dxa"/>
            </w:tcMar>
            <w:vAlign w:val="center"/>
          </w:tcPr>
          <w:p w14:paraId="17B58548"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Partial remission (0.65; base=0.71)</w:t>
            </w:r>
          </w:p>
        </w:tc>
        <w:tc>
          <w:tcPr>
            <w:tcW w:w="523" w:type="pct"/>
            <w:shd w:val="clear" w:color="auto" w:fill="auto"/>
            <w:tcMar>
              <w:left w:w="28" w:type="dxa"/>
              <w:right w:w="28" w:type="dxa"/>
            </w:tcMar>
            <w:vAlign w:val="center"/>
          </w:tcPr>
          <w:p w14:paraId="29C6CEA2"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$29,742</w:t>
            </w:r>
          </w:p>
        </w:tc>
        <w:tc>
          <w:tcPr>
            <w:tcW w:w="446" w:type="pct"/>
            <w:shd w:val="clear" w:color="auto" w:fill="auto"/>
            <w:tcMar>
              <w:left w:w="28" w:type="dxa"/>
              <w:right w:w="28" w:type="dxa"/>
            </w:tcMar>
            <w:vAlign w:val="center"/>
          </w:tcPr>
          <w:p w14:paraId="4AF1EE86"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1.2405 </w:t>
            </w:r>
          </w:p>
        </w:tc>
        <w:tc>
          <w:tcPr>
            <w:tcW w:w="525" w:type="pct"/>
            <w:shd w:val="clear" w:color="auto" w:fill="auto"/>
            <w:tcMar>
              <w:left w:w="28" w:type="dxa"/>
              <w:right w:w="28" w:type="dxa"/>
            </w:tcMar>
            <w:vAlign w:val="center"/>
          </w:tcPr>
          <w:p w14:paraId="3E586412"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$31,424</w:t>
            </w:r>
          </w:p>
        </w:tc>
        <w:tc>
          <w:tcPr>
            <w:tcW w:w="445" w:type="pct"/>
            <w:shd w:val="clear" w:color="auto" w:fill="auto"/>
            <w:tcMar>
              <w:left w:w="28" w:type="dxa"/>
              <w:right w:w="28" w:type="dxa"/>
            </w:tcMar>
            <w:vAlign w:val="center"/>
          </w:tcPr>
          <w:p w14:paraId="6003D4C3"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1.1643 </w:t>
            </w:r>
          </w:p>
        </w:tc>
        <w:tc>
          <w:tcPr>
            <w:tcW w:w="502" w:type="pct"/>
            <w:shd w:val="clear" w:color="auto" w:fill="auto"/>
            <w:tcMar>
              <w:left w:w="28" w:type="dxa"/>
              <w:right w:w="28" w:type="dxa"/>
            </w:tcMar>
            <w:vAlign w:val="center"/>
          </w:tcPr>
          <w:p w14:paraId="0E062EF6"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-$1,682</w:t>
            </w:r>
          </w:p>
        </w:tc>
        <w:tc>
          <w:tcPr>
            <w:tcW w:w="514" w:type="pct"/>
            <w:shd w:val="clear" w:color="auto" w:fill="auto"/>
            <w:tcMar>
              <w:left w:w="28" w:type="dxa"/>
              <w:right w:w="28" w:type="dxa"/>
            </w:tcMar>
            <w:vAlign w:val="center"/>
          </w:tcPr>
          <w:p w14:paraId="1E4438FC"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0.0762 </w:t>
            </w:r>
          </w:p>
        </w:tc>
        <w:tc>
          <w:tcPr>
            <w:tcW w:w="604" w:type="pct"/>
            <w:shd w:val="clear" w:color="auto" w:fill="auto"/>
            <w:tcMar>
              <w:left w:w="28" w:type="dxa"/>
              <w:right w:w="28" w:type="dxa"/>
            </w:tcMar>
            <w:vAlign w:val="center"/>
          </w:tcPr>
          <w:p w14:paraId="3A4AD611"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623F94DF" w14:textId="77777777" w:rsidTr="004413C9">
        <w:trPr>
          <w:cantSplit/>
          <w:trHeight w:val="262"/>
        </w:trPr>
        <w:tc>
          <w:tcPr>
            <w:tcW w:w="1441" w:type="pct"/>
            <w:shd w:val="clear" w:color="auto" w:fill="auto"/>
            <w:tcMar>
              <w:left w:w="28" w:type="dxa"/>
              <w:right w:w="28" w:type="dxa"/>
            </w:tcMar>
            <w:vAlign w:val="center"/>
          </w:tcPr>
          <w:p w14:paraId="66BD684E"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Partial remission (0.82; base=0.71)</w:t>
            </w:r>
          </w:p>
        </w:tc>
        <w:tc>
          <w:tcPr>
            <w:tcW w:w="523" w:type="pct"/>
            <w:shd w:val="clear" w:color="auto" w:fill="auto"/>
            <w:tcMar>
              <w:left w:w="28" w:type="dxa"/>
              <w:right w:w="28" w:type="dxa"/>
            </w:tcMar>
            <w:vAlign w:val="center"/>
          </w:tcPr>
          <w:p w14:paraId="0B5769C8"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$29,470</w:t>
            </w:r>
          </w:p>
        </w:tc>
        <w:tc>
          <w:tcPr>
            <w:tcW w:w="446" w:type="pct"/>
            <w:shd w:val="clear" w:color="auto" w:fill="auto"/>
            <w:tcMar>
              <w:left w:w="28" w:type="dxa"/>
              <w:right w:w="28" w:type="dxa"/>
            </w:tcMar>
            <w:vAlign w:val="center"/>
          </w:tcPr>
          <w:p w14:paraId="3381D148"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1.2785 </w:t>
            </w:r>
          </w:p>
        </w:tc>
        <w:tc>
          <w:tcPr>
            <w:tcW w:w="525" w:type="pct"/>
            <w:shd w:val="clear" w:color="auto" w:fill="auto"/>
            <w:tcMar>
              <w:left w:w="28" w:type="dxa"/>
              <w:right w:w="28" w:type="dxa"/>
            </w:tcMar>
            <w:vAlign w:val="center"/>
          </w:tcPr>
          <w:p w14:paraId="164696C5"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$31,154</w:t>
            </w:r>
          </w:p>
        </w:tc>
        <w:tc>
          <w:tcPr>
            <w:tcW w:w="445" w:type="pct"/>
            <w:shd w:val="clear" w:color="auto" w:fill="auto"/>
            <w:tcMar>
              <w:left w:w="28" w:type="dxa"/>
              <w:right w:w="28" w:type="dxa"/>
            </w:tcMar>
            <w:vAlign w:val="center"/>
          </w:tcPr>
          <w:p w14:paraId="2D12AE5A"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1.2040 </w:t>
            </w:r>
          </w:p>
        </w:tc>
        <w:tc>
          <w:tcPr>
            <w:tcW w:w="502" w:type="pct"/>
            <w:shd w:val="clear" w:color="auto" w:fill="auto"/>
            <w:tcMar>
              <w:left w:w="28" w:type="dxa"/>
              <w:right w:w="28" w:type="dxa"/>
            </w:tcMar>
            <w:vAlign w:val="center"/>
          </w:tcPr>
          <w:p w14:paraId="40B781AC"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-$1,684</w:t>
            </w:r>
          </w:p>
        </w:tc>
        <w:tc>
          <w:tcPr>
            <w:tcW w:w="514" w:type="pct"/>
            <w:shd w:val="clear" w:color="auto" w:fill="auto"/>
            <w:tcMar>
              <w:left w:w="28" w:type="dxa"/>
              <w:right w:w="28" w:type="dxa"/>
            </w:tcMar>
            <w:vAlign w:val="center"/>
          </w:tcPr>
          <w:p w14:paraId="5AF66831"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0.0745 </w:t>
            </w:r>
          </w:p>
        </w:tc>
        <w:tc>
          <w:tcPr>
            <w:tcW w:w="604" w:type="pct"/>
            <w:shd w:val="clear" w:color="auto" w:fill="auto"/>
            <w:tcMar>
              <w:left w:w="28" w:type="dxa"/>
              <w:right w:w="28" w:type="dxa"/>
            </w:tcMar>
            <w:vAlign w:val="center"/>
          </w:tcPr>
          <w:p w14:paraId="3A080F4B"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78CF7648" w14:textId="77777777" w:rsidTr="004413C9">
        <w:trPr>
          <w:cantSplit/>
          <w:trHeight w:val="262"/>
        </w:trPr>
        <w:tc>
          <w:tcPr>
            <w:tcW w:w="1441" w:type="pct"/>
            <w:shd w:val="clear" w:color="auto" w:fill="auto"/>
            <w:tcMar>
              <w:left w:w="28" w:type="dxa"/>
              <w:right w:w="28" w:type="dxa"/>
            </w:tcMar>
            <w:vAlign w:val="center"/>
          </w:tcPr>
          <w:p w14:paraId="3C3F2D0B"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Relapse (0.25; base=0.54)</w:t>
            </w:r>
          </w:p>
        </w:tc>
        <w:tc>
          <w:tcPr>
            <w:tcW w:w="523" w:type="pct"/>
            <w:shd w:val="clear" w:color="auto" w:fill="auto"/>
            <w:tcMar>
              <w:left w:w="28" w:type="dxa"/>
              <w:right w:w="28" w:type="dxa"/>
            </w:tcMar>
            <w:vAlign w:val="center"/>
          </w:tcPr>
          <w:p w14:paraId="5EAFC66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$29,446</w:t>
            </w:r>
          </w:p>
        </w:tc>
        <w:tc>
          <w:tcPr>
            <w:tcW w:w="446" w:type="pct"/>
            <w:shd w:val="clear" w:color="auto" w:fill="auto"/>
            <w:tcMar>
              <w:left w:w="28" w:type="dxa"/>
              <w:right w:w="28" w:type="dxa"/>
            </w:tcMar>
            <w:vAlign w:val="center"/>
          </w:tcPr>
          <w:p w14:paraId="185B3B3B"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1.0195 </w:t>
            </w:r>
          </w:p>
        </w:tc>
        <w:tc>
          <w:tcPr>
            <w:tcW w:w="525" w:type="pct"/>
            <w:shd w:val="clear" w:color="auto" w:fill="auto"/>
            <w:tcMar>
              <w:left w:w="28" w:type="dxa"/>
              <w:right w:w="28" w:type="dxa"/>
            </w:tcMar>
            <w:vAlign w:val="center"/>
          </w:tcPr>
          <w:p w14:paraId="7EFC09CA"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$31,207</w:t>
            </w:r>
          </w:p>
        </w:tc>
        <w:tc>
          <w:tcPr>
            <w:tcW w:w="445" w:type="pct"/>
            <w:shd w:val="clear" w:color="auto" w:fill="auto"/>
            <w:tcMar>
              <w:left w:w="28" w:type="dxa"/>
              <w:right w:w="28" w:type="dxa"/>
            </w:tcMar>
            <w:vAlign w:val="center"/>
          </w:tcPr>
          <w:p w14:paraId="261095E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0.9020 </w:t>
            </w:r>
          </w:p>
        </w:tc>
        <w:tc>
          <w:tcPr>
            <w:tcW w:w="502" w:type="pct"/>
            <w:shd w:val="clear" w:color="auto" w:fill="auto"/>
            <w:tcMar>
              <w:left w:w="28" w:type="dxa"/>
              <w:right w:w="28" w:type="dxa"/>
            </w:tcMar>
            <w:vAlign w:val="center"/>
          </w:tcPr>
          <w:p w14:paraId="65537AC9"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-$1,761</w:t>
            </w:r>
          </w:p>
        </w:tc>
        <w:tc>
          <w:tcPr>
            <w:tcW w:w="514" w:type="pct"/>
            <w:shd w:val="clear" w:color="auto" w:fill="auto"/>
            <w:tcMar>
              <w:left w:w="28" w:type="dxa"/>
              <w:right w:w="28" w:type="dxa"/>
            </w:tcMar>
            <w:vAlign w:val="center"/>
          </w:tcPr>
          <w:p w14:paraId="4E9A4FE1"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0.1175 </w:t>
            </w:r>
          </w:p>
        </w:tc>
        <w:tc>
          <w:tcPr>
            <w:tcW w:w="604" w:type="pct"/>
            <w:shd w:val="clear" w:color="auto" w:fill="auto"/>
            <w:tcMar>
              <w:left w:w="28" w:type="dxa"/>
              <w:right w:w="28" w:type="dxa"/>
            </w:tcMar>
            <w:vAlign w:val="center"/>
          </w:tcPr>
          <w:p w14:paraId="10F742EF"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78ACEE53" w14:textId="77777777" w:rsidTr="004413C9">
        <w:trPr>
          <w:cantSplit/>
          <w:trHeight w:val="262"/>
        </w:trPr>
        <w:tc>
          <w:tcPr>
            <w:tcW w:w="1441" w:type="pct"/>
            <w:shd w:val="clear" w:color="auto" w:fill="auto"/>
            <w:tcMar>
              <w:left w:w="28" w:type="dxa"/>
              <w:right w:w="28" w:type="dxa"/>
            </w:tcMar>
            <w:vAlign w:val="center"/>
          </w:tcPr>
          <w:p w14:paraId="49F98F7B"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Relapse (0.58; base=0.54)</w:t>
            </w:r>
          </w:p>
        </w:tc>
        <w:tc>
          <w:tcPr>
            <w:tcW w:w="523" w:type="pct"/>
            <w:shd w:val="clear" w:color="auto" w:fill="auto"/>
            <w:tcMar>
              <w:left w:w="28" w:type="dxa"/>
              <w:right w:w="28" w:type="dxa"/>
            </w:tcMar>
            <w:vAlign w:val="center"/>
          </w:tcPr>
          <w:p w14:paraId="06024E1C"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$29,759</w:t>
            </w:r>
          </w:p>
        </w:tc>
        <w:tc>
          <w:tcPr>
            <w:tcW w:w="446" w:type="pct"/>
            <w:shd w:val="clear" w:color="auto" w:fill="auto"/>
            <w:tcMar>
              <w:left w:w="28" w:type="dxa"/>
              <w:right w:w="28" w:type="dxa"/>
            </w:tcMar>
            <w:vAlign w:val="center"/>
          </w:tcPr>
          <w:p w14:paraId="217B3548"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1.2640 </w:t>
            </w:r>
          </w:p>
        </w:tc>
        <w:tc>
          <w:tcPr>
            <w:tcW w:w="525" w:type="pct"/>
            <w:shd w:val="clear" w:color="auto" w:fill="auto"/>
            <w:tcMar>
              <w:left w:w="28" w:type="dxa"/>
              <w:right w:w="28" w:type="dxa"/>
            </w:tcMar>
            <w:vAlign w:val="center"/>
          </w:tcPr>
          <w:p w14:paraId="0EB7CBF9"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$31,504</w:t>
            </w:r>
          </w:p>
        </w:tc>
        <w:tc>
          <w:tcPr>
            <w:tcW w:w="445" w:type="pct"/>
            <w:shd w:val="clear" w:color="auto" w:fill="auto"/>
            <w:tcMar>
              <w:left w:w="28" w:type="dxa"/>
              <w:right w:w="28" w:type="dxa"/>
            </w:tcMar>
            <w:vAlign w:val="center"/>
          </w:tcPr>
          <w:p w14:paraId="3C18C781"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1.1898 </w:t>
            </w:r>
          </w:p>
        </w:tc>
        <w:tc>
          <w:tcPr>
            <w:tcW w:w="502" w:type="pct"/>
            <w:shd w:val="clear" w:color="auto" w:fill="auto"/>
            <w:tcMar>
              <w:left w:w="28" w:type="dxa"/>
              <w:right w:w="28" w:type="dxa"/>
            </w:tcMar>
            <w:vAlign w:val="center"/>
          </w:tcPr>
          <w:p w14:paraId="1DAA749C"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-$1,745</w:t>
            </w:r>
          </w:p>
        </w:tc>
        <w:tc>
          <w:tcPr>
            <w:tcW w:w="514" w:type="pct"/>
            <w:shd w:val="clear" w:color="auto" w:fill="auto"/>
            <w:tcMar>
              <w:left w:w="28" w:type="dxa"/>
              <w:right w:w="28" w:type="dxa"/>
            </w:tcMar>
            <w:vAlign w:val="center"/>
          </w:tcPr>
          <w:p w14:paraId="2F4848DC"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0.0742 </w:t>
            </w:r>
          </w:p>
        </w:tc>
        <w:tc>
          <w:tcPr>
            <w:tcW w:w="604" w:type="pct"/>
            <w:shd w:val="clear" w:color="auto" w:fill="auto"/>
            <w:tcMar>
              <w:left w:w="28" w:type="dxa"/>
              <w:right w:w="28" w:type="dxa"/>
            </w:tcMar>
            <w:vAlign w:val="center"/>
          </w:tcPr>
          <w:p w14:paraId="031FDEA4"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44CD57FD" w14:textId="77777777" w:rsidTr="004413C9">
        <w:trPr>
          <w:cantSplit/>
          <w:trHeight w:val="262"/>
        </w:trPr>
        <w:tc>
          <w:tcPr>
            <w:tcW w:w="1441" w:type="pct"/>
            <w:shd w:val="clear" w:color="auto" w:fill="auto"/>
            <w:tcMar>
              <w:left w:w="28" w:type="dxa"/>
              <w:right w:w="28" w:type="dxa"/>
            </w:tcMar>
            <w:vAlign w:val="center"/>
          </w:tcPr>
          <w:p w14:paraId="1D3FE190"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Hospitalisation (0.09; base=0.3)</w:t>
            </w:r>
          </w:p>
        </w:tc>
        <w:tc>
          <w:tcPr>
            <w:tcW w:w="523" w:type="pct"/>
            <w:shd w:val="clear" w:color="auto" w:fill="auto"/>
            <w:tcMar>
              <w:left w:w="28" w:type="dxa"/>
              <w:right w:w="28" w:type="dxa"/>
            </w:tcMar>
            <w:vAlign w:val="center"/>
          </w:tcPr>
          <w:p w14:paraId="36BD2203"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$29,705</w:t>
            </w:r>
          </w:p>
        </w:tc>
        <w:tc>
          <w:tcPr>
            <w:tcW w:w="446" w:type="pct"/>
            <w:shd w:val="clear" w:color="auto" w:fill="auto"/>
            <w:tcMar>
              <w:left w:w="28" w:type="dxa"/>
              <w:right w:w="28" w:type="dxa"/>
            </w:tcMar>
            <w:vAlign w:val="center"/>
          </w:tcPr>
          <w:p w14:paraId="10CE989F"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1.2178 </w:t>
            </w:r>
          </w:p>
        </w:tc>
        <w:tc>
          <w:tcPr>
            <w:tcW w:w="525" w:type="pct"/>
            <w:shd w:val="clear" w:color="auto" w:fill="auto"/>
            <w:tcMar>
              <w:left w:w="28" w:type="dxa"/>
              <w:right w:w="28" w:type="dxa"/>
            </w:tcMar>
            <w:vAlign w:val="center"/>
          </w:tcPr>
          <w:p w14:paraId="60C1C2D5"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$31,386</w:t>
            </w:r>
          </w:p>
        </w:tc>
        <w:tc>
          <w:tcPr>
            <w:tcW w:w="445" w:type="pct"/>
            <w:shd w:val="clear" w:color="auto" w:fill="auto"/>
            <w:tcMar>
              <w:left w:w="28" w:type="dxa"/>
              <w:right w:w="28" w:type="dxa"/>
            </w:tcMar>
            <w:vAlign w:val="center"/>
          </w:tcPr>
          <w:p w14:paraId="045C52A1"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1.1349 </w:t>
            </w:r>
          </w:p>
        </w:tc>
        <w:tc>
          <w:tcPr>
            <w:tcW w:w="502" w:type="pct"/>
            <w:shd w:val="clear" w:color="auto" w:fill="auto"/>
            <w:tcMar>
              <w:left w:w="28" w:type="dxa"/>
              <w:right w:w="28" w:type="dxa"/>
            </w:tcMar>
            <w:vAlign w:val="center"/>
          </w:tcPr>
          <w:p w14:paraId="64DA9785"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-$1,681</w:t>
            </w:r>
          </w:p>
        </w:tc>
        <w:tc>
          <w:tcPr>
            <w:tcW w:w="514" w:type="pct"/>
            <w:shd w:val="clear" w:color="auto" w:fill="auto"/>
            <w:tcMar>
              <w:left w:w="28" w:type="dxa"/>
              <w:right w:w="28" w:type="dxa"/>
            </w:tcMar>
            <w:vAlign w:val="center"/>
          </w:tcPr>
          <w:p w14:paraId="30F3A98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0.0829 </w:t>
            </w:r>
          </w:p>
        </w:tc>
        <w:tc>
          <w:tcPr>
            <w:tcW w:w="604" w:type="pct"/>
            <w:shd w:val="clear" w:color="auto" w:fill="auto"/>
            <w:tcMar>
              <w:left w:w="28" w:type="dxa"/>
              <w:right w:w="28" w:type="dxa"/>
            </w:tcMar>
            <w:vAlign w:val="center"/>
          </w:tcPr>
          <w:p w14:paraId="0EBB5C3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24FF000C" w14:textId="77777777" w:rsidTr="004413C9">
        <w:trPr>
          <w:cantSplit/>
          <w:trHeight w:val="262"/>
        </w:trPr>
        <w:tc>
          <w:tcPr>
            <w:tcW w:w="1441" w:type="pct"/>
            <w:shd w:val="clear" w:color="auto" w:fill="auto"/>
            <w:tcMar>
              <w:left w:w="28" w:type="dxa"/>
              <w:right w:w="28" w:type="dxa"/>
            </w:tcMar>
            <w:vAlign w:val="center"/>
          </w:tcPr>
          <w:p w14:paraId="14B54C9F" w14:textId="77777777" w:rsidR="003B7664" w:rsidRDefault="003B7664" w:rsidP="00ED70FB">
            <w:pPr>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Hospitalisation (0.40; base=0.3)</w:t>
            </w:r>
          </w:p>
        </w:tc>
        <w:tc>
          <w:tcPr>
            <w:tcW w:w="523" w:type="pct"/>
            <w:shd w:val="clear" w:color="auto" w:fill="auto"/>
            <w:tcMar>
              <w:left w:w="28" w:type="dxa"/>
              <w:right w:w="28" w:type="dxa"/>
            </w:tcMar>
            <w:vAlign w:val="center"/>
          </w:tcPr>
          <w:p w14:paraId="0A491CB9"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$29,746</w:t>
            </w:r>
          </w:p>
        </w:tc>
        <w:tc>
          <w:tcPr>
            <w:tcW w:w="446" w:type="pct"/>
            <w:shd w:val="clear" w:color="auto" w:fill="auto"/>
            <w:tcMar>
              <w:left w:w="28" w:type="dxa"/>
              <w:right w:w="28" w:type="dxa"/>
            </w:tcMar>
            <w:vAlign w:val="center"/>
          </w:tcPr>
          <w:p w14:paraId="31DF9816"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1.2712 </w:t>
            </w:r>
          </w:p>
        </w:tc>
        <w:tc>
          <w:tcPr>
            <w:tcW w:w="525" w:type="pct"/>
            <w:shd w:val="clear" w:color="auto" w:fill="auto"/>
            <w:tcMar>
              <w:left w:w="28" w:type="dxa"/>
              <w:right w:w="28" w:type="dxa"/>
            </w:tcMar>
            <w:vAlign w:val="center"/>
          </w:tcPr>
          <w:p w14:paraId="69DA444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$31,374</w:t>
            </w:r>
          </w:p>
        </w:tc>
        <w:tc>
          <w:tcPr>
            <w:tcW w:w="445" w:type="pct"/>
            <w:shd w:val="clear" w:color="auto" w:fill="auto"/>
            <w:tcMar>
              <w:left w:w="28" w:type="dxa"/>
              <w:right w:w="28" w:type="dxa"/>
            </w:tcMar>
            <w:vAlign w:val="center"/>
          </w:tcPr>
          <w:p w14:paraId="757A5226"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1.1990 </w:t>
            </w:r>
          </w:p>
        </w:tc>
        <w:tc>
          <w:tcPr>
            <w:tcW w:w="502" w:type="pct"/>
            <w:shd w:val="clear" w:color="auto" w:fill="auto"/>
            <w:tcMar>
              <w:left w:w="28" w:type="dxa"/>
              <w:right w:w="28" w:type="dxa"/>
            </w:tcMar>
            <w:vAlign w:val="center"/>
          </w:tcPr>
          <w:p w14:paraId="70AE6D65"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-$1,627</w:t>
            </w:r>
          </w:p>
        </w:tc>
        <w:tc>
          <w:tcPr>
            <w:tcW w:w="514" w:type="pct"/>
            <w:shd w:val="clear" w:color="auto" w:fill="auto"/>
            <w:tcMar>
              <w:left w:w="28" w:type="dxa"/>
              <w:right w:w="28" w:type="dxa"/>
            </w:tcMar>
            <w:vAlign w:val="center"/>
          </w:tcPr>
          <w:p w14:paraId="6EA7A39D"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0.0722 </w:t>
            </w:r>
          </w:p>
        </w:tc>
        <w:tc>
          <w:tcPr>
            <w:tcW w:w="604" w:type="pct"/>
            <w:shd w:val="clear" w:color="auto" w:fill="auto"/>
            <w:tcMar>
              <w:left w:w="28" w:type="dxa"/>
              <w:right w:w="28" w:type="dxa"/>
            </w:tcMar>
            <w:vAlign w:val="center"/>
          </w:tcPr>
          <w:p w14:paraId="303CBBD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68FFFE31" w14:textId="77777777" w:rsidTr="009A71BE">
        <w:trPr>
          <w:cantSplit/>
          <w:trHeight w:val="262"/>
        </w:trPr>
        <w:tc>
          <w:tcPr>
            <w:tcW w:w="5000" w:type="pct"/>
            <w:gridSpan w:val="8"/>
            <w:shd w:val="clear" w:color="auto" w:fill="auto"/>
            <w:tcMar>
              <w:left w:w="28" w:type="dxa"/>
              <w:right w:w="28" w:type="dxa"/>
            </w:tcMar>
            <w:vAlign w:val="center"/>
          </w:tcPr>
          <w:p w14:paraId="65B19723" w14:textId="77777777" w:rsidR="003B7664" w:rsidRPr="00112D81" w:rsidRDefault="003B7664" w:rsidP="00ED70FB">
            <w:pPr>
              <w:autoSpaceDE w:val="0"/>
              <w:autoSpaceDN w:val="0"/>
              <w:adjustRightInd w:val="0"/>
              <w:spacing w:before="40" w:after="40"/>
              <w:ind w:left="0"/>
              <w:rPr>
                <w:rFonts w:ascii="Arial Narrow" w:eastAsiaTheme="minorHAnsi" w:hAnsi="Arial Narrow" w:cs="Arial Narrow"/>
                <w:sz w:val="18"/>
                <w:szCs w:val="18"/>
              </w:rPr>
            </w:pPr>
            <w:r w:rsidRPr="00112D81">
              <w:rPr>
                <w:rFonts w:ascii="Arial Narrow" w:eastAsiaTheme="minorHAnsi" w:hAnsi="Arial Narrow" w:cs="Arial Narrow"/>
                <w:b/>
                <w:bCs/>
                <w:sz w:val="18"/>
                <w:szCs w:val="18"/>
              </w:rPr>
              <w:t>Multivariate sensitivity analysis</w:t>
            </w:r>
          </w:p>
        </w:tc>
      </w:tr>
      <w:tr w:rsidR="003B7664" w:rsidRPr="00112D81" w14:paraId="0F39FC86" w14:textId="77777777" w:rsidTr="004413C9">
        <w:trPr>
          <w:cantSplit/>
          <w:trHeight w:val="262"/>
        </w:trPr>
        <w:tc>
          <w:tcPr>
            <w:tcW w:w="1441" w:type="pct"/>
            <w:shd w:val="clear" w:color="auto" w:fill="auto"/>
            <w:tcMar>
              <w:left w:w="28" w:type="dxa"/>
              <w:right w:w="28" w:type="dxa"/>
            </w:tcMar>
            <w:vAlign w:val="center"/>
          </w:tcPr>
          <w:p w14:paraId="3FC78DE5" w14:textId="77777777" w:rsidR="003B7664" w:rsidRDefault="003B7664" w:rsidP="00ED70FB">
            <w:pPr>
              <w:autoSpaceDE w:val="0"/>
              <w:autoSpaceDN w:val="0"/>
              <w:adjustRightInd w:val="0"/>
              <w:spacing w:before="40" w:after="40"/>
              <w:ind w:left="142"/>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Decrement due to AE for all three treatment arms (beta distribution)</w:t>
            </w:r>
          </w:p>
        </w:tc>
        <w:tc>
          <w:tcPr>
            <w:tcW w:w="523" w:type="pct"/>
            <w:shd w:val="clear" w:color="auto" w:fill="auto"/>
            <w:tcMar>
              <w:left w:w="28" w:type="dxa"/>
              <w:right w:w="28" w:type="dxa"/>
            </w:tcMar>
            <w:vAlign w:val="center"/>
          </w:tcPr>
          <w:p w14:paraId="659B59D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$29,663</w:t>
            </w:r>
          </w:p>
        </w:tc>
        <w:tc>
          <w:tcPr>
            <w:tcW w:w="446" w:type="pct"/>
            <w:shd w:val="clear" w:color="auto" w:fill="auto"/>
            <w:tcMar>
              <w:left w:w="28" w:type="dxa"/>
              <w:right w:w="28" w:type="dxa"/>
            </w:tcMar>
            <w:vAlign w:val="center"/>
          </w:tcPr>
          <w:p w14:paraId="13D26A2B"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1.2500 </w:t>
            </w:r>
          </w:p>
        </w:tc>
        <w:tc>
          <w:tcPr>
            <w:tcW w:w="525" w:type="pct"/>
            <w:shd w:val="clear" w:color="auto" w:fill="auto"/>
            <w:tcMar>
              <w:left w:w="28" w:type="dxa"/>
              <w:right w:w="28" w:type="dxa"/>
            </w:tcMar>
            <w:vAlign w:val="center"/>
          </w:tcPr>
          <w:p w14:paraId="0A3FBE07"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$31,371</w:t>
            </w:r>
          </w:p>
        </w:tc>
        <w:tc>
          <w:tcPr>
            <w:tcW w:w="445" w:type="pct"/>
            <w:shd w:val="clear" w:color="auto" w:fill="auto"/>
            <w:tcMar>
              <w:left w:w="28" w:type="dxa"/>
              <w:right w:w="28" w:type="dxa"/>
            </w:tcMar>
            <w:vAlign w:val="center"/>
          </w:tcPr>
          <w:p w14:paraId="4A69D42E"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1.1800 </w:t>
            </w:r>
          </w:p>
        </w:tc>
        <w:tc>
          <w:tcPr>
            <w:tcW w:w="502" w:type="pct"/>
            <w:shd w:val="clear" w:color="auto" w:fill="auto"/>
            <w:tcMar>
              <w:left w:w="28" w:type="dxa"/>
              <w:right w:w="28" w:type="dxa"/>
            </w:tcMar>
            <w:vAlign w:val="center"/>
          </w:tcPr>
          <w:p w14:paraId="58FDC70B"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-$1,708</w:t>
            </w:r>
          </w:p>
        </w:tc>
        <w:tc>
          <w:tcPr>
            <w:tcW w:w="514" w:type="pct"/>
            <w:shd w:val="clear" w:color="auto" w:fill="auto"/>
            <w:tcMar>
              <w:left w:w="28" w:type="dxa"/>
              <w:right w:w="28" w:type="dxa"/>
            </w:tcMar>
            <w:vAlign w:val="center"/>
          </w:tcPr>
          <w:p w14:paraId="1AC9E523"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0.0700 </w:t>
            </w:r>
          </w:p>
        </w:tc>
        <w:tc>
          <w:tcPr>
            <w:tcW w:w="604" w:type="pct"/>
            <w:shd w:val="clear" w:color="auto" w:fill="auto"/>
            <w:tcMar>
              <w:left w:w="28" w:type="dxa"/>
              <w:right w:w="28" w:type="dxa"/>
            </w:tcMar>
            <w:vAlign w:val="center"/>
          </w:tcPr>
          <w:p w14:paraId="4E683805" w14:textId="77777777" w:rsidR="003B7664" w:rsidRDefault="003B7664" w:rsidP="00ED70FB">
            <w:pPr>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3928B86C" w14:textId="77777777" w:rsidTr="004413C9">
        <w:trPr>
          <w:cantSplit/>
          <w:trHeight w:val="262"/>
        </w:trPr>
        <w:tc>
          <w:tcPr>
            <w:tcW w:w="1441" w:type="pct"/>
            <w:shd w:val="clear" w:color="auto" w:fill="auto"/>
            <w:tcMar>
              <w:left w:w="28" w:type="dxa"/>
              <w:right w:w="28" w:type="dxa"/>
            </w:tcMar>
            <w:vAlign w:val="center"/>
          </w:tcPr>
          <w:p w14:paraId="3E9958F4" w14:textId="77777777" w:rsidR="003B7664" w:rsidRDefault="003B7664" w:rsidP="004E72DC">
            <w:pPr>
              <w:keepNext/>
              <w:autoSpaceDE w:val="0"/>
              <w:autoSpaceDN w:val="0"/>
              <w:adjustRightInd w:val="0"/>
              <w:spacing w:before="40" w:after="40"/>
              <w:ind w:left="142"/>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Cost of AE for all treatment arms (gamma distribution)</w:t>
            </w:r>
          </w:p>
        </w:tc>
        <w:tc>
          <w:tcPr>
            <w:tcW w:w="523" w:type="pct"/>
            <w:shd w:val="clear" w:color="auto" w:fill="auto"/>
            <w:tcMar>
              <w:left w:w="28" w:type="dxa"/>
              <w:right w:w="28" w:type="dxa"/>
            </w:tcMar>
            <w:vAlign w:val="center"/>
          </w:tcPr>
          <w:p w14:paraId="1BF64BEE"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$29,670</w:t>
            </w:r>
          </w:p>
        </w:tc>
        <w:tc>
          <w:tcPr>
            <w:tcW w:w="446" w:type="pct"/>
            <w:shd w:val="clear" w:color="auto" w:fill="auto"/>
            <w:tcMar>
              <w:left w:w="28" w:type="dxa"/>
              <w:right w:w="28" w:type="dxa"/>
            </w:tcMar>
            <w:vAlign w:val="center"/>
          </w:tcPr>
          <w:p w14:paraId="52CBA148"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1.2500 </w:t>
            </w:r>
          </w:p>
        </w:tc>
        <w:tc>
          <w:tcPr>
            <w:tcW w:w="525" w:type="pct"/>
            <w:shd w:val="clear" w:color="auto" w:fill="auto"/>
            <w:tcMar>
              <w:left w:w="28" w:type="dxa"/>
              <w:right w:w="28" w:type="dxa"/>
            </w:tcMar>
            <w:vAlign w:val="center"/>
          </w:tcPr>
          <w:p w14:paraId="68F72D5B"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$31,389</w:t>
            </w:r>
          </w:p>
        </w:tc>
        <w:tc>
          <w:tcPr>
            <w:tcW w:w="445" w:type="pct"/>
            <w:shd w:val="clear" w:color="auto" w:fill="auto"/>
            <w:tcMar>
              <w:left w:w="28" w:type="dxa"/>
              <w:right w:w="28" w:type="dxa"/>
            </w:tcMar>
            <w:vAlign w:val="center"/>
          </w:tcPr>
          <w:p w14:paraId="6D93F2F8"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1.1800 </w:t>
            </w:r>
          </w:p>
        </w:tc>
        <w:tc>
          <w:tcPr>
            <w:tcW w:w="502" w:type="pct"/>
            <w:shd w:val="clear" w:color="auto" w:fill="auto"/>
            <w:tcMar>
              <w:left w:w="28" w:type="dxa"/>
              <w:right w:w="28" w:type="dxa"/>
            </w:tcMar>
            <w:vAlign w:val="center"/>
          </w:tcPr>
          <w:p w14:paraId="5FDCF80C"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-$1,719</w:t>
            </w:r>
          </w:p>
        </w:tc>
        <w:tc>
          <w:tcPr>
            <w:tcW w:w="514" w:type="pct"/>
            <w:shd w:val="clear" w:color="auto" w:fill="auto"/>
            <w:tcMar>
              <w:left w:w="28" w:type="dxa"/>
              <w:right w:w="28" w:type="dxa"/>
            </w:tcMar>
            <w:vAlign w:val="center"/>
          </w:tcPr>
          <w:p w14:paraId="3B24CA30"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0.0700 </w:t>
            </w:r>
          </w:p>
        </w:tc>
        <w:tc>
          <w:tcPr>
            <w:tcW w:w="604" w:type="pct"/>
            <w:shd w:val="clear" w:color="auto" w:fill="auto"/>
            <w:tcMar>
              <w:left w:w="28" w:type="dxa"/>
              <w:right w:w="28" w:type="dxa"/>
            </w:tcMar>
            <w:vAlign w:val="center"/>
          </w:tcPr>
          <w:p w14:paraId="0D6D6783"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bl>
    <w:p w14:paraId="6A37EB09" w14:textId="77777777" w:rsidR="004413C9" w:rsidRDefault="004413C9" w:rsidP="004E72DC">
      <w:pPr>
        <w:keepNext/>
        <w:spacing w:before="40" w:after="40"/>
        <w:ind w:left="709"/>
        <w:rPr>
          <w:rFonts w:ascii="Arial Narrow" w:hAnsi="Arial Narrow"/>
          <w:sz w:val="18"/>
          <w:szCs w:val="18"/>
        </w:rPr>
      </w:pPr>
      <w:r w:rsidRPr="004413C9">
        <w:rPr>
          <w:rFonts w:ascii="Arial Narrow" w:hAnsi="Arial Narrow"/>
          <w:sz w:val="18"/>
          <w:szCs w:val="18"/>
        </w:rPr>
        <w:t>Source:</w:t>
      </w:r>
      <w:r>
        <w:rPr>
          <w:rFonts w:ascii="Arial Narrow" w:hAnsi="Arial Narrow"/>
          <w:sz w:val="18"/>
          <w:szCs w:val="18"/>
        </w:rPr>
        <w:t xml:space="preserve"> </w:t>
      </w:r>
      <w:r w:rsidRPr="004413C9">
        <w:rPr>
          <w:rFonts w:ascii="Arial Narrow" w:hAnsi="Arial Narrow"/>
          <w:sz w:val="18"/>
          <w:szCs w:val="18"/>
        </w:rPr>
        <w:t>rTMS final results - base case and sensitivity analysis</w:t>
      </w:r>
      <w:r>
        <w:rPr>
          <w:rFonts w:ascii="Arial Narrow" w:hAnsi="Arial Narrow"/>
          <w:sz w:val="18"/>
          <w:szCs w:val="18"/>
        </w:rPr>
        <w:t>.xlsx</w:t>
      </w:r>
    </w:p>
    <w:p w14:paraId="7E40B65F" w14:textId="77777777" w:rsidR="009A71BE" w:rsidRDefault="003B7664" w:rsidP="004E72DC">
      <w:pPr>
        <w:keepNext/>
        <w:spacing w:before="40" w:after="40"/>
        <w:ind w:left="709"/>
        <w:jc w:val="both"/>
        <w:rPr>
          <w:rFonts w:ascii="Arial Narrow" w:hAnsi="Arial Narrow"/>
          <w:sz w:val="18"/>
          <w:szCs w:val="18"/>
        </w:rPr>
      </w:pPr>
      <w:r>
        <w:rPr>
          <w:rFonts w:ascii="Arial Narrow" w:hAnsi="Arial Narrow"/>
          <w:sz w:val="18"/>
          <w:szCs w:val="18"/>
        </w:rPr>
        <w:t xml:space="preserve">ECT = Electroconvulsive therapy; rTMS = repetitive Transcranial Magnetic Stimulation; REM = remission; AE = adverse events; </w:t>
      </w:r>
    </w:p>
    <w:p w14:paraId="13A14F41" w14:textId="46BDE5D1" w:rsidR="004E72DC" w:rsidRDefault="003B7664" w:rsidP="004E72DC">
      <w:pPr>
        <w:keepNext/>
        <w:spacing w:before="40" w:after="40"/>
        <w:ind w:left="709"/>
        <w:rPr>
          <w:rFonts w:ascii="Arial Narrow" w:hAnsi="Arial Narrow"/>
          <w:sz w:val="18"/>
          <w:szCs w:val="18"/>
        </w:rPr>
      </w:pPr>
      <w:proofErr w:type="gramStart"/>
      <w:r w:rsidRPr="004413C9">
        <w:rPr>
          <w:rFonts w:ascii="Arial Narrow" w:hAnsi="Arial Narrow"/>
          <w:sz w:val="18"/>
          <w:szCs w:val="18"/>
          <w:vertAlign w:val="superscript"/>
        </w:rPr>
        <w:t>a</w:t>
      </w:r>
      <w:proofErr w:type="gramEnd"/>
      <w:r w:rsidRPr="009A71BE">
        <w:rPr>
          <w:rFonts w:ascii="Arial Narrow" w:hAnsi="Arial Narrow"/>
          <w:sz w:val="18"/>
          <w:szCs w:val="18"/>
        </w:rPr>
        <w:t xml:space="preserve"> The full sensitivity analysis result</w:t>
      </w:r>
      <w:r w:rsidR="00C907B9">
        <w:rPr>
          <w:rFonts w:ascii="Arial Narrow" w:hAnsi="Arial Narrow"/>
          <w:sz w:val="18"/>
          <w:szCs w:val="18"/>
        </w:rPr>
        <w:t>s</w:t>
      </w:r>
      <w:r w:rsidRPr="009A71BE">
        <w:rPr>
          <w:rFonts w:ascii="Arial Narrow" w:hAnsi="Arial Narrow"/>
          <w:sz w:val="18"/>
          <w:szCs w:val="18"/>
        </w:rPr>
        <w:t xml:space="preserve"> can be found in </w:t>
      </w:r>
      <w:r w:rsidR="00C907B9">
        <w:rPr>
          <w:rFonts w:ascii="Arial Narrow" w:hAnsi="Arial Narrow"/>
          <w:sz w:val="18"/>
          <w:szCs w:val="18"/>
        </w:rPr>
        <w:t>Appendix D</w:t>
      </w:r>
      <w:r w:rsidR="004413C9">
        <w:rPr>
          <w:rFonts w:ascii="Arial Narrow" w:hAnsi="Arial Narrow"/>
          <w:sz w:val="18"/>
          <w:szCs w:val="18"/>
        </w:rPr>
        <w:t xml:space="preserve"> and the excel file (</w:t>
      </w:r>
      <w:r w:rsidR="004413C9" w:rsidRPr="004413C9">
        <w:rPr>
          <w:rFonts w:ascii="Arial Narrow" w:hAnsi="Arial Narrow"/>
          <w:sz w:val="18"/>
          <w:szCs w:val="18"/>
        </w:rPr>
        <w:t>rTMS final results - base case and sensitivity analysis</w:t>
      </w:r>
      <w:r w:rsidR="004413C9">
        <w:rPr>
          <w:rFonts w:ascii="Arial Narrow" w:hAnsi="Arial Narrow"/>
          <w:sz w:val="18"/>
          <w:szCs w:val="18"/>
        </w:rPr>
        <w:t xml:space="preserve">.xlsx). </w:t>
      </w:r>
    </w:p>
    <w:p w14:paraId="2E6A2417" w14:textId="77777777" w:rsidR="004E72DC" w:rsidRDefault="004E72DC" w:rsidP="004E72DC"/>
    <w:p w14:paraId="38F75807" w14:textId="19A4F54E" w:rsidR="003B7664" w:rsidRPr="003B7664" w:rsidRDefault="001507E1" w:rsidP="004E72DC">
      <w:pPr>
        <w:pStyle w:val="TableName"/>
      </w:pPr>
      <w:bookmarkStart w:id="163" w:name="_Ref386032084"/>
      <w:bookmarkStart w:id="164" w:name="_Toc386017841"/>
      <w:bookmarkStart w:id="165" w:name="_Toc389140549"/>
      <w:bookmarkStart w:id="166" w:name="_Toc389142168"/>
      <w:bookmarkStart w:id="167" w:name="_Toc389143591"/>
      <w:r w:rsidRPr="00632D26">
        <w:lastRenderedPageBreak/>
        <w:t xml:space="preserve">Table </w:t>
      </w:r>
      <w:r w:rsidR="004C1C27">
        <w:fldChar w:fldCharType="begin"/>
      </w:r>
      <w:r w:rsidR="004C1C27">
        <w:instrText xml:space="preserve"> SEQ Table \* ARABIC </w:instrText>
      </w:r>
      <w:r w:rsidR="004C1C27">
        <w:fldChar w:fldCharType="separate"/>
      </w:r>
      <w:r w:rsidR="004C1C27">
        <w:rPr>
          <w:noProof/>
        </w:rPr>
        <w:t>6</w:t>
      </w:r>
      <w:r w:rsidR="004C1C27">
        <w:rPr>
          <w:noProof/>
        </w:rPr>
        <w:fldChar w:fldCharType="end"/>
      </w:r>
      <w:bookmarkEnd w:id="163"/>
      <w:r w:rsidRPr="00632D26">
        <w:t xml:space="preserve">: </w:t>
      </w:r>
      <w:r w:rsidR="003B7664" w:rsidRPr="003B7664">
        <w:t>Results of the economic model – rTMS vs ECT</w:t>
      </w:r>
      <w:bookmarkEnd w:id="164"/>
      <w:bookmarkEnd w:id="165"/>
      <w:bookmarkEnd w:id="166"/>
      <w:bookmarkEnd w:id="167"/>
    </w:p>
    <w:tbl>
      <w:tblPr>
        <w:tblW w:w="4582" w:type="pct"/>
        <w:tblInd w:w="7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Caption w:val="Result of economic model: rTMS vs. ECT"/>
      </w:tblPr>
      <w:tblGrid>
        <w:gridCol w:w="2332"/>
        <w:gridCol w:w="874"/>
        <w:gridCol w:w="741"/>
        <w:gridCol w:w="874"/>
        <w:gridCol w:w="741"/>
        <w:gridCol w:w="837"/>
        <w:gridCol w:w="859"/>
        <w:gridCol w:w="1065"/>
      </w:tblGrid>
      <w:tr w:rsidR="003B7664" w:rsidRPr="00112D81" w14:paraId="05791E71" w14:textId="77777777" w:rsidTr="004413C9">
        <w:trPr>
          <w:cantSplit/>
          <w:trHeight w:val="262"/>
          <w:tblHeader/>
        </w:trPr>
        <w:tc>
          <w:tcPr>
            <w:tcW w:w="1401" w:type="pct"/>
            <w:vMerge w:val="restart"/>
            <w:shd w:val="clear" w:color="auto" w:fill="auto"/>
            <w:tcMar>
              <w:left w:w="28" w:type="dxa"/>
              <w:right w:w="28" w:type="dxa"/>
            </w:tcMar>
            <w:vAlign w:val="center"/>
          </w:tcPr>
          <w:p w14:paraId="03F8DDF0" w14:textId="77777777" w:rsidR="003B7664" w:rsidRPr="00112D81" w:rsidRDefault="003B7664" w:rsidP="004E72DC">
            <w:pPr>
              <w:keepNext/>
              <w:autoSpaceDE w:val="0"/>
              <w:autoSpaceDN w:val="0"/>
              <w:adjustRightInd w:val="0"/>
              <w:spacing w:before="40" w:after="40"/>
              <w:ind w:left="0"/>
              <w:jc w:val="right"/>
              <w:rPr>
                <w:rFonts w:ascii="Arial Narrow" w:eastAsiaTheme="minorHAnsi" w:hAnsi="Arial Narrow" w:cs="Arial Narrow"/>
                <w:sz w:val="18"/>
                <w:szCs w:val="18"/>
              </w:rPr>
            </w:pPr>
          </w:p>
        </w:tc>
        <w:tc>
          <w:tcPr>
            <w:tcW w:w="970" w:type="pct"/>
            <w:gridSpan w:val="2"/>
            <w:shd w:val="clear" w:color="auto" w:fill="auto"/>
            <w:tcMar>
              <w:left w:w="28" w:type="dxa"/>
              <w:right w:w="28" w:type="dxa"/>
            </w:tcMar>
            <w:vAlign w:val="center"/>
          </w:tcPr>
          <w:p w14:paraId="7D66E80C"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rTMS</w:t>
            </w:r>
          </w:p>
        </w:tc>
        <w:tc>
          <w:tcPr>
            <w:tcW w:w="970" w:type="pct"/>
            <w:gridSpan w:val="2"/>
            <w:shd w:val="clear" w:color="auto" w:fill="auto"/>
            <w:tcMar>
              <w:left w:w="28" w:type="dxa"/>
              <w:right w:w="28" w:type="dxa"/>
            </w:tcMar>
            <w:vAlign w:val="center"/>
          </w:tcPr>
          <w:p w14:paraId="6FE10679"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ECT</w:t>
            </w:r>
          </w:p>
        </w:tc>
        <w:tc>
          <w:tcPr>
            <w:tcW w:w="1659" w:type="pct"/>
            <w:gridSpan w:val="3"/>
            <w:shd w:val="clear" w:color="auto" w:fill="auto"/>
            <w:tcMar>
              <w:left w:w="28" w:type="dxa"/>
              <w:right w:w="28" w:type="dxa"/>
            </w:tcMar>
            <w:vAlign w:val="center"/>
          </w:tcPr>
          <w:p w14:paraId="26C24260"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rTMS vs. ECT</w:t>
            </w:r>
          </w:p>
        </w:tc>
      </w:tr>
      <w:tr w:rsidR="003B7664" w:rsidRPr="00112D81" w14:paraId="00FF53E5" w14:textId="77777777" w:rsidTr="004413C9">
        <w:trPr>
          <w:cantSplit/>
          <w:trHeight w:val="262"/>
          <w:tblHeader/>
        </w:trPr>
        <w:tc>
          <w:tcPr>
            <w:tcW w:w="1401" w:type="pct"/>
            <w:vMerge/>
            <w:shd w:val="clear" w:color="auto" w:fill="auto"/>
            <w:tcMar>
              <w:left w:w="28" w:type="dxa"/>
              <w:right w:w="28" w:type="dxa"/>
            </w:tcMar>
            <w:vAlign w:val="center"/>
          </w:tcPr>
          <w:p w14:paraId="1291860F" w14:textId="77777777" w:rsidR="003B7664" w:rsidRPr="00112D81" w:rsidRDefault="003B7664" w:rsidP="004E72DC">
            <w:pPr>
              <w:keepNext/>
              <w:autoSpaceDE w:val="0"/>
              <w:autoSpaceDN w:val="0"/>
              <w:adjustRightInd w:val="0"/>
              <w:spacing w:before="40" w:after="40"/>
              <w:ind w:left="0"/>
              <w:rPr>
                <w:rFonts w:ascii="Arial Narrow" w:eastAsiaTheme="minorHAnsi" w:hAnsi="Arial Narrow" w:cs="Arial Narrow"/>
                <w:b/>
                <w:bCs/>
                <w:sz w:val="18"/>
                <w:szCs w:val="18"/>
              </w:rPr>
            </w:pPr>
          </w:p>
        </w:tc>
        <w:tc>
          <w:tcPr>
            <w:tcW w:w="525" w:type="pct"/>
            <w:shd w:val="clear" w:color="auto" w:fill="auto"/>
            <w:tcMar>
              <w:left w:w="28" w:type="dxa"/>
              <w:right w:w="28" w:type="dxa"/>
            </w:tcMar>
            <w:vAlign w:val="center"/>
          </w:tcPr>
          <w:p w14:paraId="73D098FB"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Cost</w:t>
            </w:r>
          </w:p>
        </w:tc>
        <w:tc>
          <w:tcPr>
            <w:tcW w:w="445" w:type="pct"/>
            <w:shd w:val="clear" w:color="auto" w:fill="auto"/>
            <w:tcMar>
              <w:left w:w="28" w:type="dxa"/>
              <w:right w:w="28" w:type="dxa"/>
            </w:tcMar>
            <w:vAlign w:val="center"/>
          </w:tcPr>
          <w:p w14:paraId="2489C37B"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QALY</w:t>
            </w:r>
          </w:p>
        </w:tc>
        <w:tc>
          <w:tcPr>
            <w:tcW w:w="525" w:type="pct"/>
            <w:shd w:val="clear" w:color="auto" w:fill="auto"/>
            <w:tcMar>
              <w:left w:w="28" w:type="dxa"/>
              <w:right w:w="28" w:type="dxa"/>
            </w:tcMar>
            <w:vAlign w:val="center"/>
          </w:tcPr>
          <w:p w14:paraId="541D078B"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Cost</w:t>
            </w:r>
          </w:p>
        </w:tc>
        <w:tc>
          <w:tcPr>
            <w:tcW w:w="445" w:type="pct"/>
            <w:shd w:val="clear" w:color="auto" w:fill="auto"/>
            <w:tcMar>
              <w:left w:w="28" w:type="dxa"/>
              <w:right w:w="28" w:type="dxa"/>
            </w:tcMar>
            <w:vAlign w:val="center"/>
          </w:tcPr>
          <w:p w14:paraId="78B752BC"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QALY</w:t>
            </w:r>
          </w:p>
        </w:tc>
        <w:tc>
          <w:tcPr>
            <w:tcW w:w="503" w:type="pct"/>
            <w:shd w:val="clear" w:color="auto" w:fill="auto"/>
            <w:tcMar>
              <w:left w:w="28" w:type="dxa"/>
              <w:right w:w="28" w:type="dxa"/>
            </w:tcMar>
            <w:vAlign w:val="center"/>
          </w:tcPr>
          <w:p w14:paraId="2BEDDE13"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sym w:font="Symbol" w:char="F044"/>
            </w:r>
            <w:r w:rsidRPr="00112D81">
              <w:rPr>
                <w:rFonts w:ascii="Arial Narrow" w:eastAsiaTheme="minorHAnsi" w:hAnsi="Arial Narrow" w:cs="Arial Narrow"/>
                <w:b/>
                <w:bCs/>
                <w:sz w:val="18"/>
                <w:szCs w:val="18"/>
              </w:rPr>
              <w:t>Cost</w:t>
            </w:r>
          </w:p>
        </w:tc>
        <w:tc>
          <w:tcPr>
            <w:tcW w:w="516" w:type="pct"/>
            <w:shd w:val="clear" w:color="auto" w:fill="auto"/>
            <w:tcMar>
              <w:left w:w="28" w:type="dxa"/>
              <w:right w:w="28" w:type="dxa"/>
            </w:tcMar>
            <w:vAlign w:val="center"/>
          </w:tcPr>
          <w:p w14:paraId="5F6D4868"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sym w:font="Symbol" w:char="F044"/>
            </w:r>
            <w:r w:rsidRPr="00112D81">
              <w:rPr>
                <w:rFonts w:ascii="Arial Narrow" w:eastAsiaTheme="minorHAnsi" w:hAnsi="Arial Narrow" w:cs="Arial Narrow"/>
                <w:b/>
                <w:bCs/>
                <w:sz w:val="18"/>
                <w:szCs w:val="18"/>
              </w:rPr>
              <w:t>QALY</w:t>
            </w:r>
          </w:p>
        </w:tc>
        <w:tc>
          <w:tcPr>
            <w:tcW w:w="640" w:type="pct"/>
            <w:shd w:val="clear" w:color="auto" w:fill="auto"/>
            <w:tcMar>
              <w:left w:w="28" w:type="dxa"/>
              <w:right w:w="28" w:type="dxa"/>
            </w:tcMar>
            <w:vAlign w:val="center"/>
          </w:tcPr>
          <w:p w14:paraId="7E7F9EE3" w14:textId="77777777" w:rsidR="003B7664" w:rsidRPr="00112D81" w:rsidRDefault="003B7664" w:rsidP="004E72DC">
            <w:pPr>
              <w:keepNext/>
              <w:autoSpaceDE w:val="0"/>
              <w:autoSpaceDN w:val="0"/>
              <w:adjustRightInd w:val="0"/>
              <w:spacing w:before="40" w:after="40"/>
              <w:ind w:left="0"/>
              <w:jc w:val="center"/>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ICER</w:t>
            </w:r>
          </w:p>
        </w:tc>
      </w:tr>
      <w:tr w:rsidR="003B7664" w:rsidRPr="00112D81" w14:paraId="2919AD3F" w14:textId="77777777" w:rsidTr="009A71BE">
        <w:trPr>
          <w:cantSplit/>
          <w:trHeight w:val="262"/>
          <w:tblHeader/>
        </w:trPr>
        <w:tc>
          <w:tcPr>
            <w:tcW w:w="5000" w:type="pct"/>
            <w:gridSpan w:val="8"/>
            <w:shd w:val="clear" w:color="auto" w:fill="auto"/>
            <w:tcMar>
              <w:left w:w="28" w:type="dxa"/>
              <w:right w:w="28" w:type="dxa"/>
            </w:tcMar>
            <w:vAlign w:val="center"/>
          </w:tcPr>
          <w:p w14:paraId="5E421B2E" w14:textId="77777777" w:rsidR="003B7664" w:rsidRPr="00112D81" w:rsidRDefault="003B7664" w:rsidP="004E72DC">
            <w:pPr>
              <w:keepNext/>
              <w:autoSpaceDE w:val="0"/>
              <w:autoSpaceDN w:val="0"/>
              <w:adjustRightInd w:val="0"/>
              <w:spacing w:before="40" w:after="40"/>
              <w:ind w:left="0"/>
              <w:rPr>
                <w:rFonts w:ascii="Arial Narrow" w:eastAsiaTheme="minorHAnsi" w:hAnsi="Arial Narrow" w:cs="Arial Narrow"/>
                <w:b/>
                <w:sz w:val="18"/>
                <w:szCs w:val="18"/>
              </w:rPr>
            </w:pPr>
            <w:r w:rsidRPr="00112D81">
              <w:rPr>
                <w:rFonts w:ascii="Arial Narrow" w:eastAsiaTheme="minorHAnsi" w:hAnsi="Arial Narrow" w:cs="Arial Narrow"/>
                <w:b/>
                <w:bCs/>
                <w:sz w:val="18"/>
                <w:szCs w:val="18"/>
              </w:rPr>
              <w:t>Base case</w:t>
            </w:r>
          </w:p>
        </w:tc>
      </w:tr>
      <w:tr w:rsidR="003B7664" w:rsidRPr="00112D81" w14:paraId="5F275EB0" w14:textId="77777777" w:rsidTr="004413C9">
        <w:trPr>
          <w:cantSplit/>
          <w:trHeight w:val="262"/>
          <w:tblHeader/>
        </w:trPr>
        <w:tc>
          <w:tcPr>
            <w:tcW w:w="1401" w:type="pct"/>
            <w:shd w:val="clear" w:color="auto" w:fill="auto"/>
            <w:tcMar>
              <w:left w:w="28" w:type="dxa"/>
              <w:right w:w="28" w:type="dxa"/>
            </w:tcMar>
            <w:vAlign w:val="center"/>
          </w:tcPr>
          <w:p w14:paraId="591820A7" w14:textId="77777777" w:rsidR="003B7664" w:rsidRPr="00E4662B" w:rsidRDefault="003B7664" w:rsidP="004E72DC">
            <w:pPr>
              <w:keepNext/>
              <w:autoSpaceDE w:val="0"/>
              <w:autoSpaceDN w:val="0"/>
              <w:adjustRightInd w:val="0"/>
              <w:spacing w:before="40" w:after="40"/>
              <w:ind w:left="142"/>
              <w:rPr>
                <w:rFonts w:ascii="Arial Narrow" w:eastAsiaTheme="minorHAnsi" w:hAnsi="Arial Narrow" w:cs="Arial Narrow"/>
                <w:b/>
                <w:sz w:val="18"/>
                <w:szCs w:val="18"/>
              </w:rPr>
            </w:pPr>
            <w:r w:rsidRPr="00E4662B">
              <w:rPr>
                <w:rFonts w:ascii="Arial Narrow" w:eastAsiaTheme="minorHAnsi" w:hAnsi="Arial Narrow" w:cs="Arial Narrow"/>
                <w:b/>
                <w:sz w:val="18"/>
                <w:szCs w:val="18"/>
              </w:rPr>
              <w:t xml:space="preserve">50,000 trials </w:t>
            </w:r>
          </w:p>
        </w:tc>
        <w:tc>
          <w:tcPr>
            <w:tcW w:w="525" w:type="pct"/>
            <w:shd w:val="clear" w:color="auto" w:fill="auto"/>
            <w:tcMar>
              <w:left w:w="28" w:type="dxa"/>
              <w:right w:w="28" w:type="dxa"/>
            </w:tcMar>
            <w:vAlign w:val="center"/>
          </w:tcPr>
          <w:p w14:paraId="0DA98D8C" w14:textId="77777777" w:rsidR="003B7664" w:rsidRPr="00E4662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4662B">
              <w:rPr>
                <w:rFonts w:ascii="Arial Narrow" w:eastAsiaTheme="minorHAnsi" w:hAnsi="Arial Narrow" w:cs="Arial Narrow"/>
                <w:b/>
                <w:color w:val="000000"/>
                <w:sz w:val="18"/>
                <w:szCs w:val="18"/>
              </w:rPr>
              <w:t>$29,670</w:t>
            </w:r>
          </w:p>
        </w:tc>
        <w:tc>
          <w:tcPr>
            <w:tcW w:w="445" w:type="pct"/>
            <w:shd w:val="clear" w:color="auto" w:fill="auto"/>
            <w:tcMar>
              <w:left w:w="28" w:type="dxa"/>
              <w:right w:w="28" w:type="dxa"/>
            </w:tcMar>
            <w:vAlign w:val="center"/>
          </w:tcPr>
          <w:p w14:paraId="3CA7F665" w14:textId="77777777" w:rsidR="003B7664" w:rsidRPr="00E4662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4662B">
              <w:rPr>
                <w:rFonts w:ascii="Arial Narrow" w:eastAsiaTheme="minorHAnsi" w:hAnsi="Arial Narrow" w:cs="Arial Narrow"/>
                <w:b/>
                <w:color w:val="000000"/>
                <w:sz w:val="18"/>
                <w:szCs w:val="18"/>
              </w:rPr>
              <w:t xml:space="preserve">1.2500 </w:t>
            </w:r>
          </w:p>
        </w:tc>
        <w:tc>
          <w:tcPr>
            <w:tcW w:w="525" w:type="pct"/>
            <w:shd w:val="clear" w:color="auto" w:fill="auto"/>
            <w:tcMar>
              <w:left w:w="28" w:type="dxa"/>
              <w:right w:w="28" w:type="dxa"/>
            </w:tcMar>
            <w:vAlign w:val="center"/>
          </w:tcPr>
          <w:p w14:paraId="12A465EC" w14:textId="77777777" w:rsidR="003B7664" w:rsidRPr="00E4662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4662B">
              <w:rPr>
                <w:rFonts w:ascii="Arial Narrow" w:eastAsiaTheme="minorHAnsi" w:hAnsi="Arial Narrow" w:cs="Arial Narrow"/>
                <w:b/>
                <w:color w:val="000000"/>
                <w:sz w:val="18"/>
                <w:szCs w:val="18"/>
              </w:rPr>
              <w:t>$31,261</w:t>
            </w:r>
          </w:p>
        </w:tc>
        <w:tc>
          <w:tcPr>
            <w:tcW w:w="445" w:type="pct"/>
            <w:shd w:val="clear" w:color="auto" w:fill="auto"/>
            <w:tcMar>
              <w:left w:w="28" w:type="dxa"/>
              <w:right w:w="28" w:type="dxa"/>
            </w:tcMar>
            <w:vAlign w:val="center"/>
          </w:tcPr>
          <w:p w14:paraId="47E6D16C" w14:textId="77777777" w:rsidR="003B7664" w:rsidRPr="00E4662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4662B">
              <w:rPr>
                <w:rFonts w:ascii="Arial Narrow" w:eastAsiaTheme="minorHAnsi" w:hAnsi="Arial Narrow" w:cs="Arial Narrow"/>
                <w:b/>
                <w:color w:val="000000"/>
                <w:sz w:val="18"/>
                <w:szCs w:val="18"/>
              </w:rPr>
              <w:t xml:space="preserve">1.2800 </w:t>
            </w:r>
          </w:p>
        </w:tc>
        <w:tc>
          <w:tcPr>
            <w:tcW w:w="503" w:type="pct"/>
            <w:shd w:val="clear" w:color="auto" w:fill="auto"/>
            <w:tcMar>
              <w:left w:w="28" w:type="dxa"/>
              <w:right w:w="28" w:type="dxa"/>
            </w:tcMar>
            <w:vAlign w:val="center"/>
          </w:tcPr>
          <w:p w14:paraId="7CFCE908" w14:textId="77777777" w:rsidR="003B7664" w:rsidRPr="00E4662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4662B">
              <w:rPr>
                <w:rFonts w:ascii="Arial Narrow" w:eastAsiaTheme="minorHAnsi" w:hAnsi="Arial Narrow" w:cs="Arial Narrow"/>
                <w:b/>
                <w:color w:val="000000"/>
                <w:sz w:val="18"/>
                <w:szCs w:val="18"/>
              </w:rPr>
              <w:t>-$1,591</w:t>
            </w:r>
          </w:p>
        </w:tc>
        <w:tc>
          <w:tcPr>
            <w:tcW w:w="516" w:type="pct"/>
            <w:shd w:val="clear" w:color="auto" w:fill="auto"/>
            <w:tcMar>
              <w:left w:w="28" w:type="dxa"/>
              <w:right w:w="28" w:type="dxa"/>
            </w:tcMar>
            <w:vAlign w:val="center"/>
          </w:tcPr>
          <w:p w14:paraId="0D84DF15" w14:textId="77777777" w:rsidR="003B7664" w:rsidRPr="00E4662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4662B">
              <w:rPr>
                <w:rFonts w:ascii="Arial Narrow" w:eastAsiaTheme="minorHAnsi" w:hAnsi="Arial Narrow" w:cs="Arial Narrow"/>
                <w:b/>
                <w:color w:val="000000"/>
                <w:sz w:val="18"/>
                <w:szCs w:val="18"/>
              </w:rPr>
              <w:t xml:space="preserve">-0.0300 </w:t>
            </w:r>
          </w:p>
        </w:tc>
        <w:tc>
          <w:tcPr>
            <w:tcW w:w="640" w:type="pct"/>
            <w:shd w:val="clear" w:color="auto" w:fill="auto"/>
            <w:tcMar>
              <w:left w:w="28" w:type="dxa"/>
              <w:right w:w="28" w:type="dxa"/>
            </w:tcMar>
            <w:vAlign w:val="center"/>
          </w:tcPr>
          <w:p w14:paraId="3D6ECFD1" w14:textId="77777777" w:rsidR="003B7664" w:rsidRPr="00E4662B" w:rsidRDefault="003B7664" w:rsidP="004E72DC">
            <w:pPr>
              <w:keepNext/>
              <w:autoSpaceDE w:val="0"/>
              <w:autoSpaceDN w:val="0"/>
              <w:adjustRightInd w:val="0"/>
              <w:spacing w:before="40" w:after="40"/>
              <w:ind w:left="0"/>
              <w:jc w:val="center"/>
              <w:rPr>
                <w:rFonts w:ascii="Arial Narrow" w:eastAsiaTheme="minorHAnsi" w:hAnsi="Arial Narrow" w:cs="Arial Narrow"/>
                <w:b/>
                <w:color w:val="000000"/>
                <w:sz w:val="18"/>
                <w:szCs w:val="18"/>
              </w:rPr>
            </w:pPr>
            <w:r w:rsidRPr="00E4662B">
              <w:rPr>
                <w:rFonts w:ascii="Arial Narrow" w:eastAsiaTheme="minorHAnsi" w:hAnsi="Arial Narrow" w:cs="Arial Narrow"/>
                <w:b/>
                <w:color w:val="000000"/>
                <w:sz w:val="18"/>
                <w:szCs w:val="18"/>
              </w:rPr>
              <w:t>$75,844</w:t>
            </w:r>
          </w:p>
        </w:tc>
      </w:tr>
      <w:tr w:rsidR="003B7664" w:rsidRPr="00112D81" w14:paraId="36AA3EE0" w14:textId="77777777" w:rsidTr="009A71BE">
        <w:trPr>
          <w:cantSplit/>
          <w:trHeight w:val="262"/>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14:paraId="04687702" w14:textId="77777777" w:rsidR="003B7664" w:rsidRPr="00112D81" w:rsidRDefault="003B7664" w:rsidP="004E72DC">
            <w:pPr>
              <w:keepNext/>
              <w:autoSpaceDE w:val="0"/>
              <w:autoSpaceDN w:val="0"/>
              <w:adjustRightInd w:val="0"/>
              <w:spacing w:before="40" w:after="40"/>
              <w:ind w:left="0"/>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One-way sensitivity analyses (selected) a</w:t>
            </w:r>
          </w:p>
        </w:tc>
      </w:tr>
      <w:tr w:rsidR="003B7664" w:rsidRPr="00112D81" w14:paraId="55B2405C" w14:textId="77777777" w:rsidTr="004413C9">
        <w:trPr>
          <w:cantSplit/>
          <w:trHeight w:val="262"/>
        </w:trPr>
        <w:tc>
          <w:tcPr>
            <w:tcW w:w="1401" w:type="pct"/>
            <w:shd w:val="clear" w:color="auto" w:fill="auto"/>
            <w:tcMar>
              <w:left w:w="28" w:type="dxa"/>
              <w:right w:w="28" w:type="dxa"/>
            </w:tcMar>
            <w:vAlign w:val="center"/>
          </w:tcPr>
          <w:p w14:paraId="3C3AE53A" w14:textId="77777777" w:rsidR="003B7664" w:rsidRPr="00112D81" w:rsidRDefault="003B7664" w:rsidP="004E72DC">
            <w:pPr>
              <w:keepNext/>
              <w:autoSpaceDE w:val="0"/>
              <w:autoSpaceDN w:val="0"/>
              <w:adjustRightInd w:val="0"/>
              <w:spacing w:before="40" w:after="40"/>
              <w:ind w:left="142"/>
              <w:rPr>
                <w:rFonts w:ascii="Arial Narrow" w:eastAsiaTheme="minorHAnsi" w:hAnsi="Arial Narrow" w:cs="Arial Narrow"/>
                <w:sz w:val="18"/>
                <w:szCs w:val="18"/>
              </w:rPr>
            </w:pPr>
            <w:r w:rsidRPr="00112D81">
              <w:rPr>
                <w:rFonts w:ascii="Arial Narrow" w:eastAsiaTheme="minorHAnsi" w:hAnsi="Arial Narrow" w:cs="Arial Narrow"/>
                <w:sz w:val="18"/>
                <w:szCs w:val="18"/>
              </w:rPr>
              <w:t>100 samples of 50,000 trials</w:t>
            </w:r>
          </w:p>
        </w:tc>
        <w:tc>
          <w:tcPr>
            <w:tcW w:w="525" w:type="pct"/>
            <w:shd w:val="clear" w:color="auto" w:fill="auto"/>
            <w:tcMar>
              <w:left w:w="28" w:type="dxa"/>
              <w:right w:w="28" w:type="dxa"/>
            </w:tcMar>
            <w:vAlign w:val="center"/>
          </w:tcPr>
          <w:p w14:paraId="3A78B158"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$29,675</w:t>
            </w:r>
          </w:p>
        </w:tc>
        <w:tc>
          <w:tcPr>
            <w:tcW w:w="445" w:type="pct"/>
            <w:shd w:val="clear" w:color="auto" w:fill="auto"/>
            <w:tcMar>
              <w:left w:w="28" w:type="dxa"/>
              <w:right w:w="28" w:type="dxa"/>
            </w:tcMar>
            <w:vAlign w:val="center"/>
          </w:tcPr>
          <w:p w14:paraId="43385D8D"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1.2500 </w:t>
            </w:r>
          </w:p>
        </w:tc>
        <w:tc>
          <w:tcPr>
            <w:tcW w:w="525" w:type="pct"/>
            <w:shd w:val="clear" w:color="auto" w:fill="auto"/>
            <w:tcMar>
              <w:left w:w="28" w:type="dxa"/>
              <w:right w:w="28" w:type="dxa"/>
            </w:tcMar>
            <w:vAlign w:val="center"/>
          </w:tcPr>
          <w:p w14:paraId="6469C93B"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$31,301</w:t>
            </w:r>
          </w:p>
        </w:tc>
        <w:tc>
          <w:tcPr>
            <w:tcW w:w="445" w:type="pct"/>
            <w:shd w:val="clear" w:color="auto" w:fill="auto"/>
            <w:tcMar>
              <w:left w:w="28" w:type="dxa"/>
              <w:right w:w="28" w:type="dxa"/>
            </w:tcMar>
            <w:vAlign w:val="center"/>
          </w:tcPr>
          <w:p w14:paraId="4959C290"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1.2800 </w:t>
            </w:r>
          </w:p>
        </w:tc>
        <w:tc>
          <w:tcPr>
            <w:tcW w:w="503" w:type="pct"/>
            <w:shd w:val="clear" w:color="auto" w:fill="auto"/>
            <w:tcMar>
              <w:left w:w="28" w:type="dxa"/>
              <w:right w:w="28" w:type="dxa"/>
            </w:tcMar>
            <w:vAlign w:val="center"/>
          </w:tcPr>
          <w:p w14:paraId="1389D7E5"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-$1,626</w:t>
            </w:r>
          </w:p>
        </w:tc>
        <w:tc>
          <w:tcPr>
            <w:tcW w:w="516" w:type="pct"/>
            <w:shd w:val="clear" w:color="auto" w:fill="auto"/>
            <w:tcMar>
              <w:left w:w="28" w:type="dxa"/>
              <w:right w:w="28" w:type="dxa"/>
            </w:tcMar>
            <w:vAlign w:val="center"/>
          </w:tcPr>
          <w:p w14:paraId="2A2C2DE8"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-0.0300 </w:t>
            </w:r>
          </w:p>
        </w:tc>
        <w:tc>
          <w:tcPr>
            <w:tcW w:w="640" w:type="pct"/>
            <w:shd w:val="clear" w:color="auto" w:fill="auto"/>
            <w:tcMar>
              <w:left w:w="28" w:type="dxa"/>
              <w:right w:w="28" w:type="dxa"/>
            </w:tcMar>
            <w:vAlign w:val="center"/>
          </w:tcPr>
          <w:p w14:paraId="7BE9DC38"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$74,291</w:t>
            </w:r>
          </w:p>
        </w:tc>
      </w:tr>
      <w:tr w:rsidR="003B7664" w:rsidRPr="00112D81" w14:paraId="0D5AAE49" w14:textId="77777777" w:rsidTr="009A71BE">
        <w:trPr>
          <w:cantSplit/>
          <w:trHeight w:val="262"/>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14:paraId="325BF88B" w14:textId="77777777" w:rsidR="003B7664" w:rsidRPr="00112D81" w:rsidRDefault="003B7664" w:rsidP="004E72DC">
            <w:pPr>
              <w:widowControl w:val="0"/>
              <w:autoSpaceDE w:val="0"/>
              <w:autoSpaceDN w:val="0"/>
              <w:adjustRightInd w:val="0"/>
              <w:spacing w:before="40" w:after="40"/>
              <w:ind w:left="142"/>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 xml:space="preserve">Transition probabilities </w:t>
            </w:r>
          </w:p>
        </w:tc>
      </w:tr>
      <w:tr w:rsidR="003B7664" w:rsidRPr="00112D81" w14:paraId="0ECDB7EF" w14:textId="77777777" w:rsidTr="004413C9">
        <w:trPr>
          <w:cantSplit/>
          <w:trHeight w:val="262"/>
        </w:trPr>
        <w:tc>
          <w:tcPr>
            <w:tcW w:w="1401" w:type="pct"/>
            <w:shd w:val="clear" w:color="auto" w:fill="auto"/>
            <w:tcMar>
              <w:left w:w="28" w:type="dxa"/>
              <w:right w:w="28" w:type="dxa"/>
            </w:tcMar>
            <w:vAlign w:val="center"/>
          </w:tcPr>
          <w:p w14:paraId="6ADCEC6D"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proofErr w:type="gramStart"/>
            <w:r>
              <w:rPr>
                <w:rFonts w:ascii="Arial Narrow" w:eastAsiaTheme="minorHAnsi" w:hAnsi="Arial Narrow" w:cs="Arial Narrow"/>
                <w:color w:val="000000"/>
                <w:sz w:val="18"/>
                <w:szCs w:val="18"/>
              </w:rPr>
              <w:t>rTMS</w:t>
            </w:r>
            <w:proofErr w:type="gramEnd"/>
            <w:r>
              <w:rPr>
                <w:rFonts w:ascii="Arial Narrow" w:eastAsiaTheme="minorHAnsi" w:hAnsi="Arial Narrow" w:cs="Arial Narrow"/>
                <w:color w:val="000000"/>
                <w:sz w:val="18"/>
                <w:szCs w:val="18"/>
              </w:rPr>
              <w:t xml:space="preserve"> REM: 1st treatment (19.7%; base=21.5%)</w:t>
            </w:r>
          </w:p>
        </w:tc>
        <w:tc>
          <w:tcPr>
            <w:tcW w:w="525" w:type="pct"/>
            <w:shd w:val="clear" w:color="auto" w:fill="auto"/>
            <w:tcMar>
              <w:left w:w="28" w:type="dxa"/>
              <w:right w:w="28" w:type="dxa"/>
            </w:tcMar>
            <w:vAlign w:val="center"/>
          </w:tcPr>
          <w:p w14:paraId="3866FD7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$30,087</w:t>
            </w:r>
          </w:p>
        </w:tc>
        <w:tc>
          <w:tcPr>
            <w:tcW w:w="445" w:type="pct"/>
            <w:shd w:val="clear" w:color="auto" w:fill="auto"/>
            <w:tcMar>
              <w:left w:w="28" w:type="dxa"/>
              <w:right w:w="28" w:type="dxa"/>
            </w:tcMar>
            <w:vAlign w:val="center"/>
          </w:tcPr>
          <w:p w14:paraId="6217BA3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1.2500 </w:t>
            </w:r>
          </w:p>
        </w:tc>
        <w:tc>
          <w:tcPr>
            <w:tcW w:w="525" w:type="pct"/>
            <w:shd w:val="clear" w:color="auto" w:fill="auto"/>
            <w:tcMar>
              <w:left w:w="28" w:type="dxa"/>
              <w:right w:w="28" w:type="dxa"/>
            </w:tcMar>
            <w:vAlign w:val="center"/>
          </w:tcPr>
          <w:p w14:paraId="434EC77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$31,364</w:t>
            </w:r>
          </w:p>
        </w:tc>
        <w:tc>
          <w:tcPr>
            <w:tcW w:w="445" w:type="pct"/>
            <w:shd w:val="clear" w:color="auto" w:fill="auto"/>
            <w:tcMar>
              <w:left w:w="28" w:type="dxa"/>
              <w:right w:w="28" w:type="dxa"/>
            </w:tcMar>
            <w:vAlign w:val="center"/>
          </w:tcPr>
          <w:p w14:paraId="4046D5A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1.2762 </w:t>
            </w:r>
          </w:p>
        </w:tc>
        <w:tc>
          <w:tcPr>
            <w:tcW w:w="503" w:type="pct"/>
            <w:shd w:val="clear" w:color="auto" w:fill="auto"/>
            <w:tcMar>
              <w:left w:w="28" w:type="dxa"/>
              <w:right w:w="28" w:type="dxa"/>
            </w:tcMar>
            <w:vAlign w:val="center"/>
          </w:tcPr>
          <w:p w14:paraId="787F550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-$1,277</w:t>
            </w:r>
          </w:p>
        </w:tc>
        <w:tc>
          <w:tcPr>
            <w:tcW w:w="516" w:type="pct"/>
            <w:shd w:val="clear" w:color="auto" w:fill="auto"/>
            <w:tcMar>
              <w:left w:w="28" w:type="dxa"/>
              <w:right w:w="28" w:type="dxa"/>
            </w:tcMar>
            <w:vAlign w:val="center"/>
          </w:tcPr>
          <w:p w14:paraId="47EF2825"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-0.0262 </w:t>
            </w:r>
          </w:p>
        </w:tc>
        <w:tc>
          <w:tcPr>
            <w:tcW w:w="640" w:type="pct"/>
            <w:shd w:val="clear" w:color="auto" w:fill="auto"/>
            <w:tcMar>
              <w:left w:w="28" w:type="dxa"/>
              <w:right w:w="28" w:type="dxa"/>
            </w:tcMar>
            <w:vAlign w:val="center"/>
          </w:tcPr>
          <w:p w14:paraId="3CE3EB7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$48,809</w:t>
            </w:r>
          </w:p>
        </w:tc>
      </w:tr>
      <w:tr w:rsidR="003B7664" w:rsidRPr="00112D81" w14:paraId="48191FBD" w14:textId="77777777" w:rsidTr="004413C9">
        <w:trPr>
          <w:cantSplit/>
          <w:trHeight w:val="262"/>
        </w:trPr>
        <w:tc>
          <w:tcPr>
            <w:tcW w:w="1401" w:type="pct"/>
            <w:shd w:val="clear" w:color="auto" w:fill="auto"/>
            <w:tcMar>
              <w:left w:w="28" w:type="dxa"/>
              <w:right w:w="28" w:type="dxa"/>
            </w:tcMar>
            <w:vAlign w:val="center"/>
          </w:tcPr>
          <w:p w14:paraId="05161508"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proofErr w:type="gramStart"/>
            <w:r>
              <w:rPr>
                <w:rFonts w:ascii="Arial Narrow" w:eastAsiaTheme="minorHAnsi" w:hAnsi="Arial Narrow" w:cs="Arial Narrow"/>
                <w:color w:val="000000"/>
                <w:sz w:val="18"/>
                <w:szCs w:val="18"/>
              </w:rPr>
              <w:t>rTMS</w:t>
            </w:r>
            <w:proofErr w:type="gramEnd"/>
            <w:r>
              <w:rPr>
                <w:rFonts w:ascii="Arial Narrow" w:eastAsiaTheme="minorHAnsi" w:hAnsi="Arial Narrow" w:cs="Arial Narrow"/>
                <w:color w:val="000000"/>
                <w:sz w:val="18"/>
                <w:szCs w:val="18"/>
              </w:rPr>
              <w:t xml:space="preserve"> REM: 1st treatment (31.2%; base=21.5%)</w:t>
            </w:r>
          </w:p>
        </w:tc>
        <w:tc>
          <w:tcPr>
            <w:tcW w:w="525" w:type="pct"/>
            <w:shd w:val="clear" w:color="auto" w:fill="auto"/>
            <w:tcMar>
              <w:left w:w="28" w:type="dxa"/>
              <w:right w:w="28" w:type="dxa"/>
            </w:tcMar>
            <w:vAlign w:val="center"/>
          </w:tcPr>
          <w:p w14:paraId="3B31992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$27,670</w:t>
            </w:r>
          </w:p>
        </w:tc>
        <w:tc>
          <w:tcPr>
            <w:tcW w:w="445" w:type="pct"/>
            <w:shd w:val="clear" w:color="auto" w:fill="auto"/>
            <w:tcMar>
              <w:left w:w="28" w:type="dxa"/>
              <w:right w:w="28" w:type="dxa"/>
            </w:tcMar>
            <w:vAlign w:val="center"/>
          </w:tcPr>
          <w:p w14:paraId="78CCCD9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1.2776 </w:t>
            </w:r>
          </w:p>
        </w:tc>
        <w:tc>
          <w:tcPr>
            <w:tcW w:w="525" w:type="pct"/>
            <w:shd w:val="clear" w:color="auto" w:fill="auto"/>
            <w:tcMar>
              <w:left w:w="28" w:type="dxa"/>
              <w:right w:w="28" w:type="dxa"/>
            </w:tcMar>
            <w:vAlign w:val="center"/>
          </w:tcPr>
          <w:p w14:paraId="63F93AE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$31,295</w:t>
            </w:r>
          </w:p>
        </w:tc>
        <w:tc>
          <w:tcPr>
            <w:tcW w:w="445" w:type="pct"/>
            <w:shd w:val="clear" w:color="auto" w:fill="auto"/>
            <w:tcMar>
              <w:left w:w="28" w:type="dxa"/>
              <w:right w:w="28" w:type="dxa"/>
            </w:tcMar>
            <w:vAlign w:val="center"/>
          </w:tcPr>
          <w:p w14:paraId="6B55B0B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1.2755 </w:t>
            </w:r>
          </w:p>
        </w:tc>
        <w:tc>
          <w:tcPr>
            <w:tcW w:w="503" w:type="pct"/>
            <w:shd w:val="clear" w:color="auto" w:fill="auto"/>
            <w:tcMar>
              <w:left w:w="28" w:type="dxa"/>
              <w:right w:w="28" w:type="dxa"/>
            </w:tcMar>
            <w:vAlign w:val="center"/>
          </w:tcPr>
          <w:p w14:paraId="516965E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-$3,625</w:t>
            </w:r>
          </w:p>
        </w:tc>
        <w:tc>
          <w:tcPr>
            <w:tcW w:w="516" w:type="pct"/>
            <w:shd w:val="clear" w:color="auto" w:fill="auto"/>
            <w:tcMar>
              <w:left w:w="28" w:type="dxa"/>
              <w:right w:w="28" w:type="dxa"/>
            </w:tcMar>
            <w:vAlign w:val="center"/>
          </w:tcPr>
          <w:p w14:paraId="5377077D"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0.0022 </w:t>
            </w:r>
          </w:p>
        </w:tc>
        <w:tc>
          <w:tcPr>
            <w:tcW w:w="640" w:type="pct"/>
            <w:shd w:val="clear" w:color="auto" w:fill="auto"/>
            <w:tcMar>
              <w:left w:w="28" w:type="dxa"/>
              <w:right w:w="28" w:type="dxa"/>
            </w:tcMar>
            <w:vAlign w:val="center"/>
          </w:tcPr>
          <w:p w14:paraId="1867259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07C9F487" w14:textId="77777777" w:rsidTr="004413C9">
        <w:trPr>
          <w:cantSplit/>
          <w:trHeight w:val="262"/>
        </w:trPr>
        <w:tc>
          <w:tcPr>
            <w:tcW w:w="1401" w:type="pct"/>
            <w:shd w:val="clear" w:color="auto" w:fill="auto"/>
            <w:tcMar>
              <w:left w:w="28" w:type="dxa"/>
              <w:right w:w="28" w:type="dxa"/>
            </w:tcMar>
            <w:vAlign w:val="center"/>
          </w:tcPr>
          <w:p w14:paraId="06E37D5D"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Lose REM after rTMS, no maintenance (10%; base = 16.6%)</w:t>
            </w:r>
          </w:p>
        </w:tc>
        <w:tc>
          <w:tcPr>
            <w:tcW w:w="525" w:type="pct"/>
            <w:shd w:val="clear" w:color="auto" w:fill="auto"/>
            <w:tcMar>
              <w:left w:w="28" w:type="dxa"/>
              <w:right w:w="28" w:type="dxa"/>
            </w:tcMar>
            <w:vAlign w:val="center"/>
          </w:tcPr>
          <w:p w14:paraId="604D1B3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$27,409</w:t>
            </w:r>
          </w:p>
        </w:tc>
        <w:tc>
          <w:tcPr>
            <w:tcW w:w="445" w:type="pct"/>
            <w:shd w:val="clear" w:color="auto" w:fill="auto"/>
            <w:tcMar>
              <w:left w:w="28" w:type="dxa"/>
              <w:right w:w="28" w:type="dxa"/>
            </w:tcMar>
            <w:vAlign w:val="center"/>
          </w:tcPr>
          <w:p w14:paraId="091B1E2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1.2957 </w:t>
            </w:r>
          </w:p>
        </w:tc>
        <w:tc>
          <w:tcPr>
            <w:tcW w:w="525" w:type="pct"/>
            <w:shd w:val="clear" w:color="auto" w:fill="auto"/>
            <w:tcMar>
              <w:left w:w="28" w:type="dxa"/>
              <w:right w:w="28" w:type="dxa"/>
            </w:tcMar>
            <w:vAlign w:val="center"/>
          </w:tcPr>
          <w:p w14:paraId="70605E9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$31,300</w:t>
            </w:r>
          </w:p>
        </w:tc>
        <w:tc>
          <w:tcPr>
            <w:tcW w:w="445" w:type="pct"/>
            <w:shd w:val="clear" w:color="auto" w:fill="auto"/>
            <w:tcMar>
              <w:left w:w="28" w:type="dxa"/>
              <w:right w:w="28" w:type="dxa"/>
            </w:tcMar>
            <w:vAlign w:val="center"/>
          </w:tcPr>
          <w:p w14:paraId="3C1A797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1.2746 </w:t>
            </w:r>
          </w:p>
        </w:tc>
        <w:tc>
          <w:tcPr>
            <w:tcW w:w="503" w:type="pct"/>
            <w:shd w:val="clear" w:color="auto" w:fill="auto"/>
            <w:tcMar>
              <w:left w:w="28" w:type="dxa"/>
              <w:right w:w="28" w:type="dxa"/>
            </w:tcMar>
            <w:vAlign w:val="center"/>
          </w:tcPr>
          <w:p w14:paraId="5EB2883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-$3,891</w:t>
            </w:r>
          </w:p>
        </w:tc>
        <w:tc>
          <w:tcPr>
            <w:tcW w:w="516" w:type="pct"/>
            <w:shd w:val="clear" w:color="auto" w:fill="auto"/>
            <w:tcMar>
              <w:left w:w="28" w:type="dxa"/>
              <w:right w:w="28" w:type="dxa"/>
            </w:tcMar>
            <w:vAlign w:val="center"/>
          </w:tcPr>
          <w:p w14:paraId="021FC85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0.0211 </w:t>
            </w:r>
          </w:p>
        </w:tc>
        <w:tc>
          <w:tcPr>
            <w:tcW w:w="640" w:type="pct"/>
            <w:shd w:val="clear" w:color="auto" w:fill="auto"/>
            <w:tcMar>
              <w:left w:w="28" w:type="dxa"/>
              <w:right w:w="28" w:type="dxa"/>
            </w:tcMar>
            <w:vAlign w:val="center"/>
          </w:tcPr>
          <w:p w14:paraId="1854C9A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7DC39688" w14:textId="77777777" w:rsidTr="004413C9">
        <w:trPr>
          <w:cantSplit/>
          <w:trHeight w:val="262"/>
        </w:trPr>
        <w:tc>
          <w:tcPr>
            <w:tcW w:w="1401" w:type="pct"/>
            <w:shd w:val="clear" w:color="auto" w:fill="auto"/>
            <w:tcMar>
              <w:left w:w="28" w:type="dxa"/>
              <w:right w:w="28" w:type="dxa"/>
            </w:tcMar>
            <w:vAlign w:val="center"/>
          </w:tcPr>
          <w:p w14:paraId="69B6A121"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Lose REM after rTMS, no maintenance (20%; base = 16.6%)</w:t>
            </w:r>
          </w:p>
        </w:tc>
        <w:tc>
          <w:tcPr>
            <w:tcW w:w="525" w:type="pct"/>
            <w:shd w:val="clear" w:color="auto" w:fill="auto"/>
            <w:tcMar>
              <w:left w:w="28" w:type="dxa"/>
              <w:right w:w="28" w:type="dxa"/>
            </w:tcMar>
            <w:vAlign w:val="center"/>
          </w:tcPr>
          <w:p w14:paraId="1E5050C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$30,532</w:t>
            </w:r>
          </w:p>
        </w:tc>
        <w:tc>
          <w:tcPr>
            <w:tcW w:w="445" w:type="pct"/>
            <w:shd w:val="clear" w:color="auto" w:fill="auto"/>
            <w:tcMar>
              <w:left w:w="28" w:type="dxa"/>
              <w:right w:w="28" w:type="dxa"/>
            </w:tcMar>
            <w:vAlign w:val="center"/>
          </w:tcPr>
          <w:p w14:paraId="0A3770F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1.2360 </w:t>
            </w:r>
          </w:p>
        </w:tc>
        <w:tc>
          <w:tcPr>
            <w:tcW w:w="525" w:type="pct"/>
            <w:shd w:val="clear" w:color="auto" w:fill="auto"/>
            <w:tcMar>
              <w:left w:w="28" w:type="dxa"/>
              <w:right w:w="28" w:type="dxa"/>
            </w:tcMar>
            <w:vAlign w:val="center"/>
          </w:tcPr>
          <w:p w14:paraId="0BF617BE"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$31,263</w:t>
            </w:r>
          </w:p>
        </w:tc>
        <w:tc>
          <w:tcPr>
            <w:tcW w:w="445" w:type="pct"/>
            <w:shd w:val="clear" w:color="auto" w:fill="auto"/>
            <w:tcMar>
              <w:left w:w="28" w:type="dxa"/>
              <w:right w:w="28" w:type="dxa"/>
            </w:tcMar>
            <w:vAlign w:val="center"/>
          </w:tcPr>
          <w:p w14:paraId="7AF97D3B"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1.2762 </w:t>
            </w:r>
          </w:p>
        </w:tc>
        <w:tc>
          <w:tcPr>
            <w:tcW w:w="503" w:type="pct"/>
            <w:shd w:val="clear" w:color="auto" w:fill="auto"/>
            <w:tcMar>
              <w:left w:w="28" w:type="dxa"/>
              <w:right w:w="28" w:type="dxa"/>
            </w:tcMar>
            <w:vAlign w:val="center"/>
          </w:tcPr>
          <w:p w14:paraId="50463CE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-$731</w:t>
            </w:r>
          </w:p>
        </w:tc>
        <w:tc>
          <w:tcPr>
            <w:tcW w:w="516" w:type="pct"/>
            <w:shd w:val="clear" w:color="auto" w:fill="auto"/>
            <w:tcMar>
              <w:left w:w="28" w:type="dxa"/>
              <w:right w:w="28" w:type="dxa"/>
            </w:tcMar>
            <w:vAlign w:val="center"/>
          </w:tcPr>
          <w:p w14:paraId="319AC56E"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-0.0402 </w:t>
            </w:r>
          </w:p>
        </w:tc>
        <w:tc>
          <w:tcPr>
            <w:tcW w:w="640" w:type="pct"/>
            <w:shd w:val="clear" w:color="auto" w:fill="auto"/>
            <w:tcMar>
              <w:left w:w="28" w:type="dxa"/>
              <w:right w:w="28" w:type="dxa"/>
            </w:tcMar>
            <w:vAlign w:val="center"/>
          </w:tcPr>
          <w:p w14:paraId="1994D53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$18,192</w:t>
            </w:r>
          </w:p>
        </w:tc>
      </w:tr>
      <w:tr w:rsidR="003B7664" w:rsidRPr="00112D81" w14:paraId="5F922106" w14:textId="77777777" w:rsidTr="004413C9">
        <w:trPr>
          <w:cantSplit/>
          <w:trHeight w:val="262"/>
        </w:trPr>
        <w:tc>
          <w:tcPr>
            <w:tcW w:w="1401" w:type="pct"/>
            <w:shd w:val="clear" w:color="auto" w:fill="auto"/>
            <w:tcMar>
              <w:left w:w="28" w:type="dxa"/>
              <w:right w:w="28" w:type="dxa"/>
            </w:tcMar>
            <w:vAlign w:val="center"/>
          </w:tcPr>
          <w:p w14:paraId="5372E886"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Lose REM after rTMS, on maintenance (8%; base=12%)</w:t>
            </w:r>
          </w:p>
        </w:tc>
        <w:tc>
          <w:tcPr>
            <w:tcW w:w="525" w:type="pct"/>
            <w:shd w:val="clear" w:color="auto" w:fill="auto"/>
            <w:tcMar>
              <w:left w:w="28" w:type="dxa"/>
              <w:right w:w="28" w:type="dxa"/>
            </w:tcMar>
            <w:vAlign w:val="center"/>
          </w:tcPr>
          <w:p w14:paraId="7A4F461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$29,403</w:t>
            </w:r>
          </w:p>
        </w:tc>
        <w:tc>
          <w:tcPr>
            <w:tcW w:w="445" w:type="pct"/>
            <w:shd w:val="clear" w:color="auto" w:fill="auto"/>
            <w:tcMar>
              <w:left w:w="28" w:type="dxa"/>
              <w:right w:w="28" w:type="dxa"/>
            </w:tcMar>
            <w:vAlign w:val="center"/>
          </w:tcPr>
          <w:p w14:paraId="4E41431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1.2571 </w:t>
            </w:r>
          </w:p>
        </w:tc>
        <w:tc>
          <w:tcPr>
            <w:tcW w:w="525" w:type="pct"/>
            <w:shd w:val="clear" w:color="auto" w:fill="auto"/>
            <w:tcMar>
              <w:left w:w="28" w:type="dxa"/>
              <w:right w:w="28" w:type="dxa"/>
            </w:tcMar>
            <w:vAlign w:val="center"/>
          </w:tcPr>
          <w:p w14:paraId="38B795B5"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$31,345</w:t>
            </w:r>
          </w:p>
        </w:tc>
        <w:tc>
          <w:tcPr>
            <w:tcW w:w="445" w:type="pct"/>
            <w:shd w:val="clear" w:color="auto" w:fill="auto"/>
            <w:tcMar>
              <w:left w:w="28" w:type="dxa"/>
              <w:right w:w="28" w:type="dxa"/>
            </w:tcMar>
            <w:vAlign w:val="center"/>
          </w:tcPr>
          <w:p w14:paraId="75F71E1D"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1.2744 </w:t>
            </w:r>
          </w:p>
        </w:tc>
        <w:tc>
          <w:tcPr>
            <w:tcW w:w="503" w:type="pct"/>
            <w:shd w:val="clear" w:color="auto" w:fill="auto"/>
            <w:tcMar>
              <w:left w:w="28" w:type="dxa"/>
              <w:right w:w="28" w:type="dxa"/>
            </w:tcMar>
            <w:vAlign w:val="center"/>
          </w:tcPr>
          <w:p w14:paraId="244B24D0"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-$1,942</w:t>
            </w:r>
          </w:p>
        </w:tc>
        <w:tc>
          <w:tcPr>
            <w:tcW w:w="516" w:type="pct"/>
            <w:shd w:val="clear" w:color="auto" w:fill="auto"/>
            <w:tcMar>
              <w:left w:w="28" w:type="dxa"/>
              <w:right w:w="28" w:type="dxa"/>
            </w:tcMar>
            <w:vAlign w:val="center"/>
          </w:tcPr>
          <w:p w14:paraId="71D0172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-0.0174 </w:t>
            </w:r>
          </w:p>
        </w:tc>
        <w:tc>
          <w:tcPr>
            <w:tcW w:w="640" w:type="pct"/>
            <w:shd w:val="clear" w:color="auto" w:fill="auto"/>
            <w:tcMar>
              <w:left w:w="28" w:type="dxa"/>
              <w:right w:w="28" w:type="dxa"/>
            </w:tcMar>
            <w:vAlign w:val="center"/>
          </w:tcPr>
          <w:p w14:paraId="571519F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$111,944</w:t>
            </w:r>
          </w:p>
        </w:tc>
      </w:tr>
      <w:tr w:rsidR="003B7664" w:rsidRPr="00112D81" w14:paraId="3B228417" w14:textId="77777777" w:rsidTr="004413C9">
        <w:trPr>
          <w:cantSplit/>
          <w:trHeight w:val="262"/>
        </w:trPr>
        <w:tc>
          <w:tcPr>
            <w:tcW w:w="1401" w:type="pct"/>
            <w:shd w:val="clear" w:color="auto" w:fill="auto"/>
            <w:tcMar>
              <w:left w:w="28" w:type="dxa"/>
              <w:right w:w="28" w:type="dxa"/>
            </w:tcMar>
            <w:vAlign w:val="center"/>
          </w:tcPr>
          <w:p w14:paraId="0409CC88"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ETC REM: 1st treatment (35%; base=46.3%)</w:t>
            </w:r>
          </w:p>
        </w:tc>
        <w:tc>
          <w:tcPr>
            <w:tcW w:w="525" w:type="pct"/>
            <w:shd w:val="clear" w:color="auto" w:fill="auto"/>
            <w:tcMar>
              <w:left w:w="28" w:type="dxa"/>
              <w:right w:w="28" w:type="dxa"/>
            </w:tcMar>
            <w:vAlign w:val="center"/>
          </w:tcPr>
          <w:p w14:paraId="06F83FB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$31,268</w:t>
            </w:r>
          </w:p>
        </w:tc>
        <w:tc>
          <w:tcPr>
            <w:tcW w:w="445" w:type="pct"/>
            <w:shd w:val="clear" w:color="auto" w:fill="auto"/>
            <w:tcMar>
              <w:left w:w="28" w:type="dxa"/>
              <w:right w:w="28" w:type="dxa"/>
            </w:tcMar>
            <w:vAlign w:val="center"/>
          </w:tcPr>
          <w:p w14:paraId="7CB1462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1.2408 </w:t>
            </w:r>
          </w:p>
        </w:tc>
        <w:tc>
          <w:tcPr>
            <w:tcW w:w="525" w:type="pct"/>
            <w:shd w:val="clear" w:color="auto" w:fill="auto"/>
            <w:tcMar>
              <w:left w:w="28" w:type="dxa"/>
              <w:right w:w="28" w:type="dxa"/>
            </w:tcMar>
            <w:vAlign w:val="center"/>
          </w:tcPr>
          <w:p w14:paraId="37DDAEA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$34,851</w:t>
            </w:r>
          </w:p>
        </w:tc>
        <w:tc>
          <w:tcPr>
            <w:tcW w:w="445" w:type="pct"/>
            <w:shd w:val="clear" w:color="auto" w:fill="auto"/>
            <w:tcMar>
              <w:left w:w="28" w:type="dxa"/>
              <w:right w:w="28" w:type="dxa"/>
            </w:tcMar>
            <w:vAlign w:val="center"/>
          </w:tcPr>
          <w:p w14:paraId="4E82C83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1.2401 </w:t>
            </w:r>
          </w:p>
        </w:tc>
        <w:tc>
          <w:tcPr>
            <w:tcW w:w="503" w:type="pct"/>
            <w:shd w:val="clear" w:color="auto" w:fill="auto"/>
            <w:tcMar>
              <w:left w:w="28" w:type="dxa"/>
              <w:right w:w="28" w:type="dxa"/>
            </w:tcMar>
            <w:vAlign w:val="center"/>
          </w:tcPr>
          <w:p w14:paraId="0A48982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-$3,582</w:t>
            </w:r>
          </w:p>
        </w:tc>
        <w:tc>
          <w:tcPr>
            <w:tcW w:w="516" w:type="pct"/>
            <w:shd w:val="clear" w:color="auto" w:fill="auto"/>
            <w:tcMar>
              <w:left w:w="28" w:type="dxa"/>
              <w:right w:w="28" w:type="dxa"/>
            </w:tcMar>
            <w:vAlign w:val="center"/>
          </w:tcPr>
          <w:p w14:paraId="1E01579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0.0007 </w:t>
            </w:r>
          </w:p>
        </w:tc>
        <w:tc>
          <w:tcPr>
            <w:tcW w:w="640" w:type="pct"/>
            <w:shd w:val="clear" w:color="auto" w:fill="auto"/>
            <w:tcMar>
              <w:left w:w="28" w:type="dxa"/>
              <w:right w:w="28" w:type="dxa"/>
            </w:tcMar>
            <w:vAlign w:val="center"/>
          </w:tcPr>
          <w:p w14:paraId="348A5D1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10555512" w14:textId="77777777" w:rsidTr="004413C9">
        <w:trPr>
          <w:cantSplit/>
          <w:trHeight w:val="262"/>
        </w:trPr>
        <w:tc>
          <w:tcPr>
            <w:tcW w:w="1401" w:type="pct"/>
            <w:shd w:val="clear" w:color="auto" w:fill="auto"/>
            <w:tcMar>
              <w:left w:w="28" w:type="dxa"/>
              <w:right w:w="28" w:type="dxa"/>
            </w:tcMar>
            <w:vAlign w:val="center"/>
          </w:tcPr>
          <w:p w14:paraId="3632316F"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ETC REM: 1st treatment (55%; base=46.3%)</w:t>
            </w:r>
          </w:p>
        </w:tc>
        <w:tc>
          <w:tcPr>
            <w:tcW w:w="525" w:type="pct"/>
            <w:shd w:val="clear" w:color="auto" w:fill="auto"/>
            <w:tcMar>
              <w:left w:w="28" w:type="dxa"/>
              <w:right w:w="28" w:type="dxa"/>
            </w:tcMar>
            <w:vAlign w:val="center"/>
          </w:tcPr>
          <w:p w14:paraId="3E9F4950"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$28,628</w:t>
            </w:r>
          </w:p>
        </w:tc>
        <w:tc>
          <w:tcPr>
            <w:tcW w:w="445" w:type="pct"/>
            <w:shd w:val="clear" w:color="auto" w:fill="auto"/>
            <w:tcMar>
              <w:left w:w="28" w:type="dxa"/>
              <w:right w:w="28" w:type="dxa"/>
            </w:tcMar>
            <w:vAlign w:val="center"/>
          </w:tcPr>
          <w:p w14:paraId="7FCC61AB"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1.2652 </w:t>
            </w:r>
          </w:p>
        </w:tc>
        <w:tc>
          <w:tcPr>
            <w:tcW w:w="525" w:type="pct"/>
            <w:shd w:val="clear" w:color="auto" w:fill="auto"/>
            <w:tcMar>
              <w:left w:w="28" w:type="dxa"/>
              <w:right w:w="28" w:type="dxa"/>
            </w:tcMar>
            <w:vAlign w:val="center"/>
          </w:tcPr>
          <w:p w14:paraId="5ECBD4A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$28,789</w:t>
            </w:r>
          </w:p>
        </w:tc>
        <w:tc>
          <w:tcPr>
            <w:tcW w:w="445" w:type="pct"/>
            <w:shd w:val="clear" w:color="auto" w:fill="auto"/>
            <w:tcMar>
              <w:left w:w="28" w:type="dxa"/>
              <w:right w:w="28" w:type="dxa"/>
            </w:tcMar>
            <w:vAlign w:val="center"/>
          </w:tcPr>
          <w:p w14:paraId="4CA919E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1.3036 </w:t>
            </w:r>
          </w:p>
        </w:tc>
        <w:tc>
          <w:tcPr>
            <w:tcW w:w="503" w:type="pct"/>
            <w:shd w:val="clear" w:color="auto" w:fill="auto"/>
            <w:tcMar>
              <w:left w:w="28" w:type="dxa"/>
              <w:right w:w="28" w:type="dxa"/>
            </w:tcMar>
            <w:vAlign w:val="center"/>
          </w:tcPr>
          <w:p w14:paraId="0E537E9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-$161</w:t>
            </w:r>
          </w:p>
        </w:tc>
        <w:tc>
          <w:tcPr>
            <w:tcW w:w="516" w:type="pct"/>
            <w:shd w:val="clear" w:color="auto" w:fill="auto"/>
            <w:tcMar>
              <w:left w:w="28" w:type="dxa"/>
              <w:right w:w="28" w:type="dxa"/>
            </w:tcMar>
            <w:vAlign w:val="center"/>
          </w:tcPr>
          <w:p w14:paraId="342C789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-0.0384 </w:t>
            </w:r>
          </w:p>
        </w:tc>
        <w:tc>
          <w:tcPr>
            <w:tcW w:w="640" w:type="pct"/>
            <w:shd w:val="clear" w:color="auto" w:fill="auto"/>
            <w:tcMar>
              <w:left w:w="28" w:type="dxa"/>
              <w:right w:w="28" w:type="dxa"/>
            </w:tcMar>
            <w:vAlign w:val="center"/>
          </w:tcPr>
          <w:p w14:paraId="291B1DD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$4,192</w:t>
            </w:r>
          </w:p>
        </w:tc>
      </w:tr>
      <w:tr w:rsidR="003B7664" w:rsidRPr="00112D81" w14:paraId="140FB9C3" w14:textId="77777777" w:rsidTr="004413C9">
        <w:trPr>
          <w:cantSplit/>
          <w:trHeight w:val="262"/>
        </w:trPr>
        <w:tc>
          <w:tcPr>
            <w:tcW w:w="1401" w:type="pct"/>
            <w:shd w:val="clear" w:color="auto" w:fill="auto"/>
            <w:tcMar>
              <w:left w:w="28" w:type="dxa"/>
              <w:right w:w="28" w:type="dxa"/>
            </w:tcMar>
            <w:vAlign w:val="center"/>
          </w:tcPr>
          <w:p w14:paraId="34AD4657"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ECT RESP: 1st treatment, net REM (5%; base = 14.6%)</w:t>
            </w:r>
          </w:p>
        </w:tc>
        <w:tc>
          <w:tcPr>
            <w:tcW w:w="525" w:type="pct"/>
            <w:shd w:val="clear" w:color="auto" w:fill="auto"/>
            <w:tcMar>
              <w:left w:w="28" w:type="dxa"/>
              <w:right w:w="28" w:type="dxa"/>
            </w:tcMar>
            <w:vAlign w:val="center"/>
          </w:tcPr>
          <w:p w14:paraId="7670574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$29,395</w:t>
            </w:r>
          </w:p>
        </w:tc>
        <w:tc>
          <w:tcPr>
            <w:tcW w:w="445" w:type="pct"/>
            <w:shd w:val="clear" w:color="auto" w:fill="auto"/>
            <w:tcMar>
              <w:left w:w="28" w:type="dxa"/>
              <w:right w:w="28" w:type="dxa"/>
            </w:tcMar>
            <w:vAlign w:val="center"/>
          </w:tcPr>
          <w:p w14:paraId="4ED189F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1.2549 </w:t>
            </w:r>
          </w:p>
        </w:tc>
        <w:tc>
          <w:tcPr>
            <w:tcW w:w="525" w:type="pct"/>
            <w:shd w:val="clear" w:color="auto" w:fill="auto"/>
            <w:tcMar>
              <w:left w:w="28" w:type="dxa"/>
              <w:right w:w="28" w:type="dxa"/>
            </w:tcMar>
            <w:vAlign w:val="center"/>
          </w:tcPr>
          <w:p w14:paraId="57A7ECD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$31,448</w:t>
            </w:r>
          </w:p>
        </w:tc>
        <w:tc>
          <w:tcPr>
            <w:tcW w:w="445" w:type="pct"/>
            <w:shd w:val="clear" w:color="auto" w:fill="auto"/>
            <w:tcMar>
              <w:left w:w="28" w:type="dxa"/>
              <w:right w:w="28" w:type="dxa"/>
            </w:tcMar>
            <w:vAlign w:val="center"/>
          </w:tcPr>
          <w:p w14:paraId="603652A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1.2741 </w:t>
            </w:r>
          </w:p>
        </w:tc>
        <w:tc>
          <w:tcPr>
            <w:tcW w:w="503" w:type="pct"/>
            <w:shd w:val="clear" w:color="auto" w:fill="auto"/>
            <w:tcMar>
              <w:left w:w="28" w:type="dxa"/>
              <w:right w:w="28" w:type="dxa"/>
            </w:tcMar>
            <w:vAlign w:val="center"/>
          </w:tcPr>
          <w:p w14:paraId="1F0D498D"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-$2,054</w:t>
            </w:r>
          </w:p>
        </w:tc>
        <w:tc>
          <w:tcPr>
            <w:tcW w:w="516" w:type="pct"/>
            <w:shd w:val="clear" w:color="auto" w:fill="auto"/>
            <w:tcMar>
              <w:left w:w="28" w:type="dxa"/>
              <w:right w:w="28" w:type="dxa"/>
            </w:tcMar>
            <w:vAlign w:val="center"/>
          </w:tcPr>
          <w:p w14:paraId="5BCB763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-0.0192 </w:t>
            </w:r>
          </w:p>
        </w:tc>
        <w:tc>
          <w:tcPr>
            <w:tcW w:w="640" w:type="pct"/>
            <w:shd w:val="clear" w:color="auto" w:fill="auto"/>
            <w:tcMar>
              <w:left w:w="28" w:type="dxa"/>
              <w:right w:w="28" w:type="dxa"/>
            </w:tcMar>
            <w:vAlign w:val="center"/>
          </w:tcPr>
          <w:p w14:paraId="2784286E"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$106,918</w:t>
            </w:r>
          </w:p>
        </w:tc>
      </w:tr>
      <w:tr w:rsidR="003B7664" w:rsidRPr="00112D81" w14:paraId="0C23291B" w14:textId="77777777" w:rsidTr="004413C9">
        <w:trPr>
          <w:cantSplit/>
          <w:trHeight w:val="262"/>
        </w:trPr>
        <w:tc>
          <w:tcPr>
            <w:tcW w:w="1401" w:type="pct"/>
            <w:shd w:val="clear" w:color="auto" w:fill="auto"/>
            <w:tcMar>
              <w:left w:w="28" w:type="dxa"/>
              <w:right w:w="28" w:type="dxa"/>
            </w:tcMar>
            <w:vAlign w:val="center"/>
          </w:tcPr>
          <w:p w14:paraId="3A56315A"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Lose REM after ECT (15%; base=22.3%)</w:t>
            </w:r>
          </w:p>
        </w:tc>
        <w:tc>
          <w:tcPr>
            <w:tcW w:w="525" w:type="pct"/>
            <w:shd w:val="clear" w:color="auto" w:fill="auto"/>
            <w:tcMar>
              <w:left w:w="28" w:type="dxa"/>
              <w:right w:w="28" w:type="dxa"/>
            </w:tcMar>
            <w:vAlign w:val="center"/>
          </w:tcPr>
          <w:p w14:paraId="17B0166D"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$29,597</w:t>
            </w:r>
          </w:p>
        </w:tc>
        <w:tc>
          <w:tcPr>
            <w:tcW w:w="445" w:type="pct"/>
            <w:shd w:val="clear" w:color="auto" w:fill="auto"/>
            <w:tcMar>
              <w:left w:w="28" w:type="dxa"/>
              <w:right w:w="28" w:type="dxa"/>
            </w:tcMar>
            <w:vAlign w:val="center"/>
          </w:tcPr>
          <w:p w14:paraId="5959071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1.2550 </w:t>
            </w:r>
          </w:p>
        </w:tc>
        <w:tc>
          <w:tcPr>
            <w:tcW w:w="525" w:type="pct"/>
            <w:shd w:val="clear" w:color="auto" w:fill="auto"/>
            <w:tcMar>
              <w:left w:w="28" w:type="dxa"/>
              <w:right w:w="28" w:type="dxa"/>
            </w:tcMar>
            <w:vAlign w:val="center"/>
          </w:tcPr>
          <w:p w14:paraId="4771359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$28,321</w:t>
            </w:r>
          </w:p>
        </w:tc>
        <w:tc>
          <w:tcPr>
            <w:tcW w:w="445" w:type="pct"/>
            <w:shd w:val="clear" w:color="auto" w:fill="auto"/>
            <w:tcMar>
              <w:left w:w="28" w:type="dxa"/>
              <w:right w:w="28" w:type="dxa"/>
            </w:tcMar>
            <w:vAlign w:val="center"/>
          </w:tcPr>
          <w:p w14:paraId="5D2121C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1.3213 </w:t>
            </w:r>
          </w:p>
        </w:tc>
        <w:tc>
          <w:tcPr>
            <w:tcW w:w="503" w:type="pct"/>
            <w:shd w:val="clear" w:color="auto" w:fill="auto"/>
            <w:tcMar>
              <w:left w:w="28" w:type="dxa"/>
              <w:right w:w="28" w:type="dxa"/>
            </w:tcMar>
            <w:vAlign w:val="center"/>
          </w:tcPr>
          <w:p w14:paraId="5B1A36F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$1,276</w:t>
            </w:r>
          </w:p>
        </w:tc>
        <w:tc>
          <w:tcPr>
            <w:tcW w:w="516" w:type="pct"/>
            <w:shd w:val="clear" w:color="auto" w:fill="auto"/>
            <w:tcMar>
              <w:left w:w="28" w:type="dxa"/>
              <w:right w:w="28" w:type="dxa"/>
            </w:tcMar>
            <w:vAlign w:val="center"/>
          </w:tcPr>
          <w:p w14:paraId="17BBBA3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-0.0662 </w:t>
            </w:r>
          </w:p>
        </w:tc>
        <w:tc>
          <w:tcPr>
            <w:tcW w:w="640" w:type="pct"/>
            <w:shd w:val="clear" w:color="auto" w:fill="auto"/>
            <w:tcMar>
              <w:left w:w="28" w:type="dxa"/>
              <w:right w:w="28" w:type="dxa"/>
            </w:tcMar>
            <w:vAlign w:val="center"/>
          </w:tcPr>
          <w:p w14:paraId="17E3759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Dominated</w:t>
            </w:r>
          </w:p>
        </w:tc>
      </w:tr>
      <w:tr w:rsidR="003B7664" w:rsidRPr="00112D81" w14:paraId="0069A6C1" w14:textId="77777777" w:rsidTr="004413C9">
        <w:trPr>
          <w:cantSplit/>
          <w:trHeight w:val="262"/>
        </w:trPr>
        <w:tc>
          <w:tcPr>
            <w:tcW w:w="1401" w:type="pct"/>
            <w:shd w:val="clear" w:color="auto" w:fill="auto"/>
            <w:tcMar>
              <w:left w:w="28" w:type="dxa"/>
              <w:right w:w="28" w:type="dxa"/>
            </w:tcMar>
            <w:vAlign w:val="center"/>
          </w:tcPr>
          <w:p w14:paraId="3BEC9EF7"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Lose REM after ECT (35%; base=22.3%)</w:t>
            </w:r>
          </w:p>
        </w:tc>
        <w:tc>
          <w:tcPr>
            <w:tcW w:w="525" w:type="pct"/>
            <w:shd w:val="clear" w:color="auto" w:fill="auto"/>
            <w:tcMar>
              <w:left w:w="28" w:type="dxa"/>
              <w:right w:w="28" w:type="dxa"/>
            </w:tcMar>
            <w:vAlign w:val="center"/>
          </w:tcPr>
          <w:p w14:paraId="7F9B3F5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$29,727</w:t>
            </w:r>
          </w:p>
        </w:tc>
        <w:tc>
          <w:tcPr>
            <w:tcW w:w="445" w:type="pct"/>
            <w:shd w:val="clear" w:color="auto" w:fill="auto"/>
            <w:tcMar>
              <w:left w:w="28" w:type="dxa"/>
              <w:right w:w="28" w:type="dxa"/>
            </w:tcMar>
            <w:vAlign w:val="center"/>
          </w:tcPr>
          <w:p w14:paraId="01DB10F5"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1.2521 </w:t>
            </w:r>
          </w:p>
        </w:tc>
        <w:tc>
          <w:tcPr>
            <w:tcW w:w="525" w:type="pct"/>
            <w:shd w:val="clear" w:color="auto" w:fill="auto"/>
            <w:tcMar>
              <w:left w:w="28" w:type="dxa"/>
              <w:right w:w="28" w:type="dxa"/>
            </w:tcMar>
            <w:vAlign w:val="center"/>
          </w:tcPr>
          <w:p w14:paraId="4C263AC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$34,714</w:t>
            </w:r>
          </w:p>
        </w:tc>
        <w:tc>
          <w:tcPr>
            <w:tcW w:w="445" w:type="pct"/>
            <w:shd w:val="clear" w:color="auto" w:fill="auto"/>
            <w:tcMar>
              <w:left w:w="28" w:type="dxa"/>
              <w:right w:w="28" w:type="dxa"/>
            </w:tcMar>
            <w:vAlign w:val="center"/>
          </w:tcPr>
          <w:p w14:paraId="71A9D1D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1.2225 </w:t>
            </w:r>
          </w:p>
        </w:tc>
        <w:tc>
          <w:tcPr>
            <w:tcW w:w="503" w:type="pct"/>
            <w:shd w:val="clear" w:color="auto" w:fill="auto"/>
            <w:tcMar>
              <w:left w:w="28" w:type="dxa"/>
              <w:right w:w="28" w:type="dxa"/>
            </w:tcMar>
            <w:vAlign w:val="center"/>
          </w:tcPr>
          <w:p w14:paraId="1AE4050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-$4,988</w:t>
            </w:r>
          </w:p>
        </w:tc>
        <w:tc>
          <w:tcPr>
            <w:tcW w:w="516" w:type="pct"/>
            <w:shd w:val="clear" w:color="auto" w:fill="auto"/>
            <w:tcMar>
              <w:left w:w="28" w:type="dxa"/>
              <w:right w:w="28" w:type="dxa"/>
            </w:tcMar>
            <w:vAlign w:val="center"/>
          </w:tcPr>
          <w:p w14:paraId="38A1311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0.0296 </w:t>
            </w:r>
          </w:p>
        </w:tc>
        <w:tc>
          <w:tcPr>
            <w:tcW w:w="640" w:type="pct"/>
            <w:shd w:val="clear" w:color="auto" w:fill="auto"/>
            <w:tcMar>
              <w:left w:w="28" w:type="dxa"/>
              <w:right w:w="28" w:type="dxa"/>
            </w:tcMar>
            <w:vAlign w:val="center"/>
          </w:tcPr>
          <w:p w14:paraId="1AE5E40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Dominant</w:t>
            </w:r>
          </w:p>
        </w:tc>
      </w:tr>
      <w:tr w:rsidR="003B7664" w:rsidRPr="00112D81" w14:paraId="5DD01FC7" w14:textId="77777777" w:rsidTr="004413C9">
        <w:trPr>
          <w:cantSplit/>
          <w:trHeight w:val="262"/>
        </w:trPr>
        <w:tc>
          <w:tcPr>
            <w:tcW w:w="1401" w:type="pct"/>
            <w:shd w:val="clear" w:color="auto" w:fill="auto"/>
            <w:tcMar>
              <w:left w:w="28" w:type="dxa"/>
              <w:right w:w="28" w:type="dxa"/>
            </w:tcMar>
            <w:vAlign w:val="center"/>
          </w:tcPr>
          <w:p w14:paraId="702EF527"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Gain REM after hospitalisation (20%; base=35%) </w:t>
            </w:r>
          </w:p>
        </w:tc>
        <w:tc>
          <w:tcPr>
            <w:tcW w:w="525" w:type="pct"/>
            <w:shd w:val="clear" w:color="auto" w:fill="auto"/>
            <w:tcMar>
              <w:left w:w="28" w:type="dxa"/>
              <w:right w:w="28" w:type="dxa"/>
            </w:tcMar>
            <w:vAlign w:val="center"/>
          </w:tcPr>
          <w:p w14:paraId="547FDE7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$35,987</w:t>
            </w:r>
          </w:p>
        </w:tc>
        <w:tc>
          <w:tcPr>
            <w:tcW w:w="445" w:type="pct"/>
            <w:shd w:val="clear" w:color="auto" w:fill="auto"/>
            <w:tcMar>
              <w:left w:w="28" w:type="dxa"/>
              <w:right w:w="28" w:type="dxa"/>
            </w:tcMar>
            <w:vAlign w:val="center"/>
          </w:tcPr>
          <w:p w14:paraId="488668D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1.2163 </w:t>
            </w:r>
          </w:p>
        </w:tc>
        <w:tc>
          <w:tcPr>
            <w:tcW w:w="525" w:type="pct"/>
            <w:shd w:val="clear" w:color="auto" w:fill="auto"/>
            <w:tcMar>
              <w:left w:w="28" w:type="dxa"/>
              <w:right w:w="28" w:type="dxa"/>
            </w:tcMar>
            <w:vAlign w:val="center"/>
          </w:tcPr>
          <w:p w14:paraId="6771431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$36,489</w:t>
            </w:r>
          </w:p>
        </w:tc>
        <w:tc>
          <w:tcPr>
            <w:tcW w:w="445" w:type="pct"/>
            <w:shd w:val="clear" w:color="auto" w:fill="auto"/>
            <w:tcMar>
              <w:left w:w="28" w:type="dxa"/>
              <w:right w:w="28" w:type="dxa"/>
            </w:tcMar>
            <w:vAlign w:val="center"/>
          </w:tcPr>
          <w:p w14:paraId="7F26D52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1.2452 </w:t>
            </w:r>
          </w:p>
        </w:tc>
        <w:tc>
          <w:tcPr>
            <w:tcW w:w="503" w:type="pct"/>
            <w:shd w:val="clear" w:color="auto" w:fill="auto"/>
            <w:tcMar>
              <w:left w:w="28" w:type="dxa"/>
              <w:right w:w="28" w:type="dxa"/>
            </w:tcMar>
            <w:vAlign w:val="center"/>
          </w:tcPr>
          <w:p w14:paraId="0FCBAA7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-$502</w:t>
            </w:r>
          </w:p>
        </w:tc>
        <w:tc>
          <w:tcPr>
            <w:tcW w:w="516" w:type="pct"/>
            <w:shd w:val="clear" w:color="auto" w:fill="auto"/>
            <w:tcMar>
              <w:left w:w="28" w:type="dxa"/>
              <w:right w:w="28" w:type="dxa"/>
            </w:tcMar>
            <w:vAlign w:val="center"/>
          </w:tcPr>
          <w:p w14:paraId="135819D0"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-0.0289 </w:t>
            </w:r>
          </w:p>
        </w:tc>
        <w:tc>
          <w:tcPr>
            <w:tcW w:w="640" w:type="pct"/>
            <w:shd w:val="clear" w:color="auto" w:fill="auto"/>
            <w:tcMar>
              <w:left w:w="28" w:type="dxa"/>
              <w:right w:w="28" w:type="dxa"/>
            </w:tcMar>
            <w:vAlign w:val="center"/>
          </w:tcPr>
          <w:p w14:paraId="35E2EDF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$17,364</w:t>
            </w:r>
          </w:p>
        </w:tc>
      </w:tr>
      <w:tr w:rsidR="003B7664" w:rsidRPr="00112D81" w14:paraId="090FB772" w14:textId="77777777" w:rsidTr="004413C9">
        <w:trPr>
          <w:cantSplit/>
          <w:trHeight w:val="262"/>
        </w:trPr>
        <w:tc>
          <w:tcPr>
            <w:tcW w:w="1401" w:type="pct"/>
            <w:shd w:val="clear" w:color="auto" w:fill="auto"/>
            <w:tcMar>
              <w:left w:w="28" w:type="dxa"/>
              <w:right w:w="28" w:type="dxa"/>
            </w:tcMar>
            <w:vAlign w:val="center"/>
          </w:tcPr>
          <w:p w14:paraId="14600996"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Gain REM after hospitalisation (50%; base=35%) </w:t>
            </w:r>
          </w:p>
        </w:tc>
        <w:tc>
          <w:tcPr>
            <w:tcW w:w="525" w:type="pct"/>
            <w:shd w:val="clear" w:color="auto" w:fill="auto"/>
            <w:tcMar>
              <w:left w:w="28" w:type="dxa"/>
              <w:right w:w="28" w:type="dxa"/>
            </w:tcMar>
            <w:vAlign w:val="center"/>
          </w:tcPr>
          <w:p w14:paraId="435C6F5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$26,511</w:t>
            </w:r>
          </w:p>
        </w:tc>
        <w:tc>
          <w:tcPr>
            <w:tcW w:w="445" w:type="pct"/>
            <w:shd w:val="clear" w:color="auto" w:fill="auto"/>
            <w:tcMar>
              <w:left w:w="28" w:type="dxa"/>
              <w:right w:w="28" w:type="dxa"/>
            </w:tcMar>
            <w:vAlign w:val="center"/>
          </w:tcPr>
          <w:p w14:paraId="4C296BF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1.2741 </w:t>
            </w:r>
          </w:p>
        </w:tc>
        <w:tc>
          <w:tcPr>
            <w:tcW w:w="525" w:type="pct"/>
            <w:shd w:val="clear" w:color="auto" w:fill="auto"/>
            <w:tcMar>
              <w:left w:w="28" w:type="dxa"/>
              <w:right w:w="28" w:type="dxa"/>
            </w:tcMar>
            <w:vAlign w:val="center"/>
          </w:tcPr>
          <w:p w14:paraId="6C200ED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$28,667</w:t>
            </w:r>
          </w:p>
        </w:tc>
        <w:tc>
          <w:tcPr>
            <w:tcW w:w="445" w:type="pct"/>
            <w:shd w:val="clear" w:color="auto" w:fill="auto"/>
            <w:tcMar>
              <w:left w:w="28" w:type="dxa"/>
              <w:right w:w="28" w:type="dxa"/>
            </w:tcMar>
            <w:vAlign w:val="center"/>
          </w:tcPr>
          <w:p w14:paraId="24E630B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1.2921 </w:t>
            </w:r>
          </w:p>
        </w:tc>
        <w:tc>
          <w:tcPr>
            <w:tcW w:w="503" w:type="pct"/>
            <w:shd w:val="clear" w:color="auto" w:fill="auto"/>
            <w:tcMar>
              <w:left w:w="28" w:type="dxa"/>
              <w:right w:w="28" w:type="dxa"/>
            </w:tcMar>
            <w:vAlign w:val="center"/>
          </w:tcPr>
          <w:p w14:paraId="2DE79175"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-$2,156</w:t>
            </w:r>
          </w:p>
        </w:tc>
        <w:tc>
          <w:tcPr>
            <w:tcW w:w="516" w:type="pct"/>
            <w:shd w:val="clear" w:color="auto" w:fill="auto"/>
            <w:tcMar>
              <w:left w:w="28" w:type="dxa"/>
              <w:right w:w="28" w:type="dxa"/>
            </w:tcMar>
            <w:vAlign w:val="center"/>
          </w:tcPr>
          <w:p w14:paraId="27C3F91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-0.0180 </w:t>
            </w:r>
          </w:p>
        </w:tc>
        <w:tc>
          <w:tcPr>
            <w:tcW w:w="640" w:type="pct"/>
            <w:shd w:val="clear" w:color="auto" w:fill="auto"/>
            <w:tcMar>
              <w:left w:w="28" w:type="dxa"/>
              <w:right w:w="28" w:type="dxa"/>
            </w:tcMar>
            <w:vAlign w:val="center"/>
          </w:tcPr>
          <w:p w14:paraId="2437BB0D"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$119,649</w:t>
            </w:r>
          </w:p>
        </w:tc>
      </w:tr>
      <w:tr w:rsidR="003B7664" w:rsidRPr="00112D81" w14:paraId="1FF760F4" w14:textId="77777777" w:rsidTr="009A71BE">
        <w:trPr>
          <w:cantSplit/>
          <w:trHeight w:val="262"/>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14:paraId="3AFD3C19" w14:textId="77777777" w:rsidR="003B7664" w:rsidRPr="00112D81" w:rsidRDefault="003B7664" w:rsidP="004E72DC">
            <w:pPr>
              <w:widowControl w:val="0"/>
              <w:autoSpaceDE w:val="0"/>
              <w:autoSpaceDN w:val="0"/>
              <w:adjustRightInd w:val="0"/>
              <w:spacing w:before="40" w:after="40"/>
              <w:ind w:left="142"/>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Cost</w:t>
            </w:r>
          </w:p>
        </w:tc>
      </w:tr>
      <w:tr w:rsidR="003B7664" w:rsidRPr="00112D81" w14:paraId="547966B6" w14:textId="77777777" w:rsidTr="004413C9">
        <w:trPr>
          <w:cantSplit/>
          <w:trHeight w:val="262"/>
        </w:trPr>
        <w:tc>
          <w:tcPr>
            <w:tcW w:w="1401" w:type="pct"/>
            <w:shd w:val="clear" w:color="auto" w:fill="auto"/>
            <w:tcMar>
              <w:left w:w="28" w:type="dxa"/>
              <w:right w:w="28" w:type="dxa"/>
            </w:tcMar>
            <w:vAlign w:val="center"/>
          </w:tcPr>
          <w:p w14:paraId="704F2A42"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rTMS dose (per treatment course) (25; base=28.3)</w:t>
            </w:r>
          </w:p>
        </w:tc>
        <w:tc>
          <w:tcPr>
            <w:tcW w:w="525" w:type="pct"/>
            <w:shd w:val="clear" w:color="auto" w:fill="auto"/>
            <w:tcMar>
              <w:left w:w="28" w:type="dxa"/>
              <w:right w:w="28" w:type="dxa"/>
            </w:tcMar>
            <w:vAlign w:val="center"/>
          </w:tcPr>
          <w:p w14:paraId="281519F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$30,413</w:t>
            </w:r>
          </w:p>
        </w:tc>
        <w:tc>
          <w:tcPr>
            <w:tcW w:w="445" w:type="pct"/>
            <w:shd w:val="clear" w:color="auto" w:fill="auto"/>
            <w:tcMar>
              <w:left w:w="28" w:type="dxa"/>
              <w:right w:w="28" w:type="dxa"/>
            </w:tcMar>
            <w:vAlign w:val="center"/>
          </w:tcPr>
          <w:p w14:paraId="4C91F97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1.2540 </w:t>
            </w:r>
          </w:p>
        </w:tc>
        <w:tc>
          <w:tcPr>
            <w:tcW w:w="525" w:type="pct"/>
            <w:shd w:val="clear" w:color="auto" w:fill="auto"/>
            <w:tcMar>
              <w:left w:w="28" w:type="dxa"/>
              <w:right w:w="28" w:type="dxa"/>
            </w:tcMar>
            <w:vAlign w:val="center"/>
          </w:tcPr>
          <w:p w14:paraId="171C10D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$31,311</w:t>
            </w:r>
          </w:p>
        </w:tc>
        <w:tc>
          <w:tcPr>
            <w:tcW w:w="445" w:type="pct"/>
            <w:shd w:val="clear" w:color="auto" w:fill="auto"/>
            <w:tcMar>
              <w:left w:w="28" w:type="dxa"/>
              <w:right w:w="28" w:type="dxa"/>
            </w:tcMar>
            <w:vAlign w:val="center"/>
          </w:tcPr>
          <w:p w14:paraId="2ABDD97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1.2767 </w:t>
            </w:r>
          </w:p>
        </w:tc>
        <w:tc>
          <w:tcPr>
            <w:tcW w:w="503" w:type="pct"/>
            <w:shd w:val="clear" w:color="auto" w:fill="auto"/>
            <w:tcMar>
              <w:left w:w="28" w:type="dxa"/>
              <w:right w:w="28" w:type="dxa"/>
            </w:tcMar>
            <w:vAlign w:val="center"/>
          </w:tcPr>
          <w:p w14:paraId="504BDB1B"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-$898</w:t>
            </w:r>
          </w:p>
        </w:tc>
        <w:tc>
          <w:tcPr>
            <w:tcW w:w="516" w:type="pct"/>
            <w:shd w:val="clear" w:color="auto" w:fill="auto"/>
            <w:tcMar>
              <w:left w:w="28" w:type="dxa"/>
              <w:right w:w="28" w:type="dxa"/>
            </w:tcMar>
            <w:vAlign w:val="center"/>
          </w:tcPr>
          <w:p w14:paraId="09217BD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-0.0227 </w:t>
            </w:r>
          </w:p>
        </w:tc>
        <w:tc>
          <w:tcPr>
            <w:tcW w:w="640" w:type="pct"/>
            <w:shd w:val="clear" w:color="auto" w:fill="auto"/>
            <w:tcMar>
              <w:left w:w="28" w:type="dxa"/>
              <w:right w:w="28" w:type="dxa"/>
            </w:tcMar>
            <w:vAlign w:val="center"/>
          </w:tcPr>
          <w:p w14:paraId="6498C98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$39,562</w:t>
            </w:r>
          </w:p>
        </w:tc>
      </w:tr>
      <w:tr w:rsidR="003B7664" w:rsidRPr="00112D81" w14:paraId="3C2B50C4" w14:textId="77777777" w:rsidTr="004413C9">
        <w:trPr>
          <w:cantSplit/>
          <w:trHeight w:val="262"/>
        </w:trPr>
        <w:tc>
          <w:tcPr>
            <w:tcW w:w="1401" w:type="pct"/>
            <w:shd w:val="clear" w:color="auto" w:fill="auto"/>
            <w:tcMar>
              <w:left w:w="28" w:type="dxa"/>
              <w:right w:w="28" w:type="dxa"/>
            </w:tcMar>
            <w:vAlign w:val="center"/>
          </w:tcPr>
          <w:p w14:paraId="5066464F"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rTMS dose (per treatment course) (30; base=28.3)</w:t>
            </w:r>
          </w:p>
        </w:tc>
        <w:tc>
          <w:tcPr>
            <w:tcW w:w="525" w:type="pct"/>
            <w:shd w:val="clear" w:color="auto" w:fill="auto"/>
            <w:tcMar>
              <w:left w:w="28" w:type="dxa"/>
              <w:right w:w="28" w:type="dxa"/>
            </w:tcMar>
            <w:vAlign w:val="center"/>
          </w:tcPr>
          <w:p w14:paraId="7EA417A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$31,139</w:t>
            </w:r>
          </w:p>
        </w:tc>
        <w:tc>
          <w:tcPr>
            <w:tcW w:w="445" w:type="pct"/>
            <w:shd w:val="clear" w:color="auto" w:fill="auto"/>
            <w:tcMar>
              <w:left w:w="28" w:type="dxa"/>
              <w:right w:w="28" w:type="dxa"/>
            </w:tcMar>
            <w:vAlign w:val="center"/>
          </w:tcPr>
          <w:p w14:paraId="782BF1B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1.2534 </w:t>
            </w:r>
          </w:p>
        </w:tc>
        <w:tc>
          <w:tcPr>
            <w:tcW w:w="525" w:type="pct"/>
            <w:shd w:val="clear" w:color="auto" w:fill="auto"/>
            <w:tcMar>
              <w:left w:w="28" w:type="dxa"/>
              <w:right w:w="28" w:type="dxa"/>
            </w:tcMar>
            <w:vAlign w:val="center"/>
          </w:tcPr>
          <w:p w14:paraId="48E45B6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$31,350</w:t>
            </w:r>
          </w:p>
        </w:tc>
        <w:tc>
          <w:tcPr>
            <w:tcW w:w="445" w:type="pct"/>
            <w:shd w:val="clear" w:color="auto" w:fill="auto"/>
            <w:tcMar>
              <w:left w:w="28" w:type="dxa"/>
              <w:right w:w="28" w:type="dxa"/>
            </w:tcMar>
            <w:vAlign w:val="center"/>
          </w:tcPr>
          <w:p w14:paraId="7B94917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1.2747 </w:t>
            </w:r>
          </w:p>
        </w:tc>
        <w:tc>
          <w:tcPr>
            <w:tcW w:w="503" w:type="pct"/>
            <w:shd w:val="clear" w:color="auto" w:fill="auto"/>
            <w:tcMar>
              <w:left w:w="28" w:type="dxa"/>
              <w:right w:w="28" w:type="dxa"/>
            </w:tcMar>
            <w:vAlign w:val="center"/>
          </w:tcPr>
          <w:p w14:paraId="0D9D111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-$211</w:t>
            </w:r>
          </w:p>
        </w:tc>
        <w:tc>
          <w:tcPr>
            <w:tcW w:w="516" w:type="pct"/>
            <w:shd w:val="clear" w:color="auto" w:fill="auto"/>
            <w:tcMar>
              <w:left w:w="28" w:type="dxa"/>
              <w:right w:w="28" w:type="dxa"/>
            </w:tcMar>
            <w:vAlign w:val="center"/>
          </w:tcPr>
          <w:p w14:paraId="5DA491D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-0.0213 </w:t>
            </w:r>
          </w:p>
        </w:tc>
        <w:tc>
          <w:tcPr>
            <w:tcW w:w="640" w:type="pct"/>
            <w:shd w:val="clear" w:color="auto" w:fill="auto"/>
            <w:tcMar>
              <w:left w:w="28" w:type="dxa"/>
              <w:right w:w="28" w:type="dxa"/>
            </w:tcMar>
            <w:vAlign w:val="center"/>
          </w:tcPr>
          <w:p w14:paraId="0D7AD43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$9,876</w:t>
            </w:r>
          </w:p>
        </w:tc>
      </w:tr>
      <w:tr w:rsidR="003B7664" w:rsidRPr="00112D81" w14:paraId="78EC09D9" w14:textId="77777777" w:rsidTr="004413C9">
        <w:trPr>
          <w:cantSplit/>
          <w:trHeight w:val="262"/>
        </w:trPr>
        <w:tc>
          <w:tcPr>
            <w:tcW w:w="1401" w:type="pct"/>
            <w:shd w:val="clear" w:color="auto" w:fill="auto"/>
            <w:tcMar>
              <w:left w:w="28" w:type="dxa"/>
              <w:right w:w="28" w:type="dxa"/>
            </w:tcMar>
            <w:vAlign w:val="center"/>
          </w:tcPr>
          <w:p w14:paraId="64C6376F"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ECT dose (per treatment course) (8; base=10)</w:t>
            </w:r>
          </w:p>
        </w:tc>
        <w:tc>
          <w:tcPr>
            <w:tcW w:w="525" w:type="pct"/>
            <w:shd w:val="clear" w:color="auto" w:fill="auto"/>
            <w:tcMar>
              <w:left w:w="28" w:type="dxa"/>
              <w:right w:w="28" w:type="dxa"/>
            </w:tcMar>
            <w:vAlign w:val="center"/>
          </w:tcPr>
          <w:p w14:paraId="23497B10"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$27,580</w:t>
            </w:r>
          </w:p>
        </w:tc>
        <w:tc>
          <w:tcPr>
            <w:tcW w:w="445" w:type="pct"/>
            <w:shd w:val="clear" w:color="auto" w:fill="auto"/>
            <w:tcMar>
              <w:left w:w="28" w:type="dxa"/>
              <w:right w:w="28" w:type="dxa"/>
            </w:tcMar>
            <w:vAlign w:val="center"/>
          </w:tcPr>
          <w:p w14:paraId="5502D13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1.2547 </w:t>
            </w:r>
          </w:p>
        </w:tc>
        <w:tc>
          <w:tcPr>
            <w:tcW w:w="525" w:type="pct"/>
            <w:shd w:val="clear" w:color="auto" w:fill="auto"/>
            <w:tcMar>
              <w:left w:w="28" w:type="dxa"/>
              <w:right w:w="28" w:type="dxa"/>
            </w:tcMar>
            <w:vAlign w:val="center"/>
          </w:tcPr>
          <w:p w14:paraId="6820A12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$27,725</w:t>
            </w:r>
          </w:p>
        </w:tc>
        <w:tc>
          <w:tcPr>
            <w:tcW w:w="445" w:type="pct"/>
            <w:shd w:val="clear" w:color="auto" w:fill="auto"/>
            <w:tcMar>
              <w:left w:w="28" w:type="dxa"/>
              <w:right w:w="28" w:type="dxa"/>
            </w:tcMar>
            <w:vAlign w:val="center"/>
          </w:tcPr>
          <w:p w14:paraId="46D3A9F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1.2760 </w:t>
            </w:r>
          </w:p>
        </w:tc>
        <w:tc>
          <w:tcPr>
            <w:tcW w:w="503" w:type="pct"/>
            <w:shd w:val="clear" w:color="auto" w:fill="auto"/>
            <w:tcMar>
              <w:left w:w="28" w:type="dxa"/>
              <w:right w:w="28" w:type="dxa"/>
            </w:tcMar>
            <w:vAlign w:val="center"/>
          </w:tcPr>
          <w:p w14:paraId="412C3D2D"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-$145</w:t>
            </w:r>
          </w:p>
        </w:tc>
        <w:tc>
          <w:tcPr>
            <w:tcW w:w="516" w:type="pct"/>
            <w:shd w:val="clear" w:color="auto" w:fill="auto"/>
            <w:tcMar>
              <w:left w:w="28" w:type="dxa"/>
              <w:right w:w="28" w:type="dxa"/>
            </w:tcMar>
            <w:vAlign w:val="center"/>
          </w:tcPr>
          <w:p w14:paraId="5933B605"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-0.0213 </w:t>
            </w:r>
          </w:p>
        </w:tc>
        <w:tc>
          <w:tcPr>
            <w:tcW w:w="640" w:type="pct"/>
            <w:shd w:val="clear" w:color="auto" w:fill="auto"/>
            <w:tcMar>
              <w:left w:w="28" w:type="dxa"/>
              <w:right w:w="28" w:type="dxa"/>
            </w:tcMar>
            <w:vAlign w:val="center"/>
          </w:tcPr>
          <w:p w14:paraId="2FDAD36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$6,809</w:t>
            </w:r>
          </w:p>
        </w:tc>
      </w:tr>
      <w:tr w:rsidR="003B7664" w:rsidRPr="00112D81" w14:paraId="30B367F1" w14:textId="77777777" w:rsidTr="004413C9">
        <w:trPr>
          <w:cantSplit/>
          <w:trHeight w:val="262"/>
        </w:trPr>
        <w:tc>
          <w:tcPr>
            <w:tcW w:w="1401" w:type="pct"/>
            <w:shd w:val="clear" w:color="auto" w:fill="auto"/>
            <w:tcMar>
              <w:left w:w="28" w:type="dxa"/>
              <w:right w:w="28" w:type="dxa"/>
            </w:tcMar>
            <w:vAlign w:val="center"/>
          </w:tcPr>
          <w:p w14:paraId="1242D354"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ECT dose (per treatment course) (12; base=10)</w:t>
            </w:r>
          </w:p>
        </w:tc>
        <w:tc>
          <w:tcPr>
            <w:tcW w:w="525" w:type="pct"/>
            <w:shd w:val="clear" w:color="auto" w:fill="auto"/>
            <w:tcMar>
              <w:left w:w="28" w:type="dxa"/>
              <w:right w:w="28" w:type="dxa"/>
            </w:tcMar>
            <w:vAlign w:val="center"/>
          </w:tcPr>
          <w:p w14:paraId="28B1FCFB"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$31,847</w:t>
            </w:r>
          </w:p>
        </w:tc>
        <w:tc>
          <w:tcPr>
            <w:tcW w:w="445" w:type="pct"/>
            <w:shd w:val="clear" w:color="auto" w:fill="auto"/>
            <w:tcMar>
              <w:left w:w="28" w:type="dxa"/>
              <w:right w:w="28" w:type="dxa"/>
            </w:tcMar>
            <w:vAlign w:val="center"/>
          </w:tcPr>
          <w:p w14:paraId="4F42FD4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1.2542 </w:t>
            </w:r>
          </w:p>
        </w:tc>
        <w:tc>
          <w:tcPr>
            <w:tcW w:w="525" w:type="pct"/>
            <w:shd w:val="clear" w:color="auto" w:fill="auto"/>
            <w:tcMar>
              <w:left w:w="28" w:type="dxa"/>
              <w:right w:w="28" w:type="dxa"/>
            </w:tcMar>
            <w:vAlign w:val="center"/>
          </w:tcPr>
          <w:p w14:paraId="57FA78C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$34,925</w:t>
            </w:r>
          </w:p>
        </w:tc>
        <w:tc>
          <w:tcPr>
            <w:tcW w:w="445" w:type="pct"/>
            <w:shd w:val="clear" w:color="auto" w:fill="auto"/>
            <w:tcMar>
              <w:left w:w="28" w:type="dxa"/>
              <w:right w:w="28" w:type="dxa"/>
            </w:tcMar>
            <w:vAlign w:val="center"/>
          </w:tcPr>
          <w:p w14:paraId="3EF9810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1.2754 </w:t>
            </w:r>
          </w:p>
        </w:tc>
        <w:tc>
          <w:tcPr>
            <w:tcW w:w="503" w:type="pct"/>
            <w:shd w:val="clear" w:color="auto" w:fill="auto"/>
            <w:tcMar>
              <w:left w:w="28" w:type="dxa"/>
              <w:right w:w="28" w:type="dxa"/>
            </w:tcMar>
            <w:vAlign w:val="center"/>
          </w:tcPr>
          <w:p w14:paraId="04D6DB1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-$3,078</w:t>
            </w:r>
          </w:p>
        </w:tc>
        <w:tc>
          <w:tcPr>
            <w:tcW w:w="516" w:type="pct"/>
            <w:shd w:val="clear" w:color="auto" w:fill="auto"/>
            <w:tcMar>
              <w:left w:w="28" w:type="dxa"/>
              <w:right w:w="28" w:type="dxa"/>
            </w:tcMar>
            <w:vAlign w:val="center"/>
          </w:tcPr>
          <w:p w14:paraId="41A0692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-0.0212 </w:t>
            </w:r>
          </w:p>
        </w:tc>
        <w:tc>
          <w:tcPr>
            <w:tcW w:w="640" w:type="pct"/>
            <w:shd w:val="clear" w:color="auto" w:fill="auto"/>
            <w:tcMar>
              <w:left w:w="28" w:type="dxa"/>
              <w:right w:w="28" w:type="dxa"/>
            </w:tcMar>
            <w:vAlign w:val="center"/>
          </w:tcPr>
          <w:p w14:paraId="41F009C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$145,239</w:t>
            </w:r>
          </w:p>
        </w:tc>
      </w:tr>
      <w:tr w:rsidR="003B7664" w:rsidRPr="00112D81" w14:paraId="44E19CC4" w14:textId="77777777" w:rsidTr="009A71BE">
        <w:trPr>
          <w:cantSplit/>
          <w:trHeight w:val="262"/>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14:paraId="6DA743D1" w14:textId="77777777" w:rsidR="003B7664" w:rsidRPr="00112D81" w:rsidRDefault="003B7664" w:rsidP="004E72DC">
            <w:pPr>
              <w:widowControl w:val="0"/>
              <w:autoSpaceDE w:val="0"/>
              <w:autoSpaceDN w:val="0"/>
              <w:adjustRightInd w:val="0"/>
              <w:spacing w:before="40" w:after="40"/>
              <w:ind w:left="142"/>
              <w:rPr>
                <w:rFonts w:ascii="Arial Narrow" w:eastAsiaTheme="minorHAnsi" w:hAnsi="Arial Narrow" w:cs="Arial Narrow"/>
                <w:b/>
                <w:bCs/>
                <w:sz w:val="18"/>
                <w:szCs w:val="18"/>
              </w:rPr>
            </w:pPr>
            <w:r w:rsidRPr="00112D81">
              <w:rPr>
                <w:rFonts w:ascii="Arial Narrow" w:eastAsiaTheme="minorHAnsi" w:hAnsi="Arial Narrow" w:cs="Arial Narrow"/>
                <w:b/>
                <w:bCs/>
                <w:sz w:val="18"/>
                <w:szCs w:val="18"/>
              </w:rPr>
              <w:t>Utility</w:t>
            </w:r>
          </w:p>
        </w:tc>
      </w:tr>
      <w:tr w:rsidR="003B7664" w:rsidRPr="00112D81" w14:paraId="56F382F1" w14:textId="77777777" w:rsidTr="004413C9">
        <w:trPr>
          <w:cantSplit/>
          <w:trHeight w:val="262"/>
        </w:trPr>
        <w:tc>
          <w:tcPr>
            <w:tcW w:w="1401" w:type="pct"/>
            <w:shd w:val="clear" w:color="auto" w:fill="auto"/>
            <w:tcMar>
              <w:left w:w="28" w:type="dxa"/>
              <w:right w:w="28" w:type="dxa"/>
            </w:tcMar>
            <w:vAlign w:val="center"/>
          </w:tcPr>
          <w:p w14:paraId="1E47DE27"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Remission (0.75; base=0.86)</w:t>
            </w:r>
          </w:p>
        </w:tc>
        <w:tc>
          <w:tcPr>
            <w:tcW w:w="525" w:type="pct"/>
            <w:shd w:val="clear" w:color="auto" w:fill="auto"/>
            <w:tcMar>
              <w:left w:w="28" w:type="dxa"/>
              <w:right w:w="28" w:type="dxa"/>
            </w:tcMar>
            <w:vAlign w:val="center"/>
          </w:tcPr>
          <w:p w14:paraId="4622349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$29,639</w:t>
            </w:r>
          </w:p>
        </w:tc>
        <w:tc>
          <w:tcPr>
            <w:tcW w:w="445" w:type="pct"/>
            <w:shd w:val="clear" w:color="auto" w:fill="auto"/>
            <w:tcMar>
              <w:left w:w="28" w:type="dxa"/>
              <w:right w:w="28" w:type="dxa"/>
            </w:tcMar>
            <w:vAlign w:val="center"/>
          </w:tcPr>
          <w:p w14:paraId="2947739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1.1911 </w:t>
            </w:r>
          </w:p>
        </w:tc>
        <w:tc>
          <w:tcPr>
            <w:tcW w:w="525" w:type="pct"/>
            <w:shd w:val="clear" w:color="auto" w:fill="auto"/>
            <w:tcMar>
              <w:left w:w="28" w:type="dxa"/>
              <w:right w:w="28" w:type="dxa"/>
            </w:tcMar>
            <w:vAlign w:val="center"/>
          </w:tcPr>
          <w:p w14:paraId="35297A2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$31,244</w:t>
            </w:r>
          </w:p>
        </w:tc>
        <w:tc>
          <w:tcPr>
            <w:tcW w:w="445" w:type="pct"/>
            <w:shd w:val="clear" w:color="auto" w:fill="auto"/>
            <w:tcMar>
              <w:left w:w="28" w:type="dxa"/>
              <w:right w:w="28" w:type="dxa"/>
            </w:tcMar>
            <w:vAlign w:val="center"/>
          </w:tcPr>
          <w:p w14:paraId="134053B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1.2117 </w:t>
            </w:r>
          </w:p>
        </w:tc>
        <w:tc>
          <w:tcPr>
            <w:tcW w:w="503" w:type="pct"/>
            <w:shd w:val="clear" w:color="auto" w:fill="auto"/>
            <w:tcMar>
              <w:left w:w="28" w:type="dxa"/>
              <w:right w:w="28" w:type="dxa"/>
            </w:tcMar>
            <w:vAlign w:val="center"/>
          </w:tcPr>
          <w:p w14:paraId="25D908C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-$1,605</w:t>
            </w:r>
          </w:p>
        </w:tc>
        <w:tc>
          <w:tcPr>
            <w:tcW w:w="516" w:type="pct"/>
            <w:shd w:val="clear" w:color="auto" w:fill="auto"/>
            <w:tcMar>
              <w:left w:w="28" w:type="dxa"/>
              <w:right w:w="28" w:type="dxa"/>
            </w:tcMar>
            <w:vAlign w:val="center"/>
          </w:tcPr>
          <w:p w14:paraId="1233481D"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-0.0206 </w:t>
            </w:r>
          </w:p>
        </w:tc>
        <w:tc>
          <w:tcPr>
            <w:tcW w:w="640" w:type="pct"/>
            <w:shd w:val="clear" w:color="auto" w:fill="auto"/>
            <w:tcMar>
              <w:left w:w="28" w:type="dxa"/>
              <w:right w:w="28" w:type="dxa"/>
            </w:tcMar>
            <w:vAlign w:val="center"/>
          </w:tcPr>
          <w:p w14:paraId="5462376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$77,867</w:t>
            </w:r>
          </w:p>
        </w:tc>
      </w:tr>
      <w:tr w:rsidR="003B7664" w:rsidRPr="00112D81" w14:paraId="250545EB" w14:textId="77777777" w:rsidTr="004413C9">
        <w:trPr>
          <w:cantSplit/>
          <w:trHeight w:val="262"/>
        </w:trPr>
        <w:tc>
          <w:tcPr>
            <w:tcW w:w="1401" w:type="pct"/>
            <w:shd w:val="clear" w:color="auto" w:fill="auto"/>
            <w:tcMar>
              <w:left w:w="28" w:type="dxa"/>
              <w:right w:w="28" w:type="dxa"/>
            </w:tcMar>
            <w:vAlign w:val="center"/>
          </w:tcPr>
          <w:p w14:paraId="56F3374F"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Remission (0.90; base=0.86)</w:t>
            </w:r>
          </w:p>
        </w:tc>
        <w:tc>
          <w:tcPr>
            <w:tcW w:w="525" w:type="pct"/>
            <w:shd w:val="clear" w:color="auto" w:fill="auto"/>
            <w:tcMar>
              <w:left w:w="28" w:type="dxa"/>
              <w:right w:w="28" w:type="dxa"/>
            </w:tcMar>
            <w:vAlign w:val="center"/>
          </w:tcPr>
          <w:p w14:paraId="4B9DB0C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$29,590</w:t>
            </w:r>
          </w:p>
        </w:tc>
        <w:tc>
          <w:tcPr>
            <w:tcW w:w="445" w:type="pct"/>
            <w:shd w:val="clear" w:color="auto" w:fill="auto"/>
            <w:tcMar>
              <w:left w:w="28" w:type="dxa"/>
              <w:right w:w="28" w:type="dxa"/>
            </w:tcMar>
            <w:vAlign w:val="center"/>
          </w:tcPr>
          <w:p w14:paraId="7B93D5C0"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1.2870 </w:t>
            </w:r>
          </w:p>
        </w:tc>
        <w:tc>
          <w:tcPr>
            <w:tcW w:w="525" w:type="pct"/>
            <w:shd w:val="clear" w:color="auto" w:fill="auto"/>
            <w:tcMar>
              <w:left w:w="28" w:type="dxa"/>
              <w:right w:w="28" w:type="dxa"/>
            </w:tcMar>
            <w:vAlign w:val="center"/>
          </w:tcPr>
          <w:p w14:paraId="717C129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$31,273</w:t>
            </w:r>
          </w:p>
        </w:tc>
        <w:tc>
          <w:tcPr>
            <w:tcW w:w="445" w:type="pct"/>
            <w:shd w:val="clear" w:color="auto" w:fill="auto"/>
            <w:tcMar>
              <w:left w:w="28" w:type="dxa"/>
              <w:right w:w="28" w:type="dxa"/>
            </w:tcMar>
            <w:vAlign w:val="center"/>
          </w:tcPr>
          <w:p w14:paraId="3FE15390"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1.3082 </w:t>
            </w:r>
          </w:p>
        </w:tc>
        <w:tc>
          <w:tcPr>
            <w:tcW w:w="503" w:type="pct"/>
            <w:shd w:val="clear" w:color="auto" w:fill="auto"/>
            <w:tcMar>
              <w:left w:w="28" w:type="dxa"/>
              <w:right w:w="28" w:type="dxa"/>
            </w:tcMar>
            <w:vAlign w:val="center"/>
          </w:tcPr>
          <w:p w14:paraId="424FA42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-$1,682</w:t>
            </w:r>
          </w:p>
        </w:tc>
        <w:tc>
          <w:tcPr>
            <w:tcW w:w="516" w:type="pct"/>
            <w:shd w:val="clear" w:color="auto" w:fill="auto"/>
            <w:tcMar>
              <w:left w:w="28" w:type="dxa"/>
              <w:right w:w="28" w:type="dxa"/>
            </w:tcMar>
            <w:vAlign w:val="center"/>
          </w:tcPr>
          <w:p w14:paraId="0458B0FB"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-0.0212 </w:t>
            </w:r>
          </w:p>
        </w:tc>
        <w:tc>
          <w:tcPr>
            <w:tcW w:w="640" w:type="pct"/>
            <w:shd w:val="clear" w:color="auto" w:fill="auto"/>
            <w:tcMar>
              <w:left w:w="28" w:type="dxa"/>
              <w:right w:w="28" w:type="dxa"/>
            </w:tcMar>
            <w:vAlign w:val="center"/>
          </w:tcPr>
          <w:p w14:paraId="598A2DA0"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$79,498</w:t>
            </w:r>
          </w:p>
        </w:tc>
      </w:tr>
      <w:tr w:rsidR="003B7664" w:rsidRPr="00112D81" w14:paraId="201DEB98" w14:textId="77777777" w:rsidTr="004413C9">
        <w:trPr>
          <w:cantSplit/>
          <w:trHeight w:val="262"/>
        </w:trPr>
        <w:tc>
          <w:tcPr>
            <w:tcW w:w="1401" w:type="pct"/>
            <w:shd w:val="clear" w:color="auto" w:fill="auto"/>
            <w:tcMar>
              <w:left w:w="28" w:type="dxa"/>
              <w:right w:w="28" w:type="dxa"/>
            </w:tcMar>
            <w:vAlign w:val="center"/>
          </w:tcPr>
          <w:p w14:paraId="56580656"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Partial remission (0.65; base=0.71)</w:t>
            </w:r>
          </w:p>
        </w:tc>
        <w:tc>
          <w:tcPr>
            <w:tcW w:w="525" w:type="pct"/>
            <w:shd w:val="clear" w:color="auto" w:fill="auto"/>
            <w:tcMar>
              <w:left w:w="28" w:type="dxa"/>
              <w:right w:w="28" w:type="dxa"/>
            </w:tcMar>
            <w:vAlign w:val="center"/>
          </w:tcPr>
          <w:p w14:paraId="09F7F36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$29,742</w:t>
            </w:r>
          </w:p>
        </w:tc>
        <w:tc>
          <w:tcPr>
            <w:tcW w:w="445" w:type="pct"/>
            <w:shd w:val="clear" w:color="auto" w:fill="auto"/>
            <w:tcMar>
              <w:left w:w="28" w:type="dxa"/>
              <w:right w:w="28" w:type="dxa"/>
            </w:tcMar>
            <w:vAlign w:val="center"/>
          </w:tcPr>
          <w:p w14:paraId="084167F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1.2405 </w:t>
            </w:r>
          </w:p>
        </w:tc>
        <w:tc>
          <w:tcPr>
            <w:tcW w:w="525" w:type="pct"/>
            <w:shd w:val="clear" w:color="auto" w:fill="auto"/>
            <w:tcMar>
              <w:left w:w="28" w:type="dxa"/>
              <w:right w:w="28" w:type="dxa"/>
            </w:tcMar>
            <w:vAlign w:val="center"/>
          </w:tcPr>
          <w:p w14:paraId="503D8B3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$31,291</w:t>
            </w:r>
          </w:p>
        </w:tc>
        <w:tc>
          <w:tcPr>
            <w:tcW w:w="445" w:type="pct"/>
            <w:shd w:val="clear" w:color="auto" w:fill="auto"/>
            <w:tcMar>
              <w:left w:w="28" w:type="dxa"/>
              <w:right w:w="28" w:type="dxa"/>
            </w:tcMar>
            <w:vAlign w:val="center"/>
          </w:tcPr>
          <w:p w14:paraId="6413018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1.2603 </w:t>
            </w:r>
          </w:p>
        </w:tc>
        <w:tc>
          <w:tcPr>
            <w:tcW w:w="503" w:type="pct"/>
            <w:shd w:val="clear" w:color="auto" w:fill="auto"/>
            <w:tcMar>
              <w:left w:w="28" w:type="dxa"/>
              <w:right w:w="28" w:type="dxa"/>
            </w:tcMar>
            <w:vAlign w:val="center"/>
          </w:tcPr>
          <w:p w14:paraId="482E0FCD"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-$1,549</w:t>
            </w:r>
          </w:p>
        </w:tc>
        <w:tc>
          <w:tcPr>
            <w:tcW w:w="516" w:type="pct"/>
            <w:shd w:val="clear" w:color="auto" w:fill="auto"/>
            <w:tcMar>
              <w:left w:w="28" w:type="dxa"/>
              <w:right w:w="28" w:type="dxa"/>
            </w:tcMar>
            <w:vAlign w:val="center"/>
          </w:tcPr>
          <w:p w14:paraId="2A210610"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-0.0198 </w:t>
            </w:r>
          </w:p>
        </w:tc>
        <w:tc>
          <w:tcPr>
            <w:tcW w:w="640" w:type="pct"/>
            <w:shd w:val="clear" w:color="auto" w:fill="auto"/>
            <w:tcMar>
              <w:left w:w="28" w:type="dxa"/>
              <w:right w:w="28" w:type="dxa"/>
            </w:tcMar>
            <w:vAlign w:val="center"/>
          </w:tcPr>
          <w:p w14:paraId="4FF25E7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$78,267</w:t>
            </w:r>
          </w:p>
        </w:tc>
      </w:tr>
      <w:tr w:rsidR="003B7664" w:rsidRPr="00112D81" w14:paraId="3230D57E" w14:textId="77777777" w:rsidTr="004413C9">
        <w:trPr>
          <w:cantSplit/>
          <w:trHeight w:val="262"/>
        </w:trPr>
        <w:tc>
          <w:tcPr>
            <w:tcW w:w="1401" w:type="pct"/>
            <w:shd w:val="clear" w:color="auto" w:fill="auto"/>
            <w:tcMar>
              <w:left w:w="28" w:type="dxa"/>
              <w:right w:w="28" w:type="dxa"/>
            </w:tcMar>
            <w:vAlign w:val="center"/>
          </w:tcPr>
          <w:p w14:paraId="36E3F831"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Partial remission (0.82; base=0.71)</w:t>
            </w:r>
          </w:p>
        </w:tc>
        <w:tc>
          <w:tcPr>
            <w:tcW w:w="525" w:type="pct"/>
            <w:shd w:val="clear" w:color="auto" w:fill="auto"/>
            <w:tcMar>
              <w:left w:w="28" w:type="dxa"/>
              <w:right w:w="28" w:type="dxa"/>
            </w:tcMar>
            <w:vAlign w:val="center"/>
          </w:tcPr>
          <w:p w14:paraId="62B53EB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$29,470</w:t>
            </w:r>
          </w:p>
        </w:tc>
        <w:tc>
          <w:tcPr>
            <w:tcW w:w="445" w:type="pct"/>
            <w:shd w:val="clear" w:color="auto" w:fill="auto"/>
            <w:tcMar>
              <w:left w:w="28" w:type="dxa"/>
              <w:right w:w="28" w:type="dxa"/>
            </w:tcMar>
            <w:vAlign w:val="center"/>
          </w:tcPr>
          <w:p w14:paraId="5E333D2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1.2785 </w:t>
            </w:r>
          </w:p>
        </w:tc>
        <w:tc>
          <w:tcPr>
            <w:tcW w:w="525" w:type="pct"/>
            <w:shd w:val="clear" w:color="auto" w:fill="auto"/>
            <w:tcMar>
              <w:left w:w="28" w:type="dxa"/>
              <w:right w:w="28" w:type="dxa"/>
            </w:tcMar>
            <w:vAlign w:val="center"/>
          </w:tcPr>
          <w:p w14:paraId="6EBD0E9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$31,048</w:t>
            </w:r>
          </w:p>
        </w:tc>
        <w:tc>
          <w:tcPr>
            <w:tcW w:w="445" w:type="pct"/>
            <w:shd w:val="clear" w:color="auto" w:fill="auto"/>
            <w:tcMar>
              <w:left w:w="28" w:type="dxa"/>
              <w:right w:w="28" w:type="dxa"/>
            </w:tcMar>
            <w:vAlign w:val="center"/>
          </w:tcPr>
          <w:p w14:paraId="65E60E3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1.3059 </w:t>
            </w:r>
          </w:p>
        </w:tc>
        <w:tc>
          <w:tcPr>
            <w:tcW w:w="503" w:type="pct"/>
            <w:shd w:val="clear" w:color="auto" w:fill="auto"/>
            <w:tcMar>
              <w:left w:w="28" w:type="dxa"/>
              <w:right w:w="28" w:type="dxa"/>
            </w:tcMar>
            <w:vAlign w:val="center"/>
          </w:tcPr>
          <w:p w14:paraId="45BB95DD"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-$1,579</w:t>
            </w:r>
          </w:p>
        </w:tc>
        <w:tc>
          <w:tcPr>
            <w:tcW w:w="516" w:type="pct"/>
            <w:shd w:val="clear" w:color="auto" w:fill="auto"/>
            <w:tcMar>
              <w:left w:w="28" w:type="dxa"/>
              <w:right w:w="28" w:type="dxa"/>
            </w:tcMar>
            <w:vAlign w:val="center"/>
          </w:tcPr>
          <w:p w14:paraId="4871293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-0.0274 </w:t>
            </w:r>
          </w:p>
        </w:tc>
        <w:tc>
          <w:tcPr>
            <w:tcW w:w="640" w:type="pct"/>
            <w:shd w:val="clear" w:color="auto" w:fill="auto"/>
            <w:tcMar>
              <w:left w:w="28" w:type="dxa"/>
              <w:right w:w="28" w:type="dxa"/>
            </w:tcMar>
            <w:vAlign w:val="center"/>
          </w:tcPr>
          <w:p w14:paraId="3847B67E"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$57,708</w:t>
            </w:r>
          </w:p>
        </w:tc>
      </w:tr>
      <w:tr w:rsidR="003B7664" w:rsidRPr="00112D81" w14:paraId="5E0393D7" w14:textId="77777777" w:rsidTr="004413C9">
        <w:trPr>
          <w:cantSplit/>
          <w:trHeight w:val="262"/>
        </w:trPr>
        <w:tc>
          <w:tcPr>
            <w:tcW w:w="1401" w:type="pct"/>
            <w:shd w:val="clear" w:color="auto" w:fill="auto"/>
            <w:tcMar>
              <w:left w:w="28" w:type="dxa"/>
              <w:right w:w="28" w:type="dxa"/>
            </w:tcMar>
            <w:vAlign w:val="center"/>
          </w:tcPr>
          <w:p w14:paraId="167B14D3"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Relapse (0.25; base=0.54)</w:t>
            </w:r>
          </w:p>
        </w:tc>
        <w:tc>
          <w:tcPr>
            <w:tcW w:w="525" w:type="pct"/>
            <w:shd w:val="clear" w:color="auto" w:fill="auto"/>
            <w:tcMar>
              <w:left w:w="28" w:type="dxa"/>
              <w:right w:w="28" w:type="dxa"/>
            </w:tcMar>
            <w:vAlign w:val="center"/>
          </w:tcPr>
          <w:p w14:paraId="0ADA922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$29,446</w:t>
            </w:r>
          </w:p>
        </w:tc>
        <w:tc>
          <w:tcPr>
            <w:tcW w:w="445" w:type="pct"/>
            <w:shd w:val="clear" w:color="auto" w:fill="auto"/>
            <w:tcMar>
              <w:left w:w="28" w:type="dxa"/>
              <w:right w:w="28" w:type="dxa"/>
            </w:tcMar>
            <w:vAlign w:val="center"/>
          </w:tcPr>
          <w:p w14:paraId="7E25E883"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1.0195 </w:t>
            </w:r>
          </w:p>
        </w:tc>
        <w:tc>
          <w:tcPr>
            <w:tcW w:w="525" w:type="pct"/>
            <w:shd w:val="clear" w:color="auto" w:fill="auto"/>
            <w:tcMar>
              <w:left w:w="28" w:type="dxa"/>
              <w:right w:w="28" w:type="dxa"/>
            </w:tcMar>
            <w:vAlign w:val="center"/>
          </w:tcPr>
          <w:p w14:paraId="0F55DD95"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$31,214</w:t>
            </w:r>
          </w:p>
        </w:tc>
        <w:tc>
          <w:tcPr>
            <w:tcW w:w="445" w:type="pct"/>
            <w:shd w:val="clear" w:color="auto" w:fill="auto"/>
            <w:tcMar>
              <w:left w:w="28" w:type="dxa"/>
              <w:right w:w="28" w:type="dxa"/>
            </w:tcMar>
            <w:vAlign w:val="center"/>
          </w:tcPr>
          <w:p w14:paraId="6C22577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1.0501 </w:t>
            </w:r>
          </w:p>
        </w:tc>
        <w:tc>
          <w:tcPr>
            <w:tcW w:w="503" w:type="pct"/>
            <w:shd w:val="clear" w:color="auto" w:fill="auto"/>
            <w:tcMar>
              <w:left w:w="28" w:type="dxa"/>
              <w:right w:w="28" w:type="dxa"/>
            </w:tcMar>
            <w:vAlign w:val="center"/>
          </w:tcPr>
          <w:p w14:paraId="7C83901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-$1,768</w:t>
            </w:r>
          </w:p>
        </w:tc>
        <w:tc>
          <w:tcPr>
            <w:tcW w:w="516" w:type="pct"/>
            <w:shd w:val="clear" w:color="auto" w:fill="auto"/>
            <w:tcMar>
              <w:left w:w="28" w:type="dxa"/>
              <w:right w:w="28" w:type="dxa"/>
            </w:tcMar>
            <w:vAlign w:val="center"/>
          </w:tcPr>
          <w:p w14:paraId="5E3B53A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-0.0306 </w:t>
            </w:r>
          </w:p>
        </w:tc>
        <w:tc>
          <w:tcPr>
            <w:tcW w:w="640" w:type="pct"/>
            <w:shd w:val="clear" w:color="auto" w:fill="auto"/>
            <w:tcMar>
              <w:left w:w="28" w:type="dxa"/>
              <w:right w:w="28" w:type="dxa"/>
            </w:tcMar>
            <w:vAlign w:val="center"/>
          </w:tcPr>
          <w:p w14:paraId="2505791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$57,718</w:t>
            </w:r>
          </w:p>
        </w:tc>
      </w:tr>
      <w:tr w:rsidR="003B7664" w:rsidRPr="00112D81" w14:paraId="5C35BCA5" w14:textId="77777777" w:rsidTr="004413C9">
        <w:trPr>
          <w:cantSplit/>
          <w:trHeight w:val="262"/>
        </w:trPr>
        <w:tc>
          <w:tcPr>
            <w:tcW w:w="1401" w:type="pct"/>
            <w:shd w:val="clear" w:color="auto" w:fill="auto"/>
            <w:tcMar>
              <w:left w:w="28" w:type="dxa"/>
              <w:right w:w="28" w:type="dxa"/>
            </w:tcMar>
            <w:vAlign w:val="center"/>
          </w:tcPr>
          <w:p w14:paraId="4A4B7E30"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lastRenderedPageBreak/>
              <w:t>Relapse (0.58; base=0.54)</w:t>
            </w:r>
          </w:p>
        </w:tc>
        <w:tc>
          <w:tcPr>
            <w:tcW w:w="525" w:type="pct"/>
            <w:shd w:val="clear" w:color="auto" w:fill="auto"/>
            <w:tcMar>
              <w:left w:w="28" w:type="dxa"/>
              <w:right w:w="28" w:type="dxa"/>
            </w:tcMar>
            <w:vAlign w:val="center"/>
          </w:tcPr>
          <w:p w14:paraId="4D34E48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$29,759</w:t>
            </w:r>
          </w:p>
        </w:tc>
        <w:tc>
          <w:tcPr>
            <w:tcW w:w="445" w:type="pct"/>
            <w:shd w:val="clear" w:color="auto" w:fill="auto"/>
            <w:tcMar>
              <w:left w:w="28" w:type="dxa"/>
              <w:right w:w="28" w:type="dxa"/>
            </w:tcMar>
            <w:vAlign w:val="center"/>
          </w:tcPr>
          <w:p w14:paraId="0130213B"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1.2640 </w:t>
            </w:r>
          </w:p>
        </w:tc>
        <w:tc>
          <w:tcPr>
            <w:tcW w:w="525" w:type="pct"/>
            <w:shd w:val="clear" w:color="auto" w:fill="auto"/>
            <w:tcMar>
              <w:left w:w="28" w:type="dxa"/>
              <w:right w:w="28" w:type="dxa"/>
            </w:tcMar>
            <w:vAlign w:val="center"/>
          </w:tcPr>
          <w:p w14:paraId="2E77968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$31,396</w:t>
            </w:r>
          </w:p>
        </w:tc>
        <w:tc>
          <w:tcPr>
            <w:tcW w:w="445" w:type="pct"/>
            <w:shd w:val="clear" w:color="auto" w:fill="auto"/>
            <w:tcMar>
              <w:left w:w="28" w:type="dxa"/>
              <w:right w:w="28" w:type="dxa"/>
            </w:tcMar>
            <w:vAlign w:val="center"/>
          </w:tcPr>
          <w:p w14:paraId="3CD64E1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1.2851 </w:t>
            </w:r>
          </w:p>
        </w:tc>
        <w:tc>
          <w:tcPr>
            <w:tcW w:w="503" w:type="pct"/>
            <w:shd w:val="clear" w:color="auto" w:fill="auto"/>
            <w:tcMar>
              <w:left w:w="28" w:type="dxa"/>
              <w:right w:w="28" w:type="dxa"/>
            </w:tcMar>
            <w:vAlign w:val="center"/>
          </w:tcPr>
          <w:p w14:paraId="047EFC00"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-$1,637</w:t>
            </w:r>
          </w:p>
        </w:tc>
        <w:tc>
          <w:tcPr>
            <w:tcW w:w="516" w:type="pct"/>
            <w:shd w:val="clear" w:color="auto" w:fill="auto"/>
            <w:tcMar>
              <w:left w:w="28" w:type="dxa"/>
              <w:right w:w="28" w:type="dxa"/>
            </w:tcMar>
            <w:vAlign w:val="center"/>
          </w:tcPr>
          <w:p w14:paraId="16963ECE"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-0.0211 </w:t>
            </w:r>
          </w:p>
        </w:tc>
        <w:tc>
          <w:tcPr>
            <w:tcW w:w="640" w:type="pct"/>
            <w:shd w:val="clear" w:color="auto" w:fill="auto"/>
            <w:tcMar>
              <w:left w:w="28" w:type="dxa"/>
              <w:right w:w="28" w:type="dxa"/>
            </w:tcMar>
            <w:vAlign w:val="center"/>
          </w:tcPr>
          <w:p w14:paraId="1CF41E2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$77,463</w:t>
            </w:r>
          </w:p>
        </w:tc>
      </w:tr>
      <w:tr w:rsidR="003B7664" w:rsidRPr="00112D81" w14:paraId="00FA5222" w14:textId="77777777" w:rsidTr="004413C9">
        <w:trPr>
          <w:cantSplit/>
          <w:trHeight w:val="262"/>
        </w:trPr>
        <w:tc>
          <w:tcPr>
            <w:tcW w:w="1401" w:type="pct"/>
            <w:shd w:val="clear" w:color="auto" w:fill="auto"/>
            <w:tcMar>
              <w:left w:w="28" w:type="dxa"/>
              <w:right w:w="28" w:type="dxa"/>
            </w:tcMar>
            <w:vAlign w:val="center"/>
          </w:tcPr>
          <w:p w14:paraId="1492F729"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Hospitalisation (0.09; base=0.3)</w:t>
            </w:r>
          </w:p>
        </w:tc>
        <w:tc>
          <w:tcPr>
            <w:tcW w:w="525" w:type="pct"/>
            <w:shd w:val="clear" w:color="auto" w:fill="auto"/>
            <w:tcMar>
              <w:left w:w="28" w:type="dxa"/>
              <w:right w:w="28" w:type="dxa"/>
            </w:tcMar>
            <w:vAlign w:val="center"/>
          </w:tcPr>
          <w:p w14:paraId="6520A4FA"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$29,705</w:t>
            </w:r>
          </w:p>
        </w:tc>
        <w:tc>
          <w:tcPr>
            <w:tcW w:w="445" w:type="pct"/>
            <w:shd w:val="clear" w:color="auto" w:fill="auto"/>
            <w:tcMar>
              <w:left w:w="28" w:type="dxa"/>
              <w:right w:w="28" w:type="dxa"/>
            </w:tcMar>
            <w:vAlign w:val="center"/>
          </w:tcPr>
          <w:p w14:paraId="3065F6CB"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1.2178 </w:t>
            </w:r>
          </w:p>
        </w:tc>
        <w:tc>
          <w:tcPr>
            <w:tcW w:w="525" w:type="pct"/>
            <w:shd w:val="clear" w:color="auto" w:fill="auto"/>
            <w:tcMar>
              <w:left w:w="28" w:type="dxa"/>
              <w:right w:w="28" w:type="dxa"/>
            </w:tcMar>
            <w:vAlign w:val="center"/>
          </w:tcPr>
          <w:p w14:paraId="52B999C5"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$31,388</w:t>
            </w:r>
          </w:p>
        </w:tc>
        <w:tc>
          <w:tcPr>
            <w:tcW w:w="445" w:type="pct"/>
            <w:shd w:val="clear" w:color="auto" w:fill="auto"/>
            <w:tcMar>
              <w:left w:w="28" w:type="dxa"/>
              <w:right w:w="28" w:type="dxa"/>
            </w:tcMar>
            <w:vAlign w:val="center"/>
          </w:tcPr>
          <w:p w14:paraId="354CF41B"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1.2435 </w:t>
            </w:r>
          </w:p>
        </w:tc>
        <w:tc>
          <w:tcPr>
            <w:tcW w:w="503" w:type="pct"/>
            <w:shd w:val="clear" w:color="auto" w:fill="auto"/>
            <w:tcMar>
              <w:left w:w="28" w:type="dxa"/>
              <w:right w:w="28" w:type="dxa"/>
            </w:tcMar>
            <w:vAlign w:val="center"/>
          </w:tcPr>
          <w:p w14:paraId="643D8BF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-$1,684</w:t>
            </w:r>
          </w:p>
        </w:tc>
        <w:tc>
          <w:tcPr>
            <w:tcW w:w="516" w:type="pct"/>
            <w:shd w:val="clear" w:color="auto" w:fill="auto"/>
            <w:tcMar>
              <w:left w:w="28" w:type="dxa"/>
              <w:right w:w="28" w:type="dxa"/>
            </w:tcMar>
            <w:vAlign w:val="center"/>
          </w:tcPr>
          <w:p w14:paraId="282F92F8"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-0.0257 </w:t>
            </w:r>
          </w:p>
        </w:tc>
        <w:tc>
          <w:tcPr>
            <w:tcW w:w="640" w:type="pct"/>
            <w:shd w:val="clear" w:color="auto" w:fill="auto"/>
            <w:tcMar>
              <w:left w:w="28" w:type="dxa"/>
              <w:right w:w="28" w:type="dxa"/>
            </w:tcMar>
            <w:vAlign w:val="center"/>
          </w:tcPr>
          <w:p w14:paraId="442600D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$65,562</w:t>
            </w:r>
          </w:p>
        </w:tc>
      </w:tr>
      <w:tr w:rsidR="003B7664" w:rsidRPr="00112D81" w14:paraId="6B051D0B" w14:textId="77777777" w:rsidTr="004413C9">
        <w:trPr>
          <w:cantSplit/>
          <w:trHeight w:val="262"/>
        </w:trPr>
        <w:tc>
          <w:tcPr>
            <w:tcW w:w="1401" w:type="pct"/>
            <w:shd w:val="clear" w:color="auto" w:fill="auto"/>
            <w:tcMar>
              <w:left w:w="28" w:type="dxa"/>
              <w:right w:w="28" w:type="dxa"/>
            </w:tcMar>
            <w:vAlign w:val="center"/>
          </w:tcPr>
          <w:p w14:paraId="1E2D8DAA" w14:textId="77777777" w:rsidR="003B7664" w:rsidRDefault="003B7664" w:rsidP="004E72DC">
            <w:pPr>
              <w:widowControl w:val="0"/>
              <w:autoSpaceDE w:val="0"/>
              <w:autoSpaceDN w:val="0"/>
              <w:adjustRightInd w:val="0"/>
              <w:spacing w:before="40" w:after="40"/>
              <w:ind w:left="284"/>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Hospitalisation (0.40; base=0.3)</w:t>
            </w:r>
          </w:p>
        </w:tc>
        <w:tc>
          <w:tcPr>
            <w:tcW w:w="525" w:type="pct"/>
            <w:shd w:val="clear" w:color="auto" w:fill="auto"/>
            <w:tcMar>
              <w:left w:w="28" w:type="dxa"/>
              <w:right w:w="28" w:type="dxa"/>
            </w:tcMar>
            <w:vAlign w:val="center"/>
          </w:tcPr>
          <w:p w14:paraId="54A065C9"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$29,746</w:t>
            </w:r>
          </w:p>
        </w:tc>
        <w:tc>
          <w:tcPr>
            <w:tcW w:w="445" w:type="pct"/>
            <w:shd w:val="clear" w:color="auto" w:fill="auto"/>
            <w:tcMar>
              <w:left w:w="28" w:type="dxa"/>
              <w:right w:w="28" w:type="dxa"/>
            </w:tcMar>
            <w:vAlign w:val="center"/>
          </w:tcPr>
          <w:p w14:paraId="286DA9BF"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1.2712 </w:t>
            </w:r>
          </w:p>
        </w:tc>
        <w:tc>
          <w:tcPr>
            <w:tcW w:w="525" w:type="pct"/>
            <w:shd w:val="clear" w:color="auto" w:fill="auto"/>
            <w:tcMar>
              <w:left w:w="28" w:type="dxa"/>
              <w:right w:w="28" w:type="dxa"/>
            </w:tcMar>
            <w:vAlign w:val="center"/>
          </w:tcPr>
          <w:p w14:paraId="1215DEC1"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$31,315</w:t>
            </w:r>
          </w:p>
        </w:tc>
        <w:tc>
          <w:tcPr>
            <w:tcW w:w="445" w:type="pct"/>
            <w:shd w:val="clear" w:color="auto" w:fill="auto"/>
            <w:tcMar>
              <w:left w:w="28" w:type="dxa"/>
              <w:right w:w="28" w:type="dxa"/>
            </w:tcMar>
            <w:vAlign w:val="center"/>
          </w:tcPr>
          <w:p w14:paraId="6C0F47D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1.2913 </w:t>
            </w:r>
          </w:p>
        </w:tc>
        <w:tc>
          <w:tcPr>
            <w:tcW w:w="503" w:type="pct"/>
            <w:shd w:val="clear" w:color="auto" w:fill="auto"/>
            <w:tcMar>
              <w:left w:w="28" w:type="dxa"/>
              <w:right w:w="28" w:type="dxa"/>
            </w:tcMar>
            <w:vAlign w:val="center"/>
          </w:tcPr>
          <w:p w14:paraId="2143BFA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-$1,569</w:t>
            </w:r>
          </w:p>
        </w:tc>
        <w:tc>
          <w:tcPr>
            <w:tcW w:w="516" w:type="pct"/>
            <w:shd w:val="clear" w:color="auto" w:fill="auto"/>
            <w:tcMar>
              <w:left w:w="28" w:type="dxa"/>
              <w:right w:w="28" w:type="dxa"/>
            </w:tcMar>
            <w:vAlign w:val="center"/>
          </w:tcPr>
          <w:p w14:paraId="3F1C1427"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-0.0201 </w:t>
            </w:r>
          </w:p>
        </w:tc>
        <w:tc>
          <w:tcPr>
            <w:tcW w:w="640" w:type="pct"/>
            <w:shd w:val="clear" w:color="auto" w:fill="auto"/>
            <w:tcMar>
              <w:left w:w="28" w:type="dxa"/>
              <w:right w:w="28" w:type="dxa"/>
            </w:tcMar>
            <w:vAlign w:val="center"/>
          </w:tcPr>
          <w:p w14:paraId="333DF5A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$77,996</w:t>
            </w:r>
          </w:p>
        </w:tc>
      </w:tr>
      <w:tr w:rsidR="003B7664" w:rsidRPr="00112D81" w14:paraId="09BD08A1" w14:textId="77777777" w:rsidTr="009A71BE">
        <w:trPr>
          <w:cantSplit/>
          <w:trHeight w:val="262"/>
        </w:trPr>
        <w:tc>
          <w:tcPr>
            <w:tcW w:w="5000" w:type="pct"/>
            <w:gridSpan w:val="8"/>
            <w:shd w:val="clear" w:color="auto" w:fill="auto"/>
            <w:tcMar>
              <w:left w:w="28" w:type="dxa"/>
              <w:right w:w="28" w:type="dxa"/>
            </w:tcMar>
            <w:vAlign w:val="center"/>
          </w:tcPr>
          <w:p w14:paraId="3E381CFE" w14:textId="77777777" w:rsidR="003B7664" w:rsidRPr="00112D81" w:rsidRDefault="003B7664" w:rsidP="004E72DC">
            <w:pPr>
              <w:widowControl w:val="0"/>
              <w:autoSpaceDE w:val="0"/>
              <w:autoSpaceDN w:val="0"/>
              <w:adjustRightInd w:val="0"/>
              <w:spacing w:before="40" w:after="40"/>
              <w:ind w:left="0"/>
              <w:rPr>
                <w:rFonts w:ascii="Arial Narrow" w:eastAsiaTheme="minorHAnsi" w:hAnsi="Arial Narrow" w:cs="Arial Narrow"/>
                <w:sz w:val="18"/>
                <w:szCs w:val="18"/>
              </w:rPr>
            </w:pPr>
            <w:r w:rsidRPr="00112D81">
              <w:rPr>
                <w:rFonts w:ascii="Arial Narrow" w:eastAsiaTheme="minorHAnsi" w:hAnsi="Arial Narrow" w:cs="Arial Narrow"/>
                <w:b/>
                <w:bCs/>
                <w:sz w:val="18"/>
                <w:szCs w:val="18"/>
              </w:rPr>
              <w:t>Multivariate sensitivity analysis</w:t>
            </w:r>
          </w:p>
        </w:tc>
      </w:tr>
      <w:tr w:rsidR="003B7664" w:rsidRPr="00112D81" w14:paraId="7C069355" w14:textId="77777777" w:rsidTr="004413C9">
        <w:trPr>
          <w:cantSplit/>
          <w:trHeight w:val="262"/>
        </w:trPr>
        <w:tc>
          <w:tcPr>
            <w:tcW w:w="1401" w:type="pct"/>
            <w:shd w:val="clear" w:color="auto" w:fill="auto"/>
            <w:tcMar>
              <w:left w:w="28" w:type="dxa"/>
              <w:right w:w="28" w:type="dxa"/>
            </w:tcMar>
            <w:vAlign w:val="center"/>
          </w:tcPr>
          <w:p w14:paraId="3400BF7D" w14:textId="77777777" w:rsidR="003B7664" w:rsidRDefault="003B7664" w:rsidP="004E72DC">
            <w:pPr>
              <w:widowControl w:val="0"/>
              <w:autoSpaceDE w:val="0"/>
              <w:autoSpaceDN w:val="0"/>
              <w:adjustRightInd w:val="0"/>
              <w:spacing w:before="40" w:after="40"/>
              <w:ind w:left="142"/>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Decrement due to AE for all three treatment arms (beta distribution)</w:t>
            </w:r>
          </w:p>
        </w:tc>
        <w:tc>
          <w:tcPr>
            <w:tcW w:w="525" w:type="pct"/>
            <w:shd w:val="clear" w:color="auto" w:fill="auto"/>
            <w:tcMar>
              <w:left w:w="28" w:type="dxa"/>
              <w:right w:w="28" w:type="dxa"/>
            </w:tcMar>
            <w:vAlign w:val="center"/>
          </w:tcPr>
          <w:p w14:paraId="1BBEDE54"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$29,663</w:t>
            </w:r>
          </w:p>
        </w:tc>
        <w:tc>
          <w:tcPr>
            <w:tcW w:w="445" w:type="pct"/>
            <w:shd w:val="clear" w:color="auto" w:fill="auto"/>
            <w:tcMar>
              <w:left w:w="28" w:type="dxa"/>
              <w:right w:w="28" w:type="dxa"/>
            </w:tcMar>
            <w:vAlign w:val="center"/>
          </w:tcPr>
          <w:p w14:paraId="0463EDAC"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1.2500 </w:t>
            </w:r>
          </w:p>
        </w:tc>
        <w:tc>
          <w:tcPr>
            <w:tcW w:w="525" w:type="pct"/>
            <w:shd w:val="clear" w:color="auto" w:fill="auto"/>
            <w:tcMar>
              <w:left w:w="28" w:type="dxa"/>
              <w:right w:w="28" w:type="dxa"/>
            </w:tcMar>
            <w:vAlign w:val="center"/>
          </w:tcPr>
          <w:p w14:paraId="08A198F5"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$31,291</w:t>
            </w:r>
          </w:p>
        </w:tc>
        <w:tc>
          <w:tcPr>
            <w:tcW w:w="445" w:type="pct"/>
            <w:shd w:val="clear" w:color="auto" w:fill="auto"/>
            <w:tcMar>
              <w:left w:w="28" w:type="dxa"/>
              <w:right w:w="28" w:type="dxa"/>
            </w:tcMar>
            <w:vAlign w:val="center"/>
          </w:tcPr>
          <w:p w14:paraId="3A75AEB2"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1.2800 </w:t>
            </w:r>
          </w:p>
        </w:tc>
        <w:tc>
          <w:tcPr>
            <w:tcW w:w="503" w:type="pct"/>
            <w:shd w:val="clear" w:color="auto" w:fill="auto"/>
            <w:tcMar>
              <w:left w:w="28" w:type="dxa"/>
              <w:right w:w="28" w:type="dxa"/>
            </w:tcMar>
            <w:vAlign w:val="center"/>
          </w:tcPr>
          <w:p w14:paraId="4FBBA546"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-$1,628</w:t>
            </w:r>
          </w:p>
        </w:tc>
        <w:tc>
          <w:tcPr>
            <w:tcW w:w="516" w:type="pct"/>
            <w:shd w:val="clear" w:color="auto" w:fill="auto"/>
            <w:tcMar>
              <w:left w:w="28" w:type="dxa"/>
              <w:right w:w="28" w:type="dxa"/>
            </w:tcMar>
            <w:vAlign w:val="center"/>
          </w:tcPr>
          <w:p w14:paraId="6CC05AA0"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-0.0300 </w:t>
            </w:r>
          </w:p>
        </w:tc>
        <w:tc>
          <w:tcPr>
            <w:tcW w:w="640" w:type="pct"/>
            <w:shd w:val="clear" w:color="auto" w:fill="auto"/>
            <w:tcMar>
              <w:left w:w="28" w:type="dxa"/>
              <w:right w:w="28" w:type="dxa"/>
            </w:tcMar>
            <w:vAlign w:val="center"/>
          </w:tcPr>
          <w:p w14:paraId="2A61910E" w14:textId="77777777" w:rsidR="003B7664" w:rsidRDefault="003B7664" w:rsidP="004E72DC">
            <w:pPr>
              <w:widowControl w:val="0"/>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$74,322</w:t>
            </w:r>
          </w:p>
        </w:tc>
      </w:tr>
      <w:tr w:rsidR="003B7664" w:rsidRPr="00112D81" w14:paraId="3E65B744" w14:textId="77777777" w:rsidTr="004413C9">
        <w:trPr>
          <w:cantSplit/>
          <w:trHeight w:val="262"/>
        </w:trPr>
        <w:tc>
          <w:tcPr>
            <w:tcW w:w="1401" w:type="pct"/>
            <w:shd w:val="clear" w:color="auto" w:fill="auto"/>
            <w:tcMar>
              <w:left w:w="28" w:type="dxa"/>
              <w:right w:w="28" w:type="dxa"/>
            </w:tcMar>
            <w:vAlign w:val="center"/>
          </w:tcPr>
          <w:p w14:paraId="234F2E80" w14:textId="77777777" w:rsidR="003B7664" w:rsidRDefault="003B7664" w:rsidP="004E72DC">
            <w:pPr>
              <w:keepNext/>
              <w:autoSpaceDE w:val="0"/>
              <w:autoSpaceDN w:val="0"/>
              <w:adjustRightInd w:val="0"/>
              <w:spacing w:before="40" w:after="40"/>
              <w:ind w:left="142"/>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Cost of AE for all treatment arms (gamma distribution)</w:t>
            </w:r>
          </w:p>
        </w:tc>
        <w:tc>
          <w:tcPr>
            <w:tcW w:w="525" w:type="pct"/>
            <w:shd w:val="clear" w:color="auto" w:fill="auto"/>
            <w:tcMar>
              <w:left w:w="28" w:type="dxa"/>
              <w:right w:w="28" w:type="dxa"/>
            </w:tcMar>
            <w:vAlign w:val="center"/>
          </w:tcPr>
          <w:p w14:paraId="2FB7997A"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$29,670</w:t>
            </w:r>
          </w:p>
        </w:tc>
        <w:tc>
          <w:tcPr>
            <w:tcW w:w="445" w:type="pct"/>
            <w:shd w:val="clear" w:color="auto" w:fill="auto"/>
            <w:tcMar>
              <w:left w:w="28" w:type="dxa"/>
              <w:right w:w="28" w:type="dxa"/>
            </w:tcMar>
            <w:vAlign w:val="center"/>
          </w:tcPr>
          <w:p w14:paraId="3187A0E8"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1.2500 </w:t>
            </w:r>
          </w:p>
        </w:tc>
        <w:tc>
          <w:tcPr>
            <w:tcW w:w="525" w:type="pct"/>
            <w:shd w:val="clear" w:color="auto" w:fill="auto"/>
            <w:tcMar>
              <w:left w:w="28" w:type="dxa"/>
              <w:right w:w="28" w:type="dxa"/>
            </w:tcMar>
            <w:vAlign w:val="center"/>
          </w:tcPr>
          <w:p w14:paraId="3B34B7FA"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$31,308</w:t>
            </w:r>
          </w:p>
        </w:tc>
        <w:tc>
          <w:tcPr>
            <w:tcW w:w="445" w:type="pct"/>
            <w:shd w:val="clear" w:color="auto" w:fill="auto"/>
            <w:tcMar>
              <w:left w:w="28" w:type="dxa"/>
              <w:right w:w="28" w:type="dxa"/>
            </w:tcMar>
            <w:vAlign w:val="center"/>
          </w:tcPr>
          <w:p w14:paraId="7082C789"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1.2800 </w:t>
            </w:r>
          </w:p>
        </w:tc>
        <w:tc>
          <w:tcPr>
            <w:tcW w:w="503" w:type="pct"/>
            <w:shd w:val="clear" w:color="auto" w:fill="auto"/>
            <w:tcMar>
              <w:left w:w="28" w:type="dxa"/>
              <w:right w:w="28" w:type="dxa"/>
            </w:tcMar>
            <w:vAlign w:val="center"/>
          </w:tcPr>
          <w:p w14:paraId="642DCB2D"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-$1,638</w:t>
            </w:r>
          </w:p>
        </w:tc>
        <w:tc>
          <w:tcPr>
            <w:tcW w:w="516" w:type="pct"/>
            <w:shd w:val="clear" w:color="auto" w:fill="auto"/>
            <w:tcMar>
              <w:left w:w="28" w:type="dxa"/>
              <w:right w:w="28" w:type="dxa"/>
            </w:tcMar>
            <w:vAlign w:val="center"/>
          </w:tcPr>
          <w:p w14:paraId="4BD879A7"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 xml:space="preserve">-0.0300 </w:t>
            </w:r>
          </w:p>
        </w:tc>
        <w:tc>
          <w:tcPr>
            <w:tcW w:w="640" w:type="pct"/>
            <w:shd w:val="clear" w:color="auto" w:fill="auto"/>
            <w:tcMar>
              <w:left w:w="28" w:type="dxa"/>
              <w:right w:w="28" w:type="dxa"/>
            </w:tcMar>
            <w:vAlign w:val="center"/>
          </w:tcPr>
          <w:p w14:paraId="4ABFE29E" w14:textId="77777777" w:rsidR="003B7664" w:rsidRDefault="003B7664" w:rsidP="004E72DC">
            <w:pPr>
              <w:keepNext/>
              <w:autoSpaceDE w:val="0"/>
              <w:autoSpaceDN w:val="0"/>
              <w:adjustRightInd w:val="0"/>
              <w:spacing w:before="40" w:after="40"/>
              <w:ind w:left="0"/>
              <w:jc w:val="center"/>
              <w:rPr>
                <w:rFonts w:ascii="Arial Narrow" w:eastAsiaTheme="minorHAnsi" w:hAnsi="Arial Narrow" w:cs="Arial Narrow"/>
                <w:color w:val="000000"/>
                <w:sz w:val="18"/>
                <w:szCs w:val="18"/>
              </w:rPr>
            </w:pPr>
            <w:r>
              <w:rPr>
                <w:rFonts w:ascii="Arial Narrow" w:eastAsiaTheme="minorHAnsi" w:hAnsi="Arial Narrow" w:cs="Arial Narrow"/>
                <w:color w:val="000000"/>
                <w:sz w:val="18"/>
                <w:szCs w:val="18"/>
              </w:rPr>
              <w:t>$75,621</w:t>
            </w:r>
          </w:p>
        </w:tc>
      </w:tr>
    </w:tbl>
    <w:p w14:paraId="5F348CCF" w14:textId="77777777" w:rsidR="004413C9" w:rsidRDefault="004413C9" w:rsidP="004E72DC">
      <w:pPr>
        <w:keepNext/>
        <w:spacing w:before="40" w:after="40"/>
        <w:ind w:left="709"/>
        <w:rPr>
          <w:rFonts w:ascii="Arial Narrow" w:hAnsi="Arial Narrow"/>
          <w:sz w:val="18"/>
          <w:szCs w:val="18"/>
        </w:rPr>
      </w:pPr>
      <w:r w:rsidRPr="004413C9">
        <w:rPr>
          <w:rFonts w:ascii="Arial Narrow" w:hAnsi="Arial Narrow"/>
          <w:sz w:val="18"/>
          <w:szCs w:val="18"/>
        </w:rPr>
        <w:t>Source:</w:t>
      </w:r>
      <w:r>
        <w:rPr>
          <w:rFonts w:ascii="Arial Narrow" w:hAnsi="Arial Narrow"/>
          <w:sz w:val="18"/>
          <w:szCs w:val="18"/>
        </w:rPr>
        <w:t xml:space="preserve"> </w:t>
      </w:r>
      <w:r w:rsidRPr="004413C9">
        <w:rPr>
          <w:rFonts w:ascii="Arial Narrow" w:hAnsi="Arial Narrow"/>
          <w:sz w:val="18"/>
          <w:szCs w:val="18"/>
        </w:rPr>
        <w:t>rTMS final results - base case and sensitivity analysis</w:t>
      </w:r>
      <w:r>
        <w:rPr>
          <w:rFonts w:ascii="Arial Narrow" w:hAnsi="Arial Narrow"/>
          <w:sz w:val="18"/>
          <w:szCs w:val="18"/>
        </w:rPr>
        <w:t>.xlsx</w:t>
      </w:r>
    </w:p>
    <w:p w14:paraId="7E0ACA9F" w14:textId="77777777" w:rsidR="003B7664" w:rsidRDefault="003B7664" w:rsidP="004E72DC">
      <w:pPr>
        <w:keepNext/>
        <w:spacing w:before="40" w:after="40"/>
        <w:ind w:left="709"/>
        <w:jc w:val="both"/>
        <w:rPr>
          <w:rFonts w:ascii="Arial Narrow" w:hAnsi="Arial Narrow"/>
          <w:sz w:val="18"/>
          <w:szCs w:val="18"/>
        </w:rPr>
      </w:pPr>
      <w:r>
        <w:rPr>
          <w:rFonts w:ascii="Arial Narrow" w:hAnsi="Arial Narrow"/>
          <w:sz w:val="18"/>
          <w:szCs w:val="18"/>
        </w:rPr>
        <w:t xml:space="preserve">ECT = Electroconvulsive therapy; rTMS = repetitive Transcranial Magnetic Stimulation; REM = remission; AE = adverse events; </w:t>
      </w:r>
    </w:p>
    <w:p w14:paraId="7F0C2567" w14:textId="23DBE263" w:rsidR="009A71BE" w:rsidRDefault="004413C9" w:rsidP="004E72DC">
      <w:pPr>
        <w:keepNext/>
        <w:spacing w:before="40" w:after="40"/>
        <w:ind w:left="709"/>
        <w:rPr>
          <w:rFonts w:ascii="Arial Narrow" w:hAnsi="Arial Narrow"/>
          <w:sz w:val="18"/>
          <w:szCs w:val="18"/>
        </w:rPr>
      </w:pPr>
      <w:proofErr w:type="gramStart"/>
      <w:r w:rsidRPr="004413C9">
        <w:rPr>
          <w:rFonts w:ascii="Arial Narrow" w:hAnsi="Arial Narrow"/>
          <w:sz w:val="18"/>
          <w:szCs w:val="18"/>
          <w:vertAlign w:val="superscript"/>
        </w:rPr>
        <w:t>a</w:t>
      </w:r>
      <w:proofErr w:type="gramEnd"/>
      <w:r w:rsidRPr="009A71BE">
        <w:rPr>
          <w:rFonts w:ascii="Arial Narrow" w:hAnsi="Arial Narrow"/>
          <w:sz w:val="18"/>
          <w:szCs w:val="18"/>
        </w:rPr>
        <w:t xml:space="preserve"> The full sensitivity analysis result can be found in </w:t>
      </w:r>
      <w:r w:rsidR="00C907B9">
        <w:rPr>
          <w:rFonts w:ascii="Arial Narrow" w:hAnsi="Arial Narrow"/>
          <w:sz w:val="18"/>
          <w:szCs w:val="18"/>
        </w:rPr>
        <w:t>Appendix D</w:t>
      </w:r>
      <w:r>
        <w:rPr>
          <w:rFonts w:ascii="Arial Narrow" w:hAnsi="Arial Narrow"/>
          <w:sz w:val="18"/>
          <w:szCs w:val="18"/>
        </w:rPr>
        <w:t xml:space="preserve"> and the excel file (</w:t>
      </w:r>
      <w:r w:rsidRPr="004413C9">
        <w:rPr>
          <w:rFonts w:ascii="Arial Narrow" w:hAnsi="Arial Narrow"/>
          <w:sz w:val="18"/>
          <w:szCs w:val="18"/>
        </w:rPr>
        <w:t>rTMS final results - base case and sensitivity analysis</w:t>
      </w:r>
      <w:r>
        <w:rPr>
          <w:rFonts w:ascii="Arial Narrow" w:hAnsi="Arial Narrow"/>
          <w:sz w:val="18"/>
          <w:szCs w:val="18"/>
        </w:rPr>
        <w:t>.xlsx).</w:t>
      </w:r>
    </w:p>
    <w:p w14:paraId="1003D323" w14:textId="77777777" w:rsidR="00404A6E" w:rsidRPr="00404A6E" w:rsidRDefault="00404A6E" w:rsidP="004E72DC"/>
    <w:p w14:paraId="7DC79CC9" w14:textId="1FB5AB6E" w:rsidR="00140741" w:rsidRDefault="00140741" w:rsidP="009A71BE">
      <w:pPr>
        <w:jc w:val="both"/>
      </w:pPr>
      <w:r>
        <w:t>In the</w:t>
      </w:r>
      <w:r w:rsidR="004F691A">
        <w:t xml:space="preserve"> base case analysis over three years, </w:t>
      </w:r>
      <w:r>
        <w:t xml:space="preserve">rTMS was the </w:t>
      </w:r>
      <w:r w:rsidR="004F691A">
        <w:t>least costly</w:t>
      </w:r>
      <w:r>
        <w:t xml:space="preserve"> treatment option followed by the antidepressant comparator. However, the cost differences were relatively small. The model predicted that ECT would produce the highest QALYs followed by rTMS and antidepressant. Therefore, rTMS could be considered superior to antidepressant as it was less costly and more effective, based on the model assumptions. </w:t>
      </w:r>
      <w:proofErr w:type="gramStart"/>
      <w:r w:rsidR="009E57CE">
        <w:t>rTMS</w:t>
      </w:r>
      <w:proofErr w:type="gramEnd"/>
      <w:r w:rsidR="009E57CE">
        <w:t xml:space="preserve"> produced lower costs but lower QALYs compared with ECT and t</w:t>
      </w:r>
      <w:r>
        <w:t xml:space="preserve">he estimated ICER is </w:t>
      </w:r>
      <w:r w:rsidRPr="00C37C4E">
        <w:t>$</w:t>
      </w:r>
      <w:r w:rsidR="003B7664">
        <w:t>75,844</w:t>
      </w:r>
      <w:r>
        <w:t xml:space="preserve"> per QALY. </w:t>
      </w:r>
    </w:p>
    <w:p w14:paraId="6DD6B843" w14:textId="77777777" w:rsidR="004A3CD4" w:rsidRPr="004A3CD4" w:rsidRDefault="004A3CD4" w:rsidP="009A71BE">
      <w:pPr>
        <w:jc w:val="both"/>
        <w:rPr>
          <w:lang w:eastAsia="en-AU"/>
        </w:rPr>
      </w:pPr>
      <w:r w:rsidRPr="004A3CD4">
        <w:rPr>
          <w:lang w:eastAsia="en-AU"/>
        </w:rPr>
        <w:t>The sensitivity analys</w:t>
      </w:r>
      <w:r w:rsidR="00BE41D5">
        <w:rPr>
          <w:lang w:eastAsia="en-AU"/>
        </w:rPr>
        <w:t>e</w:t>
      </w:r>
      <w:r w:rsidRPr="004A3CD4">
        <w:rPr>
          <w:lang w:eastAsia="en-AU"/>
        </w:rPr>
        <w:t xml:space="preserve">s found that the base case results were relatively robust with respect to input values and model assumptions. The most sensitive variables were the: </w:t>
      </w:r>
    </w:p>
    <w:p w14:paraId="6167DC3F" w14:textId="77777777" w:rsidR="004A3CD4" w:rsidRPr="009A71BE" w:rsidRDefault="004A3CD4" w:rsidP="008C3491">
      <w:pPr>
        <w:pStyle w:val="ListParagraph"/>
        <w:numPr>
          <w:ilvl w:val="0"/>
          <w:numId w:val="23"/>
        </w:numPr>
        <w:ind w:left="1276"/>
        <w:jc w:val="both"/>
        <w:rPr>
          <w:rFonts w:ascii="Garamond" w:hAnsi="Garamond"/>
          <w:lang w:eastAsia="en-AU"/>
        </w:rPr>
      </w:pPr>
      <w:r w:rsidRPr="009A71BE" w:rsidDel="00947170">
        <w:rPr>
          <w:rFonts w:ascii="Garamond" w:hAnsi="Garamond"/>
          <w:lang w:eastAsia="en-AU"/>
        </w:rPr>
        <w:t xml:space="preserve">Probability of </w:t>
      </w:r>
      <w:r w:rsidRPr="009A71BE">
        <w:rPr>
          <w:rFonts w:ascii="Garamond" w:hAnsi="Garamond"/>
          <w:lang w:eastAsia="en-AU"/>
        </w:rPr>
        <w:t>gaining and losing remission after treatment (for all three treatment options)</w:t>
      </w:r>
    </w:p>
    <w:p w14:paraId="68794B1B" w14:textId="77777777" w:rsidR="004A3CD4" w:rsidRPr="009A71BE" w:rsidRDefault="004A3CD4" w:rsidP="008C3491">
      <w:pPr>
        <w:pStyle w:val="ListParagraph"/>
        <w:numPr>
          <w:ilvl w:val="0"/>
          <w:numId w:val="23"/>
        </w:numPr>
        <w:ind w:left="1276"/>
        <w:jc w:val="both"/>
        <w:rPr>
          <w:rFonts w:ascii="Garamond" w:hAnsi="Garamond"/>
          <w:lang w:eastAsia="en-AU"/>
        </w:rPr>
      </w:pPr>
      <w:r w:rsidRPr="009A71BE">
        <w:rPr>
          <w:rFonts w:ascii="Garamond" w:hAnsi="Garamond"/>
          <w:lang w:eastAsia="en-AU"/>
        </w:rPr>
        <w:t xml:space="preserve">Probability of gaining remission after hospitalisation </w:t>
      </w:r>
    </w:p>
    <w:p w14:paraId="10432C12" w14:textId="77777777" w:rsidR="004A3CD4" w:rsidRPr="009A71BE" w:rsidRDefault="004A3CD4" w:rsidP="008C3491">
      <w:pPr>
        <w:pStyle w:val="ListParagraph"/>
        <w:numPr>
          <w:ilvl w:val="0"/>
          <w:numId w:val="23"/>
        </w:numPr>
        <w:ind w:left="1276"/>
        <w:jc w:val="both"/>
        <w:rPr>
          <w:rFonts w:ascii="Garamond" w:hAnsi="Garamond"/>
          <w:lang w:eastAsia="en-AU"/>
        </w:rPr>
      </w:pPr>
      <w:r w:rsidRPr="009A71BE">
        <w:rPr>
          <w:rFonts w:ascii="Garamond" w:hAnsi="Garamond"/>
          <w:lang w:eastAsia="en-AU"/>
        </w:rPr>
        <w:t xml:space="preserve">Probability of receiving ECT after the main treatment; and the </w:t>
      </w:r>
    </w:p>
    <w:p w14:paraId="7BFE592C" w14:textId="77777777" w:rsidR="004A3CD4" w:rsidRPr="009A71BE" w:rsidRDefault="004A3CD4" w:rsidP="008C3491">
      <w:pPr>
        <w:pStyle w:val="ListParagraph"/>
        <w:numPr>
          <w:ilvl w:val="0"/>
          <w:numId w:val="23"/>
        </w:numPr>
        <w:ind w:left="1276"/>
        <w:jc w:val="both"/>
        <w:rPr>
          <w:rFonts w:ascii="Garamond" w:hAnsi="Garamond"/>
          <w:lang w:eastAsia="en-AU"/>
        </w:rPr>
      </w:pPr>
      <w:r w:rsidRPr="009A71BE">
        <w:rPr>
          <w:rFonts w:ascii="Garamond" w:hAnsi="Garamond"/>
          <w:lang w:eastAsia="en-AU"/>
        </w:rPr>
        <w:t xml:space="preserve">Number of rTMS and ECT sessions per treatment course. </w:t>
      </w:r>
    </w:p>
    <w:p w14:paraId="67AFD462" w14:textId="77777777" w:rsidR="004A3CD4" w:rsidRPr="004A3CD4" w:rsidRDefault="004A3CD4" w:rsidP="009A71BE">
      <w:pPr>
        <w:pStyle w:val="ListParagraph"/>
        <w:ind w:left="1440"/>
        <w:jc w:val="both"/>
        <w:rPr>
          <w:lang w:eastAsia="en-AU"/>
        </w:rPr>
      </w:pPr>
    </w:p>
    <w:p w14:paraId="5F73A6EA" w14:textId="77777777" w:rsidR="00603AD0" w:rsidRDefault="00603AD0" w:rsidP="009A71BE">
      <w:pPr>
        <w:jc w:val="both"/>
        <w:rPr>
          <w:lang w:eastAsia="en-AU"/>
        </w:rPr>
      </w:pPr>
      <w:r>
        <w:rPr>
          <w:lang w:eastAsia="en-AU"/>
        </w:rPr>
        <w:t>Comparing the ICERs for each strategy for 50,000 trials,</w:t>
      </w:r>
      <w:r w:rsidRPr="004A3CD4">
        <w:rPr>
          <w:lang w:eastAsia="en-AU"/>
        </w:rPr>
        <w:t xml:space="preserve"> the </w:t>
      </w:r>
      <w:r>
        <w:rPr>
          <w:lang w:eastAsia="en-AU"/>
        </w:rPr>
        <w:t>percentage of trials where</w:t>
      </w:r>
      <w:r w:rsidRPr="004A3CD4">
        <w:rPr>
          <w:lang w:eastAsia="en-AU"/>
        </w:rPr>
        <w:t xml:space="preserve"> rTMS </w:t>
      </w:r>
      <w:r>
        <w:rPr>
          <w:lang w:eastAsia="en-AU"/>
        </w:rPr>
        <w:t>is</w:t>
      </w:r>
      <w:r w:rsidRPr="004A3CD4">
        <w:rPr>
          <w:lang w:eastAsia="en-AU"/>
        </w:rPr>
        <w:t xml:space="preserve"> cost-effective relative to antidepressants is </w:t>
      </w:r>
      <w:r>
        <w:rPr>
          <w:lang w:eastAsia="en-AU"/>
        </w:rPr>
        <w:t>70.5</w:t>
      </w:r>
      <w:r w:rsidRPr="004A3CD4">
        <w:rPr>
          <w:lang w:eastAsia="en-AU"/>
        </w:rPr>
        <w:t>% at a willingness-to-pay threshold of $50,000 per QALY gain</w:t>
      </w:r>
      <w:r>
        <w:rPr>
          <w:lang w:eastAsia="en-AU"/>
        </w:rPr>
        <w:t>,</w:t>
      </w:r>
      <w:r w:rsidRPr="004A3CD4">
        <w:rPr>
          <w:lang w:eastAsia="en-AU"/>
        </w:rPr>
        <w:t xml:space="preserve"> and subject to the model assumptions. </w:t>
      </w:r>
      <w:r>
        <w:rPr>
          <w:lang w:eastAsia="en-AU"/>
        </w:rPr>
        <w:t>Conversely, the percentage of trials where rTMS was cost-effective relative to ECT was 38.8%.</w:t>
      </w:r>
      <w:r w:rsidRPr="004A3CD4">
        <w:rPr>
          <w:lang w:eastAsia="en-AU"/>
        </w:rPr>
        <w:t xml:space="preserve"> </w:t>
      </w:r>
    </w:p>
    <w:p w14:paraId="72D74DC0" w14:textId="77777777" w:rsidR="004A3CD4" w:rsidRDefault="004A3CD4" w:rsidP="009A71BE">
      <w:pPr>
        <w:jc w:val="both"/>
        <w:rPr>
          <w:lang w:eastAsia="en-AU"/>
        </w:rPr>
      </w:pPr>
      <w:r w:rsidRPr="004A3CD4">
        <w:rPr>
          <w:lang w:eastAsia="en-AU"/>
        </w:rPr>
        <w:t>Hence, the findings suggest that rTMS is not a cost-effective alternative to ECT for treatment resistant depressant patients</w:t>
      </w:r>
      <w:r w:rsidR="00603AD0">
        <w:rPr>
          <w:lang w:eastAsia="en-AU"/>
        </w:rPr>
        <w:t xml:space="preserve"> in most cases</w:t>
      </w:r>
      <w:r w:rsidRPr="004A3CD4">
        <w:rPr>
          <w:lang w:eastAsia="en-AU"/>
        </w:rPr>
        <w:t xml:space="preserve">. However, given that ECT is more commonly used in an emergency type setting for psychotic patients a comparison between rTMS and antidepressants may be more appropriate here for non-psychotic patients. </w:t>
      </w:r>
    </w:p>
    <w:p w14:paraId="740BAB76" w14:textId="77777777" w:rsidR="00C907B9" w:rsidRPr="004A3CD4" w:rsidRDefault="00C907B9" w:rsidP="009A71BE">
      <w:pPr>
        <w:jc w:val="both"/>
        <w:rPr>
          <w:lang w:eastAsia="en-AU"/>
        </w:rPr>
      </w:pPr>
    </w:p>
    <w:p w14:paraId="48CEAA6C" w14:textId="77777777" w:rsidR="003E61DB" w:rsidRDefault="009A6E8F" w:rsidP="00D22942">
      <w:pPr>
        <w:pStyle w:val="Heading3"/>
      </w:pPr>
      <w:bookmarkStart w:id="168" w:name="_Toc389142058"/>
      <w:r>
        <w:lastRenderedPageBreak/>
        <w:t>Estimated extent of use and financial implications</w:t>
      </w:r>
      <w:bookmarkEnd w:id="168"/>
    </w:p>
    <w:p w14:paraId="3B6CCBD3" w14:textId="77777777" w:rsidR="009A6E8F" w:rsidRPr="00147CDA" w:rsidRDefault="004F691A" w:rsidP="00404A6E">
      <w:pPr>
        <w:pStyle w:val="Heading4"/>
      </w:pPr>
      <w:r w:rsidRPr="00404A6E">
        <w:t>Overview</w:t>
      </w:r>
    </w:p>
    <w:p w14:paraId="57D42848" w14:textId="77777777" w:rsidR="00875625" w:rsidRDefault="009A6E8F" w:rsidP="005E00ED">
      <w:pPr>
        <w:jc w:val="both"/>
      </w:pPr>
      <w:r>
        <w:t xml:space="preserve">The expected extent of </w:t>
      </w:r>
      <w:r w:rsidR="00792B5A">
        <w:t xml:space="preserve">rTMS </w:t>
      </w:r>
      <w:r>
        <w:t xml:space="preserve">use and </w:t>
      </w:r>
      <w:r w:rsidR="00792B5A">
        <w:t xml:space="preserve">the </w:t>
      </w:r>
      <w:r>
        <w:t xml:space="preserve">associated financial implications to the MBS </w:t>
      </w:r>
      <w:r w:rsidR="00792B5A">
        <w:t>are</w:t>
      </w:r>
      <w:r>
        <w:t xml:space="preserve"> presented in this section. It is proposed that </w:t>
      </w:r>
      <w:r w:rsidR="00875625">
        <w:t>rTMS will either be used as a replacement for, or in addition to, antidepressant medication or as a replacement for ECT. Psychological therapies such as CBT may also be used in conj</w:t>
      </w:r>
      <w:r w:rsidR="00E31067">
        <w:t>unction with rTMS. If patients</w:t>
      </w:r>
      <w:r w:rsidR="00875625">
        <w:t xml:space="preserve"> respond well to rTMS then their use of antidepressant medication</w:t>
      </w:r>
      <w:r w:rsidR="00E31067">
        <w:t>, psychological therapy and ECT</w:t>
      </w:r>
      <w:r w:rsidR="00875625">
        <w:t xml:space="preserve"> may cease, although it is expected t</w:t>
      </w:r>
      <w:r w:rsidR="00E31067">
        <w:t xml:space="preserve">hat antidepressant therapy will </w:t>
      </w:r>
      <w:r w:rsidR="00875625">
        <w:t>still be required to prevent relapse.</w:t>
      </w:r>
    </w:p>
    <w:p w14:paraId="011A28B4" w14:textId="77777777" w:rsidR="00875625" w:rsidRDefault="00875625" w:rsidP="00532CCA">
      <w:pPr>
        <w:jc w:val="both"/>
      </w:pPr>
      <w:r>
        <w:t>An epidemio</w:t>
      </w:r>
      <w:r w:rsidR="00A258C7">
        <w:t>logical approach is taken in this</w:t>
      </w:r>
      <w:r>
        <w:t xml:space="preserve"> analysis. Estimates of patient numbers considered eligible for rTMS during the five years </w:t>
      </w:r>
      <w:r w:rsidR="00BC189D">
        <w:t xml:space="preserve">following </w:t>
      </w:r>
      <w:r>
        <w:t xml:space="preserve">listing on the MBS are taken from a review of epidemiological data </w:t>
      </w:r>
      <w:r w:rsidR="00A258C7">
        <w:t>and t</w:t>
      </w:r>
      <w:r>
        <w:t>he associated costs are</w:t>
      </w:r>
      <w:r w:rsidR="0003110A">
        <w:t xml:space="preserve"> then </w:t>
      </w:r>
      <w:r>
        <w:t>analysed</w:t>
      </w:r>
      <w:r w:rsidR="0003110A">
        <w:t>.</w:t>
      </w:r>
      <w:r>
        <w:t xml:space="preserve"> The extent of potential cost savings is estima</w:t>
      </w:r>
      <w:r w:rsidR="0056401C">
        <w:t>ted</w:t>
      </w:r>
      <w:r>
        <w:t>,</w:t>
      </w:r>
      <w:r w:rsidR="0056401C">
        <w:t xml:space="preserve"> as are</w:t>
      </w:r>
      <w:r>
        <w:t xml:space="preserve"> the net financial implication</w:t>
      </w:r>
      <w:r w:rsidR="00E31067">
        <w:t>s</w:t>
      </w:r>
      <w:r>
        <w:t xml:space="preserve"> to the MBS</w:t>
      </w:r>
      <w:r w:rsidR="00E31067">
        <w:t>, PBS and overall Government healthcare budget</w:t>
      </w:r>
      <w:r>
        <w:t>.</w:t>
      </w:r>
    </w:p>
    <w:p w14:paraId="63982CFF" w14:textId="77777777" w:rsidR="007F787A" w:rsidRDefault="007F787A" w:rsidP="00404A6E">
      <w:pPr>
        <w:pStyle w:val="Heading4"/>
      </w:pPr>
      <w:r>
        <w:t xml:space="preserve">Data </w:t>
      </w:r>
      <w:r w:rsidRPr="00404A6E">
        <w:t>sources</w:t>
      </w:r>
      <w:r>
        <w:t xml:space="preserve"> and assumptions</w:t>
      </w:r>
    </w:p>
    <w:p w14:paraId="600327E6" w14:textId="77777777" w:rsidR="00875625" w:rsidRPr="00147CDA" w:rsidRDefault="00875625" w:rsidP="00404A6E">
      <w:pPr>
        <w:pStyle w:val="Heading5"/>
      </w:pPr>
      <w:r w:rsidRPr="00147CDA">
        <w:t>Epidemiology of treatment resistant depression in Australia</w:t>
      </w:r>
    </w:p>
    <w:p w14:paraId="741E921F" w14:textId="77777777" w:rsidR="004F540C" w:rsidRDefault="00140DC1" w:rsidP="005E00ED">
      <w:pPr>
        <w:jc w:val="both"/>
      </w:pPr>
      <w:r>
        <w:t>The projected Australian population aged 18-85 years was based on projections provided by the Australian Bureau of Stati</w:t>
      </w:r>
      <w:r w:rsidR="00C847C0">
        <w:t>stics</w:t>
      </w:r>
      <w:r w:rsidR="00C06291">
        <w:t xml:space="preserve"> (ABS)</w:t>
      </w:r>
      <w:r>
        <w:t>. For the period 2014 to 201</w:t>
      </w:r>
      <w:r w:rsidR="00BC189D">
        <w:t>9</w:t>
      </w:r>
      <w:r>
        <w:t xml:space="preserve"> the adult population is projected to increase from 17.8 million to 19.</w:t>
      </w:r>
      <w:r w:rsidR="00BC189D">
        <w:t>4</w:t>
      </w:r>
      <w:r>
        <w:t xml:space="preserve"> million.</w:t>
      </w:r>
      <w:r w:rsidR="00532CCA">
        <w:t xml:space="preserve"> </w:t>
      </w:r>
      <w:r w:rsidR="00875625">
        <w:t xml:space="preserve">The </w:t>
      </w:r>
      <w:r w:rsidR="00C06291">
        <w:t>ABS</w:t>
      </w:r>
      <w:r w:rsidR="00875625">
        <w:t xml:space="preserve"> reported in the National Survey of Mental Health and Wellbeing</w:t>
      </w:r>
      <w:r w:rsidR="00A258C7">
        <w:t xml:space="preserve"> </w:t>
      </w:r>
      <w:r w:rsidR="00875625">
        <w:t xml:space="preserve">- 2007 that the </w:t>
      </w:r>
      <w:r w:rsidR="004F540C">
        <w:t>12-month prevalence</w:t>
      </w:r>
      <w:r w:rsidR="00875625">
        <w:t xml:space="preserve"> of depressive </w:t>
      </w:r>
      <w:r w:rsidR="004F540C">
        <w:t>episodes</w:t>
      </w:r>
      <w:r w:rsidR="00875625">
        <w:t xml:space="preserve"> in the Australian population is 4.1%.</w:t>
      </w:r>
      <w:r w:rsidR="009F4B68">
        <w:t xml:space="preserve"> This survey collected information from approximately 8,800 Australians aged 16-85 years and the definition of “depressive episode” included severe, moderate and mild depression.  </w:t>
      </w:r>
    </w:p>
    <w:p w14:paraId="53D89ADC" w14:textId="6DFB9633" w:rsidR="004F540C" w:rsidRDefault="004F540C" w:rsidP="005E00ED">
      <w:pPr>
        <w:jc w:val="both"/>
      </w:pPr>
      <w:r>
        <w:t>The proposed listing of rTMS limits use to a well-defined</w:t>
      </w:r>
      <w:r w:rsidR="00A258C7">
        <w:t>,</w:t>
      </w:r>
      <w:r>
        <w:t xml:space="preserve"> specific patient sub-group</w:t>
      </w:r>
      <w:r w:rsidR="00A1742C">
        <w:t>. This patient group consists of t</w:t>
      </w:r>
      <w:r w:rsidR="00532CCA">
        <w:t>hose with major depression (DSM-</w:t>
      </w:r>
      <w:r w:rsidR="00A97080">
        <w:t>5</w:t>
      </w:r>
      <w:r w:rsidR="00A1742C">
        <w:t xml:space="preserve"> rating) with antid</w:t>
      </w:r>
      <w:r w:rsidR="00A258C7">
        <w:t xml:space="preserve">epressant medication resistance. </w:t>
      </w:r>
    </w:p>
    <w:p w14:paraId="37B9BD78" w14:textId="77777777" w:rsidR="00DF3EE7" w:rsidRDefault="00FD7EE0" w:rsidP="005E00ED">
      <w:pPr>
        <w:jc w:val="both"/>
      </w:pPr>
      <w:r>
        <w:t xml:space="preserve">The often cited </w:t>
      </w:r>
      <w:r w:rsidR="004E49FD">
        <w:t>STAR*D study</w:t>
      </w:r>
      <w:r w:rsidR="009F4B68">
        <w:t xml:space="preserve"> was designed to assess effectiveness of treatments in generalizable samples and ensure the delivery of adequate treatments. The study</w:t>
      </w:r>
      <w:r w:rsidR="004E49FD">
        <w:t xml:space="preserve"> (a naturalistic, real-world population study)</w:t>
      </w:r>
      <w:r w:rsidR="009F4B68">
        <w:t xml:space="preserve"> enrolled approximately </w:t>
      </w:r>
      <w:r w:rsidR="00F31723">
        <w:t>4</w:t>
      </w:r>
      <w:r w:rsidR="001E5851">
        <w:t>,</w:t>
      </w:r>
      <w:r w:rsidR="00F31723">
        <w:t>200</w:t>
      </w:r>
      <w:r w:rsidR="009F4B68">
        <w:t xml:space="preserve"> outpatients with major depressive disorder and employed one or more acute treatment steps aimed to achieve symptom remission. The STAR*D report</w:t>
      </w:r>
      <w:r>
        <w:t xml:space="preserve"> found that 36.8% of patients achieved remission after one treatment, 56.1% after two treatments and 67% after four treatment steps</w:t>
      </w:r>
      <w:r w:rsidR="005449CB">
        <w:t xml:space="preserve"> (i.e</w:t>
      </w:r>
      <w:r>
        <w:t>.</w:t>
      </w:r>
      <w:r w:rsidR="005449CB">
        <w:t xml:space="preserve"> 63.2% do not achieve remission after one treatment, 43.9% do not achieve remission after two treatments and 37% do not achieve remission after four).</w:t>
      </w:r>
      <w:r>
        <w:t xml:space="preserve"> </w:t>
      </w:r>
      <w:r w:rsidR="00F31723">
        <w:t>The primary outcome of r</w:t>
      </w:r>
      <w:r>
        <w:t xml:space="preserve">emission was defined as </w:t>
      </w:r>
      <w:r w:rsidR="00D100A0">
        <w:t>a QIDS-SR</w:t>
      </w:r>
      <w:r w:rsidR="007226BB">
        <w:t>16</w:t>
      </w:r>
      <w:r w:rsidR="00D100A0">
        <w:t xml:space="preserve"> score ≤5 (corresponding to an HRSD</w:t>
      </w:r>
      <w:r w:rsidR="007226BB">
        <w:t>17</w:t>
      </w:r>
      <w:r w:rsidR="00F31723">
        <w:t xml:space="preserve"> score of ≤ 7)</w:t>
      </w:r>
      <w:r w:rsidR="00DF3EE7">
        <w:t xml:space="preserve"> after 14 weeks</w:t>
      </w:r>
      <w:r w:rsidR="00F31723">
        <w:t>. Response was defined as 50% reduction in symptoms on the QIDS-SR</w:t>
      </w:r>
      <w:r w:rsidR="00DF3EE7">
        <w:t xml:space="preserve"> over the same time scale</w:t>
      </w:r>
      <w:r w:rsidR="00F31723">
        <w:t xml:space="preserve">. </w:t>
      </w:r>
    </w:p>
    <w:p w14:paraId="6BA66C5F" w14:textId="77777777" w:rsidR="00947B5A" w:rsidRDefault="009F5263" w:rsidP="005E00ED">
      <w:pPr>
        <w:jc w:val="both"/>
      </w:pPr>
      <w:r>
        <w:t xml:space="preserve">Of the patients </w:t>
      </w:r>
      <w:r w:rsidR="00D100A0">
        <w:t xml:space="preserve">who do not achieve remission after two </w:t>
      </w:r>
      <w:r w:rsidR="00370E74">
        <w:t xml:space="preserve">antidepressant </w:t>
      </w:r>
      <w:r w:rsidR="00D100A0">
        <w:t xml:space="preserve">treatments, </w:t>
      </w:r>
      <w:r>
        <w:t xml:space="preserve">it is </w:t>
      </w:r>
      <w:r w:rsidR="00102FBF">
        <w:t>estimated that approximately 0.</w:t>
      </w:r>
      <w:r w:rsidR="005449CB">
        <w:t>56</w:t>
      </w:r>
      <w:r>
        <w:t>% would be referred for rTMS annually. This is based upon the rate of referrals for rTMS among those with private health insurance in South Australia</w:t>
      </w:r>
      <w:r w:rsidR="00370E74">
        <w:t xml:space="preserve">, </w:t>
      </w:r>
      <w:r w:rsidR="00E0566F">
        <w:t>where rTMS is available through the Adelaide Clinic</w:t>
      </w:r>
      <w:r w:rsidR="00124E8C">
        <w:t xml:space="preserve"> (78/754,600 =0.01%)</w:t>
      </w:r>
      <w:r w:rsidR="00E0566F">
        <w:t xml:space="preserve">. </w:t>
      </w:r>
      <w:r w:rsidR="00124E8C">
        <w:t>This figure was m</w:t>
      </w:r>
      <w:r w:rsidR="00A02A09">
        <w:t xml:space="preserve">ultiplied by the relevant Australian population (18.1 million) and </w:t>
      </w:r>
      <w:r w:rsidR="00A02A09">
        <w:lastRenderedPageBreak/>
        <w:t xml:space="preserve">divided by the number of patients estimated with TRD (43.9% or 326,568). </w:t>
      </w:r>
      <w:r w:rsidR="00E0566F">
        <w:t>If funded, the majority of the clinical use of rTMS is likely to remain in private hospitals and the Adelaide Clinic is a typical example of this. MSAC approval will</w:t>
      </w:r>
      <w:r w:rsidR="00C847C0">
        <w:t>,</w:t>
      </w:r>
      <w:r w:rsidR="00E0566F">
        <w:t xml:space="preserve"> </w:t>
      </w:r>
      <w:r w:rsidR="0037501C">
        <w:t>however</w:t>
      </w:r>
      <w:r w:rsidR="00C847C0">
        <w:t>,</w:t>
      </w:r>
      <w:r w:rsidR="0037501C">
        <w:t xml:space="preserve"> </w:t>
      </w:r>
      <w:r w:rsidR="00E0566F">
        <w:t>facilitate equitable access</w:t>
      </w:r>
      <w:r w:rsidR="0037501C">
        <w:t xml:space="preserve"> to non-privately insured patients</w:t>
      </w:r>
      <w:r w:rsidR="00E0566F">
        <w:t>, and as the availability and accessibility of rTMS increases, it is expected that the rate of use will rise</w:t>
      </w:r>
      <w:r w:rsidR="00370E74">
        <w:t>.</w:t>
      </w:r>
    </w:p>
    <w:p w14:paraId="6A987929" w14:textId="77777777" w:rsidR="003C5C02" w:rsidRDefault="003C5C02" w:rsidP="005E00ED">
      <w:pPr>
        <w:jc w:val="both"/>
        <w:rPr>
          <w:highlight w:val="yellow"/>
        </w:rPr>
      </w:pPr>
      <w:r>
        <w:t>Neuronetics data</w:t>
      </w:r>
      <w:r w:rsidR="00F95C73">
        <w:t>,</w:t>
      </w:r>
      <w:r>
        <w:t xml:space="preserve"> which </w:t>
      </w:r>
      <w:r w:rsidR="00F95C73">
        <w:t xml:space="preserve">monitored </w:t>
      </w:r>
      <w:r w:rsidR="001642BC">
        <w:t xml:space="preserve">257 </w:t>
      </w:r>
      <w:r w:rsidR="00F95C73">
        <w:t xml:space="preserve">patients </w:t>
      </w:r>
      <w:r w:rsidR="00910536">
        <w:t>who successfully completed acute phase rTMS treatment for one year</w:t>
      </w:r>
      <w:r>
        <w:t>, reports that 36.2% of rTMS patients experienced symptom recurrence and required rTMS reintroduction.</w:t>
      </w:r>
      <w:r w:rsidR="00C847C0">
        <w:t xml:space="preserve"> </w:t>
      </w:r>
      <w:r w:rsidR="00C06291">
        <w:t>HESP e</w:t>
      </w:r>
      <w:r w:rsidR="00C847C0">
        <w:t>xpert opinion estimates that 10% of patients will require maintenance rTMS therapy.</w:t>
      </w:r>
    </w:p>
    <w:p w14:paraId="766D1573" w14:textId="77777777" w:rsidR="009F5263" w:rsidRPr="000B2761" w:rsidRDefault="00AD7AB7" w:rsidP="004E72DC">
      <w:pPr>
        <w:jc w:val="both"/>
      </w:pPr>
      <w:r w:rsidRPr="000B2761">
        <w:t>The following analysis</w:t>
      </w:r>
      <w:r w:rsidR="005764C7">
        <w:t xml:space="preserve"> of eligible patients</w:t>
      </w:r>
      <w:r w:rsidRPr="000B2761">
        <w:t xml:space="preserve"> will assume that:</w:t>
      </w:r>
    </w:p>
    <w:p w14:paraId="51DCCAC5" w14:textId="77777777" w:rsidR="00AD7AB7" w:rsidRPr="009A71BE" w:rsidRDefault="00AD7AB7" w:rsidP="004E72DC">
      <w:pPr>
        <w:pStyle w:val="ListParagraph"/>
        <w:numPr>
          <w:ilvl w:val="0"/>
          <w:numId w:val="21"/>
        </w:numPr>
        <w:jc w:val="both"/>
        <w:rPr>
          <w:rFonts w:ascii="Garamond" w:hAnsi="Garamond"/>
        </w:rPr>
      </w:pPr>
      <w:r w:rsidRPr="009A71BE">
        <w:rPr>
          <w:rFonts w:ascii="Garamond" w:hAnsi="Garamond"/>
        </w:rPr>
        <w:t>The 12-month prevalence of a depressive episode is 4.1%</w:t>
      </w:r>
      <w:r w:rsidR="00C22519" w:rsidRPr="009A71BE">
        <w:rPr>
          <w:rFonts w:ascii="Garamond" w:hAnsi="Garamond"/>
        </w:rPr>
        <w:t xml:space="preserve"> (ABS)</w:t>
      </w:r>
      <w:r w:rsidRPr="009A71BE">
        <w:rPr>
          <w:rFonts w:ascii="Garamond" w:hAnsi="Garamond"/>
        </w:rPr>
        <w:t>;</w:t>
      </w:r>
    </w:p>
    <w:p w14:paraId="1E5BDA49" w14:textId="77777777" w:rsidR="00AD7AB7" w:rsidRPr="009A71BE" w:rsidRDefault="005449CB" w:rsidP="004E72DC">
      <w:pPr>
        <w:pStyle w:val="ListParagraph"/>
        <w:numPr>
          <w:ilvl w:val="0"/>
          <w:numId w:val="21"/>
        </w:numPr>
        <w:jc w:val="both"/>
        <w:rPr>
          <w:rFonts w:ascii="Garamond" w:hAnsi="Garamond"/>
        </w:rPr>
      </w:pPr>
      <w:r w:rsidRPr="009A71BE">
        <w:rPr>
          <w:rFonts w:ascii="Garamond" w:hAnsi="Garamond"/>
        </w:rPr>
        <w:t>43.9</w:t>
      </w:r>
      <w:r w:rsidR="00AD7AB7" w:rsidRPr="009A71BE">
        <w:rPr>
          <w:rFonts w:ascii="Garamond" w:hAnsi="Garamond"/>
        </w:rPr>
        <w:t xml:space="preserve">% of these patients will have </w:t>
      </w:r>
      <w:r w:rsidR="00151EEA" w:rsidRPr="009A71BE">
        <w:rPr>
          <w:rFonts w:ascii="Garamond" w:hAnsi="Garamond"/>
        </w:rPr>
        <w:t xml:space="preserve">depression </w:t>
      </w:r>
      <w:r w:rsidR="008406C2" w:rsidRPr="009A71BE">
        <w:rPr>
          <w:rFonts w:ascii="Garamond" w:hAnsi="Garamond"/>
        </w:rPr>
        <w:t xml:space="preserve">which is </w:t>
      </w:r>
      <w:r w:rsidR="00151EEA" w:rsidRPr="009A71BE">
        <w:rPr>
          <w:rFonts w:ascii="Garamond" w:hAnsi="Garamond"/>
        </w:rPr>
        <w:t>resistant to two antidepressant medications</w:t>
      </w:r>
      <w:r w:rsidR="00C22519" w:rsidRPr="009A71BE">
        <w:rPr>
          <w:rFonts w:ascii="Garamond" w:hAnsi="Garamond"/>
        </w:rPr>
        <w:t xml:space="preserve"> (</w:t>
      </w:r>
      <w:r w:rsidR="00151EEA" w:rsidRPr="009A71BE">
        <w:rPr>
          <w:rFonts w:ascii="Garamond" w:hAnsi="Garamond"/>
        </w:rPr>
        <w:t>STAR*D</w:t>
      </w:r>
      <w:r w:rsidR="00C22519" w:rsidRPr="009A71BE">
        <w:rPr>
          <w:rFonts w:ascii="Garamond" w:hAnsi="Garamond"/>
        </w:rPr>
        <w:t>)</w:t>
      </w:r>
      <w:r w:rsidR="00AD7AB7" w:rsidRPr="009A71BE">
        <w:rPr>
          <w:rFonts w:ascii="Garamond" w:hAnsi="Garamond"/>
        </w:rPr>
        <w:t>;</w:t>
      </w:r>
    </w:p>
    <w:p w14:paraId="44D1D984" w14:textId="5DF40EAA" w:rsidR="00AD7AB7" w:rsidRPr="009A71BE" w:rsidRDefault="00102FBF" w:rsidP="004E72DC">
      <w:pPr>
        <w:pStyle w:val="ListParagraph"/>
        <w:numPr>
          <w:ilvl w:val="0"/>
          <w:numId w:val="21"/>
        </w:numPr>
        <w:jc w:val="both"/>
        <w:rPr>
          <w:rFonts w:ascii="Garamond" w:hAnsi="Garamond"/>
        </w:rPr>
      </w:pPr>
      <w:r w:rsidRPr="009A71BE">
        <w:rPr>
          <w:rFonts w:ascii="Garamond" w:hAnsi="Garamond"/>
        </w:rPr>
        <w:t>Of these patients, 0.</w:t>
      </w:r>
      <w:r w:rsidR="005449CB" w:rsidRPr="009A71BE">
        <w:rPr>
          <w:rFonts w:ascii="Garamond" w:hAnsi="Garamond"/>
        </w:rPr>
        <w:t>56</w:t>
      </w:r>
      <w:r w:rsidR="00AD7AB7" w:rsidRPr="009A71BE">
        <w:rPr>
          <w:rFonts w:ascii="Garamond" w:hAnsi="Garamond"/>
        </w:rPr>
        <w:t>% will opt for rTMS treatment</w:t>
      </w:r>
      <w:r w:rsidR="00532CCA" w:rsidRPr="009A71BE">
        <w:rPr>
          <w:rFonts w:ascii="Garamond" w:hAnsi="Garamond"/>
        </w:rPr>
        <w:t xml:space="preserve"> (</w:t>
      </w:r>
      <w:r w:rsidR="00E45AF4">
        <w:rPr>
          <w:rFonts w:ascii="Garamond" w:hAnsi="Garamond"/>
        </w:rPr>
        <w:t>Protocol</w:t>
      </w:r>
      <w:r w:rsidR="00532CCA" w:rsidRPr="009A71BE">
        <w:rPr>
          <w:rFonts w:ascii="Garamond" w:hAnsi="Garamond"/>
        </w:rPr>
        <w:t xml:space="preserve"> </w:t>
      </w:r>
      <w:r w:rsidR="00C22519" w:rsidRPr="009A71BE">
        <w:rPr>
          <w:rFonts w:ascii="Garamond" w:hAnsi="Garamond"/>
        </w:rPr>
        <w:t>1196)</w:t>
      </w:r>
      <w:r w:rsidR="003C5C02" w:rsidRPr="009A71BE">
        <w:rPr>
          <w:rFonts w:ascii="Garamond" w:hAnsi="Garamond"/>
        </w:rPr>
        <w:t>;</w:t>
      </w:r>
    </w:p>
    <w:p w14:paraId="4192833B" w14:textId="77777777" w:rsidR="003C5C02" w:rsidRPr="009A71BE" w:rsidRDefault="003C5C02" w:rsidP="004E72DC">
      <w:pPr>
        <w:pStyle w:val="ListParagraph"/>
        <w:numPr>
          <w:ilvl w:val="0"/>
          <w:numId w:val="21"/>
        </w:numPr>
        <w:jc w:val="both"/>
        <w:rPr>
          <w:rFonts w:ascii="Garamond" w:hAnsi="Garamond"/>
        </w:rPr>
      </w:pPr>
      <w:r w:rsidRPr="009A71BE">
        <w:rPr>
          <w:rFonts w:ascii="Garamond" w:hAnsi="Garamond"/>
        </w:rPr>
        <w:t>36.2% of patients will require rTMS reintroduction over the course of 12 months follow-up</w:t>
      </w:r>
      <w:r w:rsidR="00C60E55" w:rsidRPr="009A71BE">
        <w:rPr>
          <w:rFonts w:ascii="Garamond" w:hAnsi="Garamond"/>
        </w:rPr>
        <w:t xml:space="preserve"> (Neuronetics data</w:t>
      </w:r>
      <w:r w:rsidR="00910536" w:rsidRPr="009A71BE">
        <w:rPr>
          <w:rFonts w:ascii="Garamond" w:hAnsi="Garamond"/>
        </w:rPr>
        <w:t>)</w:t>
      </w:r>
      <w:r w:rsidR="00C847C0" w:rsidRPr="009A71BE">
        <w:rPr>
          <w:rFonts w:ascii="Garamond" w:hAnsi="Garamond"/>
        </w:rPr>
        <w:t>;</w:t>
      </w:r>
    </w:p>
    <w:p w14:paraId="2CC145F4" w14:textId="12394C00" w:rsidR="00C847C0" w:rsidRPr="009A71BE" w:rsidRDefault="00C847C0" w:rsidP="004E72DC">
      <w:pPr>
        <w:pStyle w:val="ListParagraph"/>
        <w:numPr>
          <w:ilvl w:val="0"/>
          <w:numId w:val="21"/>
        </w:numPr>
        <w:jc w:val="both"/>
        <w:rPr>
          <w:rFonts w:ascii="Garamond" w:hAnsi="Garamond"/>
        </w:rPr>
      </w:pPr>
      <w:r w:rsidRPr="009A71BE">
        <w:rPr>
          <w:rFonts w:ascii="Garamond" w:hAnsi="Garamond"/>
        </w:rPr>
        <w:t>10% of patients will receiv</w:t>
      </w:r>
      <w:r w:rsidR="00532CCA" w:rsidRPr="009A71BE">
        <w:rPr>
          <w:rFonts w:ascii="Garamond" w:hAnsi="Garamond"/>
        </w:rPr>
        <w:t>e maintenance rTMS therapy (</w:t>
      </w:r>
      <w:r w:rsidR="00E45AF4">
        <w:rPr>
          <w:rFonts w:ascii="Garamond" w:hAnsi="Garamond"/>
        </w:rPr>
        <w:t>Protocol</w:t>
      </w:r>
      <w:r w:rsidR="00532CCA" w:rsidRPr="009A71BE">
        <w:rPr>
          <w:rFonts w:ascii="Garamond" w:hAnsi="Garamond"/>
        </w:rPr>
        <w:t xml:space="preserve"> </w:t>
      </w:r>
      <w:r w:rsidRPr="009A71BE">
        <w:rPr>
          <w:rFonts w:ascii="Garamond" w:hAnsi="Garamond"/>
        </w:rPr>
        <w:t>1196).</w:t>
      </w:r>
    </w:p>
    <w:p w14:paraId="0DA55B1D" w14:textId="77777777" w:rsidR="00532CCA" w:rsidRPr="009A71BE" w:rsidRDefault="00532CCA" w:rsidP="009A71BE">
      <w:pPr>
        <w:spacing w:after="0"/>
        <w:jc w:val="both"/>
      </w:pPr>
    </w:p>
    <w:p w14:paraId="1BA5273A" w14:textId="77777777" w:rsidR="003C5C02" w:rsidRDefault="00D9113F" w:rsidP="005E00ED">
      <w:pPr>
        <w:jc w:val="both"/>
      </w:pPr>
      <w:r>
        <w:t xml:space="preserve">Most acute patients undergo a course of treatment consisting of </w:t>
      </w:r>
      <w:r w:rsidR="005764C7">
        <w:t>20</w:t>
      </w:r>
      <w:r>
        <w:t xml:space="preserve"> to </w:t>
      </w:r>
      <w:r w:rsidR="00B12A26">
        <w:t>30</w:t>
      </w:r>
      <w:r>
        <w:t xml:space="preserve"> rTMS</w:t>
      </w:r>
      <w:r w:rsidR="005764C7">
        <w:t xml:space="preserve"> treatments (five days per week for four</w:t>
      </w:r>
      <w:r w:rsidR="00B12A26">
        <w:t xml:space="preserve"> to six</w:t>
      </w:r>
      <w:r w:rsidR="005764C7">
        <w:t xml:space="preserve"> weeks). A large </w:t>
      </w:r>
      <w:r w:rsidR="00B12A26">
        <w:t>observational study of rTMS by Carpenter 2012</w:t>
      </w:r>
      <w:r w:rsidR="005764C7">
        <w:t xml:space="preserve"> </w:t>
      </w:r>
      <w:r w:rsidR="00C847C0">
        <w:t>wa</w:t>
      </w:r>
      <w:r w:rsidR="005764C7">
        <w:t xml:space="preserve">s used </w:t>
      </w:r>
      <w:r w:rsidR="001E5851">
        <w:t xml:space="preserve">to calculate </w:t>
      </w:r>
      <w:r w:rsidR="005764C7">
        <w:t xml:space="preserve">the average treatment course. This </w:t>
      </w:r>
      <w:r w:rsidR="00B12A26">
        <w:t xml:space="preserve">study followed 307 patients with acute depression </w:t>
      </w:r>
      <w:r>
        <w:t xml:space="preserve">who </w:t>
      </w:r>
      <w:r w:rsidR="00B12A26">
        <w:t>received</w:t>
      </w:r>
      <w:r w:rsidR="005764C7">
        <w:t xml:space="preserve"> rTMS treatment</w:t>
      </w:r>
      <w:r w:rsidR="00C847C0">
        <w:t xml:space="preserve"> and t</w:t>
      </w:r>
      <w:r>
        <w:t>he average number of rTMS sessions across the acute phase was 28.3.</w:t>
      </w:r>
      <w:r w:rsidR="005764C7">
        <w:t xml:space="preserve"> </w:t>
      </w:r>
      <w:r w:rsidR="003C5C02">
        <w:t xml:space="preserve">The Neuronetics one year follow-up data found that for those patients who required </w:t>
      </w:r>
      <w:r w:rsidR="00331C3A">
        <w:t>retreatment with rTMS</w:t>
      </w:r>
      <w:r w:rsidR="003C5C02">
        <w:t>, the average number of extra treatment days was 16.2.</w:t>
      </w:r>
      <w:r w:rsidR="00331C3A">
        <w:t xml:space="preserve"> </w:t>
      </w:r>
      <w:r w:rsidR="00BF4270">
        <w:t>M</w:t>
      </w:r>
      <w:r w:rsidR="00331C3A">
        <w:t>aintenance rTMS therapy</w:t>
      </w:r>
      <w:r w:rsidR="00BF4270">
        <w:t xml:space="preserve"> consists of one treatment per fortnight</w:t>
      </w:r>
      <w:r w:rsidR="00331C3A">
        <w:t>.</w:t>
      </w:r>
    </w:p>
    <w:p w14:paraId="29DE9EAF" w14:textId="77777777" w:rsidR="005764C7" w:rsidRPr="000E502B" w:rsidRDefault="000E502B" w:rsidP="004E72DC">
      <w:pPr>
        <w:jc w:val="both"/>
      </w:pPr>
      <w:r w:rsidRPr="000E502B">
        <w:t>The analysis of costs will assume that:</w:t>
      </w:r>
    </w:p>
    <w:p w14:paraId="5C7A6568" w14:textId="77777777" w:rsidR="000E502B" w:rsidRPr="009A71BE" w:rsidRDefault="000E502B" w:rsidP="004E72DC">
      <w:pPr>
        <w:pStyle w:val="ListParagraph"/>
        <w:numPr>
          <w:ilvl w:val="0"/>
          <w:numId w:val="22"/>
        </w:numPr>
        <w:jc w:val="both"/>
        <w:rPr>
          <w:rFonts w:ascii="Garamond" w:hAnsi="Garamond"/>
        </w:rPr>
      </w:pPr>
      <w:r w:rsidRPr="009A71BE">
        <w:rPr>
          <w:rFonts w:ascii="Garamond" w:hAnsi="Garamond"/>
        </w:rPr>
        <w:t>The average number of treatments per course of rTMS</w:t>
      </w:r>
      <w:r w:rsidR="003C5C02" w:rsidRPr="009A71BE">
        <w:rPr>
          <w:rFonts w:ascii="Garamond" w:hAnsi="Garamond"/>
        </w:rPr>
        <w:t xml:space="preserve"> is 28.3</w:t>
      </w:r>
      <w:r w:rsidR="00910536" w:rsidRPr="009A71BE">
        <w:rPr>
          <w:rFonts w:ascii="Garamond" w:hAnsi="Garamond"/>
        </w:rPr>
        <w:t xml:space="preserve"> (Carpenter 2012)</w:t>
      </w:r>
      <w:r w:rsidR="003C5C02" w:rsidRPr="009A71BE">
        <w:rPr>
          <w:rFonts w:ascii="Garamond" w:hAnsi="Garamond"/>
        </w:rPr>
        <w:t>;</w:t>
      </w:r>
    </w:p>
    <w:p w14:paraId="5E912BB5" w14:textId="77777777" w:rsidR="003C5C02" w:rsidRPr="009A71BE" w:rsidRDefault="003C5C02" w:rsidP="004E72DC">
      <w:pPr>
        <w:pStyle w:val="ListParagraph"/>
        <w:numPr>
          <w:ilvl w:val="0"/>
          <w:numId w:val="22"/>
        </w:numPr>
        <w:jc w:val="both"/>
        <w:rPr>
          <w:rFonts w:ascii="Garamond" w:hAnsi="Garamond"/>
        </w:rPr>
      </w:pPr>
      <w:r w:rsidRPr="009A71BE">
        <w:rPr>
          <w:rFonts w:ascii="Garamond" w:hAnsi="Garamond"/>
        </w:rPr>
        <w:t>For patients requiring reintroduction of rTMS therapy, the average number of additional treatments is 16.2</w:t>
      </w:r>
      <w:r w:rsidR="00C60E55" w:rsidRPr="009A71BE">
        <w:rPr>
          <w:rFonts w:ascii="Garamond" w:hAnsi="Garamond"/>
        </w:rPr>
        <w:t xml:space="preserve"> (Neuronetics data</w:t>
      </w:r>
      <w:r w:rsidR="00910536" w:rsidRPr="009A71BE">
        <w:rPr>
          <w:rFonts w:ascii="Garamond" w:hAnsi="Garamond"/>
        </w:rPr>
        <w:t>)</w:t>
      </w:r>
      <w:r w:rsidR="00331C3A" w:rsidRPr="009A71BE">
        <w:rPr>
          <w:rFonts w:ascii="Garamond" w:hAnsi="Garamond"/>
        </w:rPr>
        <w:t>;</w:t>
      </w:r>
    </w:p>
    <w:p w14:paraId="0246B24C" w14:textId="22E7FBAA" w:rsidR="00331C3A" w:rsidRPr="009A71BE" w:rsidRDefault="00331C3A" w:rsidP="004E72DC">
      <w:pPr>
        <w:pStyle w:val="ListParagraph"/>
        <w:numPr>
          <w:ilvl w:val="0"/>
          <w:numId w:val="22"/>
        </w:numPr>
        <w:jc w:val="both"/>
        <w:rPr>
          <w:rFonts w:ascii="Garamond" w:hAnsi="Garamond"/>
        </w:rPr>
      </w:pPr>
      <w:r w:rsidRPr="009A71BE">
        <w:rPr>
          <w:rFonts w:ascii="Garamond" w:hAnsi="Garamond"/>
        </w:rPr>
        <w:t>Maintenance rTMS therapy consists of o</w:t>
      </w:r>
      <w:r w:rsidR="00532CCA" w:rsidRPr="009A71BE">
        <w:rPr>
          <w:rFonts w:ascii="Garamond" w:hAnsi="Garamond"/>
        </w:rPr>
        <w:t>ne treatment per fortnight (</w:t>
      </w:r>
      <w:r w:rsidR="00E45AF4">
        <w:rPr>
          <w:rFonts w:ascii="Garamond" w:hAnsi="Garamond"/>
        </w:rPr>
        <w:t>Protocol</w:t>
      </w:r>
      <w:r w:rsidR="00532CCA" w:rsidRPr="009A71BE">
        <w:rPr>
          <w:rFonts w:ascii="Garamond" w:hAnsi="Garamond"/>
        </w:rPr>
        <w:t xml:space="preserve"> </w:t>
      </w:r>
      <w:r w:rsidRPr="009A71BE">
        <w:rPr>
          <w:rFonts w:ascii="Garamond" w:hAnsi="Garamond"/>
        </w:rPr>
        <w:t>1196).</w:t>
      </w:r>
    </w:p>
    <w:p w14:paraId="6D32C488" w14:textId="77777777" w:rsidR="00532CCA" w:rsidRDefault="00532CCA" w:rsidP="004E72DC">
      <w:pPr>
        <w:spacing w:after="0"/>
        <w:jc w:val="both"/>
      </w:pPr>
    </w:p>
    <w:p w14:paraId="4FAA74B7" w14:textId="77777777" w:rsidR="00532CCA" w:rsidRDefault="005F1EC5" w:rsidP="004E72DC">
      <w:pPr>
        <w:jc w:val="both"/>
      </w:pPr>
      <w:r>
        <w:t xml:space="preserve">The Excel spreadsheet used to perform the calculations is provided along with the </w:t>
      </w:r>
      <w:r w:rsidR="00C06291">
        <w:t>Assessment Report</w:t>
      </w:r>
      <w:r w:rsidR="00C23026">
        <w:t xml:space="preserve"> (rTMS Section E.xls</w:t>
      </w:r>
      <w:r>
        <w:t xml:space="preserve">). </w:t>
      </w:r>
    </w:p>
    <w:p w14:paraId="594C8332" w14:textId="77777777" w:rsidR="00DD2F16" w:rsidRPr="00147CDA" w:rsidRDefault="00DD2F16" w:rsidP="007F787A">
      <w:pPr>
        <w:pStyle w:val="Heading5"/>
      </w:pPr>
      <w:r w:rsidRPr="00C15912">
        <w:t>MBS</w:t>
      </w:r>
      <w:r w:rsidRPr="00147CDA">
        <w:t xml:space="preserve"> statistics</w:t>
      </w:r>
    </w:p>
    <w:p w14:paraId="6751F286" w14:textId="64E95411" w:rsidR="00BA3C9D" w:rsidRDefault="00AD34E3" w:rsidP="005E00ED">
      <w:pPr>
        <w:autoSpaceDE w:val="0"/>
        <w:autoSpaceDN w:val="0"/>
        <w:adjustRightInd w:val="0"/>
        <w:spacing w:after="0"/>
        <w:jc w:val="both"/>
        <w:rPr>
          <w:rFonts w:cs="Garamond"/>
          <w:szCs w:val="24"/>
        </w:rPr>
      </w:pPr>
      <w:r>
        <w:rPr>
          <w:rFonts w:cs="Garamond"/>
          <w:szCs w:val="24"/>
        </w:rPr>
        <w:t xml:space="preserve">To help understand </w:t>
      </w:r>
      <w:r w:rsidR="00D3143D">
        <w:rPr>
          <w:rFonts w:cs="Garamond"/>
          <w:szCs w:val="24"/>
        </w:rPr>
        <w:t>possible uptake rates of rTMS</w:t>
      </w:r>
      <w:r w:rsidR="00F85EBC">
        <w:rPr>
          <w:rFonts w:cs="Garamond"/>
          <w:szCs w:val="24"/>
        </w:rPr>
        <w:t>,</w:t>
      </w:r>
      <w:r w:rsidR="00D3143D">
        <w:rPr>
          <w:rFonts w:cs="Garamond"/>
          <w:szCs w:val="24"/>
        </w:rPr>
        <w:t xml:space="preserve"> </w:t>
      </w:r>
      <w:r w:rsidR="00BA3C9D">
        <w:rPr>
          <w:rFonts w:cs="Garamond"/>
          <w:szCs w:val="24"/>
        </w:rPr>
        <w:t xml:space="preserve">MBS statistics for ECT </w:t>
      </w:r>
      <w:r>
        <w:rPr>
          <w:rFonts w:cs="Garamond"/>
          <w:szCs w:val="24"/>
        </w:rPr>
        <w:t>use are</w:t>
      </w:r>
      <w:r w:rsidR="00F30389">
        <w:rPr>
          <w:rFonts w:cs="Garamond"/>
          <w:szCs w:val="24"/>
        </w:rPr>
        <w:t xml:space="preserve"> presented </w:t>
      </w:r>
      <w:r w:rsidR="00D3143D">
        <w:rPr>
          <w:rFonts w:cs="Garamond"/>
          <w:szCs w:val="24"/>
        </w:rPr>
        <w:t xml:space="preserve">below </w:t>
      </w:r>
      <w:r w:rsidR="00F30389">
        <w:rPr>
          <w:rFonts w:cs="Garamond"/>
          <w:szCs w:val="24"/>
        </w:rPr>
        <w:t>in</w:t>
      </w:r>
      <w:r w:rsidR="007F787A">
        <w:rPr>
          <w:rFonts w:cs="Garamond"/>
          <w:szCs w:val="24"/>
        </w:rPr>
        <w:t xml:space="preserve"> </w:t>
      </w:r>
      <w:r w:rsidR="007F787A">
        <w:rPr>
          <w:rFonts w:cs="Garamond"/>
          <w:szCs w:val="24"/>
        </w:rPr>
        <w:fldChar w:fldCharType="begin"/>
      </w:r>
      <w:r w:rsidR="007F787A">
        <w:rPr>
          <w:rFonts w:cs="Garamond"/>
          <w:szCs w:val="24"/>
        </w:rPr>
        <w:instrText xml:space="preserve"> REF _Ref386032426 \h  \* MERGEFORMAT </w:instrText>
      </w:r>
      <w:r w:rsidR="007F787A">
        <w:rPr>
          <w:rFonts w:cs="Garamond"/>
          <w:szCs w:val="24"/>
        </w:rPr>
      </w:r>
      <w:r w:rsidR="007F787A">
        <w:rPr>
          <w:rFonts w:cs="Garamond"/>
          <w:szCs w:val="24"/>
        </w:rPr>
        <w:fldChar w:fldCharType="separate"/>
      </w:r>
      <w:r w:rsidR="004C1C27" w:rsidRPr="004C1C27">
        <w:rPr>
          <w:rFonts w:cs="Garamond"/>
          <w:szCs w:val="24"/>
        </w:rPr>
        <w:t>Table 7</w:t>
      </w:r>
      <w:r w:rsidR="007F787A">
        <w:rPr>
          <w:rFonts w:cs="Garamond"/>
          <w:szCs w:val="24"/>
        </w:rPr>
        <w:fldChar w:fldCharType="end"/>
      </w:r>
      <w:r w:rsidR="00BA3C9D">
        <w:rPr>
          <w:rFonts w:cs="Garamond"/>
          <w:szCs w:val="24"/>
        </w:rPr>
        <w:t xml:space="preserve">. According to the </w:t>
      </w:r>
      <w:r w:rsidR="00F85EBC">
        <w:rPr>
          <w:rFonts w:cs="Garamond"/>
          <w:szCs w:val="24"/>
        </w:rPr>
        <w:t>RANZCP</w:t>
      </w:r>
      <w:r w:rsidR="00BA3C9D">
        <w:rPr>
          <w:rFonts w:cs="Garamond"/>
          <w:szCs w:val="24"/>
        </w:rPr>
        <w:t xml:space="preserve"> patients typically receive eight to twelve treatments of ECT, at a frequency of about three per week per course.</w:t>
      </w:r>
    </w:p>
    <w:p w14:paraId="4DD1E4F5" w14:textId="77777777" w:rsidR="0062219D" w:rsidRDefault="0062219D" w:rsidP="00BA3C9D">
      <w:pPr>
        <w:autoSpaceDE w:val="0"/>
        <w:autoSpaceDN w:val="0"/>
        <w:adjustRightInd w:val="0"/>
        <w:spacing w:after="0"/>
        <w:rPr>
          <w:rFonts w:cs="Garamond"/>
          <w:szCs w:val="24"/>
        </w:rPr>
      </w:pPr>
    </w:p>
    <w:p w14:paraId="08496286" w14:textId="482510FA" w:rsidR="00BA3C9D" w:rsidRPr="006839C4" w:rsidRDefault="007F787A" w:rsidP="006258B7">
      <w:pPr>
        <w:pStyle w:val="TableName"/>
      </w:pPr>
      <w:bookmarkStart w:id="169" w:name="_Ref386032426"/>
      <w:bookmarkStart w:id="170" w:name="_Toc389140550"/>
      <w:bookmarkStart w:id="171" w:name="_Toc389142169"/>
      <w:bookmarkStart w:id="172" w:name="_Toc389143592"/>
      <w:r w:rsidRPr="007F787A">
        <w:lastRenderedPageBreak/>
        <w:t xml:space="preserve">Table </w:t>
      </w:r>
      <w:r w:rsidR="004C1C27">
        <w:fldChar w:fldCharType="begin"/>
      </w:r>
      <w:r w:rsidR="004C1C27">
        <w:instrText xml:space="preserve"> SEQ Table \* ARABIC </w:instrText>
      </w:r>
      <w:r w:rsidR="004C1C27">
        <w:fldChar w:fldCharType="separate"/>
      </w:r>
      <w:r w:rsidR="004C1C27">
        <w:rPr>
          <w:noProof/>
        </w:rPr>
        <w:t>7</w:t>
      </w:r>
      <w:r w:rsidR="004C1C27">
        <w:rPr>
          <w:noProof/>
        </w:rPr>
        <w:fldChar w:fldCharType="end"/>
      </w:r>
      <w:bookmarkEnd w:id="169"/>
      <w:r w:rsidRPr="007F787A">
        <w:t xml:space="preserve">: </w:t>
      </w:r>
      <w:r w:rsidR="0062219D" w:rsidRPr="006839C4">
        <w:t>Estimate</w:t>
      </w:r>
      <w:r w:rsidR="00D3143D" w:rsidRPr="006839C4">
        <w:t>d</w:t>
      </w:r>
      <w:r w:rsidR="0062219D" w:rsidRPr="006839C4">
        <w:t xml:space="preserve"> number of ECT courses</w:t>
      </w:r>
      <w:bookmarkEnd w:id="170"/>
      <w:bookmarkEnd w:id="171"/>
      <w:bookmarkEnd w:id="172"/>
    </w:p>
    <w:tbl>
      <w:tblPr>
        <w:tblStyle w:val="TableGrid"/>
        <w:tblW w:w="4558" w:type="pct"/>
        <w:tblInd w:w="817" w:type="dxa"/>
        <w:tblLook w:val="04A0" w:firstRow="1" w:lastRow="0" w:firstColumn="1" w:lastColumn="0" w:noHBand="0" w:noVBand="1"/>
        <w:tblCaption w:val="Estimated number of ECT courses"/>
      </w:tblPr>
      <w:tblGrid>
        <w:gridCol w:w="3933"/>
        <w:gridCol w:w="900"/>
        <w:gridCol w:w="898"/>
        <w:gridCol w:w="898"/>
        <w:gridCol w:w="898"/>
        <w:gridCol w:w="898"/>
      </w:tblGrid>
      <w:tr w:rsidR="00D3143D" w:rsidRPr="007F787A" w14:paraId="0FB258C3" w14:textId="77777777" w:rsidTr="00194AED">
        <w:trPr>
          <w:cantSplit/>
          <w:tblHeader/>
        </w:trPr>
        <w:tc>
          <w:tcPr>
            <w:tcW w:w="2334" w:type="pct"/>
          </w:tcPr>
          <w:p w14:paraId="02556827" w14:textId="77777777" w:rsidR="00D3143D" w:rsidRPr="007F787A" w:rsidRDefault="00D3143D" w:rsidP="004E72DC">
            <w:pPr>
              <w:keepNext/>
              <w:autoSpaceDE w:val="0"/>
              <w:autoSpaceDN w:val="0"/>
              <w:adjustRightInd w:val="0"/>
              <w:spacing w:before="40" w:after="40"/>
              <w:ind w:left="0"/>
              <w:rPr>
                <w:rFonts w:ascii="Arial Narrow" w:hAnsi="Arial Narrow" w:cs="Arial"/>
                <w:sz w:val="18"/>
                <w:szCs w:val="18"/>
              </w:rPr>
            </w:pPr>
          </w:p>
        </w:tc>
        <w:tc>
          <w:tcPr>
            <w:tcW w:w="534" w:type="pct"/>
            <w:vAlign w:val="center"/>
          </w:tcPr>
          <w:p w14:paraId="21895FDC" w14:textId="77777777" w:rsidR="00D3143D" w:rsidRPr="007F787A" w:rsidRDefault="00D3143D" w:rsidP="004E72DC">
            <w:pPr>
              <w:keepNext/>
              <w:autoSpaceDE w:val="0"/>
              <w:autoSpaceDN w:val="0"/>
              <w:adjustRightInd w:val="0"/>
              <w:spacing w:before="40" w:after="40"/>
              <w:ind w:left="0"/>
              <w:jc w:val="center"/>
              <w:rPr>
                <w:rFonts w:ascii="Arial Narrow" w:hAnsi="Arial Narrow" w:cs="Arial"/>
                <w:b/>
                <w:sz w:val="18"/>
                <w:szCs w:val="18"/>
              </w:rPr>
            </w:pPr>
            <w:r w:rsidRPr="007F787A">
              <w:rPr>
                <w:rFonts w:ascii="Arial Narrow" w:hAnsi="Arial Narrow" w:cs="Arial"/>
                <w:b/>
                <w:sz w:val="18"/>
                <w:szCs w:val="18"/>
              </w:rPr>
              <w:t>200</w:t>
            </w:r>
            <w:r w:rsidR="000744A8" w:rsidRPr="007F787A">
              <w:rPr>
                <w:rFonts w:ascii="Arial Narrow" w:hAnsi="Arial Narrow" w:cs="Arial"/>
                <w:b/>
                <w:sz w:val="18"/>
                <w:szCs w:val="18"/>
              </w:rPr>
              <w:t>9</w:t>
            </w:r>
          </w:p>
        </w:tc>
        <w:tc>
          <w:tcPr>
            <w:tcW w:w="533" w:type="pct"/>
            <w:vAlign w:val="center"/>
          </w:tcPr>
          <w:p w14:paraId="2E2F3D89" w14:textId="77777777" w:rsidR="00D3143D" w:rsidRPr="007F787A" w:rsidRDefault="000744A8" w:rsidP="004E72DC">
            <w:pPr>
              <w:keepNext/>
              <w:autoSpaceDE w:val="0"/>
              <w:autoSpaceDN w:val="0"/>
              <w:adjustRightInd w:val="0"/>
              <w:spacing w:before="40" w:after="40"/>
              <w:ind w:left="0"/>
              <w:jc w:val="center"/>
              <w:rPr>
                <w:rFonts w:ascii="Arial Narrow" w:hAnsi="Arial Narrow" w:cs="Arial"/>
                <w:b/>
                <w:sz w:val="18"/>
                <w:szCs w:val="18"/>
              </w:rPr>
            </w:pPr>
            <w:r w:rsidRPr="007F787A">
              <w:rPr>
                <w:rFonts w:ascii="Arial Narrow" w:hAnsi="Arial Narrow" w:cs="Arial"/>
                <w:b/>
                <w:sz w:val="18"/>
                <w:szCs w:val="18"/>
              </w:rPr>
              <w:t>2010</w:t>
            </w:r>
          </w:p>
        </w:tc>
        <w:tc>
          <w:tcPr>
            <w:tcW w:w="533" w:type="pct"/>
            <w:vAlign w:val="center"/>
          </w:tcPr>
          <w:p w14:paraId="65588D9B" w14:textId="77777777" w:rsidR="00D3143D" w:rsidRPr="007F787A" w:rsidRDefault="000744A8" w:rsidP="004E72DC">
            <w:pPr>
              <w:keepNext/>
              <w:autoSpaceDE w:val="0"/>
              <w:autoSpaceDN w:val="0"/>
              <w:adjustRightInd w:val="0"/>
              <w:spacing w:before="40" w:after="40"/>
              <w:ind w:left="0"/>
              <w:jc w:val="center"/>
              <w:rPr>
                <w:rFonts w:ascii="Arial Narrow" w:hAnsi="Arial Narrow" w:cs="Arial"/>
                <w:b/>
                <w:sz w:val="18"/>
                <w:szCs w:val="18"/>
              </w:rPr>
            </w:pPr>
            <w:r w:rsidRPr="007F787A">
              <w:rPr>
                <w:rFonts w:ascii="Arial Narrow" w:hAnsi="Arial Narrow" w:cs="Arial"/>
                <w:b/>
                <w:sz w:val="18"/>
                <w:szCs w:val="18"/>
              </w:rPr>
              <w:t>2011</w:t>
            </w:r>
          </w:p>
        </w:tc>
        <w:tc>
          <w:tcPr>
            <w:tcW w:w="533" w:type="pct"/>
            <w:vAlign w:val="center"/>
          </w:tcPr>
          <w:p w14:paraId="113D4F2D" w14:textId="77777777" w:rsidR="00D3143D" w:rsidRPr="007F787A" w:rsidRDefault="000744A8" w:rsidP="004E72DC">
            <w:pPr>
              <w:keepNext/>
              <w:autoSpaceDE w:val="0"/>
              <w:autoSpaceDN w:val="0"/>
              <w:adjustRightInd w:val="0"/>
              <w:spacing w:before="40" w:after="40"/>
              <w:ind w:left="0"/>
              <w:jc w:val="center"/>
              <w:rPr>
                <w:rFonts w:ascii="Arial Narrow" w:hAnsi="Arial Narrow" w:cs="Arial"/>
                <w:b/>
                <w:sz w:val="18"/>
                <w:szCs w:val="18"/>
              </w:rPr>
            </w:pPr>
            <w:r w:rsidRPr="007F787A">
              <w:rPr>
                <w:rFonts w:ascii="Arial Narrow" w:hAnsi="Arial Narrow" w:cs="Arial"/>
                <w:b/>
                <w:sz w:val="18"/>
                <w:szCs w:val="18"/>
              </w:rPr>
              <w:t>2012</w:t>
            </w:r>
          </w:p>
        </w:tc>
        <w:tc>
          <w:tcPr>
            <w:tcW w:w="533" w:type="pct"/>
            <w:vAlign w:val="center"/>
          </w:tcPr>
          <w:p w14:paraId="781318FB" w14:textId="77777777" w:rsidR="00D3143D" w:rsidRPr="007F787A" w:rsidRDefault="000744A8" w:rsidP="004E72DC">
            <w:pPr>
              <w:keepNext/>
              <w:autoSpaceDE w:val="0"/>
              <w:autoSpaceDN w:val="0"/>
              <w:adjustRightInd w:val="0"/>
              <w:spacing w:before="40" w:after="40"/>
              <w:ind w:left="0"/>
              <w:jc w:val="center"/>
              <w:rPr>
                <w:rFonts w:ascii="Arial Narrow" w:hAnsi="Arial Narrow" w:cs="Arial"/>
                <w:b/>
                <w:sz w:val="18"/>
                <w:szCs w:val="18"/>
              </w:rPr>
            </w:pPr>
            <w:r w:rsidRPr="007F787A">
              <w:rPr>
                <w:rFonts w:ascii="Arial Narrow" w:hAnsi="Arial Narrow" w:cs="Arial"/>
                <w:b/>
                <w:sz w:val="18"/>
                <w:szCs w:val="18"/>
              </w:rPr>
              <w:t>2013</w:t>
            </w:r>
          </w:p>
        </w:tc>
      </w:tr>
      <w:tr w:rsidR="00BA3C9D" w:rsidRPr="007F787A" w14:paraId="6A2C2C87" w14:textId="77777777" w:rsidTr="004E72DC">
        <w:trPr>
          <w:cantSplit/>
        </w:trPr>
        <w:tc>
          <w:tcPr>
            <w:tcW w:w="2334" w:type="pct"/>
          </w:tcPr>
          <w:p w14:paraId="4803E2D1" w14:textId="77777777" w:rsidR="00BA3C9D" w:rsidRPr="007F787A" w:rsidRDefault="00BA3C9D" w:rsidP="004E72DC">
            <w:pPr>
              <w:keepNext/>
              <w:autoSpaceDE w:val="0"/>
              <w:autoSpaceDN w:val="0"/>
              <w:adjustRightInd w:val="0"/>
              <w:spacing w:before="40" w:after="40"/>
              <w:ind w:left="0"/>
              <w:rPr>
                <w:rFonts w:ascii="Arial Narrow" w:hAnsi="Arial Narrow" w:cs="Arial"/>
                <w:sz w:val="18"/>
                <w:szCs w:val="18"/>
              </w:rPr>
            </w:pPr>
            <w:r w:rsidRPr="007F787A">
              <w:rPr>
                <w:rFonts w:ascii="Arial Narrow" w:hAnsi="Arial Narrow" w:cs="Arial"/>
                <w:sz w:val="18"/>
                <w:szCs w:val="18"/>
              </w:rPr>
              <w:t>ECT claims on MBS</w:t>
            </w:r>
          </w:p>
        </w:tc>
        <w:tc>
          <w:tcPr>
            <w:tcW w:w="534" w:type="pct"/>
            <w:vAlign w:val="center"/>
          </w:tcPr>
          <w:p w14:paraId="58214BAF" w14:textId="77777777" w:rsidR="00BA3C9D" w:rsidRPr="007F787A" w:rsidRDefault="000744A8"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22,344</w:t>
            </w:r>
          </w:p>
        </w:tc>
        <w:tc>
          <w:tcPr>
            <w:tcW w:w="533" w:type="pct"/>
            <w:vAlign w:val="center"/>
          </w:tcPr>
          <w:p w14:paraId="106157A9" w14:textId="77777777" w:rsidR="00BA3C9D" w:rsidRPr="007F787A" w:rsidRDefault="000744A8"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24,714</w:t>
            </w:r>
          </w:p>
        </w:tc>
        <w:tc>
          <w:tcPr>
            <w:tcW w:w="533" w:type="pct"/>
            <w:vAlign w:val="center"/>
          </w:tcPr>
          <w:p w14:paraId="016CB522" w14:textId="77777777" w:rsidR="00BA3C9D" w:rsidRPr="007F787A" w:rsidRDefault="000744A8"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25,384</w:t>
            </w:r>
          </w:p>
        </w:tc>
        <w:tc>
          <w:tcPr>
            <w:tcW w:w="533" w:type="pct"/>
            <w:vAlign w:val="center"/>
          </w:tcPr>
          <w:p w14:paraId="426D7872" w14:textId="77777777" w:rsidR="00BA3C9D" w:rsidRPr="007F787A" w:rsidRDefault="000744A8"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27,680</w:t>
            </w:r>
          </w:p>
        </w:tc>
        <w:tc>
          <w:tcPr>
            <w:tcW w:w="533" w:type="pct"/>
            <w:vAlign w:val="center"/>
          </w:tcPr>
          <w:p w14:paraId="7CB295DD" w14:textId="77777777" w:rsidR="00BA3C9D" w:rsidRPr="007F787A" w:rsidRDefault="000744A8"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28,686</w:t>
            </w:r>
          </w:p>
        </w:tc>
      </w:tr>
      <w:tr w:rsidR="00D3143D" w:rsidRPr="007F787A" w14:paraId="4257704B" w14:textId="77777777" w:rsidTr="004E72DC">
        <w:trPr>
          <w:cantSplit/>
        </w:trPr>
        <w:tc>
          <w:tcPr>
            <w:tcW w:w="2334" w:type="pct"/>
          </w:tcPr>
          <w:p w14:paraId="3BB530F4" w14:textId="77777777" w:rsidR="00D3143D" w:rsidRPr="007F787A" w:rsidRDefault="00D3143D" w:rsidP="004E72DC">
            <w:pPr>
              <w:keepNext/>
              <w:autoSpaceDE w:val="0"/>
              <w:autoSpaceDN w:val="0"/>
              <w:adjustRightInd w:val="0"/>
              <w:spacing w:before="40" w:after="40"/>
              <w:ind w:left="0"/>
              <w:rPr>
                <w:rFonts w:ascii="Arial Narrow" w:hAnsi="Arial Narrow" w:cs="Arial"/>
                <w:sz w:val="18"/>
                <w:szCs w:val="18"/>
              </w:rPr>
            </w:pPr>
            <w:r w:rsidRPr="007F787A">
              <w:rPr>
                <w:rFonts w:ascii="Arial Narrow" w:hAnsi="Arial Narrow" w:cs="Arial"/>
                <w:sz w:val="18"/>
                <w:szCs w:val="18"/>
              </w:rPr>
              <w:t>Average number of treatments per ECT course</w:t>
            </w:r>
          </w:p>
        </w:tc>
        <w:tc>
          <w:tcPr>
            <w:tcW w:w="534" w:type="pct"/>
            <w:vAlign w:val="center"/>
          </w:tcPr>
          <w:p w14:paraId="3123C86C" w14:textId="77777777" w:rsidR="00D3143D" w:rsidRPr="007F787A" w:rsidRDefault="00D3143D"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10</w:t>
            </w:r>
          </w:p>
        </w:tc>
        <w:tc>
          <w:tcPr>
            <w:tcW w:w="533" w:type="pct"/>
            <w:vAlign w:val="center"/>
          </w:tcPr>
          <w:p w14:paraId="44CCB186" w14:textId="77777777" w:rsidR="00D3143D" w:rsidRPr="007F787A" w:rsidRDefault="00D3143D"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10</w:t>
            </w:r>
          </w:p>
        </w:tc>
        <w:tc>
          <w:tcPr>
            <w:tcW w:w="533" w:type="pct"/>
            <w:vAlign w:val="center"/>
          </w:tcPr>
          <w:p w14:paraId="7BC336CB" w14:textId="77777777" w:rsidR="00D3143D" w:rsidRPr="007F787A" w:rsidRDefault="00D3143D"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10</w:t>
            </w:r>
          </w:p>
        </w:tc>
        <w:tc>
          <w:tcPr>
            <w:tcW w:w="533" w:type="pct"/>
            <w:vAlign w:val="center"/>
          </w:tcPr>
          <w:p w14:paraId="0B1A1724" w14:textId="77777777" w:rsidR="00D3143D" w:rsidRPr="007F787A" w:rsidRDefault="00D3143D"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10</w:t>
            </w:r>
          </w:p>
        </w:tc>
        <w:tc>
          <w:tcPr>
            <w:tcW w:w="533" w:type="pct"/>
            <w:vAlign w:val="center"/>
          </w:tcPr>
          <w:p w14:paraId="02F66A44" w14:textId="77777777" w:rsidR="00D3143D" w:rsidRPr="007F787A" w:rsidRDefault="00D3143D"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10</w:t>
            </w:r>
          </w:p>
        </w:tc>
      </w:tr>
      <w:tr w:rsidR="00BA3C9D" w:rsidRPr="007F787A" w14:paraId="208A2E14" w14:textId="77777777" w:rsidTr="004E72DC">
        <w:trPr>
          <w:cantSplit/>
        </w:trPr>
        <w:tc>
          <w:tcPr>
            <w:tcW w:w="2334" w:type="pct"/>
          </w:tcPr>
          <w:p w14:paraId="2F7BD2ED" w14:textId="77777777" w:rsidR="00BA3C9D" w:rsidRPr="007F787A" w:rsidRDefault="00E35BAE" w:rsidP="004E72DC">
            <w:pPr>
              <w:keepNext/>
              <w:autoSpaceDE w:val="0"/>
              <w:autoSpaceDN w:val="0"/>
              <w:adjustRightInd w:val="0"/>
              <w:spacing w:before="40" w:after="40"/>
              <w:ind w:left="0"/>
              <w:rPr>
                <w:rFonts w:ascii="Arial Narrow" w:hAnsi="Arial Narrow" w:cs="Arial"/>
                <w:sz w:val="18"/>
                <w:szCs w:val="18"/>
              </w:rPr>
            </w:pPr>
            <w:r w:rsidRPr="007F787A">
              <w:rPr>
                <w:rFonts w:ascii="Arial Narrow" w:hAnsi="Arial Narrow" w:cs="Arial"/>
                <w:sz w:val="18"/>
                <w:szCs w:val="18"/>
              </w:rPr>
              <w:t>N</w:t>
            </w:r>
            <w:r w:rsidR="00BA3C9D" w:rsidRPr="007F787A">
              <w:rPr>
                <w:rFonts w:ascii="Arial Narrow" w:hAnsi="Arial Narrow" w:cs="Arial"/>
                <w:sz w:val="18"/>
                <w:szCs w:val="18"/>
              </w:rPr>
              <w:t xml:space="preserve">umber of </w:t>
            </w:r>
            <w:r w:rsidR="00D3143D" w:rsidRPr="007F787A">
              <w:rPr>
                <w:rFonts w:ascii="Arial Narrow" w:hAnsi="Arial Narrow" w:cs="Arial"/>
                <w:sz w:val="18"/>
                <w:szCs w:val="18"/>
              </w:rPr>
              <w:t xml:space="preserve">ECT </w:t>
            </w:r>
            <w:r w:rsidRPr="007F787A">
              <w:rPr>
                <w:rFonts w:ascii="Arial Narrow" w:hAnsi="Arial Narrow" w:cs="Arial"/>
                <w:sz w:val="18"/>
                <w:szCs w:val="18"/>
              </w:rPr>
              <w:t>courses delivered per year</w:t>
            </w:r>
          </w:p>
        </w:tc>
        <w:tc>
          <w:tcPr>
            <w:tcW w:w="534" w:type="pct"/>
            <w:vAlign w:val="center"/>
          </w:tcPr>
          <w:p w14:paraId="3C57AB3C" w14:textId="77777777" w:rsidR="00BA3C9D" w:rsidRPr="007F787A" w:rsidRDefault="000744A8"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2,234</w:t>
            </w:r>
          </w:p>
        </w:tc>
        <w:tc>
          <w:tcPr>
            <w:tcW w:w="533" w:type="pct"/>
            <w:vAlign w:val="center"/>
          </w:tcPr>
          <w:p w14:paraId="0A50EE2C" w14:textId="77777777" w:rsidR="00BA3C9D" w:rsidRPr="007F787A" w:rsidRDefault="000744A8"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2,471</w:t>
            </w:r>
          </w:p>
        </w:tc>
        <w:tc>
          <w:tcPr>
            <w:tcW w:w="533" w:type="pct"/>
            <w:vAlign w:val="center"/>
          </w:tcPr>
          <w:p w14:paraId="5DCDCB80" w14:textId="77777777" w:rsidR="00BA3C9D" w:rsidRPr="007F787A" w:rsidRDefault="000744A8"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2,538</w:t>
            </w:r>
          </w:p>
        </w:tc>
        <w:tc>
          <w:tcPr>
            <w:tcW w:w="533" w:type="pct"/>
            <w:vAlign w:val="center"/>
          </w:tcPr>
          <w:p w14:paraId="3B04CC36" w14:textId="77777777" w:rsidR="00BA3C9D" w:rsidRPr="007F787A" w:rsidRDefault="000744A8"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2,768</w:t>
            </w:r>
          </w:p>
        </w:tc>
        <w:tc>
          <w:tcPr>
            <w:tcW w:w="533" w:type="pct"/>
            <w:vAlign w:val="center"/>
          </w:tcPr>
          <w:p w14:paraId="421AFDDF" w14:textId="77777777" w:rsidR="00BA3C9D" w:rsidRPr="007F787A" w:rsidRDefault="000744A8" w:rsidP="004E72DC">
            <w:pPr>
              <w:keepNext/>
              <w:autoSpaceDE w:val="0"/>
              <w:autoSpaceDN w:val="0"/>
              <w:adjustRightInd w:val="0"/>
              <w:spacing w:before="40" w:after="40"/>
              <w:ind w:left="0"/>
              <w:jc w:val="center"/>
              <w:rPr>
                <w:rFonts w:ascii="Arial Narrow" w:hAnsi="Arial Narrow" w:cs="Arial"/>
                <w:sz w:val="18"/>
                <w:szCs w:val="18"/>
              </w:rPr>
            </w:pPr>
            <w:r w:rsidRPr="007F787A">
              <w:rPr>
                <w:rFonts w:ascii="Arial Narrow" w:hAnsi="Arial Narrow" w:cs="Arial"/>
                <w:sz w:val="18"/>
                <w:szCs w:val="18"/>
              </w:rPr>
              <w:t>2,869</w:t>
            </w:r>
          </w:p>
        </w:tc>
      </w:tr>
    </w:tbl>
    <w:p w14:paraId="7016757A" w14:textId="77777777" w:rsidR="00E31067" w:rsidRPr="007F787A" w:rsidRDefault="00BA3C9D" w:rsidP="004E72DC">
      <w:pPr>
        <w:keepNext/>
        <w:autoSpaceDE w:val="0"/>
        <w:autoSpaceDN w:val="0"/>
        <w:adjustRightInd w:val="0"/>
        <w:spacing w:before="40" w:after="40"/>
        <w:rPr>
          <w:rFonts w:ascii="Arial Narrow" w:hAnsi="Arial Narrow" w:cs="Arial"/>
          <w:sz w:val="18"/>
          <w:szCs w:val="18"/>
        </w:rPr>
      </w:pPr>
      <w:r w:rsidRPr="007F787A">
        <w:rPr>
          <w:rFonts w:ascii="Arial Narrow" w:hAnsi="Arial Narrow" w:cs="Arial"/>
          <w:sz w:val="18"/>
          <w:szCs w:val="18"/>
        </w:rPr>
        <w:t xml:space="preserve">Source: </w:t>
      </w:r>
      <w:r w:rsidR="00E31067" w:rsidRPr="007F787A">
        <w:rPr>
          <w:rFonts w:ascii="Arial Narrow" w:hAnsi="Arial Narrow" w:cs="Arial"/>
          <w:sz w:val="18"/>
          <w:szCs w:val="18"/>
        </w:rPr>
        <w:t>Excel spreadsheet</w:t>
      </w:r>
      <w:r w:rsidR="00C23026" w:rsidRPr="007F787A">
        <w:rPr>
          <w:rFonts w:ascii="Arial Narrow" w:hAnsi="Arial Narrow" w:cs="Arial"/>
          <w:sz w:val="18"/>
          <w:szCs w:val="18"/>
        </w:rPr>
        <w:t xml:space="preserve"> (rTMS Section E.xls)</w:t>
      </w:r>
    </w:p>
    <w:p w14:paraId="28A5BCB6" w14:textId="77777777" w:rsidR="00AD34E3" w:rsidRDefault="00AD34E3" w:rsidP="004E72DC">
      <w:pPr>
        <w:keepNext/>
        <w:autoSpaceDE w:val="0"/>
        <w:autoSpaceDN w:val="0"/>
        <w:adjustRightInd w:val="0"/>
        <w:spacing w:before="40" w:after="40"/>
        <w:rPr>
          <w:rFonts w:ascii="Arial Narrow" w:hAnsi="Arial Narrow" w:cs="Arial"/>
          <w:sz w:val="18"/>
          <w:szCs w:val="18"/>
        </w:rPr>
      </w:pPr>
      <w:r w:rsidRPr="007F787A">
        <w:rPr>
          <w:rFonts w:ascii="Arial Narrow" w:hAnsi="Arial Narrow" w:cs="Arial"/>
          <w:sz w:val="18"/>
          <w:szCs w:val="18"/>
        </w:rPr>
        <w:t>ECT = electroconvulsive therapy</w:t>
      </w:r>
      <w:r w:rsidR="005E00ED" w:rsidRPr="007F787A">
        <w:rPr>
          <w:rFonts w:ascii="Arial Narrow" w:hAnsi="Arial Narrow" w:cs="Arial"/>
          <w:sz w:val="18"/>
          <w:szCs w:val="18"/>
        </w:rPr>
        <w:t>; MBS = Medicare Benefits Schedule</w:t>
      </w:r>
    </w:p>
    <w:p w14:paraId="79456177" w14:textId="77777777" w:rsidR="004E72DC" w:rsidRPr="007F787A" w:rsidRDefault="004E72DC" w:rsidP="004E72DC"/>
    <w:p w14:paraId="75B8F9C7" w14:textId="77777777" w:rsidR="006A0CD4" w:rsidRDefault="00BA3C9D" w:rsidP="005E00ED">
      <w:pPr>
        <w:autoSpaceDE w:val="0"/>
        <w:autoSpaceDN w:val="0"/>
        <w:adjustRightInd w:val="0"/>
        <w:spacing w:after="0"/>
        <w:jc w:val="both"/>
        <w:rPr>
          <w:rFonts w:cs="Garamond"/>
          <w:szCs w:val="24"/>
        </w:rPr>
      </w:pPr>
      <w:r>
        <w:rPr>
          <w:rFonts w:cs="Garamond"/>
          <w:szCs w:val="24"/>
        </w:rPr>
        <w:t xml:space="preserve">Assuming that each patient receives </w:t>
      </w:r>
      <w:r w:rsidR="00D3143D">
        <w:rPr>
          <w:rFonts w:cs="Garamond"/>
          <w:szCs w:val="24"/>
        </w:rPr>
        <w:t xml:space="preserve">an average of </w:t>
      </w:r>
      <w:r>
        <w:rPr>
          <w:rFonts w:cs="Garamond"/>
          <w:szCs w:val="24"/>
        </w:rPr>
        <w:t xml:space="preserve">10 </w:t>
      </w:r>
      <w:r w:rsidR="006A0CD4">
        <w:rPr>
          <w:rFonts w:cs="Garamond"/>
          <w:szCs w:val="24"/>
        </w:rPr>
        <w:t>treatments per course</w:t>
      </w:r>
      <w:r>
        <w:rPr>
          <w:rFonts w:cs="Garamond"/>
          <w:szCs w:val="24"/>
        </w:rPr>
        <w:t xml:space="preserve">, the number of patients receiving ECT in Australia </w:t>
      </w:r>
      <w:r w:rsidR="00910536">
        <w:rPr>
          <w:rFonts w:cs="Garamond"/>
          <w:szCs w:val="24"/>
        </w:rPr>
        <w:t xml:space="preserve">on the MBS </w:t>
      </w:r>
      <w:r w:rsidR="006A0CD4">
        <w:rPr>
          <w:rFonts w:cs="Garamond"/>
          <w:szCs w:val="24"/>
        </w:rPr>
        <w:t>in the last year was</w:t>
      </w:r>
      <w:r>
        <w:rPr>
          <w:rFonts w:cs="Garamond"/>
          <w:szCs w:val="24"/>
        </w:rPr>
        <w:t xml:space="preserve"> approximately 2</w:t>
      </w:r>
      <w:r w:rsidR="006A0CD4">
        <w:rPr>
          <w:rFonts w:cs="Garamond"/>
          <w:szCs w:val="24"/>
        </w:rPr>
        <w:t>,</w:t>
      </w:r>
      <w:r w:rsidR="00BE1963">
        <w:rPr>
          <w:rFonts w:cs="Garamond"/>
          <w:szCs w:val="24"/>
        </w:rPr>
        <w:t>870</w:t>
      </w:r>
      <w:r w:rsidR="006A0CD4">
        <w:rPr>
          <w:rFonts w:cs="Garamond"/>
          <w:szCs w:val="24"/>
        </w:rPr>
        <w:t xml:space="preserve">. The number of ECT courses </w:t>
      </w:r>
      <w:r w:rsidR="004D5C85">
        <w:rPr>
          <w:rFonts w:cs="Garamond"/>
          <w:szCs w:val="24"/>
        </w:rPr>
        <w:t xml:space="preserve">claimed on the MBS </w:t>
      </w:r>
      <w:r w:rsidR="006A0CD4">
        <w:rPr>
          <w:rFonts w:cs="Garamond"/>
          <w:szCs w:val="24"/>
        </w:rPr>
        <w:t>has been increasin</w:t>
      </w:r>
      <w:r w:rsidR="00BE1963">
        <w:rPr>
          <w:rFonts w:cs="Garamond"/>
          <w:szCs w:val="24"/>
        </w:rPr>
        <w:t>g at a rate of approximately 130</w:t>
      </w:r>
      <w:r w:rsidR="006A0CD4">
        <w:rPr>
          <w:rFonts w:cs="Garamond"/>
          <w:szCs w:val="24"/>
        </w:rPr>
        <w:t xml:space="preserve"> courses per year for the last five years</w:t>
      </w:r>
      <w:r>
        <w:rPr>
          <w:rFonts w:cs="Garamond"/>
          <w:szCs w:val="24"/>
        </w:rPr>
        <w:t xml:space="preserve">. </w:t>
      </w:r>
    </w:p>
    <w:p w14:paraId="545348B1" w14:textId="77777777" w:rsidR="006A0CD4" w:rsidRDefault="006A0CD4" w:rsidP="005E00ED">
      <w:pPr>
        <w:autoSpaceDE w:val="0"/>
        <w:autoSpaceDN w:val="0"/>
        <w:adjustRightInd w:val="0"/>
        <w:spacing w:after="0"/>
        <w:jc w:val="both"/>
        <w:rPr>
          <w:rFonts w:cs="Garamond"/>
          <w:szCs w:val="24"/>
        </w:rPr>
      </w:pPr>
    </w:p>
    <w:p w14:paraId="1A18A2D1" w14:textId="77777777" w:rsidR="005F1EC5" w:rsidRPr="00404A6E" w:rsidRDefault="006A0CD4" w:rsidP="00404A6E">
      <w:pPr>
        <w:autoSpaceDE w:val="0"/>
        <w:autoSpaceDN w:val="0"/>
        <w:adjustRightInd w:val="0"/>
        <w:spacing w:after="0"/>
        <w:jc w:val="both"/>
        <w:rPr>
          <w:rFonts w:cs="Garamond"/>
          <w:szCs w:val="24"/>
        </w:rPr>
      </w:pPr>
      <w:r w:rsidRPr="00E04965">
        <w:rPr>
          <w:rFonts w:cs="Garamond"/>
          <w:szCs w:val="24"/>
        </w:rPr>
        <w:t xml:space="preserve">At present, the number of </w:t>
      </w:r>
      <w:r w:rsidR="00BF4270">
        <w:rPr>
          <w:rFonts w:cs="Garamond"/>
          <w:szCs w:val="24"/>
        </w:rPr>
        <w:t xml:space="preserve">rTMS </w:t>
      </w:r>
      <w:r w:rsidR="0003110A">
        <w:rPr>
          <w:rFonts w:cs="Garamond"/>
          <w:szCs w:val="24"/>
        </w:rPr>
        <w:t>treatment centres in Australia is estimated to be five</w:t>
      </w:r>
      <w:r w:rsidR="00BF4270">
        <w:rPr>
          <w:rFonts w:cs="Garamond"/>
          <w:szCs w:val="24"/>
        </w:rPr>
        <w:t>. T</w:t>
      </w:r>
      <w:r w:rsidRPr="00E04965">
        <w:rPr>
          <w:rFonts w:cs="Garamond"/>
          <w:szCs w:val="24"/>
        </w:rPr>
        <w:t xml:space="preserve">hus it is expected that initially, the number of patients who would access rTMS </w:t>
      </w:r>
      <w:r w:rsidR="00BA3C9D" w:rsidRPr="00E04965">
        <w:rPr>
          <w:rFonts w:cs="Garamond"/>
          <w:szCs w:val="24"/>
        </w:rPr>
        <w:t xml:space="preserve">would be </w:t>
      </w:r>
      <w:r w:rsidR="00E04965" w:rsidRPr="00E04965">
        <w:rPr>
          <w:rFonts w:cs="Garamond"/>
          <w:szCs w:val="24"/>
        </w:rPr>
        <w:t xml:space="preserve">fewer than those accessing ECT. </w:t>
      </w:r>
      <w:r w:rsidR="00BF4270">
        <w:rPr>
          <w:rFonts w:cs="Garamond"/>
          <w:szCs w:val="24"/>
        </w:rPr>
        <w:t>However, u</w:t>
      </w:r>
      <w:r w:rsidR="00E04965">
        <w:rPr>
          <w:rFonts w:cs="Garamond"/>
          <w:szCs w:val="24"/>
        </w:rPr>
        <w:t>se of rTMS is expected to increase as therapy becomes more accessible.</w:t>
      </w:r>
      <w:r w:rsidR="00BA3C9D">
        <w:rPr>
          <w:rFonts w:cs="Garamond"/>
          <w:szCs w:val="24"/>
        </w:rPr>
        <w:t xml:space="preserve"> </w:t>
      </w:r>
      <w:r w:rsidR="005F1EC5">
        <w:t xml:space="preserve"> </w:t>
      </w:r>
    </w:p>
    <w:p w14:paraId="3E2AF0B6" w14:textId="77777777" w:rsidR="00C22519" w:rsidRPr="00147CDA" w:rsidRDefault="00C22519" w:rsidP="00404A6E">
      <w:pPr>
        <w:pStyle w:val="Heading4"/>
      </w:pPr>
      <w:r w:rsidRPr="00B815C5">
        <w:t>Estimation</w:t>
      </w:r>
      <w:r w:rsidRPr="00147CDA">
        <w:t xml:space="preserve"> </w:t>
      </w:r>
      <w:r w:rsidRPr="00404A6E">
        <w:t>of</w:t>
      </w:r>
      <w:r w:rsidRPr="00147CDA">
        <w:t xml:space="preserve"> use and costs of rTMS</w:t>
      </w:r>
    </w:p>
    <w:p w14:paraId="10614638" w14:textId="77777777" w:rsidR="00C22519" w:rsidRPr="00147CDA" w:rsidRDefault="00C22519" w:rsidP="007F787A">
      <w:pPr>
        <w:pStyle w:val="Heading5"/>
      </w:pPr>
      <w:r w:rsidRPr="00147CDA">
        <w:t>Number of patients potentially eligible for rTMS each year</w:t>
      </w:r>
    </w:p>
    <w:p w14:paraId="7ECF8C7C" w14:textId="5EA676D5" w:rsidR="00C22519" w:rsidRDefault="00C22519" w:rsidP="005E00ED">
      <w:pPr>
        <w:jc w:val="both"/>
      </w:pPr>
      <w:r>
        <w:t>The number of patients who would potentially be eligible for rTMS treatment under the proposed in</w:t>
      </w:r>
      <w:r w:rsidR="00F30389">
        <w:t>dication</w:t>
      </w:r>
      <w:r w:rsidR="007A2CFB">
        <w:t xml:space="preserve"> (i.e. those with </w:t>
      </w:r>
      <w:r w:rsidR="00F85EBC">
        <w:t>treatment-resistant depression</w:t>
      </w:r>
      <w:r w:rsidR="007A2CFB">
        <w:t>)</w:t>
      </w:r>
      <w:r w:rsidR="00F30389">
        <w:t xml:space="preserve"> is estimated in </w:t>
      </w:r>
      <w:r w:rsidR="001F17C0" w:rsidRPr="006C19DA">
        <w:fldChar w:fldCharType="begin"/>
      </w:r>
      <w:r w:rsidR="001F17C0" w:rsidRPr="006C19DA">
        <w:instrText xml:space="preserve"> REF _Ref386103413 \h </w:instrText>
      </w:r>
      <w:r w:rsidR="006C19DA">
        <w:instrText xml:space="preserve"> \* MERGEFORMAT </w:instrText>
      </w:r>
      <w:r w:rsidR="001F17C0" w:rsidRPr="006C19DA">
        <w:fldChar w:fldCharType="separate"/>
      </w:r>
      <w:r w:rsidR="004C1C27" w:rsidRPr="007F787A">
        <w:t xml:space="preserve">Table </w:t>
      </w:r>
      <w:r w:rsidR="004C1C27">
        <w:t>8</w:t>
      </w:r>
      <w:r w:rsidR="001F17C0" w:rsidRPr="006C19DA">
        <w:fldChar w:fldCharType="end"/>
      </w:r>
      <w:r w:rsidR="001F17C0">
        <w:t xml:space="preserve"> </w:t>
      </w:r>
      <w:r>
        <w:t xml:space="preserve">below. </w:t>
      </w:r>
    </w:p>
    <w:p w14:paraId="7B4D6F73" w14:textId="65958F61" w:rsidR="0062219D" w:rsidRPr="006839C4" w:rsidRDefault="0001527B" w:rsidP="006258B7">
      <w:pPr>
        <w:pStyle w:val="TableName"/>
      </w:pPr>
      <w:bookmarkStart w:id="173" w:name="_Ref386103413"/>
      <w:bookmarkStart w:id="174" w:name="_Toc389140551"/>
      <w:bookmarkStart w:id="175" w:name="_Toc389142170"/>
      <w:bookmarkStart w:id="176" w:name="_Toc389143593"/>
      <w:r w:rsidRPr="007F787A">
        <w:t xml:space="preserve">Table </w:t>
      </w:r>
      <w:r w:rsidR="004C1C27">
        <w:fldChar w:fldCharType="begin"/>
      </w:r>
      <w:r w:rsidR="004C1C27">
        <w:instrText xml:space="preserve"> SEQ Table \* ARABIC </w:instrText>
      </w:r>
      <w:r w:rsidR="004C1C27">
        <w:fldChar w:fldCharType="separate"/>
      </w:r>
      <w:r w:rsidR="004C1C27">
        <w:rPr>
          <w:noProof/>
        </w:rPr>
        <w:t>8</w:t>
      </w:r>
      <w:r w:rsidR="004C1C27">
        <w:rPr>
          <w:noProof/>
        </w:rPr>
        <w:fldChar w:fldCharType="end"/>
      </w:r>
      <w:bookmarkEnd w:id="173"/>
      <w:r w:rsidRPr="007F787A">
        <w:t xml:space="preserve">: </w:t>
      </w:r>
      <w:r w:rsidR="0062219D" w:rsidRPr="006839C4">
        <w:t>Estimate of patients eligible for rTMS</w:t>
      </w:r>
      <w:bookmarkEnd w:id="174"/>
      <w:bookmarkEnd w:id="175"/>
      <w:bookmarkEnd w:id="176"/>
    </w:p>
    <w:tbl>
      <w:tblPr>
        <w:tblW w:w="8334"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Caption w:val="Estimated rTMS patients "/>
      </w:tblPr>
      <w:tblGrid>
        <w:gridCol w:w="255"/>
        <w:gridCol w:w="2693"/>
        <w:gridCol w:w="850"/>
        <w:gridCol w:w="907"/>
        <w:gridCol w:w="907"/>
        <w:gridCol w:w="907"/>
        <w:gridCol w:w="907"/>
        <w:gridCol w:w="908"/>
      </w:tblGrid>
      <w:tr w:rsidR="0001527B" w:rsidRPr="0001527B" w14:paraId="21C485B4" w14:textId="77777777" w:rsidTr="002A4213">
        <w:tc>
          <w:tcPr>
            <w:tcW w:w="2948" w:type="dxa"/>
            <w:gridSpan w:val="2"/>
            <w:tcMar>
              <w:left w:w="28" w:type="dxa"/>
              <w:right w:w="28" w:type="dxa"/>
            </w:tcMar>
            <w:vAlign w:val="center"/>
          </w:tcPr>
          <w:p w14:paraId="64B97919" w14:textId="77777777" w:rsidR="00831BA3" w:rsidRPr="0001527B" w:rsidRDefault="00831BA3" w:rsidP="004E72DC">
            <w:pPr>
              <w:pStyle w:val="TableNotes0"/>
              <w:keepLines w:val="0"/>
              <w:spacing w:before="40" w:after="40"/>
              <w:jc w:val="left"/>
              <w:rPr>
                <w:rFonts w:ascii="Arial Narrow" w:hAnsi="Arial Narrow" w:cs="Arial Narrow"/>
                <w:b/>
                <w:sz w:val="18"/>
                <w:lang w:val="en-AU"/>
              </w:rPr>
            </w:pPr>
          </w:p>
        </w:tc>
        <w:tc>
          <w:tcPr>
            <w:tcW w:w="850" w:type="dxa"/>
            <w:tcMar>
              <w:left w:w="28" w:type="dxa"/>
              <w:right w:w="28" w:type="dxa"/>
            </w:tcMar>
            <w:vAlign w:val="center"/>
          </w:tcPr>
          <w:p w14:paraId="3A67AAB2"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Method</w:t>
            </w:r>
          </w:p>
        </w:tc>
        <w:tc>
          <w:tcPr>
            <w:tcW w:w="907" w:type="dxa"/>
            <w:tcMar>
              <w:left w:w="28" w:type="dxa"/>
              <w:right w:w="28" w:type="dxa"/>
            </w:tcMar>
            <w:vAlign w:val="center"/>
          </w:tcPr>
          <w:p w14:paraId="360C36BF"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Year 1</w:t>
            </w:r>
          </w:p>
          <w:p w14:paraId="0D9D0D30"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2015</w:t>
            </w:r>
          </w:p>
        </w:tc>
        <w:tc>
          <w:tcPr>
            <w:tcW w:w="907" w:type="dxa"/>
            <w:tcMar>
              <w:left w:w="28" w:type="dxa"/>
              <w:right w:w="28" w:type="dxa"/>
            </w:tcMar>
            <w:vAlign w:val="center"/>
          </w:tcPr>
          <w:p w14:paraId="5D0FAF12"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Year 2</w:t>
            </w:r>
          </w:p>
          <w:p w14:paraId="3DBC2E11"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2016</w:t>
            </w:r>
          </w:p>
        </w:tc>
        <w:tc>
          <w:tcPr>
            <w:tcW w:w="907" w:type="dxa"/>
            <w:tcMar>
              <w:left w:w="28" w:type="dxa"/>
              <w:right w:w="28" w:type="dxa"/>
            </w:tcMar>
            <w:vAlign w:val="center"/>
          </w:tcPr>
          <w:p w14:paraId="7740048F"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Year 3</w:t>
            </w:r>
          </w:p>
          <w:p w14:paraId="6DFBDF9A"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2017</w:t>
            </w:r>
          </w:p>
        </w:tc>
        <w:tc>
          <w:tcPr>
            <w:tcW w:w="907" w:type="dxa"/>
            <w:tcMar>
              <w:left w:w="28" w:type="dxa"/>
              <w:right w:w="28" w:type="dxa"/>
            </w:tcMar>
            <w:vAlign w:val="center"/>
          </w:tcPr>
          <w:p w14:paraId="72BE084F"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Year 4</w:t>
            </w:r>
          </w:p>
          <w:p w14:paraId="7F51B828"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2018</w:t>
            </w:r>
          </w:p>
        </w:tc>
        <w:tc>
          <w:tcPr>
            <w:tcW w:w="908" w:type="dxa"/>
            <w:tcMar>
              <w:left w:w="28" w:type="dxa"/>
              <w:right w:w="28" w:type="dxa"/>
            </w:tcMar>
            <w:vAlign w:val="center"/>
          </w:tcPr>
          <w:p w14:paraId="7D12C14D"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Year 5</w:t>
            </w:r>
          </w:p>
          <w:p w14:paraId="538EA108" w14:textId="77777777" w:rsidR="00831BA3" w:rsidRPr="0001527B" w:rsidRDefault="00831BA3" w:rsidP="004E72DC">
            <w:pPr>
              <w:pStyle w:val="TableNotes0"/>
              <w:keepLines w:val="0"/>
              <w:spacing w:before="40" w:after="40"/>
              <w:jc w:val="center"/>
              <w:rPr>
                <w:rFonts w:ascii="Arial Narrow" w:hAnsi="Arial Narrow" w:cs="Arial Narrow"/>
                <w:b/>
                <w:sz w:val="18"/>
                <w:lang w:val="en-AU"/>
              </w:rPr>
            </w:pPr>
            <w:r w:rsidRPr="0001527B">
              <w:rPr>
                <w:rFonts w:ascii="Arial Narrow" w:hAnsi="Arial Narrow" w:cs="Arial Narrow"/>
                <w:b/>
                <w:sz w:val="18"/>
                <w:lang w:val="en-AU"/>
              </w:rPr>
              <w:t>2019</w:t>
            </w:r>
          </w:p>
        </w:tc>
      </w:tr>
      <w:tr w:rsidR="0001527B" w:rsidRPr="0001527B" w14:paraId="0DFC9D03" w14:textId="77777777" w:rsidTr="002A4213">
        <w:tc>
          <w:tcPr>
            <w:tcW w:w="255" w:type="dxa"/>
            <w:tcMar>
              <w:left w:w="28" w:type="dxa"/>
              <w:right w:w="28" w:type="dxa"/>
            </w:tcMar>
            <w:vAlign w:val="center"/>
          </w:tcPr>
          <w:p w14:paraId="0B49FD0C" w14:textId="77777777" w:rsidR="004A4B27" w:rsidRPr="0001527B" w:rsidRDefault="004A4B27" w:rsidP="004E72DC">
            <w:pPr>
              <w:pStyle w:val="Tabletext1"/>
              <w:keepNext/>
              <w:widowControl/>
              <w:spacing w:before="40" w:after="40" w:line="240" w:lineRule="auto"/>
              <w:rPr>
                <w:rFonts w:ascii="Arial Narrow" w:hAnsi="Arial Narrow"/>
                <w:sz w:val="18"/>
                <w:szCs w:val="18"/>
                <w:lang w:val="en-AU"/>
              </w:rPr>
            </w:pPr>
            <w:r w:rsidRPr="0001527B">
              <w:rPr>
                <w:rFonts w:ascii="Arial Narrow" w:hAnsi="Arial Narrow"/>
                <w:sz w:val="18"/>
                <w:szCs w:val="18"/>
                <w:lang w:val="en-AU"/>
              </w:rPr>
              <w:t>A</w:t>
            </w:r>
          </w:p>
        </w:tc>
        <w:tc>
          <w:tcPr>
            <w:tcW w:w="2693" w:type="dxa"/>
            <w:tcMar>
              <w:left w:w="28" w:type="dxa"/>
              <w:right w:w="28" w:type="dxa"/>
            </w:tcMar>
            <w:vAlign w:val="center"/>
          </w:tcPr>
          <w:p w14:paraId="307D60BE" w14:textId="77777777" w:rsidR="004A4B27" w:rsidRPr="0001527B" w:rsidRDefault="004A4B27" w:rsidP="004E72DC">
            <w:pPr>
              <w:pStyle w:val="Tabletext1"/>
              <w:keepNext/>
              <w:widowControl/>
              <w:spacing w:before="40" w:after="40" w:line="240" w:lineRule="auto"/>
              <w:rPr>
                <w:rFonts w:ascii="Arial Narrow" w:hAnsi="Arial Narrow"/>
                <w:sz w:val="18"/>
                <w:szCs w:val="18"/>
                <w:lang w:val="en-AU"/>
              </w:rPr>
            </w:pPr>
            <w:r w:rsidRPr="0001527B">
              <w:rPr>
                <w:rFonts w:ascii="Arial Narrow" w:hAnsi="Arial Narrow"/>
                <w:sz w:val="18"/>
                <w:szCs w:val="18"/>
                <w:lang w:val="en-AU"/>
              </w:rPr>
              <w:t>Australian population aged 18-85 years</w:t>
            </w:r>
          </w:p>
        </w:tc>
        <w:tc>
          <w:tcPr>
            <w:tcW w:w="850" w:type="dxa"/>
            <w:tcMar>
              <w:left w:w="28" w:type="dxa"/>
              <w:right w:w="28" w:type="dxa"/>
            </w:tcMar>
            <w:vAlign w:val="center"/>
          </w:tcPr>
          <w:p w14:paraId="54F53961"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ABS</w:t>
            </w:r>
          </w:p>
        </w:tc>
        <w:tc>
          <w:tcPr>
            <w:tcW w:w="907" w:type="dxa"/>
            <w:tcMar>
              <w:left w:w="28" w:type="dxa"/>
              <w:right w:w="28" w:type="dxa"/>
            </w:tcMar>
            <w:vAlign w:val="center"/>
          </w:tcPr>
          <w:p w14:paraId="5EA72EB4"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18,145,369</w:t>
            </w:r>
          </w:p>
        </w:tc>
        <w:tc>
          <w:tcPr>
            <w:tcW w:w="907" w:type="dxa"/>
            <w:tcMar>
              <w:left w:w="28" w:type="dxa"/>
              <w:right w:w="28" w:type="dxa"/>
            </w:tcMar>
            <w:vAlign w:val="center"/>
          </w:tcPr>
          <w:p w14:paraId="4EB7A1E1"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18,460,568</w:t>
            </w:r>
          </w:p>
        </w:tc>
        <w:tc>
          <w:tcPr>
            <w:tcW w:w="907" w:type="dxa"/>
            <w:tcMar>
              <w:left w:w="28" w:type="dxa"/>
              <w:right w:w="28" w:type="dxa"/>
            </w:tcMar>
            <w:vAlign w:val="center"/>
          </w:tcPr>
          <w:p w14:paraId="75CA238E"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18,777,737</w:t>
            </w:r>
          </w:p>
        </w:tc>
        <w:tc>
          <w:tcPr>
            <w:tcW w:w="907" w:type="dxa"/>
            <w:tcMar>
              <w:left w:w="28" w:type="dxa"/>
              <w:right w:w="28" w:type="dxa"/>
            </w:tcMar>
            <w:vAlign w:val="center"/>
          </w:tcPr>
          <w:p w14:paraId="66C2F139"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19,096,125</w:t>
            </w:r>
          </w:p>
        </w:tc>
        <w:tc>
          <w:tcPr>
            <w:tcW w:w="908" w:type="dxa"/>
            <w:tcMar>
              <w:left w:w="28" w:type="dxa"/>
              <w:right w:w="28" w:type="dxa"/>
            </w:tcMar>
            <w:vAlign w:val="center"/>
          </w:tcPr>
          <w:p w14:paraId="5FAD149C"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19,412,072</w:t>
            </w:r>
          </w:p>
        </w:tc>
      </w:tr>
      <w:tr w:rsidR="0001527B" w:rsidRPr="0001527B" w14:paraId="353F3B0B" w14:textId="77777777" w:rsidTr="002A4213">
        <w:tc>
          <w:tcPr>
            <w:tcW w:w="255" w:type="dxa"/>
            <w:tcMar>
              <w:left w:w="28" w:type="dxa"/>
              <w:right w:w="28" w:type="dxa"/>
            </w:tcMar>
            <w:vAlign w:val="center"/>
          </w:tcPr>
          <w:p w14:paraId="2F2024A1" w14:textId="77777777" w:rsidR="004A4B27" w:rsidRPr="0001527B" w:rsidRDefault="004A4B27" w:rsidP="004E72DC">
            <w:pPr>
              <w:pStyle w:val="Tabletext1"/>
              <w:keepNext/>
              <w:widowControl/>
              <w:spacing w:before="40" w:after="40" w:line="240" w:lineRule="auto"/>
              <w:rPr>
                <w:rFonts w:ascii="Arial Narrow" w:hAnsi="Arial Narrow"/>
                <w:sz w:val="18"/>
                <w:szCs w:val="18"/>
                <w:lang w:val="en-AU"/>
              </w:rPr>
            </w:pPr>
            <w:r w:rsidRPr="0001527B">
              <w:rPr>
                <w:rFonts w:ascii="Arial Narrow" w:hAnsi="Arial Narrow"/>
                <w:sz w:val="18"/>
                <w:szCs w:val="18"/>
                <w:lang w:val="en-AU"/>
              </w:rPr>
              <w:t>B</w:t>
            </w:r>
          </w:p>
        </w:tc>
        <w:tc>
          <w:tcPr>
            <w:tcW w:w="2693" w:type="dxa"/>
            <w:tcMar>
              <w:left w:w="28" w:type="dxa"/>
              <w:right w:w="28" w:type="dxa"/>
            </w:tcMar>
            <w:vAlign w:val="center"/>
          </w:tcPr>
          <w:p w14:paraId="7F29F23A" w14:textId="77777777" w:rsidR="004A4B27" w:rsidRPr="0001527B" w:rsidRDefault="004A4B27" w:rsidP="004E72DC">
            <w:pPr>
              <w:pStyle w:val="Tabletext1"/>
              <w:keepNext/>
              <w:widowControl/>
              <w:spacing w:before="40" w:after="40" w:line="240" w:lineRule="auto"/>
              <w:rPr>
                <w:rFonts w:ascii="Arial Narrow" w:hAnsi="Arial Narrow"/>
                <w:sz w:val="18"/>
                <w:szCs w:val="18"/>
                <w:lang w:val="en-AU"/>
              </w:rPr>
            </w:pPr>
            <w:r w:rsidRPr="0001527B">
              <w:rPr>
                <w:rFonts w:ascii="Arial Narrow" w:hAnsi="Arial Narrow"/>
                <w:sz w:val="18"/>
                <w:szCs w:val="18"/>
                <w:lang w:val="en-AU"/>
              </w:rPr>
              <w:t>Those with a depressive episode</w:t>
            </w:r>
          </w:p>
        </w:tc>
        <w:tc>
          <w:tcPr>
            <w:tcW w:w="850" w:type="dxa"/>
            <w:tcMar>
              <w:left w:w="28" w:type="dxa"/>
              <w:right w:w="28" w:type="dxa"/>
            </w:tcMar>
            <w:vAlign w:val="center"/>
          </w:tcPr>
          <w:p w14:paraId="073E8EB0"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Ax4.1%</w:t>
            </w:r>
          </w:p>
        </w:tc>
        <w:tc>
          <w:tcPr>
            <w:tcW w:w="907" w:type="dxa"/>
            <w:tcMar>
              <w:left w:w="28" w:type="dxa"/>
              <w:right w:w="28" w:type="dxa"/>
            </w:tcMar>
            <w:vAlign w:val="center"/>
          </w:tcPr>
          <w:p w14:paraId="05F4B3E8"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743,960</w:t>
            </w:r>
          </w:p>
        </w:tc>
        <w:tc>
          <w:tcPr>
            <w:tcW w:w="907" w:type="dxa"/>
            <w:tcMar>
              <w:left w:w="28" w:type="dxa"/>
              <w:right w:w="28" w:type="dxa"/>
            </w:tcMar>
            <w:vAlign w:val="center"/>
          </w:tcPr>
          <w:p w14:paraId="17A68714"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756,883</w:t>
            </w:r>
          </w:p>
        </w:tc>
        <w:tc>
          <w:tcPr>
            <w:tcW w:w="907" w:type="dxa"/>
            <w:tcMar>
              <w:left w:w="28" w:type="dxa"/>
              <w:right w:w="28" w:type="dxa"/>
            </w:tcMar>
            <w:vAlign w:val="center"/>
          </w:tcPr>
          <w:p w14:paraId="6A98BBCA"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769,887</w:t>
            </w:r>
          </w:p>
        </w:tc>
        <w:tc>
          <w:tcPr>
            <w:tcW w:w="907" w:type="dxa"/>
            <w:tcMar>
              <w:left w:w="28" w:type="dxa"/>
              <w:right w:w="28" w:type="dxa"/>
            </w:tcMar>
            <w:vAlign w:val="center"/>
          </w:tcPr>
          <w:p w14:paraId="00693710"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782,941</w:t>
            </w:r>
          </w:p>
        </w:tc>
        <w:tc>
          <w:tcPr>
            <w:tcW w:w="908" w:type="dxa"/>
            <w:tcMar>
              <w:left w:w="28" w:type="dxa"/>
              <w:right w:w="28" w:type="dxa"/>
            </w:tcMar>
            <w:vAlign w:val="center"/>
          </w:tcPr>
          <w:p w14:paraId="5F720BE5"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795,895</w:t>
            </w:r>
          </w:p>
        </w:tc>
      </w:tr>
      <w:tr w:rsidR="0001527B" w:rsidRPr="0001527B" w14:paraId="5CD543AF" w14:textId="77777777" w:rsidTr="002A4213">
        <w:tc>
          <w:tcPr>
            <w:tcW w:w="255" w:type="dxa"/>
            <w:tcMar>
              <w:left w:w="28" w:type="dxa"/>
              <w:right w:w="28" w:type="dxa"/>
            </w:tcMar>
            <w:vAlign w:val="center"/>
          </w:tcPr>
          <w:p w14:paraId="55C8D79B" w14:textId="77777777" w:rsidR="004A4B27" w:rsidRPr="0001527B" w:rsidRDefault="004A4B27" w:rsidP="004E72DC">
            <w:pPr>
              <w:pStyle w:val="Tabletext1"/>
              <w:keepNext/>
              <w:widowControl/>
              <w:spacing w:before="40" w:after="40" w:line="240" w:lineRule="auto"/>
              <w:rPr>
                <w:rFonts w:ascii="Arial Narrow" w:hAnsi="Arial Narrow"/>
                <w:sz w:val="18"/>
                <w:szCs w:val="18"/>
                <w:lang w:val="en-AU"/>
              </w:rPr>
            </w:pPr>
            <w:r w:rsidRPr="0001527B">
              <w:rPr>
                <w:rFonts w:ascii="Arial Narrow" w:hAnsi="Arial Narrow"/>
                <w:sz w:val="18"/>
                <w:szCs w:val="18"/>
                <w:lang w:val="en-AU"/>
              </w:rPr>
              <w:t>C</w:t>
            </w:r>
          </w:p>
        </w:tc>
        <w:tc>
          <w:tcPr>
            <w:tcW w:w="2693" w:type="dxa"/>
            <w:tcMar>
              <w:left w:w="28" w:type="dxa"/>
              <w:right w:w="28" w:type="dxa"/>
            </w:tcMar>
            <w:vAlign w:val="center"/>
          </w:tcPr>
          <w:p w14:paraId="15044182" w14:textId="77777777" w:rsidR="004A4B27" w:rsidRPr="0001527B" w:rsidRDefault="004A4B27" w:rsidP="004E72DC">
            <w:pPr>
              <w:pStyle w:val="Tabletext1"/>
              <w:keepNext/>
              <w:widowControl/>
              <w:spacing w:before="40" w:after="40" w:line="240" w:lineRule="auto"/>
              <w:rPr>
                <w:rFonts w:ascii="Arial Narrow" w:hAnsi="Arial Narrow"/>
                <w:sz w:val="18"/>
                <w:szCs w:val="18"/>
                <w:lang w:val="en-AU"/>
              </w:rPr>
            </w:pPr>
            <w:r w:rsidRPr="0001527B">
              <w:rPr>
                <w:rFonts w:ascii="Arial Narrow" w:hAnsi="Arial Narrow"/>
                <w:sz w:val="18"/>
                <w:szCs w:val="18"/>
                <w:lang w:val="en-AU"/>
              </w:rPr>
              <w:t xml:space="preserve">Estimate of population </w:t>
            </w:r>
            <w:r w:rsidR="0003110A" w:rsidRPr="0001527B">
              <w:rPr>
                <w:rFonts w:ascii="Arial Narrow" w:hAnsi="Arial Narrow"/>
                <w:sz w:val="18"/>
                <w:szCs w:val="18"/>
                <w:lang w:val="en-AU"/>
              </w:rPr>
              <w:t>with TRD</w:t>
            </w:r>
            <w:r w:rsidRPr="0001527B">
              <w:rPr>
                <w:rFonts w:ascii="Arial Narrow" w:hAnsi="Arial Narrow"/>
                <w:sz w:val="18"/>
                <w:szCs w:val="18"/>
                <w:lang w:val="en-AU"/>
              </w:rPr>
              <w:t xml:space="preserve"> </w:t>
            </w:r>
          </w:p>
        </w:tc>
        <w:tc>
          <w:tcPr>
            <w:tcW w:w="850" w:type="dxa"/>
            <w:tcMar>
              <w:left w:w="28" w:type="dxa"/>
              <w:right w:w="28" w:type="dxa"/>
            </w:tcMar>
            <w:vAlign w:val="center"/>
          </w:tcPr>
          <w:p w14:paraId="5F51D6CA" w14:textId="77777777" w:rsidR="004A4B27" w:rsidRPr="0001527B" w:rsidRDefault="004A4B27"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Bx43.9%</w:t>
            </w:r>
          </w:p>
        </w:tc>
        <w:tc>
          <w:tcPr>
            <w:tcW w:w="907" w:type="dxa"/>
            <w:tcMar>
              <w:left w:w="28" w:type="dxa"/>
              <w:right w:w="28" w:type="dxa"/>
            </w:tcMar>
            <w:vAlign w:val="center"/>
          </w:tcPr>
          <w:p w14:paraId="61A9F6EC" w14:textId="77777777" w:rsidR="004A4B27" w:rsidRPr="0001527B" w:rsidRDefault="003F4D65"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326,598</w:t>
            </w:r>
          </w:p>
        </w:tc>
        <w:tc>
          <w:tcPr>
            <w:tcW w:w="907" w:type="dxa"/>
            <w:tcMar>
              <w:left w:w="28" w:type="dxa"/>
              <w:right w:w="28" w:type="dxa"/>
            </w:tcMar>
            <w:vAlign w:val="center"/>
          </w:tcPr>
          <w:p w14:paraId="50729905" w14:textId="77777777" w:rsidR="004A4B27" w:rsidRPr="0001527B" w:rsidRDefault="003F4D65"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332,272</w:t>
            </w:r>
          </w:p>
        </w:tc>
        <w:tc>
          <w:tcPr>
            <w:tcW w:w="907" w:type="dxa"/>
            <w:tcMar>
              <w:left w:w="28" w:type="dxa"/>
              <w:right w:w="28" w:type="dxa"/>
            </w:tcMar>
            <w:vAlign w:val="center"/>
          </w:tcPr>
          <w:p w14:paraId="57653420" w14:textId="77777777" w:rsidR="004A4B27" w:rsidRPr="0001527B" w:rsidRDefault="003F4D65"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337,980</w:t>
            </w:r>
          </w:p>
        </w:tc>
        <w:tc>
          <w:tcPr>
            <w:tcW w:w="907" w:type="dxa"/>
            <w:tcMar>
              <w:left w:w="28" w:type="dxa"/>
              <w:right w:w="28" w:type="dxa"/>
            </w:tcMar>
            <w:vAlign w:val="center"/>
          </w:tcPr>
          <w:p w14:paraId="608D8B43" w14:textId="77777777" w:rsidR="004A4B27" w:rsidRPr="0001527B" w:rsidRDefault="003F4D65"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343,711</w:t>
            </w:r>
          </w:p>
        </w:tc>
        <w:tc>
          <w:tcPr>
            <w:tcW w:w="908" w:type="dxa"/>
            <w:tcMar>
              <w:left w:w="28" w:type="dxa"/>
              <w:right w:w="28" w:type="dxa"/>
            </w:tcMar>
            <w:vAlign w:val="center"/>
          </w:tcPr>
          <w:p w14:paraId="312468CD" w14:textId="77777777" w:rsidR="004A4B27" w:rsidRPr="0001527B" w:rsidRDefault="003F4D65" w:rsidP="004E72DC">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349,398</w:t>
            </w:r>
          </w:p>
        </w:tc>
      </w:tr>
    </w:tbl>
    <w:p w14:paraId="7C9267CA" w14:textId="77777777" w:rsidR="00C22519" w:rsidRDefault="00AD34E3" w:rsidP="004E72DC">
      <w:pPr>
        <w:keepNext/>
        <w:spacing w:before="40" w:after="40"/>
        <w:rPr>
          <w:rFonts w:ascii="Arial Narrow" w:hAnsi="Arial Narrow"/>
          <w:sz w:val="18"/>
          <w:szCs w:val="18"/>
        </w:rPr>
      </w:pPr>
      <w:r w:rsidRPr="007866E8">
        <w:rPr>
          <w:rFonts w:ascii="Arial Narrow" w:hAnsi="Arial Narrow"/>
          <w:sz w:val="18"/>
          <w:szCs w:val="18"/>
        </w:rPr>
        <w:t>Source: Excel spreadsheet</w:t>
      </w:r>
      <w:r w:rsidR="00C23026" w:rsidRPr="007866E8">
        <w:rPr>
          <w:rFonts w:ascii="Arial Narrow" w:hAnsi="Arial Narrow"/>
          <w:sz w:val="18"/>
          <w:szCs w:val="18"/>
        </w:rPr>
        <w:t xml:space="preserve"> (rTMS Section E.xls</w:t>
      </w:r>
      <w:proofErr w:type="gramStart"/>
      <w:r w:rsidR="00C23026" w:rsidRPr="007866E8">
        <w:rPr>
          <w:rFonts w:ascii="Arial Narrow" w:hAnsi="Arial Narrow"/>
          <w:sz w:val="18"/>
          <w:szCs w:val="18"/>
        </w:rPr>
        <w:t>)</w:t>
      </w:r>
      <w:proofErr w:type="gramEnd"/>
      <w:r w:rsidRPr="007866E8">
        <w:rPr>
          <w:rFonts w:ascii="Arial Narrow" w:hAnsi="Arial Narrow"/>
          <w:sz w:val="18"/>
          <w:szCs w:val="18"/>
        </w:rPr>
        <w:br/>
      </w:r>
      <w:r w:rsidR="005E00ED" w:rsidRPr="007866E8">
        <w:rPr>
          <w:rFonts w:ascii="Arial Narrow" w:hAnsi="Arial Narrow"/>
          <w:sz w:val="18"/>
          <w:szCs w:val="18"/>
        </w:rPr>
        <w:t xml:space="preserve">ABS = Australian Bureau of Statistics; </w:t>
      </w:r>
      <w:r w:rsidRPr="007866E8">
        <w:rPr>
          <w:rFonts w:ascii="Arial Narrow" w:hAnsi="Arial Narrow"/>
          <w:sz w:val="18"/>
          <w:szCs w:val="18"/>
        </w:rPr>
        <w:t>rTMS = repetitive Transcranial Magnetic Stimu</w:t>
      </w:r>
      <w:r w:rsidR="00E04965" w:rsidRPr="007866E8">
        <w:rPr>
          <w:rFonts w:ascii="Arial Narrow" w:hAnsi="Arial Narrow"/>
          <w:sz w:val="18"/>
          <w:szCs w:val="18"/>
        </w:rPr>
        <w:t>l</w:t>
      </w:r>
      <w:r w:rsidRPr="007866E8">
        <w:rPr>
          <w:rFonts w:ascii="Arial Narrow" w:hAnsi="Arial Narrow"/>
          <w:sz w:val="18"/>
          <w:szCs w:val="18"/>
        </w:rPr>
        <w:t>ation</w:t>
      </w:r>
      <w:r w:rsidR="0003110A" w:rsidRPr="007866E8">
        <w:rPr>
          <w:rFonts w:ascii="Arial Narrow" w:hAnsi="Arial Narrow"/>
          <w:sz w:val="18"/>
          <w:szCs w:val="18"/>
        </w:rPr>
        <w:t>; TRD = treatment resistant depression</w:t>
      </w:r>
    </w:p>
    <w:p w14:paraId="17A49AB5" w14:textId="77777777" w:rsidR="002A4213" w:rsidRPr="007866E8" w:rsidRDefault="002A4213" w:rsidP="002A4213"/>
    <w:p w14:paraId="20CFE201" w14:textId="77777777" w:rsidR="00651B97" w:rsidRDefault="008C7D14" w:rsidP="005E00ED">
      <w:pPr>
        <w:jc w:val="both"/>
      </w:pPr>
      <w:r>
        <w:t>Over the next five years it is predicted</w:t>
      </w:r>
      <w:r w:rsidR="00E04965">
        <w:t xml:space="preserve"> </w:t>
      </w:r>
      <w:r w:rsidR="00EA693B">
        <w:t>that</w:t>
      </w:r>
      <w:r w:rsidR="0085767E">
        <w:t xml:space="preserve"> approximately </w:t>
      </w:r>
      <w:r w:rsidR="003F4D65">
        <w:t xml:space="preserve">340,000 </w:t>
      </w:r>
      <w:r w:rsidR="0085767E">
        <w:t xml:space="preserve">patients per year </w:t>
      </w:r>
      <w:r w:rsidR="00E04965">
        <w:t xml:space="preserve">will </w:t>
      </w:r>
      <w:r w:rsidR="003F4D65">
        <w:t>suffer from</w:t>
      </w:r>
      <w:r w:rsidR="0085767E">
        <w:t xml:space="preserve"> </w:t>
      </w:r>
      <w:r w:rsidR="00651B97">
        <w:t>treatment-resistant depression, making them eligible for rTMS therapy.</w:t>
      </w:r>
    </w:p>
    <w:p w14:paraId="3329A731" w14:textId="77777777" w:rsidR="006C19DA" w:rsidRDefault="006C19DA" w:rsidP="0001527B">
      <w:pPr>
        <w:pStyle w:val="Heading5"/>
      </w:pPr>
    </w:p>
    <w:p w14:paraId="621E0871" w14:textId="77777777" w:rsidR="0085767E" w:rsidRPr="00147CDA" w:rsidRDefault="0085767E" w:rsidP="0001527B">
      <w:pPr>
        <w:pStyle w:val="Heading5"/>
      </w:pPr>
      <w:r w:rsidRPr="00147CDA">
        <w:t>Expected uptake among eligible patients</w:t>
      </w:r>
    </w:p>
    <w:p w14:paraId="3536CD37" w14:textId="3375C671" w:rsidR="00A02A09" w:rsidRPr="001F17C0" w:rsidRDefault="00651B97" w:rsidP="0001527B">
      <w:pPr>
        <w:jc w:val="both"/>
        <w:rPr>
          <w:rFonts w:cs="Garamond"/>
          <w:szCs w:val="24"/>
        </w:rPr>
      </w:pPr>
      <w:r>
        <w:t xml:space="preserve">Whilst most eligible patients will opt for third- and subsequent-line medications and/or psychological therapies, it is expected that, at least initially, approximately 0.56% will opt </w:t>
      </w:r>
      <w:r w:rsidRPr="001F17C0">
        <w:rPr>
          <w:rFonts w:cs="Garamond"/>
          <w:szCs w:val="24"/>
        </w:rPr>
        <w:t>for rTMS</w:t>
      </w:r>
      <w:r w:rsidR="00BF4270" w:rsidRPr="001F17C0">
        <w:rPr>
          <w:rFonts w:cs="Garamond"/>
          <w:szCs w:val="24"/>
        </w:rPr>
        <w:t xml:space="preserve"> (see </w:t>
      </w:r>
      <w:r w:rsidR="001F17C0" w:rsidRPr="001F17C0">
        <w:rPr>
          <w:rFonts w:cs="Garamond"/>
          <w:szCs w:val="24"/>
        </w:rPr>
        <w:fldChar w:fldCharType="begin"/>
      </w:r>
      <w:r w:rsidR="001F17C0" w:rsidRPr="001F17C0">
        <w:rPr>
          <w:rFonts w:cs="Garamond"/>
          <w:szCs w:val="24"/>
        </w:rPr>
        <w:instrText xml:space="preserve"> REF _Ref386103424 \h </w:instrText>
      </w:r>
      <w:r w:rsidR="001F17C0">
        <w:rPr>
          <w:rFonts w:cs="Garamond"/>
          <w:szCs w:val="24"/>
        </w:rPr>
        <w:instrText xml:space="preserve"> \* MERGEFORMAT </w:instrText>
      </w:r>
      <w:r w:rsidR="001F17C0" w:rsidRPr="001F17C0">
        <w:rPr>
          <w:rFonts w:cs="Garamond"/>
          <w:szCs w:val="24"/>
        </w:rPr>
      </w:r>
      <w:r w:rsidR="001F17C0" w:rsidRPr="001F17C0">
        <w:rPr>
          <w:rFonts w:cs="Garamond"/>
          <w:szCs w:val="24"/>
        </w:rPr>
        <w:fldChar w:fldCharType="separate"/>
      </w:r>
      <w:proofErr w:type="gramStart"/>
      <w:r w:rsidR="004C1C27" w:rsidRPr="004C1C27">
        <w:rPr>
          <w:rFonts w:cs="Garamond"/>
          <w:szCs w:val="24"/>
        </w:rPr>
        <w:t xml:space="preserve">Table </w:t>
      </w:r>
      <w:proofErr w:type="gramEnd"/>
      <w:r w:rsidR="001F17C0" w:rsidRPr="001F17C0">
        <w:rPr>
          <w:rFonts w:cs="Garamond"/>
          <w:szCs w:val="24"/>
        </w:rPr>
        <w:fldChar w:fldCharType="end"/>
      </w:r>
      <w:r w:rsidR="00BF4270" w:rsidRPr="001F17C0">
        <w:rPr>
          <w:rFonts w:cs="Garamond"/>
          <w:szCs w:val="24"/>
        </w:rPr>
        <w:t>)</w:t>
      </w:r>
      <w:r w:rsidR="0001527B" w:rsidRPr="001F17C0">
        <w:rPr>
          <w:rFonts w:cs="Garamond"/>
          <w:szCs w:val="24"/>
        </w:rPr>
        <w:t>.</w:t>
      </w:r>
    </w:p>
    <w:p w14:paraId="126B7B9E" w14:textId="552BAACA" w:rsidR="00DD45E2" w:rsidRPr="006839C4" w:rsidRDefault="0001527B" w:rsidP="006258B7">
      <w:pPr>
        <w:pStyle w:val="TableName"/>
      </w:pPr>
      <w:bookmarkStart w:id="177" w:name="_Ref386103424"/>
      <w:bookmarkStart w:id="178" w:name="_Toc389143594"/>
      <w:r w:rsidRPr="007F787A">
        <w:lastRenderedPageBreak/>
        <w:t xml:space="preserve">Table </w:t>
      </w:r>
      <w:bookmarkEnd w:id="177"/>
      <w:r w:rsidR="006C19DA">
        <w:t>20</w:t>
      </w:r>
      <w:r w:rsidRPr="007F787A">
        <w:t xml:space="preserve">: </w:t>
      </w:r>
      <w:r w:rsidR="00DD45E2" w:rsidRPr="006839C4">
        <w:t xml:space="preserve">Estimated </w:t>
      </w:r>
      <w:r w:rsidR="00301E91" w:rsidRPr="006839C4">
        <w:t xml:space="preserve">use of </w:t>
      </w:r>
      <w:r w:rsidR="00DD45E2" w:rsidRPr="006839C4">
        <w:t>rTMS among eligible patients</w:t>
      </w:r>
      <w:bookmarkEnd w:id="178"/>
    </w:p>
    <w:tbl>
      <w:tblPr>
        <w:tblW w:w="8363"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Caption w:val="Estimated use of rTMS "/>
      </w:tblPr>
      <w:tblGrid>
        <w:gridCol w:w="284"/>
        <w:gridCol w:w="2551"/>
        <w:gridCol w:w="851"/>
        <w:gridCol w:w="935"/>
        <w:gridCol w:w="935"/>
        <w:gridCol w:w="936"/>
        <w:gridCol w:w="935"/>
        <w:gridCol w:w="936"/>
      </w:tblGrid>
      <w:tr w:rsidR="00831BA3" w:rsidRPr="0001527B" w14:paraId="322D923C" w14:textId="77777777" w:rsidTr="002A4213">
        <w:trPr>
          <w:cantSplit/>
        </w:trPr>
        <w:tc>
          <w:tcPr>
            <w:tcW w:w="2835" w:type="dxa"/>
            <w:gridSpan w:val="2"/>
            <w:tcMar>
              <w:left w:w="28" w:type="dxa"/>
              <w:right w:w="28" w:type="dxa"/>
            </w:tcMar>
            <w:vAlign w:val="center"/>
          </w:tcPr>
          <w:p w14:paraId="40721E8F" w14:textId="77777777" w:rsidR="00831BA3" w:rsidRPr="0001527B" w:rsidRDefault="00831BA3" w:rsidP="002A4213">
            <w:pPr>
              <w:pStyle w:val="Tabletext1"/>
              <w:keepNext/>
              <w:widowControl/>
              <w:spacing w:before="40" w:after="40" w:line="240" w:lineRule="auto"/>
              <w:rPr>
                <w:rFonts w:ascii="Arial Narrow" w:hAnsi="Arial Narrow"/>
                <w:sz w:val="18"/>
                <w:szCs w:val="18"/>
                <w:lang w:val="en-AU"/>
              </w:rPr>
            </w:pPr>
          </w:p>
        </w:tc>
        <w:tc>
          <w:tcPr>
            <w:tcW w:w="851" w:type="dxa"/>
            <w:tcMar>
              <w:left w:w="28" w:type="dxa"/>
              <w:right w:w="28" w:type="dxa"/>
            </w:tcMar>
            <w:vAlign w:val="center"/>
          </w:tcPr>
          <w:p w14:paraId="750B3CB2" w14:textId="77777777" w:rsidR="00831BA3" w:rsidRPr="0001527B"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Method</w:t>
            </w:r>
          </w:p>
        </w:tc>
        <w:tc>
          <w:tcPr>
            <w:tcW w:w="935" w:type="dxa"/>
            <w:tcMar>
              <w:left w:w="28" w:type="dxa"/>
              <w:right w:w="28" w:type="dxa"/>
            </w:tcMar>
            <w:vAlign w:val="center"/>
          </w:tcPr>
          <w:p w14:paraId="4B247652" w14:textId="77777777" w:rsidR="007F6AB1"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 xml:space="preserve">Year 1 </w:t>
            </w:r>
          </w:p>
          <w:p w14:paraId="50DBF2CB" w14:textId="77777777" w:rsidR="00831BA3" w:rsidRPr="0001527B"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2015</w:t>
            </w:r>
          </w:p>
        </w:tc>
        <w:tc>
          <w:tcPr>
            <w:tcW w:w="935" w:type="dxa"/>
            <w:tcMar>
              <w:left w:w="28" w:type="dxa"/>
              <w:right w:w="28" w:type="dxa"/>
            </w:tcMar>
            <w:vAlign w:val="center"/>
          </w:tcPr>
          <w:p w14:paraId="20FE28C5" w14:textId="77777777" w:rsidR="00831BA3"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Year 2</w:t>
            </w:r>
          </w:p>
          <w:p w14:paraId="516ECAEF" w14:textId="77777777" w:rsidR="00831BA3" w:rsidRPr="0001527B"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2016</w:t>
            </w:r>
          </w:p>
        </w:tc>
        <w:tc>
          <w:tcPr>
            <w:tcW w:w="936" w:type="dxa"/>
            <w:tcMar>
              <w:left w:w="28" w:type="dxa"/>
              <w:right w:w="28" w:type="dxa"/>
            </w:tcMar>
            <w:vAlign w:val="center"/>
          </w:tcPr>
          <w:p w14:paraId="226C0399" w14:textId="77777777" w:rsidR="00831BA3" w:rsidRPr="0001527B"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Year 3</w:t>
            </w:r>
          </w:p>
          <w:p w14:paraId="24D2D714" w14:textId="77777777" w:rsidR="00831BA3" w:rsidRPr="0001527B"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2017</w:t>
            </w:r>
          </w:p>
        </w:tc>
        <w:tc>
          <w:tcPr>
            <w:tcW w:w="935" w:type="dxa"/>
            <w:tcMar>
              <w:left w:w="28" w:type="dxa"/>
              <w:right w:w="28" w:type="dxa"/>
            </w:tcMar>
            <w:vAlign w:val="center"/>
          </w:tcPr>
          <w:p w14:paraId="4791F394" w14:textId="77777777" w:rsidR="00831BA3" w:rsidRPr="0001527B"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 xml:space="preserve">Year 4 </w:t>
            </w:r>
          </w:p>
          <w:p w14:paraId="453A6263" w14:textId="77777777" w:rsidR="00831BA3" w:rsidRPr="0001527B"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2018</w:t>
            </w:r>
          </w:p>
        </w:tc>
        <w:tc>
          <w:tcPr>
            <w:tcW w:w="936" w:type="dxa"/>
            <w:tcMar>
              <w:left w:w="28" w:type="dxa"/>
              <w:right w:w="28" w:type="dxa"/>
            </w:tcMar>
            <w:vAlign w:val="center"/>
          </w:tcPr>
          <w:p w14:paraId="6BDD3FD6" w14:textId="77777777" w:rsidR="00831BA3" w:rsidRPr="0001527B"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Year 5</w:t>
            </w:r>
          </w:p>
          <w:p w14:paraId="21E6E6B6" w14:textId="77777777" w:rsidR="00831BA3" w:rsidRPr="0001527B" w:rsidRDefault="00831BA3" w:rsidP="002A4213">
            <w:pPr>
              <w:pStyle w:val="Tabletext1"/>
              <w:keepNext/>
              <w:widowControl/>
              <w:spacing w:before="40" w:after="40" w:line="240" w:lineRule="auto"/>
              <w:jc w:val="center"/>
              <w:rPr>
                <w:rFonts w:ascii="Arial Narrow" w:hAnsi="Arial Narrow"/>
                <w:b/>
                <w:sz w:val="18"/>
                <w:szCs w:val="18"/>
                <w:lang w:val="en-AU"/>
              </w:rPr>
            </w:pPr>
            <w:r w:rsidRPr="0001527B">
              <w:rPr>
                <w:rFonts w:ascii="Arial Narrow" w:hAnsi="Arial Narrow"/>
                <w:b/>
                <w:sz w:val="18"/>
                <w:szCs w:val="18"/>
                <w:lang w:val="en-AU"/>
              </w:rPr>
              <w:t>2019</w:t>
            </w:r>
          </w:p>
        </w:tc>
      </w:tr>
      <w:tr w:rsidR="003F4D65" w:rsidRPr="0001527B" w14:paraId="784F3566" w14:textId="77777777" w:rsidTr="002A4213">
        <w:trPr>
          <w:cantSplit/>
        </w:trPr>
        <w:tc>
          <w:tcPr>
            <w:tcW w:w="284" w:type="dxa"/>
            <w:tcMar>
              <w:left w:w="28" w:type="dxa"/>
              <w:right w:w="28" w:type="dxa"/>
            </w:tcMar>
            <w:vAlign w:val="center"/>
          </w:tcPr>
          <w:p w14:paraId="194FD187" w14:textId="77777777" w:rsidR="003F4D65" w:rsidRPr="0001527B" w:rsidRDefault="003F4D65" w:rsidP="002A4213">
            <w:pPr>
              <w:pStyle w:val="Tabletext1"/>
              <w:keepNext/>
              <w:widowControl/>
              <w:spacing w:before="40" w:after="40" w:line="240" w:lineRule="auto"/>
              <w:rPr>
                <w:rFonts w:ascii="Arial Narrow" w:hAnsi="Arial Narrow"/>
                <w:sz w:val="18"/>
                <w:szCs w:val="18"/>
                <w:lang w:val="en-AU"/>
              </w:rPr>
            </w:pPr>
            <w:r w:rsidRPr="0001527B">
              <w:rPr>
                <w:rFonts w:ascii="Arial Narrow" w:hAnsi="Arial Narrow"/>
                <w:sz w:val="18"/>
                <w:szCs w:val="18"/>
                <w:lang w:val="en-AU"/>
              </w:rPr>
              <w:t>C</w:t>
            </w:r>
          </w:p>
        </w:tc>
        <w:tc>
          <w:tcPr>
            <w:tcW w:w="2551" w:type="dxa"/>
            <w:tcMar>
              <w:left w:w="28" w:type="dxa"/>
              <w:right w:w="28" w:type="dxa"/>
            </w:tcMar>
            <w:vAlign w:val="center"/>
          </w:tcPr>
          <w:p w14:paraId="2625F7B2" w14:textId="77777777" w:rsidR="003F4D65" w:rsidRPr="0001527B" w:rsidRDefault="003F4D65" w:rsidP="002A4213">
            <w:pPr>
              <w:pStyle w:val="Tabletext1"/>
              <w:keepNext/>
              <w:widowControl/>
              <w:spacing w:before="40" w:after="40" w:line="240" w:lineRule="auto"/>
              <w:rPr>
                <w:rFonts w:ascii="Arial Narrow" w:hAnsi="Arial Narrow"/>
                <w:sz w:val="18"/>
                <w:szCs w:val="18"/>
                <w:lang w:val="en-AU"/>
              </w:rPr>
            </w:pPr>
            <w:r w:rsidRPr="0001527B">
              <w:rPr>
                <w:rFonts w:ascii="Arial Narrow" w:hAnsi="Arial Narrow"/>
                <w:sz w:val="18"/>
                <w:szCs w:val="18"/>
                <w:lang w:val="en-AU"/>
              </w:rPr>
              <w:t>Estimate of patients eligible for rTMS</w:t>
            </w:r>
          </w:p>
        </w:tc>
        <w:tc>
          <w:tcPr>
            <w:tcW w:w="851" w:type="dxa"/>
            <w:tcMar>
              <w:left w:w="28" w:type="dxa"/>
              <w:right w:w="28" w:type="dxa"/>
            </w:tcMar>
            <w:vAlign w:val="center"/>
          </w:tcPr>
          <w:p w14:paraId="199C1E5D" w14:textId="77777777" w:rsidR="003F4D65" w:rsidRPr="00EC0A91" w:rsidRDefault="003F4D65" w:rsidP="002A4213">
            <w:pPr>
              <w:pStyle w:val="Tabletext1"/>
              <w:keepNext/>
              <w:widowControl/>
              <w:spacing w:before="40" w:after="40" w:line="240" w:lineRule="auto"/>
              <w:jc w:val="center"/>
              <w:rPr>
                <w:rFonts w:ascii="Arial Narrow" w:hAnsi="Arial Narrow"/>
                <w:sz w:val="18"/>
                <w:szCs w:val="18"/>
                <w:lang w:val="en-AU"/>
              </w:rPr>
            </w:pPr>
            <w:r w:rsidRPr="00EC0A91">
              <w:rPr>
                <w:rFonts w:ascii="Arial Narrow" w:hAnsi="Arial Narrow"/>
                <w:sz w:val="18"/>
                <w:szCs w:val="18"/>
                <w:lang w:val="en-AU"/>
              </w:rPr>
              <w:t>From above</w:t>
            </w:r>
          </w:p>
        </w:tc>
        <w:tc>
          <w:tcPr>
            <w:tcW w:w="935" w:type="dxa"/>
            <w:tcMar>
              <w:left w:w="28" w:type="dxa"/>
              <w:right w:w="28" w:type="dxa"/>
            </w:tcMar>
            <w:vAlign w:val="center"/>
          </w:tcPr>
          <w:p w14:paraId="1545A031" w14:textId="77777777" w:rsidR="003F4D65" w:rsidRPr="00EC0A91" w:rsidRDefault="003F4D65" w:rsidP="002A4213">
            <w:pPr>
              <w:pStyle w:val="Tabletext1"/>
              <w:keepNext/>
              <w:widowControl/>
              <w:spacing w:before="40" w:after="40" w:line="240" w:lineRule="auto"/>
              <w:jc w:val="center"/>
              <w:rPr>
                <w:rFonts w:ascii="Arial Narrow" w:hAnsi="Arial Narrow"/>
                <w:sz w:val="18"/>
                <w:szCs w:val="18"/>
                <w:lang w:val="en-AU"/>
              </w:rPr>
            </w:pPr>
            <w:r w:rsidRPr="00EC0A91">
              <w:rPr>
                <w:rFonts w:ascii="Arial Narrow" w:hAnsi="Arial Narrow"/>
                <w:sz w:val="18"/>
                <w:szCs w:val="18"/>
                <w:lang w:val="en-AU"/>
              </w:rPr>
              <w:t>326,598</w:t>
            </w:r>
          </w:p>
        </w:tc>
        <w:tc>
          <w:tcPr>
            <w:tcW w:w="935" w:type="dxa"/>
            <w:tcMar>
              <w:left w:w="28" w:type="dxa"/>
              <w:right w:w="28" w:type="dxa"/>
            </w:tcMar>
            <w:vAlign w:val="center"/>
          </w:tcPr>
          <w:p w14:paraId="2B1F3971" w14:textId="77777777" w:rsidR="003F4D65"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332,272</w:t>
            </w:r>
          </w:p>
        </w:tc>
        <w:tc>
          <w:tcPr>
            <w:tcW w:w="936" w:type="dxa"/>
            <w:tcMar>
              <w:left w:w="28" w:type="dxa"/>
              <w:right w:w="28" w:type="dxa"/>
            </w:tcMar>
            <w:vAlign w:val="center"/>
          </w:tcPr>
          <w:p w14:paraId="67EB5C05" w14:textId="77777777" w:rsidR="003F4D65"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337,980</w:t>
            </w:r>
          </w:p>
        </w:tc>
        <w:tc>
          <w:tcPr>
            <w:tcW w:w="935" w:type="dxa"/>
            <w:tcMar>
              <w:left w:w="28" w:type="dxa"/>
              <w:right w:w="28" w:type="dxa"/>
            </w:tcMar>
            <w:vAlign w:val="center"/>
          </w:tcPr>
          <w:p w14:paraId="4B361FF4" w14:textId="77777777" w:rsidR="003F4D65"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343,711</w:t>
            </w:r>
          </w:p>
        </w:tc>
        <w:tc>
          <w:tcPr>
            <w:tcW w:w="936" w:type="dxa"/>
            <w:tcMar>
              <w:left w:w="28" w:type="dxa"/>
              <w:right w:w="28" w:type="dxa"/>
            </w:tcMar>
            <w:vAlign w:val="center"/>
          </w:tcPr>
          <w:p w14:paraId="7674C24F" w14:textId="77777777" w:rsidR="003F4D65"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349,398</w:t>
            </w:r>
          </w:p>
        </w:tc>
      </w:tr>
      <w:tr w:rsidR="004A4B27" w:rsidRPr="0001527B" w14:paraId="04A55F4A" w14:textId="77777777" w:rsidTr="002A4213">
        <w:trPr>
          <w:cantSplit/>
        </w:trPr>
        <w:tc>
          <w:tcPr>
            <w:tcW w:w="284" w:type="dxa"/>
            <w:tcMar>
              <w:left w:w="28" w:type="dxa"/>
              <w:right w:w="28" w:type="dxa"/>
            </w:tcMar>
            <w:vAlign w:val="center"/>
          </w:tcPr>
          <w:p w14:paraId="11C08F0E" w14:textId="77777777" w:rsidR="004A4B27" w:rsidRPr="0001527B" w:rsidRDefault="004A4B27" w:rsidP="002A4213">
            <w:pPr>
              <w:pStyle w:val="Tabletext1"/>
              <w:keepNext/>
              <w:widowControl/>
              <w:spacing w:before="40" w:after="40" w:line="240" w:lineRule="auto"/>
              <w:rPr>
                <w:rFonts w:ascii="Arial Narrow" w:hAnsi="Arial Narrow"/>
                <w:sz w:val="18"/>
                <w:szCs w:val="18"/>
                <w:lang w:val="en-AU"/>
              </w:rPr>
            </w:pPr>
            <w:r w:rsidRPr="0001527B">
              <w:rPr>
                <w:rFonts w:ascii="Arial Narrow" w:hAnsi="Arial Narrow"/>
                <w:sz w:val="18"/>
                <w:szCs w:val="18"/>
                <w:lang w:val="en-AU"/>
              </w:rPr>
              <w:t>D</w:t>
            </w:r>
          </w:p>
        </w:tc>
        <w:tc>
          <w:tcPr>
            <w:tcW w:w="2551" w:type="dxa"/>
            <w:tcMar>
              <w:left w:w="28" w:type="dxa"/>
              <w:right w:w="28" w:type="dxa"/>
            </w:tcMar>
            <w:vAlign w:val="center"/>
          </w:tcPr>
          <w:p w14:paraId="233CCF73" w14:textId="77777777" w:rsidR="004A4B27" w:rsidRPr="0001527B" w:rsidRDefault="004A4B27" w:rsidP="002A4213">
            <w:pPr>
              <w:pStyle w:val="Tabletext1"/>
              <w:keepNext/>
              <w:widowControl/>
              <w:spacing w:before="40" w:after="40" w:line="240" w:lineRule="auto"/>
              <w:rPr>
                <w:rFonts w:ascii="Arial Narrow" w:hAnsi="Arial Narrow"/>
                <w:sz w:val="18"/>
                <w:szCs w:val="18"/>
                <w:lang w:val="en-AU"/>
              </w:rPr>
            </w:pPr>
            <w:r w:rsidRPr="0001527B">
              <w:rPr>
                <w:rFonts w:ascii="Arial Narrow" w:hAnsi="Arial Narrow"/>
                <w:sz w:val="18"/>
                <w:szCs w:val="18"/>
                <w:lang w:val="en-AU"/>
              </w:rPr>
              <w:t xml:space="preserve">Expected </w:t>
            </w:r>
            <w:r w:rsidR="00C43FDB" w:rsidRPr="0001527B">
              <w:rPr>
                <w:rFonts w:ascii="Arial Narrow" w:hAnsi="Arial Narrow"/>
                <w:sz w:val="18"/>
                <w:szCs w:val="18"/>
                <w:lang w:val="en-AU"/>
              </w:rPr>
              <w:t>number of rTMS patients</w:t>
            </w:r>
            <w:r w:rsidRPr="0001527B">
              <w:rPr>
                <w:rFonts w:ascii="Arial Narrow" w:hAnsi="Arial Narrow"/>
                <w:sz w:val="18"/>
                <w:szCs w:val="18"/>
                <w:lang w:val="en-AU"/>
              </w:rPr>
              <w:t xml:space="preserve"> </w:t>
            </w:r>
          </w:p>
        </w:tc>
        <w:tc>
          <w:tcPr>
            <w:tcW w:w="851" w:type="dxa"/>
            <w:tcMar>
              <w:left w:w="28" w:type="dxa"/>
              <w:right w:w="28" w:type="dxa"/>
            </w:tcMar>
            <w:vAlign w:val="center"/>
          </w:tcPr>
          <w:p w14:paraId="6EEF2D91" w14:textId="77777777" w:rsidR="004A4B27" w:rsidRPr="0001527B" w:rsidRDefault="004A4B27"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Cx0.56%</w:t>
            </w:r>
          </w:p>
        </w:tc>
        <w:tc>
          <w:tcPr>
            <w:tcW w:w="935" w:type="dxa"/>
            <w:tcMar>
              <w:left w:w="28" w:type="dxa"/>
              <w:right w:w="28" w:type="dxa"/>
            </w:tcMar>
            <w:vAlign w:val="center"/>
          </w:tcPr>
          <w:p w14:paraId="68B3F5C1" w14:textId="77777777" w:rsidR="004A4B27"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1,829</w:t>
            </w:r>
          </w:p>
        </w:tc>
        <w:tc>
          <w:tcPr>
            <w:tcW w:w="935" w:type="dxa"/>
            <w:tcMar>
              <w:left w:w="28" w:type="dxa"/>
              <w:right w:w="28" w:type="dxa"/>
            </w:tcMar>
            <w:vAlign w:val="center"/>
          </w:tcPr>
          <w:p w14:paraId="5AE7E479" w14:textId="77777777" w:rsidR="004A4B27"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1,861</w:t>
            </w:r>
          </w:p>
        </w:tc>
        <w:tc>
          <w:tcPr>
            <w:tcW w:w="936" w:type="dxa"/>
            <w:tcMar>
              <w:left w:w="28" w:type="dxa"/>
              <w:right w:w="28" w:type="dxa"/>
            </w:tcMar>
            <w:vAlign w:val="center"/>
          </w:tcPr>
          <w:p w14:paraId="0D34DD5D" w14:textId="77777777" w:rsidR="004A4B27"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1,893</w:t>
            </w:r>
          </w:p>
        </w:tc>
        <w:tc>
          <w:tcPr>
            <w:tcW w:w="935" w:type="dxa"/>
            <w:tcMar>
              <w:left w:w="28" w:type="dxa"/>
              <w:right w:w="28" w:type="dxa"/>
            </w:tcMar>
            <w:vAlign w:val="center"/>
          </w:tcPr>
          <w:p w14:paraId="401CDF60" w14:textId="77777777" w:rsidR="004A4B27"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1,925</w:t>
            </w:r>
          </w:p>
        </w:tc>
        <w:tc>
          <w:tcPr>
            <w:tcW w:w="936" w:type="dxa"/>
            <w:tcMar>
              <w:left w:w="28" w:type="dxa"/>
              <w:right w:w="28" w:type="dxa"/>
            </w:tcMar>
            <w:vAlign w:val="center"/>
          </w:tcPr>
          <w:p w14:paraId="2EB22E42" w14:textId="77777777" w:rsidR="004A4B27"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1,957</w:t>
            </w:r>
          </w:p>
        </w:tc>
      </w:tr>
    </w:tbl>
    <w:p w14:paraId="57454E08" w14:textId="77777777" w:rsidR="00651B97" w:rsidRPr="0001527B" w:rsidRDefault="00DD45E2" w:rsidP="002A4213">
      <w:pPr>
        <w:keepNext/>
        <w:spacing w:before="40" w:after="40"/>
        <w:rPr>
          <w:rFonts w:ascii="Arial Narrow" w:hAnsi="Arial Narrow" w:cs="Arial"/>
          <w:sz w:val="18"/>
          <w:szCs w:val="18"/>
        </w:rPr>
      </w:pPr>
      <w:r w:rsidRPr="0001527B">
        <w:rPr>
          <w:rFonts w:ascii="Arial Narrow" w:hAnsi="Arial Narrow" w:cs="Arial"/>
          <w:sz w:val="18"/>
          <w:szCs w:val="18"/>
        </w:rPr>
        <w:t>Source: Excel spreadsheet</w:t>
      </w:r>
      <w:r w:rsidR="00C23026" w:rsidRPr="0001527B">
        <w:rPr>
          <w:rFonts w:ascii="Arial Narrow" w:hAnsi="Arial Narrow" w:cs="Arial"/>
          <w:sz w:val="18"/>
          <w:szCs w:val="18"/>
        </w:rPr>
        <w:t xml:space="preserve"> (rTMS Section E.xls)</w:t>
      </w:r>
    </w:p>
    <w:p w14:paraId="18CF72EF" w14:textId="77777777" w:rsidR="00DD45E2" w:rsidRDefault="00DD45E2" w:rsidP="002A4213">
      <w:pPr>
        <w:keepNext/>
        <w:spacing w:before="40" w:after="40"/>
        <w:rPr>
          <w:rFonts w:ascii="Arial Narrow" w:hAnsi="Arial Narrow" w:cs="Arial"/>
          <w:sz w:val="18"/>
          <w:szCs w:val="18"/>
        </w:rPr>
      </w:pPr>
      <w:proofErr w:type="gramStart"/>
      <w:r w:rsidRPr="0001527B">
        <w:rPr>
          <w:rFonts w:ascii="Arial Narrow" w:hAnsi="Arial Narrow" w:cs="Arial"/>
          <w:sz w:val="18"/>
          <w:szCs w:val="18"/>
        </w:rPr>
        <w:t>rTMS</w:t>
      </w:r>
      <w:proofErr w:type="gramEnd"/>
      <w:r w:rsidRPr="0001527B">
        <w:rPr>
          <w:rFonts w:ascii="Arial Narrow" w:hAnsi="Arial Narrow" w:cs="Arial"/>
          <w:sz w:val="18"/>
          <w:szCs w:val="18"/>
        </w:rPr>
        <w:t xml:space="preserve"> = repetitive Transcranial Magnetic Stimulation</w:t>
      </w:r>
    </w:p>
    <w:p w14:paraId="6978EF1F" w14:textId="77777777" w:rsidR="002A4213" w:rsidRPr="0001527B" w:rsidRDefault="002A4213" w:rsidP="002A4213"/>
    <w:p w14:paraId="5F7A7038" w14:textId="77777777" w:rsidR="00651B97" w:rsidRDefault="003E2E88" w:rsidP="005E00ED">
      <w:pPr>
        <w:jc w:val="both"/>
      </w:pPr>
      <w:r>
        <w:t>From the eligible population, i</w:t>
      </w:r>
      <w:r w:rsidR="00651B97">
        <w:t>t is e</w:t>
      </w:r>
      <w:r>
        <w:t>stimated</w:t>
      </w:r>
      <w:r w:rsidR="00651B97">
        <w:t xml:space="preserve"> that approximately </w:t>
      </w:r>
      <w:r w:rsidR="003F4D65">
        <w:t>1,830</w:t>
      </w:r>
      <w:r w:rsidR="00651B97">
        <w:t xml:space="preserve"> patients will </w:t>
      </w:r>
      <w:r w:rsidR="003023E7">
        <w:t xml:space="preserve">receive </w:t>
      </w:r>
      <w:r w:rsidR="00651B97">
        <w:t xml:space="preserve">rTMS in Year 1 of its availability. If this rate of uptake is maintained, </w:t>
      </w:r>
      <w:r w:rsidR="008C7D14">
        <w:t>an</w:t>
      </w:r>
      <w:r w:rsidR="00651B97">
        <w:t xml:space="preserve"> estimated </w:t>
      </w:r>
      <w:r w:rsidR="003F4D65">
        <w:t>1,957</w:t>
      </w:r>
      <w:r w:rsidR="00651B97">
        <w:t xml:space="preserve"> patients will use rTMS therapy in Year 5. </w:t>
      </w:r>
      <w:r w:rsidR="003F4D65">
        <w:t>These numbers seem appropriate when compared to the numbers of patients currently receiving ECT, as calculated above.</w:t>
      </w:r>
    </w:p>
    <w:p w14:paraId="77300D20" w14:textId="77777777" w:rsidR="00D23B67" w:rsidRPr="008474A0" w:rsidRDefault="00947B5A" w:rsidP="008474A0">
      <w:pPr>
        <w:ind w:left="1701"/>
        <w:rPr>
          <w:rFonts w:ascii="Tahoma" w:hAnsi="Tahoma" w:cs="Tahoma"/>
          <w:b/>
          <w:sz w:val="20"/>
        </w:rPr>
      </w:pPr>
      <w:r w:rsidRPr="008474A0">
        <w:rPr>
          <w:rFonts w:ascii="Tahoma" w:hAnsi="Tahoma" w:cs="Tahoma"/>
          <w:b/>
          <w:sz w:val="20"/>
        </w:rPr>
        <w:t>Adjustment for gradual uptake</w:t>
      </w:r>
    </w:p>
    <w:p w14:paraId="09747D57" w14:textId="2E3080A7" w:rsidR="00D23B67" w:rsidRDefault="00947B5A" w:rsidP="005E00ED">
      <w:pPr>
        <w:jc w:val="both"/>
      </w:pPr>
      <w:r>
        <w:t xml:space="preserve">The </w:t>
      </w:r>
      <w:r w:rsidR="00DD45E2">
        <w:t xml:space="preserve">above </w:t>
      </w:r>
      <w:r>
        <w:t>estimate</w:t>
      </w:r>
      <w:r w:rsidR="00DD45E2">
        <w:t>s</w:t>
      </w:r>
      <w:r>
        <w:t xml:space="preserve"> </w:t>
      </w:r>
      <w:r w:rsidR="00DD45E2">
        <w:t>for</w:t>
      </w:r>
      <w:r>
        <w:t xml:space="preserve"> rTMS uptake reflect current </w:t>
      </w:r>
      <w:r w:rsidR="00AD05CD">
        <w:t xml:space="preserve">machine availability and accessibility. </w:t>
      </w:r>
      <w:r>
        <w:t xml:space="preserve">In practice, it is </w:t>
      </w:r>
      <w:r w:rsidR="00AD05CD">
        <w:t xml:space="preserve">predicted </w:t>
      </w:r>
      <w:r>
        <w:t>that</w:t>
      </w:r>
      <w:r w:rsidR="00AE165D">
        <w:t xml:space="preserve"> as accessibility improves</w:t>
      </w:r>
      <w:r w:rsidR="00F57F46">
        <w:t xml:space="preserve"> following MBS listing</w:t>
      </w:r>
      <w:r w:rsidR="00AE165D">
        <w:t xml:space="preserve">, </w:t>
      </w:r>
      <w:r w:rsidR="00AD05CD">
        <w:t>u</w:t>
      </w:r>
      <w:r w:rsidR="00F57F46">
        <w:t>ptake</w:t>
      </w:r>
      <w:r w:rsidR="00AD05CD">
        <w:t xml:space="preserve"> will increase</w:t>
      </w:r>
      <w:r w:rsidR="00F57F46">
        <w:t>.</w:t>
      </w:r>
      <w:r w:rsidR="000744A8">
        <w:t xml:space="preserve"> The uptake of ECT</w:t>
      </w:r>
      <w:r w:rsidR="00AE44DE">
        <w:t>,</w:t>
      </w:r>
      <w:r w:rsidR="000744A8">
        <w:t xml:space="preserve"> following its addition to the MBS in 1999</w:t>
      </w:r>
      <w:r w:rsidR="00AE44DE">
        <w:t>,</w:t>
      </w:r>
      <w:r w:rsidR="000744A8">
        <w:t xml:space="preserve"> was reviewed</w:t>
      </w:r>
      <w:r w:rsidR="00AE44DE">
        <w:t>. In</w:t>
      </w:r>
      <w:r w:rsidR="000744A8">
        <w:t xml:space="preserve"> the five years following its addition</w:t>
      </w:r>
      <w:r w:rsidR="00AE44DE">
        <w:t>,</w:t>
      </w:r>
      <w:r w:rsidR="000744A8">
        <w:t xml:space="preserve"> usage increased </w:t>
      </w:r>
      <w:r w:rsidR="00AE44DE">
        <w:t xml:space="preserve">by </w:t>
      </w:r>
      <w:r w:rsidR="00BE1963">
        <w:t xml:space="preserve">approximately </w:t>
      </w:r>
      <w:r w:rsidR="00AE44DE">
        <w:t xml:space="preserve">30% (see Excel spreadsheet). As rTMS is a safer option, with a decreased side effect profile compared to ECT, it is expected that rTMS use would increase more </w:t>
      </w:r>
      <w:r w:rsidR="00AE44DE" w:rsidRPr="001F17C0">
        <w:rPr>
          <w:rFonts w:cs="Garamond"/>
          <w:szCs w:val="24"/>
        </w:rPr>
        <w:t xml:space="preserve">rapidly. </w:t>
      </w:r>
      <w:r w:rsidR="00F57F46" w:rsidRPr="001F17C0">
        <w:rPr>
          <w:rFonts w:cs="Garamond"/>
          <w:szCs w:val="24"/>
        </w:rPr>
        <w:t xml:space="preserve">This adjustment is made in </w:t>
      </w:r>
      <w:r w:rsidR="001F17C0" w:rsidRPr="001F17C0">
        <w:rPr>
          <w:rFonts w:cs="Garamond"/>
          <w:szCs w:val="24"/>
        </w:rPr>
        <w:fldChar w:fldCharType="begin"/>
      </w:r>
      <w:r w:rsidR="001F17C0" w:rsidRPr="001F17C0">
        <w:rPr>
          <w:rFonts w:cs="Garamond"/>
          <w:szCs w:val="24"/>
        </w:rPr>
        <w:instrText xml:space="preserve"> REF _Ref386103432 \h </w:instrText>
      </w:r>
      <w:r w:rsidR="001F17C0">
        <w:rPr>
          <w:rFonts w:cs="Garamond"/>
          <w:szCs w:val="24"/>
        </w:rPr>
        <w:instrText xml:space="preserve"> \* MERGEFORMAT </w:instrText>
      </w:r>
      <w:r w:rsidR="001F17C0" w:rsidRPr="001F17C0">
        <w:rPr>
          <w:rFonts w:cs="Garamond"/>
          <w:szCs w:val="24"/>
        </w:rPr>
      </w:r>
      <w:r w:rsidR="001F17C0" w:rsidRPr="001F17C0">
        <w:rPr>
          <w:rFonts w:cs="Garamond"/>
          <w:szCs w:val="24"/>
        </w:rPr>
        <w:fldChar w:fldCharType="separate"/>
      </w:r>
      <w:r w:rsidR="004C1C27" w:rsidRPr="004C1C27">
        <w:rPr>
          <w:rFonts w:cs="Garamond"/>
          <w:szCs w:val="24"/>
        </w:rPr>
        <w:t xml:space="preserve">Table </w:t>
      </w:r>
      <w:r w:rsidR="001F17C0" w:rsidRPr="001F17C0">
        <w:rPr>
          <w:rFonts w:cs="Garamond"/>
          <w:szCs w:val="24"/>
        </w:rPr>
        <w:fldChar w:fldCharType="end"/>
      </w:r>
      <w:r w:rsidR="001F17C0" w:rsidRPr="001F17C0">
        <w:rPr>
          <w:rFonts w:cs="Garamond"/>
          <w:szCs w:val="24"/>
        </w:rPr>
        <w:t xml:space="preserve"> </w:t>
      </w:r>
      <w:r w:rsidR="0056401C" w:rsidRPr="001F17C0">
        <w:rPr>
          <w:rFonts w:cs="Garamond"/>
          <w:szCs w:val="24"/>
        </w:rPr>
        <w:t>and alternative uptake rates are considered i</w:t>
      </w:r>
      <w:r w:rsidR="00934AB2" w:rsidRPr="001F17C0">
        <w:rPr>
          <w:rFonts w:cs="Garamond"/>
          <w:szCs w:val="24"/>
        </w:rPr>
        <w:t>n</w:t>
      </w:r>
      <w:r w:rsidR="00934AB2">
        <w:t xml:space="preserve"> the sensitivity analysis</w:t>
      </w:r>
      <w:r w:rsidR="0056401C">
        <w:t xml:space="preserve">. </w:t>
      </w:r>
    </w:p>
    <w:p w14:paraId="54F917B2" w14:textId="6AF24903" w:rsidR="00AD34E3" w:rsidRPr="006839C4" w:rsidRDefault="0001527B" w:rsidP="006258B7">
      <w:pPr>
        <w:pStyle w:val="TableName"/>
      </w:pPr>
      <w:bookmarkStart w:id="179" w:name="_Ref386103432"/>
      <w:bookmarkStart w:id="180" w:name="_Toc389143595"/>
      <w:r w:rsidRPr="007F787A">
        <w:t xml:space="preserve">Table </w:t>
      </w:r>
      <w:bookmarkEnd w:id="179"/>
      <w:r w:rsidR="006C19DA">
        <w:t>21</w:t>
      </w:r>
      <w:r w:rsidRPr="007F787A">
        <w:t xml:space="preserve">: </w:t>
      </w:r>
      <w:r w:rsidR="00AD34E3" w:rsidRPr="006839C4">
        <w:t>Estimated use of rTMS</w:t>
      </w:r>
      <w:r w:rsidR="00301E91" w:rsidRPr="006839C4">
        <w:t>,</w:t>
      </w:r>
      <w:r w:rsidR="00AD34E3" w:rsidRPr="006839C4">
        <w:t xml:space="preserve"> adjusted for gradual increase in uptake rates</w:t>
      </w:r>
      <w:bookmarkEnd w:id="180"/>
    </w:p>
    <w:tbl>
      <w:tblPr>
        <w:tblStyle w:val="TableGrid"/>
        <w:tblW w:w="8363" w:type="dxa"/>
        <w:tblInd w:w="737" w:type="dxa"/>
        <w:tblLook w:val="04A0" w:firstRow="1" w:lastRow="0" w:firstColumn="1" w:lastColumn="0" w:noHBand="0" w:noVBand="1"/>
        <w:tblCaption w:val="Estimated use of rTMS, adjusted for increased uptake rates"/>
      </w:tblPr>
      <w:tblGrid>
        <w:gridCol w:w="284"/>
        <w:gridCol w:w="2409"/>
        <w:gridCol w:w="851"/>
        <w:gridCol w:w="963"/>
        <w:gridCol w:w="964"/>
        <w:gridCol w:w="964"/>
        <w:gridCol w:w="964"/>
        <w:gridCol w:w="964"/>
      </w:tblGrid>
      <w:tr w:rsidR="00831BA3" w:rsidRPr="0001527B" w14:paraId="0CDC59A0" w14:textId="77777777" w:rsidTr="00194AED">
        <w:trPr>
          <w:cantSplit/>
          <w:tblHeader/>
        </w:trPr>
        <w:tc>
          <w:tcPr>
            <w:tcW w:w="2693" w:type="dxa"/>
            <w:gridSpan w:val="2"/>
            <w:tcMar>
              <w:left w:w="28" w:type="dxa"/>
              <w:right w:w="28" w:type="dxa"/>
            </w:tcMar>
            <w:vAlign w:val="center"/>
          </w:tcPr>
          <w:p w14:paraId="730EDE21" w14:textId="77777777" w:rsidR="00831BA3" w:rsidRPr="0001527B" w:rsidRDefault="00831BA3" w:rsidP="002A4213">
            <w:pPr>
              <w:keepNext/>
              <w:spacing w:before="40" w:after="40"/>
              <w:ind w:left="0"/>
              <w:rPr>
                <w:rFonts w:ascii="Arial Narrow" w:hAnsi="Arial Narrow" w:cs="Arial"/>
                <w:b/>
                <w:sz w:val="18"/>
                <w:szCs w:val="18"/>
              </w:rPr>
            </w:pPr>
          </w:p>
        </w:tc>
        <w:tc>
          <w:tcPr>
            <w:tcW w:w="851" w:type="dxa"/>
            <w:tcMar>
              <w:left w:w="28" w:type="dxa"/>
              <w:right w:w="28" w:type="dxa"/>
            </w:tcMar>
            <w:vAlign w:val="center"/>
          </w:tcPr>
          <w:p w14:paraId="1C6C895B" w14:textId="77777777" w:rsidR="00831BA3" w:rsidRPr="0001527B"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Method</w:t>
            </w:r>
          </w:p>
        </w:tc>
        <w:tc>
          <w:tcPr>
            <w:tcW w:w="963" w:type="dxa"/>
            <w:tcMar>
              <w:left w:w="28" w:type="dxa"/>
              <w:right w:w="28" w:type="dxa"/>
            </w:tcMar>
            <w:vAlign w:val="center"/>
          </w:tcPr>
          <w:p w14:paraId="0ADE3B28" w14:textId="77777777" w:rsidR="007F6AB1"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 xml:space="preserve">Year 1 </w:t>
            </w:r>
          </w:p>
          <w:p w14:paraId="0A9031DF" w14:textId="77777777" w:rsidR="00831BA3" w:rsidRPr="0001527B"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2015</w:t>
            </w:r>
          </w:p>
        </w:tc>
        <w:tc>
          <w:tcPr>
            <w:tcW w:w="964" w:type="dxa"/>
            <w:tcMar>
              <w:left w:w="28" w:type="dxa"/>
              <w:right w:w="28" w:type="dxa"/>
            </w:tcMar>
            <w:vAlign w:val="center"/>
          </w:tcPr>
          <w:p w14:paraId="58D5DE4D" w14:textId="77777777" w:rsidR="007F6AB1"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 xml:space="preserve">Year 2 </w:t>
            </w:r>
          </w:p>
          <w:p w14:paraId="1FBE02D8" w14:textId="77777777" w:rsidR="00831BA3" w:rsidRPr="0001527B"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2016</w:t>
            </w:r>
          </w:p>
        </w:tc>
        <w:tc>
          <w:tcPr>
            <w:tcW w:w="964" w:type="dxa"/>
            <w:tcMar>
              <w:left w:w="28" w:type="dxa"/>
              <w:right w:w="28" w:type="dxa"/>
            </w:tcMar>
            <w:vAlign w:val="center"/>
          </w:tcPr>
          <w:p w14:paraId="577FEE43" w14:textId="77777777" w:rsidR="007F6AB1"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 xml:space="preserve">Year 3 </w:t>
            </w:r>
          </w:p>
          <w:p w14:paraId="61E4595A" w14:textId="77777777" w:rsidR="00831BA3" w:rsidRPr="0001527B"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2017</w:t>
            </w:r>
          </w:p>
        </w:tc>
        <w:tc>
          <w:tcPr>
            <w:tcW w:w="964" w:type="dxa"/>
            <w:tcMar>
              <w:left w:w="28" w:type="dxa"/>
              <w:right w:w="28" w:type="dxa"/>
            </w:tcMar>
            <w:vAlign w:val="center"/>
          </w:tcPr>
          <w:p w14:paraId="1044C9CF" w14:textId="77777777" w:rsidR="00831BA3" w:rsidRPr="0001527B"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 xml:space="preserve">Year 4 </w:t>
            </w:r>
          </w:p>
          <w:p w14:paraId="39FEC432" w14:textId="77777777" w:rsidR="00831BA3" w:rsidRPr="0001527B"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2018</w:t>
            </w:r>
          </w:p>
        </w:tc>
        <w:tc>
          <w:tcPr>
            <w:tcW w:w="964" w:type="dxa"/>
            <w:tcMar>
              <w:left w:w="28" w:type="dxa"/>
              <w:right w:w="28" w:type="dxa"/>
            </w:tcMar>
            <w:vAlign w:val="center"/>
          </w:tcPr>
          <w:p w14:paraId="7DB97C44" w14:textId="77777777" w:rsidR="00831BA3" w:rsidRPr="0001527B"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Year 5</w:t>
            </w:r>
          </w:p>
          <w:p w14:paraId="4FE12F31" w14:textId="77777777" w:rsidR="00831BA3" w:rsidRPr="0001527B" w:rsidRDefault="00831BA3" w:rsidP="002A4213">
            <w:pPr>
              <w:keepNext/>
              <w:spacing w:before="40" w:after="40"/>
              <w:ind w:left="0"/>
              <w:jc w:val="center"/>
              <w:rPr>
                <w:rFonts w:ascii="Arial Narrow" w:hAnsi="Arial Narrow" w:cs="Arial"/>
                <w:b/>
                <w:sz w:val="18"/>
                <w:szCs w:val="18"/>
              </w:rPr>
            </w:pPr>
            <w:r w:rsidRPr="0001527B">
              <w:rPr>
                <w:rFonts w:ascii="Arial Narrow" w:hAnsi="Arial Narrow" w:cs="Arial"/>
                <w:b/>
                <w:sz w:val="18"/>
                <w:szCs w:val="18"/>
              </w:rPr>
              <w:t>2019</w:t>
            </w:r>
          </w:p>
        </w:tc>
      </w:tr>
      <w:tr w:rsidR="003F4D65" w:rsidRPr="0001527B" w14:paraId="408271CE" w14:textId="77777777" w:rsidTr="002A4213">
        <w:trPr>
          <w:cantSplit/>
        </w:trPr>
        <w:tc>
          <w:tcPr>
            <w:tcW w:w="284" w:type="dxa"/>
            <w:tcMar>
              <w:left w:w="28" w:type="dxa"/>
              <w:right w:w="28" w:type="dxa"/>
            </w:tcMar>
            <w:vAlign w:val="center"/>
          </w:tcPr>
          <w:p w14:paraId="7C66F509" w14:textId="77777777" w:rsidR="003F4D65" w:rsidRPr="0001527B" w:rsidRDefault="003F4D65" w:rsidP="002A4213">
            <w:pPr>
              <w:keepNext/>
              <w:spacing w:before="40" w:after="40"/>
              <w:ind w:left="0"/>
              <w:rPr>
                <w:rFonts w:ascii="Arial Narrow" w:hAnsi="Arial Narrow" w:cs="Arial"/>
                <w:sz w:val="18"/>
                <w:szCs w:val="18"/>
              </w:rPr>
            </w:pPr>
            <w:r w:rsidRPr="0001527B">
              <w:rPr>
                <w:rFonts w:ascii="Arial Narrow" w:hAnsi="Arial Narrow" w:cs="Arial"/>
                <w:sz w:val="18"/>
                <w:szCs w:val="18"/>
              </w:rPr>
              <w:t>D</w:t>
            </w:r>
          </w:p>
        </w:tc>
        <w:tc>
          <w:tcPr>
            <w:tcW w:w="2409" w:type="dxa"/>
            <w:tcMar>
              <w:left w:w="28" w:type="dxa"/>
              <w:right w:w="28" w:type="dxa"/>
            </w:tcMar>
            <w:vAlign w:val="center"/>
          </w:tcPr>
          <w:p w14:paraId="14D35707" w14:textId="77777777" w:rsidR="003F4D65" w:rsidRPr="0001527B" w:rsidRDefault="003F4D65" w:rsidP="002A4213">
            <w:pPr>
              <w:pStyle w:val="Tabletext1"/>
              <w:keepNext/>
              <w:widowControl/>
              <w:spacing w:before="40" w:after="40" w:line="240" w:lineRule="auto"/>
              <w:rPr>
                <w:rFonts w:ascii="Arial Narrow" w:hAnsi="Arial Narrow" w:cs="Arial"/>
                <w:sz w:val="18"/>
                <w:szCs w:val="18"/>
                <w:lang w:val="en-AU"/>
              </w:rPr>
            </w:pPr>
            <w:r w:rsidRPr="0001527B">
              <w:rPr>
                <w:rFonts w:ascii="Arial Narrow" w:hAnsi="Arial Narrow" w:cs="Arial"/>
                <w:sz w:val="18"/>
                <w:szCs w:val="18"/>
                <w:lang w:val="en-AU"/>
              </w:rPr>
              <w:t xml:space="preserve">Expected number of rTMS patients </w:t>
            </w:r>
          </w:p>
        </w:tc>
        <w:tc>
          <w:tcPr>
            <w:tcW w:w="851" w:type="dxa"/>
            <w:tcMar>
              <w:left w:w="28" w:type="dxa"/>
              <w:right w:w="28" w:type="dxa"/>
            </w:tcMar>
            <w:vAlign w:val="center"/>
          </w:tcPr>
          <w:p w14:paraId="0ABE6BA8" w14:textId="77777777" w:rsidR="003F4D65"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EC0A91">
              <w:rPr>
                <w:rFonts w:ascii="Arial Narrow" w:hAnsi="Arial Narrow"/>
                <w:sz w:val="18"/>
                <w:szCs w:val="18"/>
                <w:lang w:val="en-AU"/>
              </w:rPr>
              <w:t>From above</w:t>
            </w:r>
          </w:p>
        </w:tc>
        <w:tc>
          <w:tcPr>
            <w:tcW w:w="963" w:type="dxa"/>
            <w:tcMar>
              <w:left w:w="28" w:type="dxa"/>
              <w:right w:w="28" w:type="dxa"/>
            </w:tcMar>
            <w:vAlign w:val="center"/>
          </w:tcPr>
          <w:p w14:paraId="4634C3C7" w14:textId="77777777" w:rsidR="003F4D65"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1,829</w:t>
            </w:r>
          </w:p>
        </w:tc>
        <w:tc>
          <w:tcPr>
            <w:tcW w:w="964" w:type="dxa"/>
            <w:tcMar>
              <w:left w:w="28" w:type="dxa"/>
              <w:right w:w="28" w:type="dxa"/>
            </w:tcMar>
            <w:vAlign w:val="center"/>
          </w:tcPr>
          <w:p w14:paraId="71478886" w14:textId="77777777" w:rsidR="003F4D65"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1,861</w:t>
            </w:r>
          </w:p>
        </w:tc>
        <w:tc>
          <w:tcPr>
            <w:tcW w:w="964" w:type="dxa"/>
            <w:tcMar>
              <w:left w:w="28" w:type="dxa"/>
              <w:right w:w="28" w:type="dxa"/>
            </w:tcMar>
            <w:vAlign w:val="center"/>
          </w:tcPr>
          <w:p w14:paraId="604D77B6" w14:textId="77777777" w:rsidR="003F4D65"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1,893</w:t>
            </w:r>
          </w:p>
        </w:tc>
        <w:tc>
          <w:tcPr>
            <w:tcW w:w="964" w:type="dxa"/>
            <w:tcMar>
              <w:left w:w="28" w:type="dxa"/>
              <w:right w:w="28" w:type="dxa"/>
            </w:tcMar>
            <w:vAlign w:val="center"/>
          </w:tcPr>
          <w:p w14:paraId="16F664D9" w14:textId="77777777" w:rsidR="003F4D65"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1,925</w:t>
            </w:r>
          </w:p>
        </w:tc>
        <w:tc>
          <w:tcPr>
            <w:tcW w:w="964" w:type="dxa"/>
            <w:tcMar>
              <w:left w:w="28" w:type="dxa"/>
              <w:right w:w="28" w:type="dxa"/>
            </w:tcMar>
            <w:vAlign w:val="center"/>
          </w:tcPr>
          <w:p w14:paraId="0587A99C" w14:textId="77777777" w:rsidR="003F4D65" w:rsidRPr="0001527B" w:rsidRDefault="003F4D65" w:rsidP="002A4213">
            <w:pPr>
              <w:pStyle w:val="Tabletext1"/>
              <w:keepNext/>
              <w:widowControl/>
              <w:spacing w:before="40" w:after="40" w:line="240" w:lineRule="auto"/>
              <w:jc w:val="center"/>
              <w:rPr>
                <w:rFonts w:ascii="Arial Narrow" w:hAnsi="Arial Narrow"/>
                <w:sz w:val="18"/>
                <w:szCs w:val="18"/>
                <w:lang w:val="en-AU"/>
              </w:rPr>
            </w:pPr>
            <w:r w:rsidRPr="0001527B">
              <w:rPr>
                <w:rFonts w:ascii="Arial Narrow" w:hAnsi="Arial Narrow"/>
                <w:sz w:val="18"/>
                <w:szCs w:val="18"/>
                <w:lang w:val="en-AU"/>
              </w:rPr>
              <w:t>1,957</w:t>
            </w:r>
          </w:p>
        </w:tc>
      </w:tr>
      <w:tr w:rsidR="004A4B27" w:rsidRPr="0001527B" w14:paraId="72BFC5A3" w14:textId="77777777" w:rsidTr="002A4213">
        <w:trPr>
          <w:cantSplit/>
        </w:trPr>
        <w:tc>
          <w:tcPr>
            <w:tcW w:w="284" w:type="dxa"/>
            <w:tcMar>
              <w:left w:w="28" w:type="dxa"/>
              <w:right w:w="28" w:type="dxa"/>
            </w:tcMar>
            <w:vAlign w:val="center"/>
          </w:tcPr>
          <w:p w14:paraId="6754C526" w14:textId="77777777" w:rsidR="004A4B27" w:rsidRPr="0001527B" w:rsidRDefault="00D90855" w:rsidP="002A4213">
            <w:pPr>
              <w:keepNext/>
              <w:spacing w:before="40" w:after="40"/>
              <w:ind w:left="0"/>
              <w:rPr>
                <w:rFonts w:ascii="Arial Narrow" w:hAnsi="Arial Narrow" w:cs="Arial"/>
                <w:sz w:val="18"/>
                <w:szCs w:val="18"/>
              </w:rPr>
            </w:pPr>
            <w:r w:rsidRPr="0001527B">
              <w:rPr>
                <w:rFonts w:ascii="Arial Narrow" w:hAnsi="Arial Narrow" w:cs="Arial"/>
                <w:sz w:val="18"/>
                <w:szCs w:val="18"/>
              </w:rPr>
              <w:t>E</w:t>
            </w:r>
          </w:p>
        </w:tc>
        <w:tc>
          <w:tcPr>
            <w:tcW w:w="2409" w:type="dxa"/>
            <w:tcMar>
              <w:left w:w="28" w:type="dxa"/>
              <w:right w:w="28" w:type="dxa"/>
            </w:tcMar>
            <w:vAlign w:val="center"/>
          </w:tcPr>
          <w:p w14:paraId="3A1C306D" w14:textId="77777777" w:rsidR="004A4B27" w:rsidRPr="0001527B" w:rsidRDefault="004A4B27" w:rsidP="002A4213">
            <w:pPr>
              <w:keepNext/>
              <w:spacing w:before="40" w:after="40"/>
              <w:ind w:left="0"/>
              <w:rPr>
                <w:rFonts w:ascii="Arial Narrow" w:hAnsi="Arial Narrow" w:cs="Arial"/>
                <w:sz w:val="18"/>
                <w:szCs w:val="18"/>
              </w:rPr>
            </w:pPr>
            <w:r w:rsidRPr="0001527B">
              <w:rPr>
                <w:rFonts w:ascii="Arial Narrow" w:hAnsi="Arial Narrow" w:cs="Arial"/>
                <w:sz w:val="18"/>
                <w:szCs w:val="18"/>
              </w:rPr>
              <w:t>Adjustment for gradual uptake</w:t>
            </w:r>
          </w:p>
        </w:tc>
        <w:tc>
          <w:tcPr>
            <w:tcW w:w="851" w:type="dxa"/>
            <w:tcMar>
              <w:left w:w="28" w:type="dxa"/>
              <w:right w:w="28" w:type="dxa"/>
            </w:tcMar>
            <w:vAlign w:val="center"/>
          </w:tcPr>
          <w:p w14:paraId="667A9578" w14:textId="77777777" w:rsidR="004A4B27" w:rsidRPr="0001527B" w:rsidRDefault="004A4B27"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Assume</w:t>
            </w:r>
          </w:p>
        </w:tc>
        <w:tc>
          <w:tcPr>
            <w:tcW w:w="963" w:type="dxa"/>
            <w:tcMar>
              <w:left w:w="28" w:type="dxa"/>
              <w:right w:w="28" w:type="dxa"/>
            </w:tcMar>
            <w:vAlign w:val="center"/>
          </w:tcPr>
          <w:p w14:paraId="07C50E90" w14:textId="77777777" w:rsidR="004A4B27" w:rsidRPr="0001527B" w:rsidRDefault="00F20021"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10%</w:t>
            </w:r>
          </w:p>
        </w:tc>
        <w:tc>
          <w:tcPr>
            <w:tcW w:w="964" w:type="dxa"/>
            <w:tcMar>
              <w:left w:w="28" w:type="dxa"/>
              <w:right w:w="28" w:type="dxa"/>
            </w:tcMar>
            <w:vAlign w:val="center"/>
          </w:tcPr>
          <w:p w14:paraId="2DCC685B" w14:textId="77777777" w:rsidR="004A4B27" w:rsidRPr="0001527B" w:rsidRDefault="00F20021"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20%</w:t>
            </w:r>
          </w:p>
        </w:tc>
        <w:tc>
          <w:tcPr>
            <w:tcW w:w="964" w:type="dxa"/>
            <w:tcMar>
              <w:left w:w="28" w:type="dxa"/>
              <w:right w:w="28" w:type="dxa"/>
            </w:tcMar>
            <w:vAlign w:val="center"/>
          </w:tcPr>
          <w:p w14:paraId="15CC2DD3" w14:textId="77777777" w:rsidR="004A4B27" w:rsidRPr="0001527B" w:rsidRDefault="00F20021"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30%</w:t>
            </w:r>
          </w:p>
        </w:tc>
        <w:tc>
          <w:tcPr>
            <w:tcW w:w="964" w:type="dxa"/>
            <w:tcMar>
              <w:left w:w="28" w:type="dxa"/>
              <w:right w:w="28" w:type="dxa"/>
            </w:tcMar>
            <w:vAlign w:val="center"/>
          </w:tcPr>
          <w:p w14:paraId="5506A50F" w14:textId="77777777" w:rsidR="004A4B27" w:rsidRPr="0001527B" w:rsidRDefault="00F20021"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40</w:t>
            </w:r>
            <w:r w:rsidR="004A4B27" w:rsidRPr="0001527B">
              <w:rPr>
                <w:rFonts w:ascii="Arial Narrow" w:hAnsi="Arial Narrow" w:cs="Arial"/>
                <w:sz w:val="18"/>
                <w:szCs w:val="18"/>
              </w:rPr>
              <w:t>%</w:t>
            </w:r>
          </w:p>
        </w:tc>
        <w:tc>
          <w:tcPr>
            <w:tcW w:w="964" w:type="dxa"/>
            <w:tcMar>
              <w:left w:w="28" w:type="dxa"/>
              <w:right w:w="28" w:type="dxa"/>
            </w:tcMar>
            <w:vAlign w:val="center"/>
          </w:tcPr>
          <w:p w14:paraId="7AF70D22" w14:textId="77777777" w:rsidR="004A4B27" w:rsidRPr="0001527B" w:rsidRDefault="004A4B27"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50%</w:t>
            </w:r>
          </w:p>
        </w:tc>
      </w:tr>
      <w:tr w:rsidR="004A4B27" w:rsidRPr="0001527B" w14:paraId="57A00E3C" w14:textId="77777777" w:rsidTr="002A4213">
        <w:trPr>
          <w:cantSplit/>
        </w:trPr>
        <w:tc>
          <w:tcPr>
            <w:tcW w:w="284" w:type="dxa"/>
            <w:tcMar>
              <w:left w:w="28" w:type="dxa"/>
              <w:right w:w="28" w:type="dxa"/>
            </w:tcMar>
            <w:vAlign w:val="center"/>
          </w:tcPr>
          <w:p w14:paraId="420DFAD2" w14:textId="77777777" w:rsidR="004A4B27" w:rsidRPr="0001527B" w:rsidRDefault="00D90855" w:rsidP="002A4213">
            <w:pPr>
              <w:keepNext/>
              <w:spacing w:before="40" w:after="40"/>
              <w:ind w:left="0"/>
              <w:rPr>
                <w:rFonts w:ascii="Arial Narrow" w:hAnsi="Arial Narrow" w:cs="Arial"/>
                <w:sz w:val="18"/>
                <w:szCs w:val="18"/>
              </w:rPr>
            </w:pPr>
            <w:r w:rsidRPr="0001527B">
              <w:rPr>
                <w:rFonts w:ascii="Arial Narrow" w:hAnsi="Arial Narrow" w:cs="Arial"/>
                <w:sz w:val="18"/>
                <w:szCs w:val="18"/>
              </w:rPr>
              <w:t>F</w:t>
            </w:r>
          </w:p>
        </w:tc>
        <w:tc>
          <w:tcPr>
            <w:tcW w:w="2409" w:type="dxa"/>
            <w:tcMar>
              <w:left w:w="28" w:type="dxa"/>
              <w:right w:w="28" w:type="dxa"/>
            </w:tcMar>
            <w:vAlign w:val="center"/>
          </w:tcPr>
          <w:p w14:paraId="2D5C26D4" w14:textId="77777777" w:rsidR="004A4B27" w:rsidRPr="0001527B" w:rsidRDefault="00C43FDB" w:rsidP="002A4213">
            <w:pPr>
              <w:keepNext/>
              <w:spacing w:before="40" w:after="40"/>
              <w:ind w:left="0"/>
              <w:rPr>
                <w:rFonts w:ascii="Arial Narrow" w:hAnsi="Arial Narrow" w:cs="Arial"/>
                <w:sz w:val="18"/>
                <w:szCs w:val="18"/>
              </w:rPr>
            </w:pPr>
            <w:r w:rsidRPr="0001527B">
              <w:rPr>
                <w:rFonts w:ascii="Arial Narrow" w:hAnsi="Arial Narrow" w:cs="Arial"/>
                <w:sz w:val="18"/>
                <w:szCs w:val="18"/>
              </w:rPr>
              <w:t>Adjusted rTMS patient number</w:t>
            </w:r>
          </w:p>
        </w:tc>
        <w:tc>
          <w:tcPr>
            <w:tcW w:w="851" w:type="dxa"/>
            <w:tcMar>
              <w:left w:w="28" w:type="dxa"/>
              <w:right w:w="28" w:type="dxa"/>
            </w:tcMar>
            <w:vAlign w:val="center"/>
          </w:tcPr>
          <w:p w14:paraId="434A5301" w14:textId="77777777" w:rsidR="004A4B27" w:rsidRPr="0001527B" w:rsidRDefault="00D90855"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DxE</w:t>
            </w:r>
          </w:p>
        </w:tc>
        <w:tc>
          <w:tcPr>
            <w:tcW w:w="963" w:type="dxa"/>
            <w:tcMar>
              <w:left w:w="28" w:type="dxa"/>
              <w:right w:w="28" w:type="dxa"/>
            </w:tcMar>
            <w:vAlign w:val="center"/>
          </w:tcPr>
          <w:p w14:paraId="155F2BDA" w14:textId="77777777" w:rsidR="004A4B27" w:rsidRPr="0001527B" w:rsidRDefault="00AB7646"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2,012</w:t>
            </w:r>
          </w:p>
        </w:tc>
        <w:tc>
          <w:tcPr>
            <w:tcW w:w="964" w:type="dxa"/>
            <w:tcMar>
              <w:left w:w="28" w:type="dxa"/>
              <w:right w:w="28" w:type="dxa"/>
            </w:tcMar>
            <w:vAlign w:val="center"/>
          </w:tcPr>
          <w:p w14:paraId="7F21FF8A" w14:textId="77777777" w:rsidR="004A4B27" w:rsidRPr="0001527B" w:rsidRDefault="00AB7646"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2,233</w:t>
            </w:r>
          </w:p>
        </w:tc>
        <w:tc>
          <w:tcPr>
            <w:tcW w:w="964" w:type="dxa"/>
            <w:tcMar>
              <w:left w:w="28" w:type="dxa"/>
              <w:right w:w="28" w:type="dxa"/>
            </w:tcMar>
            <w:vAlign w:val="center"/>
          </w:tcPr>
          <w:p w14:paraId="56555DEC" w14:textId="77777777" w:rsidR="004A4B27" w:rsidRPr="0001527B" w:rsidRDefault="00AB7646"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2,460</w:t>
            </w:r>
          </w:p>
        </w:tc>
        <w:tc>
          <w:tcPr>
            <w:tcW w:w="964" w:type="dxa"/>
            <w:tcMar>
              <w:left w:w="28" w:type="dxa"/>
              <w:right w:w="28" w:type="dxa"/>
            </w:tcMar>
            <w:vAlign w:val="center"/>
          </w:tcPr>
          <w:p w14:paraId="24010C44" w14:textId="77777777" w:rsidR="004A4B27" w:rsidRPr="0001527B" w:rsidRDefault="00AB7646"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2,695</w:t>
            </w:r>
          </w:p>
        </w:tc>
        <w:tc>
          <w:tcPr>
            <w:tcW w:w="964" w:type="dxa"/>
            <w:tcMar>
              <w:left w:w="28" w:type="dxa"/>
              <w:right w:w="28" w:type="dxa"/>
            </w:tcMar>
            <w:vAlign w:val="center"/>
          </w:tcPr>
          <w:p w14:paraId="574044E6" w14:textId="77777777" w:rsidR="004A4B27" w:rsidRPr="0001527B" w:rsidRDefault="00AB7646" w:rsidP="002A4213">
            <w:pPr>
              <w:keepNext/>
              <w:spacing w:before="40" w:after="40"/>
              <w:ind w:left="0"/>
              <w:jc w:val="center"/>
              <w:rPr>
                <w:rFonts w:ascii="Arial Narrow" w:hAnsi="Arial Narrow" w:cs="Arial"/>
                <w:sz w:val="18"/>
                <w:szCs w:val="18"/>
              </w:rPr>
            </w:pPr>
            <w:r w:rsidRPr="0001527B">
              <w:rPr>
                <w:rFonts w:ascii="Arial Narrow" w:hAnsi="Arial Narrow" w:cs="Arial"/>
                <w:sz w:val="18"/>
                <w:szCs w:val="18"/>
              </w:rPr>
              <w:t>2,935</w:t>
            </w:r>
          </w:p>
        </w:tc>
      </w:tr>
    </w:tbl>
    <w:p w14:paraId="324EF61B" w14:textId="77777777" w:rsidR="00AD34E3" w:rsidRDefault="00AD34E3" w:rsidP="002A4213">
      <w:pPr>
        <w:keepNext/>
        <w:spacing w:before="40" w:after="40"/>
        <w:rPr>
          <w:rFonts w:ascii="Arial Narrow" w:hAnsi="Arial Narrow" w:cs="Arial"/>
          <w:sz w:val="18"/>
          <w:szCs w:val="18"/>
        </w:rPr>
      </w:pPr>
      <w:r w:rsidRPr="007F6AB1">
        <w:rPr>
          <w:rFonts w:ascii="Arial Narrow" w:hAnsi="Arial Narrow" w:cs="Arial"/>
          <w:sz w:val="18"/>
          <w:szCs w:val="18"/>
        </w:rPr>
        <w:t>Source: Excel spreadsheet</w:t>
      </w:r>
      <w:r w:rsidR="00C23026" w:rsidRPr="007F6AB1">
        <w:rPr>
          <w:rFonts w:ascii="Arial Narrow" w:hAnsi="Arial Narrow" w:cs="Arial"/>
          <w:sz w:val="18"/>
          <w:szCs w:val="18"/>
        </w:rPr>
        <w:t xml:space="preserve"> (rTMS Section E.xls</w:t>
      </w:r>
      <w:proofErr w:type="gramStart"/>
      <w:r w:rsidR="00C23026" w:rsidRPr="007F6AB1">
        <w:rPr>
          <w:rFonts w:ascii="Arial Narrow" w:hAnsi="Arial Narrow" w:cs="Arial"/>
          <w:sz w:val="18"/>
          <w:szCs w:val="18"/>
        </w:rPr>
        <w:t>)</w:t>
      </w:r>
      <w:proofErr w:type="gramEnd"/>
      <w:r w:rsidRPr="007F6AB1">
        <w:rPr>
          <w:rFonts w:ascii="Arial Narrow" w:hAnsi="Arial Narrow" w:cs="Arial"/>
          <w:sz w:val="18"/>
          <w:szCs w:val="18"/>
        </w:rPr>
        <w:br/>
        <w:t>rTMS = repetitive Transcranial Magnetic Stimulation</w:t>
      </w:r>
    </w:p>
    <w:p w14:paraId="1A442947" w14:textId="77777777" w:rsidR="002A4213" w:rsidRPr="007F6AB1" w:rsidRDefault="002A4213" w:rsidP="002A4213"/>
    <w:p w14:paraId="43F03680" w14:textId="77777777" w:rsidR="00A912F0" w:rsidRDefault="00DB2272" w:rsidP="00A912F0">
      <w:r>
        <w:t xml:space="preserve">If uptake is increased at a rate of 10% per year, it is expected that over the course of the next five years </w:t>
      </w:r>
      <w:r w:rsidR="00A464E7">
        <w:t>12,335 patients will receive rTMS therapy.</w:t>
      </w:r>
    </w:p>
    <w:p w14:paraId="71679EB2" w14:textId="77777777" w:rsidR="00301E91" w:rsidRPr="008474A0" w:rsidRDefault="00301E91" w:rsidP="008474A0">
      <w:pPr>
        <w:ind w:left="1701"/>
        <w:rPr>
          <w:rFonts w:ascii="Tahoma" w:hAnsi="Tahoma" w:cs="Tahoma"/>
          <w:b/>
          <w:sz w:val="20"/>
        </w:rPr>
      </w:pPr>
      <w:r w:rsidRPr="008474A0">
        <w:rPr>
          <w:rFonts w:ascii="Tahoma" w:hAnsi="Tahoma" w:cs="Tahoma"/>
          <w:b/>
          <w:sz w:val="20"/>
        </w:rPr>
        <w:t>Adjustment for outcome</w:t>
      </w:r>
    </w:p>
    <w:p w14:paraId="2F3FF678" w14:textId="77777777" w:rsidR="008C7D14" w:rsidRDefault="008C7D14" w:rsidP="005E00ED">
      <w:pPr>
        <w:spacing w:after="120"/>
        <w:jc w:val="both"/>
      </w:pPr>
      <w:r>
        <w:t xml:space="preserve">There are three possible outcomes </w:t>
      </w:r>
      <w:r w:rsidR="00C43FDB">
        <w:t>following</w:t>
      </w:r>
      <w:r>
        <w:t xml:space="preserve"> rTMS therapy:</w:t>
      </w:r>
    </w:p>
    <w:p w14:paraId="43DF3156" w14:textId="77777777" w:rsidR="008C7D14" w:rsidRPr="0062219D" w:rsidRDefault="008C7D14" w:rsidP="008C3491">
      <w:pPr>
        <w:pStyle w:val="ListParagraph"/>
        <w:numPr>
          <w:ilvl w:val="0"/>
          <w:numId w:val="6"/>
        </w:numPr>
        <w:jc w:val="both"/>
        <w:rPr>
          <w:rFonts w:ascii="Garamond" w:hAnsi="Garamond"/>
        </w:rPr>
      </w:pPr>
      <w:r w:rsidRPr="0062219D">
        <w:rPr>
          <w:rFonts w:ascii="Garamond" w:hAnsi="Garamond"/>
        </w:rPr>
        <w:t>Does not respond (in which case another form of treatment or adjunctive treatments would be trialled);</w:t>
      </w:r>
    </w:p>
    <w:p w14:paraId="64747E9E" w14:textId="77777777" w:rsidR="008C7D14" w:rsidRPr="0062219D" w:rsidRDefault="008C7D14" w:rsidP="008C3491">
      <w:pPr>
        <w:pStyle w:val="ListParagraph"/>
        <w:numPr>
          <w:ilvl w:val="0"/>
          <w:numId w:val="6"/>
        </w:numPr>
        <w:jc w:val="both"/>
        <w:rPr>
          <w:rFonts w:ascii="Garamond" w:hAnsi="Garamond"/>
        </w:rPr>
      </w:pPr>
      <w:r w:rsidRPr="0062219D">
        <w:rPr>
          <w:rFonts w:ascii="Garamond" w:hAnsi="Garamond"/>
        </w:rPr>
        <w:t>Responds then relapses, requiring re</w:t>
      </w:r>
      <w:r w:rsidR="00C43FDB">
        <w:rPr>
          <w:rFonts w:ascii="Garamond" w:hAnsi="Garamond"/>
        </w:rPr>
        <w:t>introduction of rTMS</w:t>
      </w:r>
      <w:r w:rsidRPr="0062219D">
        <w:rPr>
          <w:rFonts w:ascii="Garamond" w:hAnsi="Garamond"/>
        </w:rPr>
        <w:t>;</w:t>
      </w:r>
    </w:p>
    <w:p w14:paraId="642A4D16" w14:textId="77777777" w:rsidR="00FA60AE" w:rsidRDefault="008C7D14" w:rsidP="008C3491">
      <w:pPr>
        <w:pStyle w:val="ListParagraph"/>
        <w:numPr>
          <w:ilvl w:val="0"/>
          <w:numId w:val="6"/>
        </w:numPr>
        <w:spacing w:after="120"/>
        <w:ind w:left="1077" w:hanging="357"/>
        <w:jc w:val="both"/>
        <w:rPr>
          <w:rFonts w:ascii="Garamond" w:hAnsi="Garamond"/>
        </w:rPr>
      </w:pPr>
      <w:r w:rsidRPr="0062219D">
        <w:rPr>
          <w:rFonts w:ascii="Garamond" w:hAnsi="Garamond"/>
        </w:rPr>
        <w:t>Responds and recovers, with no retreatment required (although maintenance treatment may be used).</w:t>
      </w:r>
    </w:p>
    <w:p w14:paraId="45DC2F17" w14:textId="314E36AD" w:rsidR="00532CCA" w:rsidRPr="001F17C0" w:rsidRDefault="00C60E55" w:rsidP="007F6AB1">
      <w:pPr>
        <w:jc w:val="both"/>
        <w:rPr>
          <w:rFonts w:cs="Garamond"/>
          <w:szCs w:val="24"/>
        </w:rPr>
      </w:pPr>
      <w:r>
        <w:t>The Neuronetics data</w:t>
      </w:r>
      <w:r w:rsidR="00841516">
        <w:t xml:space="preserve"> found that 36.2% of patients experienced symptom recurrence and received rTMS reintroduction </w:t>
      </w:r>
      <w:r w:rsidR="00395753">
        <w:t>based on this</w:t>
      </w:r>
      <w:r w:rsidR="00841516">
        <w:t xml:space="preserve"> clinical worsening through 12 months of follow-up. </w:t>
      </w:r>
      <w:r w:rsidR="00823397">
        <w:t xml:space="preserve">Expert opinion in the </w:t>
      </w:r>
      <w:r w:rsidR="00E45AF4">
        <w:t>Protocol</w:t>
      </w:r>
      <w:r w:rsidR="00EC0A91">
        <w:t xml:space="preserve"> </w:t>
      </w:r>
      <w:r w:rsidR="00823397">
        <w:t>1196</w:t>
      </w:r>
      <w:r w:rsidR="00331C3A">
        <w:t xml:space="preserve"> states that approximately 10% of patients</w:t>
      </w:r>
      <w:r w:rsidR="00263282">
        <w:t xml:space="preserve"> will require maintenance rTMS. This</w:t>
      </w:r>
      <w:r w:rsidR="00331C3A">
        <w:t xml:space="preserve"> consists of one treatment a fortnight (26 treatments </w:t>
      </w:r>
      <w:r w:rsidR="00331C3A" w:rsidRPr="001F17C0">
        <w:rPr>
          <w:rFonts w:cs="Garamond"/>
          <w:szCs w:val="24"/>
        </w:rPr>
        <w:t>per year).</w:t>
      </w:r>
      <w:r w:rsidR="0055362F" w:rsidRPr="001F17C0">
        <w:rPr>
          <w:rFonts w:cs="Garamond"/>
          <w:szCs w:val="24"/>
        </w:rPr>
        <w:t xml:space="preserve"> See </w:t>
      </w:r>
      <w:r w:rsidR="001F17C0" w:rsidRPr="001F17C0">
        <w:rPr>
          <w:rFonts w:cs="Garamond"/>
          <w:szCs w:val="24"/>
        </w:rPr>
        <w:fldChar w:fldCharType="begin"/>
      </w:r>
      <w:r w:rsidR="001F17C0" w:rsidRPr="001F17C0">
        <w:rPr>
          <w:rFonts w:cs="Garamond"/>
          <w:szCs w:val="24"/>
        </w:rPr>
        <w:instrText xml:space="preserve"> REF _Ref386103441 \h </w:instrText>
      </w:r>
      <w:r w:rsidR="001F17C0">
        <w:rPr>
          <w:rFonts w:cs="Garamond"/>
          <w:szCs w:val="24"/>
        </w:rPr>
        <w:instrText xml:space="preserve"> \* MERGEFORMAT </w:instrText>
      </w:r>
      <w:r w:rsidR="001F17C0" w:rsidRPr="001F17C0">
        <w:rPr>
          <w:rFonts w:cs="Garamond"/>
          <w:szCs w:val="24"/>
        </w:rPr>
      </w:r>
      <w:r w:rsidR="001F17C0" w:rsidRPr="001F17C0">
        <w:rPr>
          <w:rFonts w:cs="Garamond"/>
          <w:szCs w:val="24"/>
        </w:rPr>
        <w:fldChar w:fldCharType="separate"/>
      </w:r>
      <w:r w:rsidR="004C1C27" w:rsidRPr="004C1C27">
        <w:rPr>
          <w:rFonts w:cs="Garamond"/>
          <w:szCs w:val="24"/>
        </w:rPr>
        <w:t>Table 9</w:t>
      </w:r>
      <w:r w:rsidR="001F17C0" w:rsidRPr="001F17C0">
        <w:rPr>
          <w:rFonts w:cs="Garamond"/>
          <w:szCs w:val="24"/>
        </w:rPr>
        <w:fldChar w:fldCharType="end"/>
      </w:r>
      <w:r w:rsidR="0055362F" w:rsidRPr="001F17C0">
        <w:rPr>
          <w:rFonts w:cs="Garamond"/>
          <w:szCs w:val="24"/>
        </w:rPr>
        <w:t xml:space="preserve"> below.</w:t>
      </w:r>
    </w:p>
    <w:p w14:paraId="2B0766FD" w14:textId="1038A1FF" w:rsidR="008C7D14" w:rsidRPr="006839C4" w:rsidRDefault="0001527B" w:rsidP="006258B7">
      <w:pPr>
        <w:pStyle w:val="TableName"/>
      </w:pPr>
      <w:bookmarkStart w:id="181" w:name="_Ref386103441"/>
      <w:bookmarkStart w:id="182" w:name="_Toc389140552"/>
      <w:bookmarkStart w:id="183" w:name="_Toc389142171"/>
      <w:bookmarkStart w:id="184" w:name="_Toc389143596"/>
      <w:r w:rsidRPr="007F787A">
        <w:lastRenderedPageBreak/>
        <w:t xml:space="preserve">Table </w:t>
      </w:r>
      <w:r w:rsidR="004C1C27">
        <w:fldChar w:fldCharType="begin"/>
      </w:r>
      <w:r w:rsidR="004C1C27">
        <w:instrText xml:space="preserve"> SEQ Table \* ARABIC </w:instrText>
      </w:r>
      <w:r w:rsidR="004C1C27">
        <w:fldChar w:fldCharType="separate"/>
      </w:r>
      <w:r w:rsidR="004C1C27">
        <w:rPr>
          <w:noProof/>
        </w:rPr>
        <w:t>9</w:t>
      </w:r>
      <w:r w:rsidR="004C1C27">
        <w:rPr>
          <w:noProof/>
        </w:rPr>
        <w:fldChar w:fldCharType="end"/>
      </w:r>
      <w:bookmarkEnd w:id="181"/>
      <w:r w:rsidRPr="007F787A">
        <w:t xml:space="preserve">: </w:t>
      </w:r>
      <w:r w:rsidR="003E2E88" w:rsidRPr="006839C4">
        <w:t>Total e</w:t>
      </w:r>
      <w:r w:rsidR="00301E91" w:rsidRPr="006839C4">
        <w:t>stimated use of</w:t>
      </w:r>
      <w:r w:rsidR="008C7D14" w:rsidRPr="006839C4">
        <w:t xml:space="preserve"> rTMS</w:t>
      </w:r>
      <w:r w:rsidR="00301E91" w:rsidRPr="006839C4">
        <w:t>, adjusted for outcome</w:t>
      </w:r>
      <w:bookmarkEnd w:id="182"/>
      <w:bookmarkEnd w:id="183"/>
      <w:bookmarkEnd w:id="184"/>
    </w:p>
    <w:tbl>
      <w:tblPr>
        <w:tblW w:w="8363"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84"/>
        <w:gridCol w:w="3260"/>
        <w:gridCol w:w="850"/>
        <w:gridCol w:w="793"/>
        <w:gridCol w:w="794"/>
        <w:gridCol w:w="794"/>
        <w:gridCol w:w="794"/>
        <w:gridCol w:w="794"/>
      </w:tblGrid>
      <w:tr w:rsidR="007F6AB1" w:rsidRPr="007F6AB1" w14:paraId="5C26FF74" w14:textId="77777777" w:rsidTr="006007BB">
        <w:trPr>
          <w:cantSplit/>
        </w:trPr>
        <w:tc>
          <w:tcPr>
            <w:tcW w:w="3544" w:type="dxa"/>
            <w:gridSpan w:val="2"/>
            <w:tcMar>
              <w:left w:w="28" w:type="dxa"/>
              <w:right w:w="28" w:type="dxa"/>
            </w:tcMar>
            <w:vAlign w:val="center"/>
          </w:tcPr>
          <w:p w14:paraId="5606C563" w14:textId="77777777" w:rsidR="00831BA3" w:rsidRPr="007F6AB1" w:rsidRDefault="00831BA3" w:rsidP="002A4213">
            <w:pPr>
              <w:pStyle w:val="TableNotes0"/>
              <w:keepLines w:val="0"/>
              <w:spacing w:before="40" w:after="40"/>
              <w:jc w:val="left"/>
              <w:rPr>
                <w:rFonts w:ascii="Arial Narrow" w:hAnsi="Arial Narrow" w:cs="Arial Narrow"/>
                <w:b/>
                <w:sz w:val="18"/>
                <w:lang w:val="en-AU"/>
              </w:rPr>
            </w:pPr>
          </w:p>
        </w:tc>
        <w:tc>
          <w:tcPr>
            <w:tcW w:w="850" w:type="dxa"/>
            <w:tcMar>
              <w:left w:w="28" w:type="dxa"/>
              <w:right w:w="28" w:type="dxa"/>
            </w:tcMar>
            <w:vAlign w:val="center"/>
          </w:tcPr>
          <w:p w14:paraId="5CCF39C2" w14:textId="77777777" w:rsidR="00831BA3" w:rsidRP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Method</w:t>
            </w:r>
          </w:p>
        </w:tc>
        <w:tc>
          <w:tcPr>
            <w:tcW w:w="793" w:type="dxa"/>
            <w:tcMar>
              <w:left w:w="28" w:type="dxa"/>
              <w:right w:w="28" w:type="dxa"/>
            </w:tcMar>
            <w:vAlign w:val="center"/>
          </w:tcPr>
          <w:p w14:paraId="14E7BCAB" w14:textId="77777777" w:rsid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Year 1</w:t>
            </w:r>
          </w:p>
          <w:p w14:paraId="193DA2E5" w14:textId="77777777" w:rsidR="00831BA3" w:rsidRP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2015</w:t>
            </w:r>
          </w:p>
        </w:tc>
        <w:tc>
          <w:tcPr>
            <w:tcW w:w="794" w:type="dxa"/>
            <w:tcMar>
              <w:left w:w="28" w:type="dxa"/>
              <w:right w:w="28" w:type="dxa"/>
            </w:tcMar>
            <w:vAlign w:val="center"/>
          </w:tcPr>
          <w:p w14:paraId="6C9EFC90" w14:textId="77777777" w:rsidR="00831BA3" w:rsidRP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Year 2</w:t>
            </w:r>
          </w:p>
          <w:p w14:paraId="2A4C0432" w14:textId="77777777" w:rsidR="00831BA3" w:rsidRP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2016</w:t>
            </w:r>
          </w:p>
        </w:tc>
        <w:tc>
          <w:tcPr>
            <w:tcW w:w="794" w:type="dxa"/>
            <w:tcMar>
              <w:left w:w="28" w:type="dxa"/>
              <w:right w:w="28" w:type="dxa"/>
            </w:tcMar>
            <w:vAlign w:val="center"/>
          </w:tcPr>
          <w:p w14:paraId="4149AA96" w14:textId="77777777" w:rsidR="00831BA3" w:rsidRP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Year 3</w:t>
            </w:r>
          </w:p>
          <w:p w14:paraId="42220DB7" w14:textId="77777777" w:rsidR="00831BA3" w:rsidRP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2017</w:t>
            </w:r>
          </w:p>
        </w:tc>
        <w:tc>
          <w:tcPr>
            <w:tcW w:w="794" w:type="dxa"/>
            <w:tcMar>
              <w:left w:w="28" w:type="dxa"/>
              <w:right w:w="28" w:type="dxa"/>
            </w:tcMar>
            <w:vAlign w:val="center"/>
          </w:tcPr>
          <w:p w14:paraId="2F74FB6D" w14:textId="77777777" w:rsidR="00831BA3" w:rsidRP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Year 4</w:t>
            </w:r>
          </w:p>
          <w:p w14:paraId="35DE4530" w14:textId="77777777" w:rsidR="00831BA3" w:rsidRP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2018</w:t>
            </w:r>
          </w:p>
        </w:tc>
        <w:tc>
          <w:tcPr>
            <w:tcW w:w="794" w:type="dxa"/>
            <w:tcMar>
              <w:left w:w="28" w:type="dxa"/>
              <w:right w:w="28" w:type="dxa"/>
            </w:tcMar>
            <w:vAlign w:val="center"/>
          </w:tcPr>
          <w:p w14:paraId="2B110BF2" w14:textId="77777777" w:rsidR="00831BA3" w:rsidRP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Year 5</w:t>
            </w:r>
          </w:p>
          <w:p w14:paraId="4803FDA8" w14:textId="77777777" w:rsidR="00831BA3" w:rsidRPr="007F6AB1" w:rsidRDefault="00831BA3" w:rsidP="002A4213">
            <w:pPr>
              <w:pStyle w:val="TableNotes0"/>
              <w:keepLines w:val="0"/>
              <w:spacing w:before="40" w:after="40"/>
              <w:jc w:val="center"/>
              <w:rPr>
                <w:rFonts w:ascii="Arial Narrow" w:hAnsi="Arial Narrow" w:cs="Arial Narrow"/>
                <w:b/>
                <w:sz w:val="18"/>
                <w:lang w:val="en-AU"/>
              </w:rPr>
            </w:pPr>
            <w:r w:rsidRPr="007F6AB1">
              <w:rPr>
                <w:rFonts w:ascii="Arial Narrow" w:hAnsi="Arial Narrow" w:cs="Arial Narrow"/>
                <w:b/>
                <w:sz w:val="18"/>
                <w:lang w:val="en-AU"/>
              </w:rPr>
              <w:t>2019</w:t>
            </w:r>
          </w:p>
        </w:tc>
      </w:tr>
      <w:tr w:rsidR="007F6AB1" w:rsidRPr="007F6AB1" w14:paraId="4AF8FF73" w14:textId="77777777" w:rsidTr="006007BB">
        <w:trPr>
          <w:cantSplit/>
        </w:trPr>
        <w:tc>
          <w:tcPr>
            <w:tcW w:w="284" w:type="dxa"/>
            <w:tcMar>
              <w:left w:w="28" w:type="dxa"/>
              <w:right w:w="28" w:type="dxa"/>
            </w:tcMar>
            <w:vAlign w:val="center"/>
          </w:tcPr>
          <w:p w14:paraId="5F22F4C8" w14:textId="77777777" w:rsidR="00AB7646" w:rsidRPr="007F6AB1" w:rsidRDefault="00AB7646" w:rsidP="002A4213">
            <w:pPr>
              <w:pStyle w:val="Tabletext1"/>
              <w:keepNext/>
              <w:widowControl/>
              <w:spacing w:before="40" w:after="40" w:line="240" w:lineRule="auto"/>
              <w:jc w:val="center"/>
              <w:rPr>
                <w:rFonts w:ascii="Arial Narrow" w:hAnsi="Arial Narrow"/>
                <w:sz w:val="18"/>
                <w:szCs w:val="18"/>
                <w:lang w:val="en-AU"/>
              </w:rPr>
            </w:pPr>
            <w:r w:rsidRPr="007F6AB1">
              <w:rPr>
                <w:rFonts w:ascii="Arial Narrow" w:hAnsi="Arial Narrow"/>
                <w:sz w:val="18"/>
                <w:szCs w:val="18"/>
                <w:lang w:val="en-AU"/>
              </w:rPr>
              <w:t>F</w:t>
            </w:r>
          </w:p>
        </w:tc>
        <w:tc>
          <w:tcPr>
            <w:tcW w:w="3260" w:type="dxa"/>
            <w:tcMar>
              <w:left w:w="28" w:type="dxa"/>
              <w:right w:w="28" w:type="dxa"/>
            </w:tcMar>
            <w:vAlign w:val="center"/>
          </w:tcPr>
          <w:p w14:paraId="5B158F38" w14:textId="77777777" w:rsidR="00AB7646" w:rsidRPr="007F6AB1" w:rsidRDefault="00AB7646" w:rsidP="002A4213">
            <w:pPr>
              <w:keepNext/>
              <w:spacing w:before="40" w:after="40"/>
              <w:ind w:left="0"/>
              <w:rPr>
                <w:rFonts w:ascii="Arial Narrow" w:hAnsi="Arial Narrow" w:cs="Arial"/>
                <w:sz w:val="18"/>
                <w:szCs w:val="18"/>
              </w:rPr>
            </w:pPr>
            <w:r w:rsidRPr="007F6AB1">
              <w:rPr>
                <w:rFonts w:ascii="Arial Narrow" w:hAnsi="Arial Narrow" w:cs="Arial"/>
                <w:sz w:val="18"/>
                <w:szCs w:val="18"/>
              </w:rPr>
              <w:t xml:space="preserve">Adjusted rTMS patient number </w:t>
            </w:r>
          </w:p>
        </w:tc>
        <w:tc>
          <w:tcPr>
            <w:tcW w:w="850" w:type="dxa"/>
            <w:tcMar>
              <w:left w:w="28" w:type="dxa"/>
              <w:right w:w="28" w:type="dxa"/>
            </w:tcMar>
            <w:vAlign w:val="center"/>
          </w:tcPr>
          <w:p w14:paraId="65244D21" w14:textId="77777777" w:rsidR="00AB7646" w:rsidRPr="00EC0A91" w:rsidRDefault="00AB7646" w:rsidP="002A4213">
            <w:pPr>
              <w:pStyle w:val="Tabletext1"/>
              <w:keepNext/>
              <w:widowControl/>
              <w:spacing w:before="40" w:after="40" w:line="240" w:lineRule="auto"/>
              <w:jc w:val="center"/>
              <w:rPr>
                <w:rFonts w:ascii="Arial Narrow" w:hAnsi="Arial Narrow"/>
                <w:sz w:val="18"/>
                <w:szCs w:val="18"/>
                <w:lang w:val="en-AU"/>
              </w:rPr>
            </w:pPr>
            <w:r w:rsidRPr="00EC0A91">
              <w:rPr>
                <w:rFonts w:ascii="Arial Narrow" w:hAnsi="Arial Narrow"/>
                <w:sz w:val="18"/>
                <w:szCs w:val="18"/>
                <w:lang w:val="en-AU"/>
              </w:rPr>
              <w:t>From above</w:t>
            </w:r>
          </w:p>
        </w:tc>
        <w:tc>
          <w:tcPr>
            <w:tcW w:w="793" w:type="dxa"/>
            <w:tcMar>
              <w:left w:w="28" w:type="dxa"/>
              <w:right w:w="28" w:type="dxa"/>
            </w:tcMar>
            <w:vAlign w:val="center"/>
          </w:tcPr>
          <w:p w14:paraId="3CAFD982" w14:textId="77777777" w:rsidR="00AB7646" w:rsidRPr="007F6AB1" w:rsidRDefault="00AB7646" w:rsidP="002A4213">
            <w:pPr>
              <w:keepNext/>
              <w:spacing w:before="40" w:after="40"/>
              <w:ind w:left="0"/>
              <w:jc w:val="center"/>
              <w:rPr>
                <w:rFonts w:ascii="Arial Narrow" w:hAnsi="Arial Narrow" w:cs="Arial"/>
                <w:sz w:val="18"/>
                <w:szCs w:val="18"/>
              </w:rPr>
            </w:pPr>
            <w:r w:rsidRPr="007F6AB1">
              <w:rPr>
                <w:rFonts w:ascii="Arial Narrow" w:hAnsi="Arial Narrow" w:cs="Arial"/>
                <w:sz w:val="18"/>
                <w:szCs w:val="18"/>
              </w:rPr>
              <w:t>2,012</w:t>
            </w:r>
          </w:p>
        </w:tc>
        <w:tc>
          <w:tcPr>
            <w:tcW w:w="794" w:type="dxa"/>
            <w:tcMar>
              <w:left w:w="28" w:type="dxa"/>
              <w:right w:w="28" w:type="dxa"/>
            </w:tcMar>
            <w:vAlign w:val="center"/>
          </w:tcPr>
          <w:p w14:paraId="413826FE" w14:textId="77777777" w:rsidR="00AB7646" w:rsidRPr="007F6AB1" w:rsidRDefault="00AB7646" w:rsidP="002A4213">
            <w:pPr>
              <w:keepNext/>
              <w:spacing w:before="40" w:after="40"/>
              <w:ind w:left="0"/>
              <w:jc w:val="center"/>
              <w:rPr>
                <w:rFonts w:ascii="Arial Narrow" w:hAnsi="Arial Narrow" w:cs="Arial"/>
                <w:sz w:val="18"/>
                <w:szCs w:val="18"/>
              </w:rPr>
            </w:pPr>
            <w:r w:rsidRPr="007F6AB1">
              <w:rPr>
                <w:rFonts w:ascii="Arial Narrow" w:hAnsi="Arial Narrow" w:cs="Arial"/>
                <w:sz w:val="18"/>
                <w:szCs w:val="18"/>
              </w:rPr>
              <w:t>2,233</w:t>
            </w:r>
          </w:p>
        </w:tc>
        <w:tc>
          <w:tcPr>
            <w:tcW w:w="794" w:type="dxa"/>
            <w:tcMar>
              <w:left w:w="28" w:type="dxa"/>
              <w:right w:w="28" w:type="dxa"/>
            </w:tcMar>
            <w:vAlign w:val="center"/>
          </w:tcPr>
          <w:p w14:paraId="223CC527" w14:textId="77777777" w:rsidR="00AB7646" w:rsidRPr="007F6AB1" w:rsidRDefault="00AB7646" w:rsidP="002A4213">
            <w:pPr>
              <w:keepNext/>
              <w:spacing w:before="40" w:after="40"/>
              <w:ind w:left="0"/>
              <w:jc w:val="center"/>
              <w:rPr>
                <w:rFonts w:ascii="Arial Narrow" w:hAnsi="Arial Narrow" w:cs="Arial"/>
                <w:sz w:val="18"/>
                <w:szCs w:val="18"/>
              </w:rPr>
            </w:pPr>
            <w:r w:rsidRPr="007F6AB1">
              <w:rPr>
                <w:rFonts w:ascii="Arial Narrow" w:hAnsi="Arial Narrow" w:cs="Arial"/>
                <w:sz w:val="18"/>
                <w:szCs w:val="18"/>
              </w:rPr>
              <w:t>2,460</w:t>
            </w:r>
          </w:p>
        </w:tc>
        <w:tc>
          <w:tcPr>
            <w:tcW w:w="794" w:type="dxa"/>
            <w:tcMar>
              <w:left w:w="28" w:type="dxa"/>
              <w:right w:w="28" w:type="dxa"/>
            </w:tcMar>
            <w:vAlign w:val="center"/>
          </w:tcPr>
          <w:p w14:paraId="10642BB5" w14:textId="77777777" w:rsidR="00AB7646" w:rsidRPr="007F6AB1" w:rsidRDefault="00AB7646" w:rsidP="002A4213">
            <w:pPr>
              <w:keepNext/>
              <w:spacing w:before="40" w:after="40"/>
              <w:ind w:left="0"/>
              <w:jc w:val="center"/>
              <w:rPr>
                <w:rFonts w:ascii="Arial Narrow" w:hAnsi="Arial Narrow" w:cs="Arial"/>
                <w:sz w:val="18"/>
                <w:szCs w:val="18"/>
              </w:rPr>
            </w:pPr>
            <w:r w:rsidRPr="007F6AB1">
              <w:rPr>
                <w:rFonts w:ascii="Arial Narrow" w:hAnsi="Arial Narrow" w:cs="Arial"/>
                <w:sz w:val="18"/>
                <w:szCs w:val="18"/>
              </w:rPr>
              <w:t>2,695</w:t>
            </w:r>
          </w:p>
        </w:tc>
        <w:tc>
          <w:tcPr>
            <w:tcW w:w="794" w:type="dxa"/>
            <w:tcMar>
              <w:left w:w="28" w:type="dxa"/>
              <w:right w:w="28" w:type="dxa"/>
            </w:tcMar>
            <w:vAlign w:val="center"/>
          </w:tcPr>
          <w:p w14:paraId="6DED7D9E" w14:textId="77777777" w:rsidR="00AB7646" w:rsidRPr="007F6AB1" w:rsidRDefault="00AB7646" w:rsidP="002A4213">
            <w:pPr>
              <w:keepNext/>
              <w:spacing w:before="40" w:after="40"/>
              <w:ind w:left="0"/>
              <w:jc w:val="center"/>
              <w:rPr>
                <w:rFonts w:ascii="Arial Narrow" w:hAnsi="Arial Narrow" w:cs="Arial"/>
                <w:sz w:val="18"/>
                <w:szCs w:val="18"/>
              </w:rPr>
            </w:pPr>
            <w:r w:rsidRPr="007F6AB1">
              <w:rPr>
                <w:rFonts w:ascii="Arial Narrow" w:hAnsi="Arial Narrow" w:cs="Arial"/>
                <w:sz w:val="18"/>
                <w:szCs w:val="18"/>
              </w:rPr>
              <w:t>2,935</w:t>
            </w:r>
          </w:p>
        </w:tc>
      </w:tr>
      <w:tr w:rsidR="007F6AB1" w:rsidRPr="007F6AB1" w14:paraId="4DB3CA90" w14:textId="77777777" w:rsidTr="006007BB">
        <w:trPr>
          <w:cantSplit/>
        </w:trPr>
        <w:tc>
          <w:tcPr>
            <w:tcW w:w="284" w:type="dxa"/>
            <w:tcMar>
              <w:left w:w="28" w:type="dxa"/>
              <w:right w:w="28" w:type="dxa"/>
            </w:tcMar>
            <w:vAlign w:val="center"/>
          </w:tcPr>
          <w:p w14:paraId="4D6CABBA" w14:textId="77777777" w:rsidR="004A4B27" w:rsidRPr="007F6AB1" w:rsidRDefault="00D90855"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G</w:t>
            </w:r>
          </w:p>
        </w:tc>
        <w:tc>
          <w:tcPr>
            <w:tcW w:w="3260" w:type="dxa"/>
            <w:tcMar>
              <w:left w:w="28" w:type="dxa"/>
              <w:right w:w="28" w:type="dxa"/>
            </w:tcMar>
            <w:vAlign w:val="center"/>
          </w:tcPr>
          <w:p w14:paraId="5D04ED50" w14:textId="77777777" w:rsidR="004A4B27" w:rsidRPr="007F6AB1" w:rsidRDefault="004A4B27" w:rsidP="002A4213">
            <w:pPr>
              <w:pStyle w:val="TableNotes0"/>
              <w:keepLines w:val="0"/>
              <w:spacing w:before="40" w:after="40"/>
              <w:jc w:val="left"/>
              <w:rPr>
                <w:rFonts w:ascii="Arial Narrow" w:hAnsi="Arial Narrow" w:cs="Arial Narrow"/>
                <w:sz w:val="18"/>
                <w:lang w:val="en-AU"/>
              </w:rPr>
            </w:pPr>
            <w:r w:rsidRPr="007F6AB1">
              <w:rPr>
                <w:rFonts w:ascii="Arial Narrow" w:hAnsi="Arial Narrow" w:cs="Arial Narrow"/>
                <w:sz w:val="18"/>
                <w:lang w:val="en-AU"/>
              </w:rPr>
              <w:t>Number who will require reintroduction of rTMS</w:t>
            </w:r>
          </w:p>
        </w:tc>
        <w:tc>
          <w:tcPr>
            <w:tcW w:w="850" w:type="dxa"/>
            <w:tcMar>
              <w:left w:w="28" w:type="dxa"/>
              <w:right w:w="28" w:type="dxa"/>
            </w:tcMar>
            <w:vAlign w:val="center"/>
          </w:tcPr>
          <w:p w14:paraId="211101BD" w14:textId="77777777" w:rsidR="004A4B27" w:rsidRPr="007F6AB1" w:rsidRDefault="00D90855"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F</w:t>
            </w:r>
            <w:r w:rsidR="004A4B27" w:rsidRPr="007F6AB1">
              <w:rPr>
                <w:rFonts w:ascii="Arial Narrow" w:hAnsi="Arial Narrow" w:cs="Arial Narrow"/>
                <w:sz w:val="18"/>
                <w:lang w:val="en-AU"/>
              </w:rPr>
              <w:t>x36.2%</w:t>
            </w:r>
          </w:p>
        </w:tc>
        <w:tc>
          <w:tcPr>
            <w:tcW w:w="793" w:type="dxa"/>
            <w:tcMar>
              <w:left w:w="28" w:type="dxa"/>
              <w:right w:w="28" w:type="dxa"/>
            </w:tcMar>
            <w:vAlign w:val="center"/>
          </w:tcPr>
          <w:p w14:paraId="247C63D0" w14:textId="77777777" w:rsidR="004A4B27" w:rsidRPr="007F6AB1" w:rsidRDefault="00AB7646"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728</w:t>
            </w:r>
          </w:p>
        </w:tc>
        <w:tc>
          <w:tcPr>
            <w:tcW w:w="794" w:type="dxa"/>
            <w:tcMar>
              <w:left w:w="28" w:type="dxa"/>
              <w:right w:w="28" w:type="dxa"/>
            </w:tcMar>
            <w:vAlign w:val="center"/>
          </w:tcPr>
          <w:p w14:paraId="530DE639" w14:textId="77777777" w:rsidR="004A4B27" w:rsidRPr="007F6AB1" w:rsidRDefault="00AB7646"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808</w:t>
            </w:r>
          </w:p>
        </w:tc>
        <w:tc>
          <w:tcPr>
            <w:tcW w:w="794" w:type="dxa"/>
            <w:tcMar>
              <w:left w:w="28" w:type="dxa"/>
              <w:right w:w="28" w:type="dxa"/>
            </w:tcMar>
            <w:vAlign w:val="center"/>
          </w:tcPr>
          <w:p w14:paraId="5745F35F" w14:textId="77777777" w:rsidR="004A4B27" w:rsidRPr="007F6AB1" w:rsidRDefault="00AB7646"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891</w:t>
            </w:r>
          </w:p>
        </w:tc>
        <w:tc>
          <w:tcPr>
            <w:tcW w:w="794" w:type="dxa"/>
            <w:tcMar>
              <w:left w:w="28" w:type="dxa"/>
              <w:right w:w="28" w:type="dxa"/>
            </w:tcMar>
            <w:vAlign w:val="center"/>
          </w:tcPr>
          <w:p w14:paraId="3196551C" w14:textId="77777777" w:rsidR="004A4B27" w:rsidRPr="007F6AB1" w:rsidRDefault="00AB7646"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975</w:t>
            </w:r>
          </w:p>
        </w:tc>
        <w:tc>
          <w:tcPr>
            <w:tcW w:w="794" w:type="dxa"/>
            <w:tcMar>
              <w:left w:w="28" w:type="dxa"/>
              <w:right w:w="28" w:type="dxa"/>
            </w:tcMar>
            <w:vAlign w:val="center"/>
          </w:tcPr>
          <w:p w14:paraId="6F4BE597" w14:textId="77777777" w:rsidR="004A4B27" w:rsidRPr="007F6AB1" w:rsidRDefault="00AB7646"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1,062</w:t>
            </w:r>
          </w:p>
        </w:tc>
      </w:tr>
      <w:tr w:rsidR="007F6AB1" w:rsidRPr="007F6AB1" w14:paraId="630AD441" w14:textId="77777777" w:rsidTr="006007BB">
        <w:trPr>
          <w:cantSplit/>
        </w:trPr>
        <w:tc>
          <w:tcPr>
            <w:tcW w:w="284" w:type="dxa"/>
            <w:tcMar>
              <w:left w:w="28" w:type="dxa"/>
              <w:right w:w="28" w:type="dxa"/>
            </w:tcMar>
            <w:vAlign w:val="center"/>
          </w:tcPr>
          <w:p w14:paraId="056EE822" w14:textId="77777777" w:rsidR="004A4B27" w:rsidRPr="007F6AB1" w:rsidRDefault="00D90855"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H</w:t>
            </w:r>
          </w:p>
        </w:tc>
        <w:tc>
          <w:tcPr>
            <w:tcW w:w="3260" w:type="dxa"/>
            <w:tcMar>
              <w:left w:w="28" w:type="dxa"/>
              <w:right w:w="28" w:type="dxa"/>
            </w:tcMar>
            <w:vAlign w:val="center"/>
          </w:tcPr>
          <w:p w14:paraId="0ACC1076" w14:textId="77777777" w:rsidR="004A4B27" w:rsidRPr="007F6AB1" w:rsidRDefault="004A4B27" w:rsidP="002A4213">
            <w:pPr>
              <w:pStyle w:val="TableNotes0"/>
              <w:keepLines w:val="0"/>
              <w:spacing w:before="40" w:after="40"/>
              <w:jc w:val="left"/>
              <w:rPr>
                <w:rFonts w:ascii="Arial Narrow" w:hAnsi="Arial Narrow" w:cs="Arial Narrow"/>
                <w:sz w:val="18"/>
                <w:lang w:val="en-AU"/>
              </w:rPr>
            </w:pPr>
            <w:r w:rsidRPr="007F6AB1">
              <w:rPr>
                <w:rFonts w:ascii="Arial Narrow" w:hAnsi="Arial Narrow" w:cs="Arial Narrow"/>
                <w:sz w:val="18"/>
                <w:lang w:val="en-AU"/>
              </w:rPr>
              <w:t>Number who will require maintenance rTMS</w:t>
            </w:r>
          </w:p>
        </w:tc>
        <w:tc>
          <w:tcPr>
            <w:tcW w:w="850" w:type="dxa"/>
            <w:tcMar>
              <w:left w:w="28" w:type="dxa"/>
              <w:right w:w="28" w:type="dxa"/>
            </w:tcMar>
            <w:vAlign w:val="center"/>
          </w:tcPr>
          <w:p w14:paraId="51A02382" w14:textId="77777777" w:rsidR="004A4B27" w:rsidRPr="007F6AB1" w:rsidRDefault="00D90855"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F</w:t>
            </w:r>
            <w:r w:rsidR="004A4B27" w:rsidRPr="007F6AB1">
              <w:rPr>
                <w:rFonts w:ascii="Arial Narrow" w:hAnsi="Arial Narrow" w:cs="Arial Narrow"/>
                <w:sz w:val="18"/>
                <w:lang w:val="en-AU"/>
              </w:rPr>
              <w:t>x10%</w:t>
            </w:r>
          </w:p>
        </w:tc>
        <w:tc>
          <w:tcPr>
            <w:tcW w:w="793" w:type="dxa"/>
            <w:tcMar>
              <w:left w:w="28" w:type="dxa"/>
              <w:right w:w="28" w:type="dxa"/>
            </w:tcMar>
            <w:vAlign w:val="center"/>
          </w:tcPr>
          <w:p w14:paraId="077F0540" w14:textId="77777777" w:rsidR="004A4B27" w:rsidRPr="007F6AB1" w:rsidRDefault="00AB7646"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201</w:t>
            </w:r>
          </w:p>
        </w:tc>
        <w:tc>
          <w:tcPr>
            <w:tcW w:w="794" w:type="dxa"/>
            <w:tcMar>
              <w:left w:w="28" w:type="dxa"/>
              <w:right w:w="28" w:type="dxa"/>
            </w:tcMar>
            <w:vAlign w:val="center"/>
          </w:tcPr>
          <w:p w14:paraId="2EF9259E" w14:textId="77777777" w:rsidR="004A4B27" w:rsidRPr="007F6AB1" w:rsidRDefault="00AB7646"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223</w:t>
            </w:r>
          </w:p>
        </w:tc>
        <w:tc>
          <w:tcPr>
            <w:tcW w:w="794" w:type="dxa"/>
            <w:tcMar>
              <w:left w:w="28" w:type="dxa"/>
              <w:right w:w="28" w:type="dxa"/>
            </w:tcMar>
            <w:vAlign w:val="center"/>
          </w:tcPr>
          <w:p w14:paraId="2724EF2C" w14:textId="77777777" w:rsidR="004A4B27" w:rsidRPr="007F6AB1" w:rsidRDefault="00AB7646"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246</w:t>
            </w:r>
          </w:p>
        </w:tc>
        <w:tc>
          <w:tcPr>
            <w:tcW w:w="794" w:type="dxa"/>
            <w:tcMar>
              <w:left w:w="28" w:type="dxa"/>
              <w:right w:w="28" w:type="dxa"/>
            </w:tcMar>
            <w:vAlign w:val="center"/>
          </w:tcPr>
          <w:p w14:paraId="4EF83D7B" w14:textId="77777777" w:rsidR="004A4B27" w:rsidRPr="007F6AB1" w:rsidRDefault="00AB7646"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269</w:t>
            </w:r>
          </w:p>
        </w:tc>
        <w:tc>
          <w:tcPr>
            <w:tcW w:w="794" w:type="dxa"/>
            <w:tcMar>
              <w:left w:w="28" w:type="dxa"/>
              <w:right w:w="28" w:type="dxa"/>
            </w:tcMar>
            <w:vAlign w:val="center"/>
          </w:tcPr>
          <w:p w14:paraId="245B7100" w14:textId="77777777" w:rsidR="004A4B27" w:rsidRPr="007F6AB1" w:rsidRDefault="00AB7646" w:rsidP="002A4213">
            <w:pPr>
              <w:pStyle w:val="TableNotes0"/>
              <w:keepLines w:val="0"/>
              <w:spacing w:before="40" w:after="40"/>
              <w:jc w:val="center"/>
              <w:rPr>
                <w:rFonts w:ascii="Arial Narrow" w:hAnsi="Arial Narrow" w:cs="Arial Narrow"/>
                <w:sz w:val="18"/>
                <w:lang w:val="en-AU"/>
              </w:rPr>
            </w:pPr>
            <w:r w:rsidRPr="007F6AB1">
              <w:rPr>
                <w:rFonts w:ascii="Arial Narrow" w:hAnsi="Arial Narrow" w:cs="Arial Narrow"/>
                <w:sz w:val="18"/>
                <w:lang w:val="en-AU"/>
              </w:rPr>
              <w:t>293</w:t>
            </w:r>
          </w:p>
        </w:tc>
      </w:tr>
    </w:tbl>
    <w:p w14:paraId="317DB7DA" w14:textId="77777777" w:rsidR="008C7D14" w:rsidRDefault="008C7D14" w:rsidP="002A4213">
      <w:pPr>
        <w:keepNext/>
        <w:spacing w:before="40" w:after="40"/>
        <w:rPr>
          <w:rFonts w:ascii="Arial Narrow" w:hAnsi="Arial Narrow" w:cs="Arial"/>
          <w:sz w:val="18"/>
          <w:szCs w:val="18"/>
        </w:rPr>
      </w:pPr>
      <w:r w:rsidRPr="007F6AB1">
        <w:rPr>
          <w:rFonts w:ascii="Arial Narrow" w:hAnsi="Arial Narrow" w:cs="Arial"/>
          <w:sz w:val="18"/>
          <w:szCs w:val="18"/>
        </w:rPr>
        <w:t>Source: Excel spreadsheet</w:t>
      </w:r>
      <w:r w:rsidR="00C23026" w:rsidRPr="007F6AB1">
        <w:rPr>
          <w:rFonts w:ascii="Arial Narrow" w:hAnsi="Arial Narrow" w:cs="Arial"/>
          <w:sz w:val="18"/>
          <w:szCs w:val="18"/>
        </w:rPr>
        <w:t xml:space="preserve"> (rTMS Section E.xls</w:t>
      </w:r>
      <w:proofErr w:type="gramStart"/>
      <w:r w:rsidR="00C23026" w:rsidRPr="007F6AB1">
        <w:rPr>
          <w:rFonts w:ascii="Arial Narrow" w:hAnsi="Arial Narrow" w:cs="Arial"/>
          <w:sz w:val="18"/>
          <w:szCs w:val="18"/>
        </w:rPr>
        <w:t>)</w:t>
      </w:r>
      <w:proofErr w:type="gramEnd"/>
      <w:r w:rsidRPr="007F6AB1">
        <w:rPr>
          <w:rFonts w:ascii="Arial Narrow" w:hAnsi="Arial Narrow" w:cs="Arial"/>
          <w:sz w:val="18"/>
          <w:szCs w:val="18"/>
        </w:rPr>
        <w:br/>
        <w:t>rTMS = repetitive Transcranial Magnetic Stimulation</w:t>
      </w:r>
    </w:p>
    <w:p w14:paraId="3F02F1CC" w14:textId="77777777" w:rsidR="002A4213" w:rsidRPr="007F6AB1" w:rsidRDefault="002A4213" w:rsidP="002A4213"/>
    <w:p w14:paraId="6F030383" w14:textId="77777777" w:rsidR="008C7D14" w:rsidRDefault="00A464E7" w:rsidP="007F6AB1">
      <w:pPr>
        <w:jc w:val="both"/>
        <w:rPr>
          <w:rFonts w:cs="Arial"/>
          <w:szCs w:val="24"/>
        </w:rPr>
      </w:pPr>
      <w:r>
        <w:rPr>
          <w:rFonts w:cs="Arial"/>
          <w:szCs w:val="24"/>
        </w:rPr>
        <w:t>It is expected that 728 patients will require an additional course of rTMS in Year 1, with this number increasing to 1,062 in Year 5. Over this time period 1,232 patients will require rTMS maintenance therapy.</w:t>
      </w:r>
    </w:p>
    <w:p w14:paraId="61AAA1B6" w14:textId="77777777" w:rsidR="00AD34E3" w:rsidRPr="00147CDA" w:rsidRDefault="00147CDA" w:rsidP="007F6AB1">
      <w:pPr>
        <w:pStyle w:val="Heading5"/>
      </w:pPr>
      <w:r w:rsidRPr="00147CDA">
        <w:t>Expected costs to the MBS</w:t>
      </w:r>
    </w:p>
    <w:p w14:paraId="6A0ABD53" w14:textId="34FBBC94" w:rsidR="00147CDA" w:rsidRPr="001F17C0" w:rsidRDefault="00FA0A6E" w:rsidP="005E00ED">
      <w:pPr>
        <w:jc w:val="both"/>
        <w:rPr>
          <w:rFonts w:cs="Garamond"/>
          <w:szCs w:val="24"/>
        </w:rPr>
      </w:pPr>
      <w:r>
        <w:t>For acute-phase major depression, a standard course of rTMS is</w:t>
      </w:r>
      <w:r w:rsidR="00147CDA">
        <w:t xml:space="preserve"> 20</w:t>
      </w:r>
      <w:r w:rsidR="001642BC">
        <w:t xml:space="preserve"> to 30</w:t>
      </w:r>
      <w:r w:rsidR="00147CDA">
        <w:t xml:space="preserve"> treatments (</w:t>
      </w:r>
      <w:r w:rsidR="00650669">
        <w:t xml:space="preserve">three to </w:t>
      </w:r>
      <w:r w:rsidR="00147CDA">
        <w:t>fiv</w:t>
      </w:r>
      <w:r w:rsidR="0032497E">
        <w:t>e days per week for four</w:t>
      </w:r>
      <w:r w:rsidR="001642BC">
        <w:t xml:space="preserve"> to six</w:t>
      </w:r>
      <w:r w:rsidR="0032497E">
        <w:t xml:space="preserve"> weeks)</w:t>
      </w:r>
      <w:r>
        <w:t>,</w:t>
      </w:r>
      <w:r w:rsidR="0032497E">
        <w:t xml:space="preserve"> </w:t>
      </w:r>
      <w:r w:rsidR="001642BC">
        <w:t>with the average patient receiving 28.3</w:t>
      </w:r>
      <w:r w:rsidR="0032497E">
        <w:t xml:space="preserve"> treatments. </w:t>
      </w:r>
      <w:r w:rsidR="00823397">
        <w:t>On average, those who</w:t>
      </w:r>
      <w:r>
        <w:t xml:space="preserve"> experience symptom recurrence and</w:t>
      </w:r>
      <w:r w:rsidR="001642BC">
        <w:t xml:space="preserve"> require reintroduction of rTMS</w:t>
      </w:r>
      <w:r w:rsidR="00823397">
        <w:t>, receive an additional 1</w:t>
      </w:r>
      <w:r w:rsidR="001642BC">
        <w:t xml:space="preserve">6.2 </w:t>
      </w:r>
      <w:r w:rsidR="00823397">
        <w:t xml:space="preserve">treatments </w:t>
      </w:r>
      <w:r w:rsidR="00395753">
        <w:t>over the course of 12 months</w:t>
      </w:r>
      <w:r w:rsidR="001642BC">
        <w:t>.</w:t>
      </w:r>
      <w:r w:rsidR="0021515E">
        <w:t xml:space="preserve"> </w:t>
      </w:r>
      <w:r w:rsidR="00823397">
        <w:t xml:space="preserve">Those on </w:t>
      </w:r>
      <w:r w:rsidR="00331C3A">
        <w:t>maintenance therapy</w:t>
      </w:r>
      <w:r w:rsidR="00823397">
        <w:t xml:space="preserve"> will receive</w:t>
      </w:r>
      <w:r w:rsidR="00331C3A">
        <w:t xml:space="preserve"> one treatment a fortnight. </w:t>
      </w:r>
      <w:r w:rsidR="0021515E">
        <w:t>Based on this information t</w:t>
      </w:r>
      <w:r w:rsidR="00F85EBC">
        <w:t>he total number of rTMS treatments</w:t>
      </w:r>
      <w:r w:rsidR="0021515E">
        <w:t xml:space="preserve"> provided on the MBS each year can now be </w:t>
      </w:r>
      <w:r w:rsidR="0021515E" w:rsidRPr="001F17C0">
        <w:rPr>
          <w:rFonts w:cs="Garamond"/>
          <w:szCs w:val="24"/>
        </w:rPr>
        <w:t>estimated</w:t>
      </w:r>
      <w:r w:rsidR="00F85EBC" w:rsidRPr="001F17C0">
        <w:rPr>
          <w:rFonts w:cs="Garamond"/>
          <w:szCs w:val="24"/>
        </w:rPr>
        <w:t xml:space="preserve"> (s</w:t>
      </w:r>
      <w:r w:rsidR="0021515E" w:rsidRPr="001F17C0">
        <w:rPr>
          <w:rFonts w:cs="Garamond"/>
          <w:szCs w:val="24"/>
        </w:rPr>
        <w:t xml:space="preserve">ee </w:t>
      </w:r>
      <w:r w:rsidR="001F17C0" w:rsidRPr="001F17C0">
        <w:rPr>
          <w:rFonts w:cs="Garamond"/>
          <w:szCs w:val="24"/>
        </w:rPr>
        <w:fldChar w:fldCharType="begin"/>
      </w:r>
      <w:r w:rsidR="001F17C0" w:rsidRPr="001F17C0">
        <w:rPr>
          <w:rFonts w:cs="Garamond"/>
          <w:szCs w:val="24"/>
        </w:rPr>
        <w:instrText xml:space="preserve"> REF _Ref386103449 \h </w:instrText>
      </w:r>
      <w:r w:rsidR="001F17C0">
        <w:rPr>
          <w:rFonts w:cs="Garamond"/>
          <w:szCs w:val="24"/>
        </w:rPr>
        <w:instrText xml:space="preserve"> \* MERGEFORMAT </w:instrText>
      </w:r>
      <w:r w:rsidR="001F17C0" w:rsidRPr="001F17C0">
        <w:rPr>
          <w:rFonts w:cs="Garamond"/>
          <w:szCs w:val="24"/>
        </w:rPr>
      </w:r>
      <w:r w:rsidR="001F17C0" w:rsidRPr="001F17C0">
        <w:rPr>
          <w:rFonts w:cs="Garamond"/>
          <w:szCs w:val="24"/>
        </w:rPr>
        <w:fldChar w:fldCharType="separate"/>
      </w:r>
      <w:r w:rsidR="004C1C27" w:rsidRPr="004C1C27">
        <w:rPr>
          <w:rFonts w:cs="Garamond"/>
          <w:szCs w:val="24"/>
        </w:rPr>
        <w:t>Table 10</w:t>
      </w:r>
      <w:r w:rsidR="001F17C0" w:rsidRPr="001F17C0">
        <w:rPr>
          <w:rFonts w:cs="Garamond"/>
          <w:szCs w:val="24"/>
        </w:rPr>
        <w:fldChar w:fldCharType="end"/>
      </w:r>
      <w:r w:rsidR="00F85EBC" w:rsidRPr="001F17C0">
        <w:rPr>
          <w:rFonts w:cs="Garamond"/>
          <w:szCs w:val="24"/>
        </w:rPr>
        <w:t>)</w:t>
      </w:r>
      <w:r w:rsidR="0021515E" w:rsidRPr="001F17C0">
        <w:rPr>
          <w:rFonts w:cs="Garamond"/>
          <w:szCs w:val="24"/>
        </w:rPr>
        <w:t>.</w:t>
      </w:r>
    </w:p>
    <w:p w14:paraId="390DFCCF" w14:textId="61FE0B9B" w:rsidR="00BF02E9" w:rsidRPr="006839C4" w:rsidRDefault="0001527B" w:rsidP="006258B7">
      <w:pPr>
        <w:pStyle w:val="TableName"/>
      </w:pPr>
      <w:bookmarkStart w:id="185" w:name="_Ref386103449"/>
      <w:bookmarkStart w:id="186" w:name="_Toc389140553"/>
      <w:bookmarkStart w:id="187" w:name="_Toc389142172"/>
      <w:bookmarkStart w:id="188" w:name="_Toc389143597"/>
      <w:r w:rsidRPr="007F787A">
        <w:t xml:space="preserve">Table </w:t>
      </w:r>
      <w:r w:rsidR="004C1C27">
        <w:fldChar w:fldCharType="begin"/>
      </w:r>
      <w:r w:rsidR="004C1C27">
        <w:instrText xml:space="preserve"> SEQ Table \* ARABIC </w:instrText>
      </w:r>
      <w:r w:rsidR="004C1C27">
        <w:fldChar w:fldCharType="separate"/>
      </w:r>
      <w:r w:rsidR="004C1C27">
        <w:rPr>
          <w:noProof/>
        </w:rPr>
        <w:t>10</w:t>
      </w:r>
      <w:r w:rsidR="004C1C27">
        <w:rPr>
          <w:noProof/>
        </w:rPr>
        <w:fldChar w:fldCharType="end"/>
      </w:r>
      <w:bookmarkEnd w:id="185"/>
      <w:r w:rsidRPr="007F787A">
        <w:t xml:space="preserve">: </w:t>
      </w:r>
      <w:r w:rsidR="00BF02E9" w:rsidRPr="006839C4">
        <w:t xml:space="preserve">Estimated </w:t>
      </w:r>
      <w:r w:rsidR="00773605" w:rsidRPr="006839C4">
        <w:t xml:space="preserve">rTMS </w:t>
      </w:r>
      <w:r w:rsidR="00BE3999" w:rsidRPr="006839C4">
        <w:t>services provided on t</w:t>
      </w:r>
      <w:r w:rsidR="00773605" w:rsidRPr="006839C4">
        <w:t>he MBS</w:t>
      </w:r>
      <w:bookmarkEnd w:id="186"/>
      <w:bookmarkEnd w:id="187"/>
      <w:bookmarkEnd w:id="188"/>
    </w:p>
    <w:tbl>
      <w:tblPr>
        <w:tblStyle w:val="TableGrid"/>
        <w:tblW w:w="4604" w:type="pct"/>
        <w:tblInd w:w="760" w:type="dxa"/>
        <w:tblCellMar>
          <w:left w:w="28" w:type="dxa"/>
          <w:right w:w="28" w:type="dxa"/>
        </w:tblCellMar>
        <w:tblLook w:val="04A0" w:firstRow="1" w:lastRow="0" w:firstColumn="1" w:lastColumn="0" w:noHBand="0" w:noVBand="1"/>
        <w:tblCaption w:val="Estimated rTMS service provided by MBS"/>
      </w:tblPr>
      <w:tblGrid>
        <w:gridCol w:w="284"/>
        <w:gridCol w:w="2695"/>
        <w:gridCol w:w="1132"/>
        <w:gridCol w:w="850"/>
        <w:gridCol w:w="850"/>
        <w:gridCol w:w="851"/>
        <w:gridCol w:w="850"/>
        <w:gridCol w:w="851"/>
      </w:tblGrid>
      <w:tr w:rsidR="007F6AB1" w:rsidRPr="007F6AB1" w14:paraId="3174E7F7" w14:textId="77777777" w:rsidTr="006007BB">
        <w:trPr>
          <w:cantSplit/>
          <w:tblHeader/>
        </w:trPr>
        <w:tc>
          <w:tcPr>
            <w:tcW w:w="1781" w:type="pct"/>
            <w:gridSpan w:val="2"/>
            <w:vAlign w:val="center"/>
          </w:tcPr>
          <w:p w14:paraId="68A85B00" w14:textId="77777777" w:rsidR="00831BA3" w:rsidRPr="007F6AB1" w:rsidRDefault="00831BA3" w:rsidP="006007BB">
            <w:pPr>
              <w:keepNext/>
              <w:spacing w:before="40" w:after="40"/>
              <w:ind w:left="0"/>
              <w:rPr>
                <w:rFonts w:ascii="Arial Narrow" w:hAnsi="Arial Narrow" w:cs="Arial"/>
                <w:sz w:val="18"/>
                <w:szCs w:val="18"/>
              </w:rPr>
            </w:pPr>
          </w:p>
        </w:tc>
        <w:tc>
          <w:tcPr>
            <w:tcW w:w="677" w:type="pct"/>
            <w:vAlign w:val="center"/>
          </w:tcPr>
          <w:p w14:paraId="1DB80BFC"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Method</w:t>
            </w:r>
          </w:p>
        </w:tc>
        <w:tc>
          <w:tcPr>
            <w:tcW w:w="508" w:type="pct"/>
            <w:vAlign w:val="center"/>
          </w:tcPr>
          <w:p w14:paraId="38B07520"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Year 1</w:t>
            </w:r>
          </w:p>
          <w:p w14:paraId="648A1767"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2015</w:t>
            </w:r>
          </w:p>
        </w:tc>
        <w:tc>
          <w:tcPr>
            <w:tcW w:w="508" w:type="pct"/>
            <w:vAlign w:val="center"/>
          </w:tcPr>
          <w:p w14:paraId="20B0AEE6"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Year 2</w:t>
            </w:r>
          </w:p>
          <w:p w14:paraId="35327749"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2016</w:t>
            </w:r>
          </w:p>
        </w:tc>
        <w:tc>
          <w:tcPr>
            <w:tcW w:w="509" w:type="pct"/>
            <w:vAlign w:val="center"/>
          </w:tcPr>
          <w:p w14:paraId="6C16FB2A"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Year 3</w:t>
            </w:r>
          </w:p>
          <w:p w14:paraId="48AE7DAF"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2017</w:t>
            </w:r>
          </w:p>
        </w:tc>
        <w:tc>
          <w:tcPr>
            <w:tcW w:w="508" w:type="pct"/>
            <w:vAlign w:val="center"/>
          </w:tcPr>
          <w:p w14:paraId="69186D20"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Year 4</w:t>
            </w:r>
          </w:p>
          <w:p w14:paraId="691F5A8F"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2018</w:t>
            </w:r>
          </w:p>
        </w:tc>
        <w:tc>
          <w:tcPr>
            <w:tcW w:w="509" w:type="pct"/>
            <w:vAlign w:val="center"/>
          </w:tcPr>
          <w:p w14:paraId="72E21C67"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Year 5</w:t>
            </w:r>
          </w:p>
          <w:p w14:paraId="6768904E"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2019</w:t>
            </w:r>
          </w:p>
        </w:tc>
      </w:tr>
      <w:tr w:rsidR="007F6AB1" w:rsidRPr="007F6AB1" w14:paraId="7D764C46" w14:textId="77777777" w:rsidTr="00EC0A91">
        <w:trPr>
          <w:cantSplit/>
        </w:trPr>
        <w:tc>
          <w:tcPr>
            <w:tcW w:w="170" w:type="pct"/>
            <w:vAlign w:val="center"/>
          </w:tcPr>
          <w:p w14:paraId="6CF3AA39"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F</w:t>
            </w:r>
          </w:p>
        </w:tc>
        <w:tc>
          <w:tcPr>
            <w:tcW w:w="1611" w:type="pct"/>
            <w:vAlign w:val="center"/>
          </w:tcPr>
          <w:p w14:paraId="5AD62F16" w14:textId="77777777" w:rsidR="00AB7646" w:rsidRPr="007F6AB1" w:rsidRDefault="00AB7646" w:rsidP="006007BB">
            <w:pPr>
              <w:keepNext/>
              <w:spacing w:before="40" w:after="40"/>
              <w:ind w:left="0"/>
              <w:rPr>
                <w:rFonts w:ascii="Arial Narrow" w:hAnsi="Arial Narrow" w:cs="Arial"/>
                <w:sz w:val="18"/>
                <w:szCs w:val="18"/>
              </w:rPr>
            </w:pPr>
            <w:r w:rsidRPr="007F6AB1">
              <w:rPr>
                <w:rFonts w:ascii="Arial Narrow" w:hAnsi="Arial Narrow" w:cs="Arial"/>
                <w:sz w:val="18"/>
                <w:szCs w:val="18"/>
              </w:rPr>
              <w:t>Adjusted rTMS patient number</w:t>
            </w:r>
          </w:p>
        </w:tc>
        <w:tc>
          <w:tcPr>
            <w:tcW w:w="677" w:type="pct"/>
            <w:shd w:val="clear" w:color="auto" w:fill="auto"/>
            <w:vAlign w:val="center"/>
          </w:tcPr>
          <w:p w14:paraId="65D94BDC" w14:textId="77777777" w:rsidR="00AB7646" w:rsidRPr="00EC0A91" w:rsidRDefault="00AB7646" w:rsidP="006007BB">
            <w:pPr>
              <w:keepNext/>
              <w:spacing w:before="40" w:after="40"/>
              <w:ind w:left="0"/>
              <w:jc w:val="center"/>
              <w:rPr>
                <w:rFonts w:ascii="Arial Narrow" w:hAnsi="Arial Narrow" w:cs="Arial"/>
                <w:sz w:val="18"/>
                <w:szCs w:val="18"/>
              </w:rPr>
            </w:pPr>
            <w:r w:rsidRPr="00EC0A91">
              <w:rPr>
                <w:rFonts w:ascii="Arial Narrow" w:hAnsi="Arial Narrow" w:cs="Arial"/>
                <w:sz w:val="18"/>
                <w:szCs w:val="18"/>
              </w:rPr>
              <w:t>From above</w:t>
            </w:r>
          </w:p>
        </w:tc>
        <w:tc>
          <w:tcPr>
            <w:tcW w:w="508" w:type="pct"/>
            <w:vAlign w:val="center"/>
          </w:tcPr>
          <w:p w14:paraId="5C403433"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2,012</w:t>
            </w:r>
          </w:p>
        </w:tc>
        <w:tc>
          <w:tcPr>
            <w:tcW w:w="508" w:type="pct"/>
            <w:vAlign w:val="center"/>
          </w:tcPr>
          <w:p w14:paraId="261F7D58"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2,233</w:t>
            </w:r>
          </w:p>
        </w:tc>
        <w:tc>
          <w:tcPr>
            <w:tcW w:w="509" w:type="pct"/>
            <w:vAlign w:val="center"/>
          </w:tcPr>
          <w:p w14:paraId="21185344"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2,460</w:t>
            </w:r>
          </w:p>
        </w:tc>
        <w:tc>
          <w:tcPr>
            <w:tcW w:w="508" w:type="pct"/>
            <w:vAlign w:val="center"/>
          </w:tcPr>
          <w:p w14:paraId="3D3F1751"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2,695</w:t>
            </w:r>
          </w:p>
        </w:tc>
        <w:tc>
          <w:tcPr>
            <w:tcW w:w="509" w:type="pct"/>
            <w:vAlign w:val="center"/>
          </w:tcPr>
          <w:p w14:paraId="386E606F"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2,935</w:t>
            </w:r>
          </w:p>
        </w:tc>
      </w:tr>
      <w:tr w:rsidR="007F6AB1" w:rsidRPr="007F6AB1" w14:paraId="227A874C" w14:textId="77777777" w:rsidTr="00EC0A91">
        <w:trPr>
          <w:cantSplit/>
        </w:trPr>
        <w:tc>
          <w:tcPr>
            <w:tcW w:w="170" w:type="pct"/>
            <w:vAlign w:val="center"/>
          </w:tcPr>
          <w:p w14:paraId="3E592459" w14:textId="77777777" w:rsidR="00D90855" w:rsidRPr="007F6AB1" w:rsidRDefault="00D90855"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I</w:t>
            </w:r>
          </w:p>
        </w:tc>
        <w:tc>
          <w:tcPr>
            <w:tcW w:w="1611" w:type="pct"/>
            <w:vAlign w:val="center"/>
          </w:tcPr>
          <w:p w14:paraId="7CD43B2D" w14:textId="77777777" w:rsidR="00D90855" w:rsidRPr="007F6AB1" w:rsidRDefault="00D90855" w:rsidP="006007BB">
            <w:pPr>
              <w:widowControl w:val="0"/>
              <w:spacing w:before="40" w:after="40"/>
              <w:ind w:left="0"/>
              <w:rPr>
                <w:rFonts w:ascii="Arial Narrow" w:hAnsi="Arial Narrow" w:cs="Arial"/>
                <w:sz w:val="18"/>
                <w:szCs w:val="18"/>
              </w:rPr>
            </w:pPr>
            <w:r w:rsidRPr="007F6AB1">
              <w:rPr>
                <w:rFonts w:ascii="Arial Narrow" w:hAnsi="Arial Narrow" w:cs="Arial"/>
                <w:sz w:val="18"/>
                <w:szCs w:val="18"/>
              </w:rPr>
              <w:t>Number of treatments per year</w:t>
            </w:r>
          </w:p>
        </w:tc>
        <w:tc>
          <w:tcPr>
            <w:tcW w:w="677" w:type="pct"/>
            <w:shd w:val="clear" w:color="auto" w:fill="auto"/>
            <w:vAlign w:val="center"/>
          </w:tcPr>
          <w:p w14:paraId="74EF2D2C" w14:textId="77777777" w:rsidR="00D90855" w:rsidRPr="00EC0A91" w:rsidRDefault="00D90855" w:rsidP="006007BB">
            <w:pPr>
              <w:widowControl w:val="0"/>
              <w:spacing w:before="40" w:after="40"/>
              <w:ind w:left="0"/>
              <w:jc w:val="center"/>
              <w:rPr>
                <w:rFonts w:ascii="Arial Narrow" w:hAnsi="Arial Narrow" w:cs="Arial"/>
                <w:sz w:val="18"/>
                <w:szCs w:val="18"/>
              </w:rPr>
            </w:pPr>
            <w:r w:rsidRPr="00EC0A91">
              <w:rPr>
                <w:rFonts w:ascii="Arial Narrow" w:hAnsi="Arial Narrow" w:cs="Arial"/>
                <w:sz w:val="18"/>
                <w:szCs w:val="18"/>
              </w:rPr>
              <w:t>Fx28.3</w:t>
            </w:r>
          </w:p>
        </w:tc>
        <w:tc>
          <w:tcPr>
            <w:tcW w:w="508" w:type="pct"/>
            <w:vAlign w:val="center"/>
          </w:tcPr>
          <w:p w14:paraId="16A4ECB2"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56,935</w:t>
            </w:r>
          </w:p>
        </w:tc>
        <w:tc>
          <w:tcPr>
            <w:tcW w:w="508" w:type="pct"/>
            <w:vAlign w:val="center"/>
          </w:tcPr>
          <w:p w14:paraId="501917F1"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63,190</w:t>
            </w:r>
          </w:p>
        </w:tc>
        <w:tc>
          <w:tcPr>
            <w:tcW w:w="509" w:type="pct"/>
            <w:vAlign w:val="center"/>
          </w:tcPr>
          <w:p w14:paraId="6DB869FD"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69,632</w:t>
            </w:r>
          </w:p>
        </w:tc>
        <w:tc>
          <w:tcPr>
            <w:tcW w:w="508" w:type="pct"/>
            <w:vAlign w:val="center"/>
          </w:tcPr>
          <w:p w14:paraId="56C70F43"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76,260</w:t>
            </w:r>
          </w:p>
        </w:tc>
        <w:tc>
          <w:tcPr>
            <w:tcW w:w="509" w:type="pct"/>
            <w:vAlign w:val="center"/>
          </w:tcPr>
          <w:p w14:paraId="2DA15D06"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83,059</w:t>
            </w:r>
          </w:p>
        </w:tc>
      </w:tr>
      <w:tr w:rsidR="007F6AB1" w:rsidRPr="007F6AB1" w14:paraId="5085D52F" w14:textId="77777777" w:rsidTr="00EC0A91">
        <w:trPr>
          <w:cantSplit/>
        </w:trPr>
        <w:tc>
          <w:tcPr>
            <w:tcW w:w="170" w:type="pct"/>
            <w:vAlign w:val="center"/>
          </w:tcPr>
          <w:p w14:paraId="51A53976"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G</w:t>
            </w:r>
          </w:p>
        </w:tc>
        <w:tc>
          <w:tcPr>
            <w:tcW w:w="1611" w:type="pct"/>
            <w:vAlign w:val="center"/>
          </w:tcPr>
          <w:p w14:paraId="4A9A4F50" w14:textId="77777777" w:rsidR="00AB7646" w:rsidRPr="007F6AB1" w:rsidRDefault="00AB7646" w:rsidP="006007BB">
            <w:pPr>
              <w:widowControl w:val="0"/>
              <w:spacing w:before="40" w:after="40"/>
              <w:ind w:left="0"/>
              <w:rPr>
                <w:rFonts w:ascii="Arial Narrow" w:hAnsi="Arial Narrow" w:cs="Arial"/>
                <w:sz w:val="18"/>
                <w:szCs w:val="18"/>
              </w:rPr>
            </w:pPr>
            <w:r w:rsidRPr="007F6AB1">
              <w:rPr>
                <w:rFonts w:ascii="Arial Narrow" w:hAnsi="Arial Narrow" w:cs="Arial"/>
                <w:sz w:val="18"/>
                <w:szCs w:val="18"/>
              </w:rPr>
              <w:t>Patients requiring reintroduction</w:t>
            </w:r>
          </w:p>
        </w:tc>
        <w:tc>
          <w:tcPr>
            <w:tcW w:w="677" w:type="pct"/>
            <w:shd w:val="clear" w:color="auto" w:fill="auto"/>
            <w:vAlign w:val="center"/>
          </w:tcPr>
          <w:p w14:paraId="1CE19C09" w14:textId="77777777" w:rsidR="00AB7646" w:rsidRPr="00EC0A91" w:rsidRDefault="00AB7646" w:rsidP="006007BB">
            <w:pPr>
              <w:widowControl w:val="0"/>
              <w:spacing w:before="40" w:after="40"/>
              <w:ind w:left="0"/>
              <w:jc w:val="center"/>
              <w:rPr>
                <w:rFonts w:ascii="Arial Narrow" w:hAnsi="Arial Narrow" w:cs="Arial"/>
                <w:sz w:val="18"/>
                <w:szCs w:val="18"/>
              </w:rPr>
            </w:pPr>
            <w:r w:rsidRPr="00EC0A91">
              <w:rPr>
                <w:rFonts w:ascii="Arial Narrow" w:hAnsi="Arial Narrow" w:cs="Arial"/>
                <w:sz w:val="18"/>
                <w:szCs w:val="18"/>
              </w:rPr>
              <w:t>From above</w:t>
            </w:r>
          </w:p>
        </w:tc>
        <w:tc>
          <w:tcPr>
            <w:tcW w:w="508" w:type="pct"/>
            <w:vAlign w:val="center"/>
          </w:tcPr>
          <w:p w14:paraId="162BD54C"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728</w:t>
            </w:r>
          </w:p>
        </w:tc>
        <w:tc>
          <w:tcPr>
            <w:tcW w:w="508" w:type="pct"/>
            <w:vAlign w:val="center"/>
          </w:tcPr>
          <w:p w14:paraId="2AA277C9"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808</w:t>
            </w:r>
          </w:p>
        </w:tc>
        <w:tc>
          <w:tcPr>
            <w:tcW w:w="509" w:type="pct"/>
            <w:vAlign w:val="center"/>
          </w:tcPr>
          <w:p w14:paraId="35DA362F"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891</w:t>
            </w:r>
          </w:p>
        </w:tc>
        <w:tc>
          <w:tcPr>
            <w:tcW w:w="508" w:type="pct"/>
            <w:vAlign w:val="center"/>
          </w:tcPr>
          <w:p w14:paraId="0F5D6C97"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975</w:t>
            </w:r>
          </w:p>
        </w:tc>
        <w:tc>
          <w:tcPr>
            <w:tcW w:w="509" w:type="pct"/>
            <w:vAlign w:val="center"/>
          </w:tcPr>
          <w:p w14:paraId="0E1B8339"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1,062</w:t>
            </w:r>
          </w:p>
        </w:tc>
      </w:tr>
      <w:tr w:rsidR="007F6AB1" w:rsidRPr="007F6AB1" w14:paraId="7950549F" w14:textId="77777777" w:rsidTr="00EC0A91">
        <w:trPr>
          <w:cantSplit/>
        </w:trPr>
        <w:tc>
          <w:tcPr>
            <w:tcW w:w="170" w:type="pct"/>
            <w:vAlign w:val="center"/>
          </w:tcPr>
          <w:p w14:paraId="39503DBF" w14:textId="77777777" w:rsidR="00D90855" w:rsidRPr="007F6AB1" w:rsidRDefault="00D90855"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J</w:t>
            </w:r>
          </w:p>
        </w:tc>
        <w:tc>
          <w:tcPr>
            <w:tcW w:w="1611" w:type="pct"/>
            <w:vAlign w:val="center"/>
          </w:tcPr>
          <w:p w14:paraId="565DA1C6" w14:textId="77777777" w:rsidR="00D90855" w:rsidRPr="007F6AB1" w:rsidRDefault="00D90855" w:rsidP="006007BB">
            <w:pPr>
              <w:widowControl w:val="0"/>
              <w:spacing w:before="40" w:after="40"/>
              <w:ind w:left="0"/>
              <w:rPr>
                <w:rFonts w:ascii="Arial Narrow" w:hAnsi="Arial Narrow" w:cs="Arial"/>
                <w:sz w:val="18"/>
                <w:szCs w:val="18"/>
              </w:rPr>
            </w:pPr>
            <w:r w:rsidRPr="007F6AB1">
              <w:rPr>
                <w:rFonts w:ascii="Arial Narrow" w:hAnsi="Arial Narrow" w:cs="Arial"/>
                <w:sz w:val="18"/>
                <w:szCs w:val="18"/>
              </w:rPr>
              <w:t>Number of treatments per year</w:t>
            </w:r>
          </w:p>
        </w:tc>
        <w:tc>
          <w:tcPr>
            <w:tcW w:w="677" w:type="pct"/>
            <w:shd w:val="clear" w:color="auto" w:fill="auto"/>
            <w:vAlign w:val="center"/>
          </w:tcPr>
          <w:p w14:paraId="61141D84" w14:textId="77777777" w:rsidR="00D90855" w:rsidRPr="00EC0A91" w:rsidRDefault="00D90855" w:rsidP="006007BB">
            <w:pPr>
              <w:widowControl w:val="0"/>
              <w:spacing w:before="40" w:after="40"/>
              <w:ind w:left="0"/>
              <w:jc w:val="center"/>
              <w:rPr>
                <w:rFonts w:ascii="Arial Narrow" w:hAnsi="Arial Narrow" w:cs="Arial"/>
                <w:sz w:val="18"/>
                <w:szCs w:val="18"/>
              </w:rPr>
            </w:pPr>
            <w:r w:rsidRPr="00EC0A91">
              <w:rPr>
                <w:rFonts w:ascii="Arial Narrow" w:hAnsi="Arial Narrow" w:cs="Arial"/>
                <w:sz w:val="18"/>
                <w:szCs w:val="18"/>
              </w:rPr>
              <w:t>Gx16.2</w:t>
            </w:r>
          </w:p>
        </w:tc>
        <w:tc>
          <w:tcPr>
            <w:tcW w:w="508" w:type="pct"/>
            <w:vAlign w:val="center"/>
          </w:tcPr>
          <w:p w14:paraId="5BBD4311"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20,611</w:t>
            </w:r>
          </w:p>
        </w:tc>
        <w:tc>
          <w:tcPr>
            <w:tcW w:w="508" w:type="pct"/>
            <w:vAlign w:val="center"/>
          </w:tcPr>
          <w:p w14:paraId="06C2D585"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22,875</w:t>
            </w:r>
          </w:p>
        </w:tc>
        <w:tc>
          <w:tcPr>
            <w:tcW w:w="509" w:type="pct"/>
            <w:vAlign w:val="center"/>
          </w:tcPr>
          <w:p w14:paraId="7B8609D5"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25,207</w:t>
            </w:r>
          </w:p>
        </w:tc>
        <w:tc>
          <w:tcPr>
            <w:tcW w:w="508" w:type="pct"/>
            <w:vAlign w:val="center"/>
          </w:tcPr>
          <w:p w14:paraId="60342B42"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27,606</w:t>
            </w:r>
          </w:p>
        </w:tc>
        <w:tc>
          <w:tcPr>
            <w:tcW w:w="509" w:type="pct"/>
            <w:vAlign w:val="center"/>
          </w:tcPr>
          <w:p w14:paraId="4C6C7EFC"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30,067</w:t>
            </w:r>
          </w:p>
        </w:tc>
      </w:tr>
      <w:tr w:rsidR="007F6AB1" w:rsidRPr="007F6AB1" w14:paraId="32CDF749" w14:textId="77777777" w:rsidTr="00EC0A91">
        <w:trPr>
          <w:cantSplit/>
        </w:trPr>
        <w:tc>
          <w:tcPr>
            <w:tcW w:w="170" w:type="pct"/>
            <w:vAlign w:val="center"/>
          </w:tcPr>
          <w:p w14:paraId="19CB581E"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H</w:t>
            </w:r>
          </w:p>
        </w:tc>
        <w:tc>
          <w:tcPr>
            <w:tcW w:w="1611" w:type="pct"/>
            <w:vAlign w:val="center"/>
          </w:tcPr>
          <w:p w14:paraId="29003038" w14:textId="77777777" w:rsidR="00AB7646" w:rsidRPr="007F6AB1" w:rsidRDefault="00AB7646" w:rsidP="006007BB">
            <w:pPr>
              <w:widowControl w:val="0"/>
              <w:spacing w:before="40" w:after="40"/>
              <w:ind w:left="0"/>
              <w:rPr>
                <w:rFonts w:ascii="Arial Narrow" w:hAnsi="Arial Narrow" w:cs="Arial"/>
                <w:sz w:val="18"/>
                <w:szCs w:val="18"/>
              </w:rPr>
            </w:pPr>
            <w:r w:rsidRPr="007F6AB1">
              <w:rPr>
                <w:rFonts w:ascii="Arial Narrow" w:hAnsi="Arial Narrow" w:cs="Arial"/>
                <w:sz w:val="18"/>
                <w:szCs w:val="18"/>
              </w:rPr>
              <w:t>Patients requiring maintenance</w:t>
            </w:r>
          </w:p>
        </w:tc>
        <w:tc>
          <w:tcPr>
            <w:tcW w:w="677" w:type="pct"/>
            <w:shd w:val="clear" w:color="auto" w:fill="auto"/>
            <w:vAlign w:val="center"/>
          </w:tcPr>
          <w:p w14:paraId="0746AC77" w14:textId="77777777" w:rsidR="00AB7646" w:rsidRPr="00EC0A91" w:rsidRDefault="00AB7646" w:rsidP="006007BB">
            <w:pPr>
              <w:widowControl w:val="0"/>
              <w:spacing w:before="40" w:after="40"/>
              <w:ind w:left="0"/>
              <w:jc w:val="center"/>
              <w:rPr>
                <w:rFonts w:ascii="Arial Narrow" w:hAnsi="Arial Narrow" w:cs="Arial"/>
                <w:sz w:val="18"/>
                <w:szCs w:val="18"/>
              </w:rPr>
            </w:pPr>
            <w:r w:rsidRPr="00EC0A91">
              <w:rPr>
                <w:rFonts w:ascii="Arial Narrow" w:hAnsi="Arial Narrow" w:cs="Arial"/>
                <w:sz w:val="18"/>
                <w:szCs w:val="18"/>
              </w:rPr>
              <w:t>From above</w:t>
            </w:r>
          </w:p>
        </w:tc>
        <w:tc>
          <w:tcPr>
            <w:tcW w:w="508" w:type="pct"/>
            <w:vAlign w:val="center"/>
          </w:tcPr>
          <w:p w14:paraId="3D52F5B9"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201</w:t>
            </w:r>
          </w:p>
        </w:tc>
        <w:tc>
          <w:tcPr>
            <w:tcW w:w="508" w:type="pct"/>
            <w:vAlign w:val="center"/>
          </w:tcPr>
          <w:p w14:paraId="32A97F4B"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223</w:t>
            </w:r>
          </w:p>
        </w:tc>
        <w:tc>
          <w:tcPr>
            <w:tcW w:w="509" w:type="pct"/>
            <w:vAlign w:val="center"/>
          </w:tcPr>
          <w:p w14:paraId="2B8525DB"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246</w:t>
            </w:r>
          </w:p>
        </w:tc>
        <w:tc>
          <w:tcPr>
            <w:tcW w:w="508" w:type="pct"/>
            <w:vAlign w:val="center"/>
          </w:tcPr>
          <w:p w14:paraId="2E0A1295"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269</w:t>
            </w:r>
          </w:p>
        </w:tc>
        <w:tc>
          <w:tcPr>
            <w:tcW w:w="509" w:type="pct"/>
            <w:vAlign w:val="center"/>
          </w:tcPr>
          <w:p w14:paraId="5377B7AB"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293</w:t>
            </w:r>
          </w:p>
        </w:tc>
      </w:tr>
      <w:tr w:rsidR="007F6AB1" w:rsidRPr="007F6AB1" w14:paraId="261D13BC" w14:textId="77777777" w:rsidTr="006007BB">
        <w:trPr>
          <w:cantSplit/>
        </w:trPr>
        <w:tc>
          <w:tcPr>
            <w:tcW w:w="170" w:type="pct"/>
            <w:vAlign w:val="center"/>
          </w:tcPr>
          <w:p w14:paraId="22946F08" w14:textId="77777777" w:rsidR="00D90855" w:rsidRPr="007F6AB1" w:rsidRDefault="00D90855"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K</w:t>
            </w:r>
          </w:p>
        </w:tc>
        <w:tc>
          <w:tcPr>
            <w:tcW w:w="1611" w:type="pct"/>
            <w:vAlign w:val="center"/>
          </w:tcPr>
          <w:p w14:paraId="337452A2" w14:textId="77777777" w:rsidR="00D90855" w:rsidRPr="007F6AB1" w:rsidRDefault="00D90855" w:rsidP="006007BB">
            <w:pPr>
              <w:widowControl w:val="0"/>
              <w:spacing w:before="40" w:after="40"/>
              <w:ind w:left="0"/>
              <w:rPr>
                <w:rFonts w:ascii="Arial Narrow" w:hAnsi="Arial Narrow" w:cs="Arial"/>
                <w:sz w:val="18"/>
                <w:szCs w:val="18"/>
              </w:rPr>
            </w:pPr>
            <w:r w:rsidRPr="007F6AB1">
              <w:rPr>
                <w:rFonts w:ascii="Arial Narrow" w:hAnsi="Arial Narrow" w:cs="Arial"/>
                <w:sz w:val="18"/>
                <w:szCs w:val="18"/>
              </w:rPr>
              <w:t>Number of treatments per year</w:t>
            </w:r>
          </w:p>
        </w:tc>
        <w:tc>
          <w:tcPr>
            <w:tcW w:w="677" w:type="pct"/>
            <w:vAlign w:val="center"/>
          </w:tcPr>
          <w:p w14:paraId="1092EAB2" w14:textId="77777777" w:rsidR="00D90855" w:rsidRPr="007F6AB1" w:rsidRDefault="00D90855"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Hx26</w:t>
            </w:r>
          </w:p>
        </w:tc>
        <w:tc>
          <w:tcPr>
            <w:tcW w:w="508" w:type="pct"/>
            <w:vAlign w:val="center"/>
          </w:tcPr>
          <w:p w14:paraId="6F4259F8"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5,231</w:t>
            </w:r>
          </w:p>
        </w:tc>
        <w:tc>
          <w:tcPr>
            <w:tcW w:w="508" w:type="pct"/>
            <w:vAlign w:val="center"/>
          </w:tcPr>
          <w:p w14:paraId="5F827ED8"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5,805</w:t>
            </w:r>
          </w:p>
        </w:tc>
        <w:tc>
          <w:tcPr>
            <w:tcW w:w="509" w:type="pct"/>
            <w:vAlign w:val="center"/>
          </w:tcPr>
          <w:p w14:paraId="2C491922"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6,397</w:t>
            </w:r>
          </w:p>
        </w:tc>
        <w:tc>
          <w:tcPr>
            <w:tcW w:w="508" w:type="pct"/>
            <w:vAlign w:val="center"/>
          </w:tcPr>
          <w:p w14:paraId="0B560013"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7,006</w:t>
            </w:r>
          </w:p>
        </w:tc>
        <w:tc>
          <w:tcPr>
            <w:tcW w:w="509" w:type="pct"/>
            <w:vAlign w:val="center"/>
          </w:tcPr>
          <w:p w14:paraId="7D4DA0C1" w14:textId="77777777" w:rsidR="00D90855"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7,631</w:t>
            </w:r>
          </w:p>
        </w:tc>
      </w:tr>
      <w:tr w:rsidR="007F6AB1" w:rsidRPr="007F6AB1" w14:paraId="421F22AB" w14:textId="77777777" w:rsidTr="006007BB">
        <w:trPr>
          <w:cantSplit/>
        </w:trPr>
        <w:tc>
          <w:tcPr>
            <w:tcW w:w="170" w:type="pct"/>
            <w:vAlign w:val="center"/>
          </w:tcPr>
          <w:p w14:paraId="448AE472" w14:textId="77777777" w:rsidR="00D90855" w:rsidRPr="007F6AB1" w:rsidRDefault="00D90855"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L</w:t>
            </w:r>
          </w:p>
        </w:tc>
        <w:tc>
          <w:tcPr>
            <w:tcW w:w="1611" w:type="pct"/>
            <w:vAlign w:val="center"/>
          </w:tcPr>
          <w:p w14:paraId="1F6AB864" w14:textId="77777777" w:rsidR="00D90855" w:rsidRPr="007F6AB1" w:rsidRDefault="00D654DE" w:rsidP="006007BB">
            <w:pPr>
              <w:keepNext/>
              <w:spacing w:before="40" w:after="40"/>
              <w:ind w:left="0"/>
              <w:rPr>
                <w:rFonts w:ascii="Arial Narrow" w:hAnsi="Arial Narrow" w:cs="Arial"/>
                <w:sz w:val="18"/>
                <w:szCs w:val="18"/>
              </w:rPr>
            </w:pPr>
            <w:r w:rsidRPr="007F6AB1">
              <w:rPr>
                <w:rFonts w:ascii="Arial Narrow" w:hAnsi="Arial Narrow" w:cs="Arial"/>
                <w:sz w:val="18"/>
                <w:szCs w:val="18"/>
              </w:rPr>
              <w:t xml:space="preserve">Total number of </w:t>
            </w:r>
            <w:r w:rsidR="00D90855" w:rsidRPr="007F6AB1">
              <w:rPr>
                <w:rFonts w:ascii="Arial Narrow" w:hAnsi="Arial Narrow" w:cs="Arial"/>
                <w:sz w:val="18"/>
                <w:szCs w:val="18"/>
              </w:rPr>
              <w:t>treatments per year</w:t>
            </w:r>
          </w:p>
        </w:tc>
        <w:tc>
          <w:tcPr>
            <w:tcW w:w="677" w:type="pct"/>
            <w:vAlign w:val="center"/>
          </w:tcPr>
          <w:p w14:paraId="5C309909" w14:textId="77777777" w:rsidR="00D90855" w:rsidRPr="007F6AB1" w:rsidRDefault="00D90855"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I+J+K</w:t>
            </w:r>
          </w:p>
        </w:tc>
        <w:tc>
          <w:tcPr>
            <w:tcW w:w="508" w:type="pct"/>
            <w:vAlign w:val="center"/>
          </w:tcPr>
          <w:p w14:paraId="4F6BDDC3" w14:textId="77777777" w:rsidR="00D90855"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82,777</w:t>
            </w:r>
          </w:p>
        </w:tc>
        <w:tc>
          <w:tcPr>
            <w:tcW w:w="508" w:type="pct"/>
            <w:vAlign w:val="center"/>
          </w:tcPr>
          <w:p w14:paraId="78276677" w14:textId="77777777" w:rsidR="00D90855"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91,870</w:t>
            </w:r>
          </w:p>
        </w:tc>
        <w:tc>
          <w:tcPr>
            <w:tcW w:w="509" w:type="pct"/>
            <w:vAlign w:val="center"/>
          </w:tcPr>
          <w:p w14:paraId="1A92E143" w14:textId="77777777" w:rsidR="00D90855"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101,236</w:t>
            </w:r>
          </w:p>
        </w:tc>
        <w:tc>
          <w:tcPr>
            <w:tcW w:w="508" w:type="pct"/>
            <w:vAlign w:val="center"/>
          </w:tcPr>
          <w:p w14:paraId="0FD88EE6" w14:textId="77777777" w:rsidR="00D90855"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110,872</w:t>
            </w:r>
          </w:p>
        </w:tc>
        <w:tc>
          <w:tcPr>
            <w:tcW w:w="509" w:type="pct"/>
            <w:vAlign w:val="center"/>
          </w:tcPr>
          <w:p w14:paraId="01EED2F1" w14:textId="77777777" w:rsidR="00D90855"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120,757</w:t>
            </w:r>
          </w:p>
        </w:tc>
      </w:tr>
    </w:tbl>
    <w:p w14:paraId="3F81E007" w14:textId="77777777" w:rsidR="00BF02E9" w:rsidRPr="007F6AB1" w:rsidRDefault="00BE3999" w:rsidP="006007BB">
      <w:pPr>
        <w:keepNext/>
        <w:spacing w:before="40" w:after="40"/>
        <w:rPr>
          <w:rFonts w:ascii="Arial Narrow" w:hAnsi="Arial Narrow" w:cs="Arial"/>
          <w:sz w:val="18"/>
          <w:szCs w:val="18"/>
        </w:rPr>
      </w:pPr>
      <w:r w:rsidRPr="007F6AB1">
        <w:rPr>
          <w:rFonts w:ascii="Arial Narrow" w:hAnsi="Arial Narrow" w:cs="Arial"/>
          <w:sz w:val="18"/>
          <w:szCs w:val="18"/>
        </w:rPr>
        <w:t>Source: Excel spreadsheet</w:t>
      </w:r>
      <w:r w:rsidR="00C23026" w:rsidRPr="007F6AB1">
        <w:rPr>
          <w:rFonts w:ascii="Arial Narrow" w:hAnsi="Arial Narrow" w:cs="Arial"/>
          <w:sz w:val="18"/>
          <w:szCs w:val="18"/>
        </w:rPr>
        <w:t xml:space="preserve"> (rTMS Section E.xls)</w:t>
      </w:r>
    </w:p>
    <w:p w14:paraId="747C3838" w14:textId="77777777" w:rsidR="00BE3999" w:rsidRDefault="00F071F4" w:rsidP="006007BB">
      <w:pPr>
        <w:keepNext/>
        <w:spacing w:before="40" w:after="40"/>
        <w:rPr>
          <w:rFonts w:ascii="Arial Narrow" w:hAnsi="Arial Narrow" w:cs="Arial"/>
          <w:sz w:val="18"/>
          <w:szCs w:val="18"/>
        </w:rPr>
      </w:pPr>
      <w:r w:rsidRPr="007F6AB1">
        <w:rPr>
          <w:rFonts w:ascii="Arial Narrow" w:hAnsi="Arial Narrow" w:cs="Arial"/>
          <w:sz w:val="18"/>
          <w:szCs w:val="18"/>
        </w:rPr>
        <w:t>MBS = Medicare Benefits Schedule</w:t>
      </w:r>
      <w:r w:rsidR="00A84E80" w:rsidRPr="007F6AB1">
        <w:rPr>
          <w:rFonts w:ascii="Arial Narrow" w:hAnsi="Arial Narrow" w:cs="Arial"/>
          <w:sz w:val="18"/>
          <w:szCs w:val="18"/>
        </w:rPr>
        <w:t xml:space="preserve">; </w:t>
      </w:r>
      <w:r w:rsidR="00BE3999" w:rsidRPr="007F6AB1">
        <w:rPr>
          <w:rFonts w:ascii="Arial Narrow" w:hAnsi="Arial Narrow" w:cs="Arial"/>
          <w:sz w:val="18"/>
          <w:szCs w:val="18"/>
        </w:rPr>
        <w:t xml:space="preserve">rTMS = repetitive Transcranial Magnetic </w:t>
      </w:r>
      <w:r w:rsidR="00A84E80" w:rsidRPr="007F6AB1">
        <w:rPr>
          <w:rFonts w:ascii="Arial Narrow" w:hAnsi="Arial Narrow" w:cs="Arial"/>
          <w:sz w:val="18"/>
          <w:szCs w:val="18"/>
        </w:rPr>
        <w:t>Stimulation</w:t>
      </w:r>
    </w:p>
    <w:p w14:paraId="5C85A7B7" w14:textId="77777777" w:rsidR="006007BB" w:rsidRPr="007F6AB1" w:rsidRDefault="006007BB" w:rsidP="006007BB"/>
    <w:p w14:paraId="0E7FFC90" w14:textId="77777777" w:rsidR="003023E7" w:rsidRDefault="00A464E7" w:rsidP="006007BB">
      <w:pPr>
        <w:jc w:val="both"/>
      </w:pPr>
      <w:r>
        <w:t>When initial course, reintroduction and maintenance patients are combined it is expected that approximately 82,880 rTMS treatments will be delivered in Year 1. This figure is expected to increase to 120,760 by Year 5.</w:t>
      </w:r>
    </w:p>
    <w:p w14:paraId="5F08D50F" w14:textId="104AB676" w:rsidR="00BE3999" w:rsidRPr="001F17C0" w:rsidRDefault="00934AB2" w:rsidP="006007BB">
      <w:pPr>
        <w:jc w:val="both"/>
        <w:rPr>
          <w:rFonts w:cs="Garamond"/>
          <w:szCs w:val="24"/>
        </w:rPr>
      </w:pPr>
      <w:r>
        <w:t xml:space="preserve">The </w:t>
      </w:r>
      <w:r w:rsidR="00E45AF4">
        <w:t>Protocol</w:t>
      </w:r>
      <w:r w:rsidR="006C19DA">
        <w:t xml:space="preserve"> </w:t>
      </w:r>
      <w:r>
        <w:t>1196 states that a psychiatrist consult is required prior to initiation</w:t>
      </w:r>
      <w:r w:rsidR="00AF6EA3">
        <w:t xml:space="preserve"> of rTMS</w:t>
      </w:r>
      <w:r>
        <w:t xml:space="preserve"> to</w:t>
      </w:r>
      <w:r w:rsidR="00AF6EA3">
        <w:t xml:space="preserve"> determine if the patient is eligible for treatment and to then</w:t>
      </w:r>
      <w:r>
        <w:t xml:space="preserve"> prescribe rTMS therapy. </w:t>
      </w:r>
      <w:r w:rsidR="002E2CD4" w:rsidRPr="002E2CD4">
        <w:t>I</w:t>
      </w:r>
      <w:r w:rsidR="00BE3999" w:rsidRPr="002E2CD4">
        <w:t xml:space="preserve">f </w:t>
      </w:r>
      <w:r w:rsidR="00395753" w:rsidRPr="002E2CD4">
        <w:t xml:space="preserve">reintroduction of rTMS </w:t>
      </w:r>
      <w:r w:rsidR="00BE3999" w:rsidRPr="002E2CD4">
        <w:t>occur</w:t>
      </w:r>
      <w:r w:rsidR="002E2CD4">
        <w:t>s,</w:t>
      </w:r>
      <w:r w:rsidR="00BE3999" w:rsidRPr="002E2CD4">
        <w:t xml:space="preserve"> </w:t>
      </w:r>
      <w:r w:rsidR="00F85EBC">
        <w:t xml:space="preserve">it is assumed </w:t>
      </w:r>
      <w:r w:rsidR="00BE3999" w:rsidRPr="002E2CD4">
        <w:t>a</w:t>
      </w:r>
      <w:r w:rsidR="00395753" w:rsidRPr="002E2CD4">
        <w:t xml:space="preserve">n additional </w:t>
      </w:r>
      <w:r w:rsidR="002E2CD4" w:rsidRPr="002E2CD4">
        <w:t>psychiatrist consultation and prescription would be requ</w:t>
      </w:r>
      <w:r w:rsidR="00395753" w:rsidRPr="002E2CD4">
        <w:t>ired.</w:t>
      </w:r>
      <w:r w:rsidR="00EF601B">
        <w:t xml:space="preserve"> </w:t>
      </w:r>
      <w:r w:rsidR="00331C3A">
        <w:t>For th</w:t>
      </w:r>
      <w:r w:rsidR="00C43FDB">
        <w:t>ose on maintenance, expert opinion is that</w:t>
      </w:r>
      <w:r w:rsidR="00331C3A">
        <w:t xml:space="preserve"> patients will have a psychiatrist consultation prior to commencing maintenance therapy and then </w:t>
      </w:r>
      <w:r w:rsidR="00C43FDB" w:rsidRPr="001F17C0">
        <w:rPr>
          <w:rFonts w:cs="Garamond"/>
          <w:szCs w:val="24"/>
        </w:rPr>
        <w:t>every three</w:t>
      </w:r>
      <w:r w:rsidR="00331C3A" w:rsidRPr="001F17C0">
        <w:rPr>
          <w:rFonts w:cs="Garamond"/>
          <w:szCs w:val="24"/>
        </w:rPr>
        <w:t xml:space="preserve"> months</w:t>
      </w:r>
      <w:r w:rsidR="0055362F" w:rsidRPr="001F17C0">
        <w:rPr>
          <w:rFonts w:cs="Garamond"/>
          <w:szCs w:val="24"/>
        </w:rPr>
        <w:t xml:space="preserve"> (</w:t>
      </w:r>
      <w:r w:rsidR="001F17C0" w:rsidRPr="001F17C0">
        <w:rPr>
          <w:rFonts w:cs="Garamond"/>
          <w:szCs w:val="24"/>
        </w:rPr>
        <w:fldChar w:fldCharType="begin"/>
      </w:r>
      <w:r w:rsidR="001F17C0" w:rsidRPr="001F17C0">
        <w:rPr>
          <w:rFonts w:cs="Garamond"/>
          <w:szCs w:val="24"/>
        </w:rPr>
        <w:instrText xml:space="preserve"> REF _Ref386103458 \h </w:instrText>
      </w:r>
      <w:r w:rsidR="001F17C0">
        <w:rPr>
          <w:rFonts w:cs="Garamond"/>
          <w:szCs w:val="24"/>
        </w:rPr>
        <w:instrText xml:space="preserve"> \* MERGEFORMAT </w:instrText>
      </w:r>
      <w:r w:rsidR="001F17C0" w:rsidRPr="001F17C0">
        <w:rPr>
          <w:rFonts w:cs="Garamond"/>
          <w:szCs w:val="24"/>
        </w:rPr>
      </w:r>
      <w:r w:rsidR="001F17C0" w:rsidRPr="001F17C0">
        <w:rPr>
          <w:rFonts w:cs="Garamond"/>
          <w:szCs w:val="24"/>
        </w:rPr>
        <w:fldChar w:fldCharType="separate"/>
      </w:r>
      <w:r w:rsidR="004C1C27" w:rsidRPr="004C1C27">
        <w:rPr>
          <w:rFonts w:cs="Garamond"/>
          <w:szCs w:val="24"/>
        </w:rPr>
        <w:t>Table 11</w:t>
      </w:r>
      <w:r w:rsidR="001F17C0" w:rsidRPr="001F17C0">
        <w:rPr>
          <w:rFonts w:cs="Garamond"/>
          <w:szCs w:val="24"/>
        </w:rPr>
        <w:fldChar w:fldCharType="end"/>
      </w:r>
      <w:r w:rsidR="001F17C0" w:rsidRPr="001F17C0">
        <w:rPr>
          <w:rFonts w:cs="Garamond"/>
          <w:szCs w:val="24"/>
        </w:rPr>
        <w:t xml:space="preserve"> </w:t>
      </w:r>
      <w:r w:rsidR="0055362F" w:rsidRPr="001F17C0">
        <w:rPr>
          <w:rFonts w:cs="Garamond"/>
          <w:szCs w:val="24"/>
        </w:rPr>
        <w:t>below)</w:t>
      </w:r>
      <w:r w:rsidR="00331C3A" w:rsidRPr="001F17C0">
        <w:rPr>
          <w:rFonts w:cs="Garamond"/>
          <w:szCs w:val="24"/>
        </w:rPr>
        <w:t>.</w:t>
      </w:r>
    </w:p>
    <w:p w14:paraId="70E29BDA" w14:textId="35D314D7" w:rsidR="007D4231" w:rsidRPr="006839C4" w:rsidRDefault="0001527B" w:rsidP="006258B7">
      <w:pPr>
        <w:pStyle w:val="TableName"/>
      </w:pPr>
      <w:bookmarkStart w:id="189" w:name="_Ref386103458"/>
      <w:bookmarkStart w:id="190" w:name="_Toc389140554"/>
      <w:bookmarkStart w:id="191" w:name="_Toc389142173"/>
      <w:bookmarkStart w:id="192" w:name="_Toc389143598"/>
      <w:r w:rsidRPr="007F787A">
        <w:lastRenderedPageBreak/>
        <w:t xml:space="preserve">Table </w:t>
      </w:r>
      <w:r w:rsidR="004C1C27">
        <w:fldChar w:fldCharType="begin"/>
      </w:r>
      <w:r w:rsidR="004C1C27">
        <w:instrText xml:space="preserve"> SEQ Tabl</w:instrText>
      </w:r>
      <w:r w:rsidR="004C1C27">
        <w:instrText xml:space="preserve">e \* ARABIC </w:instrText>
      </w:r>
      <w:r w:rsidR="004C1C27">
        <w:fldChar w:fldCharType="separate"/>
      </w:r>
      <w:r w:rsidR="004C1C27">
        <w:rPr>
          <w:noProof/>
        </w:rPr>
        <w:t>11</w:t>
      </w:r>
      <w:r w:rsidR="004C1C27">
        <w:rPr>
          <w:noProof/>
        </w:rPr>
        <w:fldChar w:fldCharType="end"/>
      </w:r>
      <w:bookmarkEnd w:id="189"/>
      <w:r w:rsidRPr="007F787A">
        <w:t xml:space="preserve">: </w:t>
      </w:r>
      <w:r w:rsidR="007D4231" w:rsidRPr="006839C4">
        <w:t>Estimated psychiatrist services provided on the MBS</w:t>
      </w:r>
      <w:bookmarkEnd w:id="190"/>
      <w:bookmarkEnd w:id="191"/>
      <w:bookmarkEnd w:id="192"/>
    </w:p>
    <w:tbl>
      <w:tblPr>
        <w:tblStyle w:val="TableGrid"/>
        <w:tblW w:w="4604" w:type="pct"/>
        <w:tblInd w:w="737" w:type="dxa"/>
        <w:tblLook w:val="04A0" w:firstRow="1" w:lastRow="0" w:firstColumn="1" w:lastColumn="0" w:noHBand="0" w:noVBand="1"/>
        <w:tblCaption w:val="Estimated psychiatarist service provided on the MBS"/>
      </w:tblPr>
      <w:tblGrid>
        <w:gridCol w:w="283"/>
        <w:gridCol w:w="2837"/>
        <w:gridCol w:w="898"/>
        <w:gridCol w:w="870"/>
        <w:gridCol w:w="870"/>
        <w:gridCol w:w="870"/>
        <w:gridCol w:w="870"/>
        <w:gridCol w:w="865"/>
      </w:tblGrid>
      <w:tr w:rsidR="007F6AB1" w:rsidRPr="007F6AB1" w14:paraId="49885448" w14:textId="77777777" w:rsidTr="006007BB">
        <w:trPr>
          <w:cantSplit/>
          <w:tblHeader/>
        </w:trPr>
        <w:tc>
          <w:tcPr>
            <w:tcW w:w="1865" w:type="pct"/>
            <w:gridSpan w:val="2"/>
            <w:tcMar>
              <w:left w:w="28" w:type="dxa"/>
              <w:right w:w="28" w:type="dxa"/>
            </w:tcMar>
            <w:vAlign w:val="center"/>
          </w:tcPr>
          <w:p w14:paraId="4082009E" w14:textId="77777777" w:rsidR="00831BA3" w:rsidRPr="007F6AB1" w:rsidRDefault="00831BA3" w:rsidP="006007BB">
            <w:pPr>
              <w:keepNext/>
              <w:spacing w:before="40" w:after="40"/>
              <w:ind w:left="0"/>
              <w:rPr>
                <w:rFonts w:ascii="Arial Narrow" w:hAnsi="Arial Narrow" w:cs="Arial"/>
                <w:sz w:val="18"/>
                <w:szCs w:val="18"/>
              </w:rPr>
            </w:pPr>
          </w:p>
        </w:tc>
        <w:tc>
          <w:tcPr>
            <w:tcW w:w="537" w:type="pct"/>
            <w:tcMar>
              <w:left w:w="28" w:type="dxa"/>
              <w:right w:w="28" w:type="dxa"/>
            </w:tcMar>
            <w:vAlign w:val="center"/>
          </w:tcPr>
          <w:p w14:paraId="565E8224"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Method</w:t>
            </w:r>
          </w:p>
        </w:tc>
        <w:tc>
          <w:tcPr>
            <w:tcW w:w="520" w:type="pct"/>
            <w:tcMar>
              <w:left w:w="28" w:type="dxa"/>
              <w:right w:w="28" w:type="dxa"/>
            </w:tcMar>
            <w:vAlign w:val="center"/>
          </w:tcPr>
          <w:p w14:paraId="02B389A1"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Year 1</w:t>
            </w:r>
          </w:p>
          <w:p w14:paraId="3CB3A434"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2015</w:t>
            </w:r>
          </w:p>
        </w:tc>
        <w:tc>
          <w:tcPr>
            <w:tcW w:w="520" w:type="pct"/>
            <w:tcMar>
              <w:left w:w="28" w:type="dxa"/>
              <w:right w:w="28" w:type="dxa"/>
            </w:tcMar>
            <w:vAlign w:val="center"/>
          </w:tcPr>
          <w:p w14:paraId="52AF3A01"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Year 2</w:t>
            </w:r>
          </w:p>
          <w:p w14:paraId="27512469"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2016</w:t>
            </w:r>
          </w:p>
        </w:tc>
        <w:tc>
          <w:tcPr>
            <w:tcW w:w="520" w:type="pct"/>
            <w:tcMar>
              <w:left w:w="28" w:type="dxa"/>
              <w:right w:w="28" w:type="dxa"/>
            </w:tcMar>
            <w:vAlign w:val="center"/>
          </w:tcPr>
          <w:p w14:paraId="6EEEA722"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Year 3</w:t>
            </w:r>
          </w:p>
          <w:p w14:paraId="548EBF22"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2017</w:t>
            </w:r>
          </w:p>
        </w:tc>
        <w:tc>
          <w:tcPr>
            <w:tcW w:w="520" w:type="pct"/>
            <w:tcMar>
              <w:left w:w="28" w:type="dxa"/>
              <w:right w:w="28" w:type="dxa"/>
            </w:tcMar>
            <w:vAlign w:val="center"/>
          </w:tcPr>
          <w:p w14:paraId="034757E4"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Year 4</w:t>
            </w:r>
          </w:p>
          <w:p w14:paraId="630385D1"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2018</w:t>
            </w:r>
          </w:p>
        </w:tc>
        <w:tc>
          <w:tcPr>
            <w:tcW w:w="517" w:type="pct"/>
            <w:tcMar>
              <w:left w:w="28" w:type="dxa"/>
              <w:right w:w="28" w:type="dxa"/>
            </w:tcMar>
            <w:vAlign w:val="center"/>
          </w:tcPr>
          <w:p w14:paraId="1931816A"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Year 5</w:t>
            </w:r>
          </w:p>
          <w:p w14:paraId="1B3E8BDD" w14:textId="77777777" w:rsidR="00831BA3" w:rsidRPr="007F6AB1" w:rsidRDefault="00831BA3" w:rsidP="006007BB">
            <w:pPr>
              <w:keepNext/>
              <w:spacing w:before="40" w:after="40"/>
              <w:ind w:left="0"/>
              <w:jc w:val="center"/>
              <w:rPr>
                <w:rFonts w:ascii="Arial Narrow" w:hAnsi="Arial Narrow" w:cs="Arial"/>
                <w:b/>
                <w:sz w:val="18"/>
                <w:szCs w:val="18"/>
              </w:rPr>
            </w:pPr>
            <w:r w:rsidRPr="007F6AB1">
              <w:rPr>
                <w:rFonts w:ascii="Arial Narrow" w:hAnsi="Arial Narrow" w:cs="Arial"/>
                <w:b/>
                <w:sz w:val="18"/>
                <w:szCs w:val="18"/>
              </w:rPr>
              <w:t>2019</w:t>
            </w:r>
          </w:p>
        </w:tc>
      </w:tr>
      <w:tr w:rsidR="007F6AB1" w:rsidRPr="007F6AB1" w14:paraId="13E96671" w14:textId="77777777" w:rsidTr="00EC0A91">
        <w:trPr>
          <w:cantSplit/>
        </w:trPr>
        <w:tc>
          <w:tcPr>
            <w:tcW w:w="170" w:type="pct"/>
            <w:tcMar>
              <w:left w:w="28" w:type="dxa"/>
              <w:right w:w="28" w:type="dxa"/>
            </w:tcMar>
            <w:vAlign w:val="center"/>
          </w:tcPr>
          <w:p w14:paraId="0E163470"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F</w:t>
            </w:r>
          </w:p>
        </w:tc>
        <w:tc>
          <w:tcPr>
            <w:tcW w:w="1696" w:type="pct"/>
            <w:tcMar>
              <w:left w:w="28" w:type="dxa"/>
              <w:right w:w="28" w:type="dxa"/>
            </w:tcMar>
            <w:vAlign w:val="center"/>
          </w:tcPr>
          <w:p w14:paraId="04E65DD8" w14:textId="77777777" w:rsidR="00AB7646" w:rsidRPr="007F6AB1" w:rsidRDefault="00AB7646" w:rsidP="006007BB">
            <w:pPr>
              <w:keepNext/>
              <w:spacing w:before="40" w:after="40"/>
              <w:ind w:left="0"/>
              <w:rPr>
                <w:rFonts w:ascii="Arial Narrow" w:hAnsi="Arial Narrow" w:cs="Arial"/>
                <w:sz w:val="18"/>
                <w:szCs w:val="18"/>
              </w:rPr>
            </w:pPr>
            <w:r w:rsidRPr="007F6AB1">
              <w:rPr>
                <w:rFonts w:ascii="Arial Narrow" w:hAnsi="Arial Narrow" w:cs="Arial"/>
                <w:sz w:val="18"/>
                <w:szCs w:val="18"/>
              </w:rPr>
              <w:t>Adjusted rTMS  patient number</w:t>
            </w:r>
          </w:p>
        </w:tc>
        <w:tc>
          <w:tcPr>
            <w:tcW w:w="537" w:type="pct"/>
            <w:shd w:val="clear" w:color="auto" w:fill="auto"/>
            <w:tcMar>
              <w:left w:w="28" w:type="dxa"/>
              <w:right w:w="28" w:type="dxa"/>
            </w:tcMar>
            <w:vAlign w:val="center"/>
          </w:tcPr>
          <w:p w14:paraId="14AAE0F1" w14:textId="77777777" w:rsidR="00AB7646" w:rsidRPr="00EC0A91" w:rsidRDefault="00AB7646" w:rsidP="006007BB">
            <w:pPr>
              <w:keepNext/>
              <w:spacing w:before="40" w:after="40"/>
              <w:ind w:left="0"/>
              <w:jc w:val="center"/>
              <w:rPr>
                <w:rFonts w:ascii="Arial Narrow" w:hAnsi="Arial Narrow" w:cs="Arial"/>
                <w:sz w:val="18"/>
                <w:szCs w:val="18"/>
              </w:rPr>
            </w:pPr>
            <w:r w:rsidRPr="00EC0A91">
              <w:rPr>
                <w:rFonts w:ascii="Arial Narrow" w:hAnsi="Arial Narrow" w:cs="Arial"/>
                <w:sz w:val="18"/>
                <w:szCs w:val="18"/>
              </w:rPr>
              <w:t>From above</w:t>
            </w:r>
          </w:p>
        </w:tc>
        <w:tc>
          <w:tcPr>
            <w:tcW w:w="520" w:type="pct"/>
            <w:tcMar>
              <w:left w:w="28" w:type="dxa"/>
              <w:right w:w="28" w:type="dxa"/>
            </w:tcMar>
            <w:vAlign w:val="center"/>
          </w:tcPr>
          <w:p w14:paraId="7A843D3D"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2,012</w:t>
            </w:r>
          </w:p>
        </w:tc>
        <w:tc>
          <w:tcPr>
            <w:tcW w:w="520" w:type="pct"/>
            <w:tcMar>
              <w:left w:w="28" w:type="dxa"/>
              <w:right w:w="28" w:type="dxa"/>
            </w:tcMar>
            <w:vAlign w:val="center"/>
          </w:tcPr>
          <w:p w14:paraId="3E2E3623"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2,233</w:t>
            </w:r>
          </w:p>
        </w:tc>
        <w:tc>
          <w:tcPr>
            <w:tcW w:w="520" w:type="pct"/>
            <w:tcMar>
              <w:left w:w="28" w:type="dxa"/>
              <w:right w:w="28" w:type="dxa"/>
            </w:tcMar>
            <w:vAlign w:val="center"/>
          </w:tcPr>
          <w:p w14:paraId="0DDFA2A0"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2,460</w:t>
            </w:r>
          </w:p>
        </w:tc>
        <w:tc>
          <w:tcPr>
            <w:tcW w:w="520" w:type="pct"/>
            <w:tcMar>
              <w:left w:w="28" w:type="dxa"/>
              <w:right w:w="28" w:type="dxa"/>
            </w:tcMar>
            <w:vAlign w:val="center"/>
          </w:tcPr>
          <w:p w14:paraId="576E99A8"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2,695</w:t>
            </w:r>
          </w:p>
        </w:tc>
        <w:tc>
          <w:tcPr>
            <w:tcW w:w="517" w:type="pct"/>
            <w:tcMar>
              <w:left w:w="28" w:type="dxa"/>
              <w:right w:w="28" w:type="dxa"/>
            </w:tcMar>
            <w:vAlign w:val="center"/>
          </w:tcPr>
          <w:p w14:paraId="4909B173" w14:textId="77777777" w:rsidR="00AB7646"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2,935</w:t>
            </w:r>
          </w:p>
        </w:tc>
      </w:tr>
      <w:tr w:rsidR="007F6AB1" w:rsidRPr="007F6AB1" w14:paraId="7FB50811" w14:textId="77777777" w:rsidTr="00EC0A91">
        <w:trPr>
          <w:cantSplit/>
        </w:trPr>
        <w:tc>
          <w:tcPr>
            <w:tcW w:w="170" w:type="pct"/>
            <w:tcMar>
              <w:left w:w="28" w:type="dxa"/>
              <w:right w:w="28" w:type="dxa"/>
            </w:tcMar>
            <w:vAlign w:val="center"/>
          </w:tcPr>
          <w:p w14:paraId="7C0BB279"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M</w:t>
            </w:r>
          </w:p>
        </w:tc>
        <w:tc>
          <w:tcPr>
            <w:tcW w:w="1696" w:type="pct"/>
            <w:tcMar>
              <w:left w:w="28" w:type="dxa"/>
              <w:right w:w="28" w:type="dxa"/>
            </w:tcMar>
            <w:vAlign w:val="center"/>
          </w:tcPr>
          <w:p w14:paraId="67CAB95A" w14:textId="77777777" w:rsidR="00AB7646" w:rsidRPr="007F6AB1" w:rsidRDefault="00AB7646" w:rsidP="006007BB">
            <w:pPr>
              <w:widowControl w:val="0"/>
              <w:spacing w:before="40" w:after="40"/>
              <w:ind w:left="0"/>
              <w:rPr>
                <w:rFonts w:ascii="Arial Narrow" w:hAnsi="Arial Narrow" w:cs="Arial"/>
                <w:sz w:val="18"/>
                <w:szCs w:val="18"/>
              </w:rPr>
            </w:pPr>
            <w:r w:rsidRPr="007F6AB1">
              <w:rPr>
                <w:rFonts w:ascii="Arial Narrow" w:hAnsi="Arial Narrow" w:cs="Arial"/>
                <w:sz w:val="18"/>
                <w:szCs w:val="18"/>
              </w:rPr>
              <w:t>Number of psychiatrist visits per year</w:t>
            </w:r>
          </w:p>
        </w:tc>
        <w:tc>
          <w:tcPr>
            <w:tcW w:w="537" w:type="pct"/>
            <w:shd w:val="clear" w:color="auto" w:fill="auto"/>
            <w:tcMar>
              <w:left w:w="28" w:type="dxa"/>
              <w:right w:w="28" w:type="dxa"/>
            </w:tcMar>
            <w:vAlign w:val="center"/>
          </w:tcPr>
          <w:p w14:paraId="67359306" w14:textId="77777777" w:rsidR="00AB7646" w:rsidRPr="00EC0A91" w:rsidRDefault="00AB7646" w:rsidP="006007BB">
            <w:pPr>
              <w:widowControl w:val="0"/>
              <w:spacing w:before="40" w:after="40"/>
              <w:ind w:left="0"/>
              <w:jc w:val="center"/>
              <w:rPr>
                <w:rFonts w:ascii="Arial Narrow" w:hAnsi="Arial Narrow" w:cs="Arial"/>
                <w:sz w:val="18"/>
                <w:szCs w:val="18"/>
              </w:rPr>
            </w:pPr>
            <w:r w:rsidRPr="00EC0A91">
              <w:rPr>
                <w:rFonts w:ascii="Arial Narrow" w:hAnsi="Arial Narrow" w:cs="Arial"/>
                <w:sz w:val="18"/>
                <w:szCs w:val="18"/>
              </w:rPr>
              <w:t>Fx1</w:t>
            </w:r>
          </w:p>
        </w:tc>
        <w:tc>
          <w:tcPr>
            <w:tcW w:w="520" w:type="pct"/>
            <w:tcMar>
              <w:left w:w="28" w:type="dxa"/>
              <w:right w:w="28" w:type="dxa"/>
            </w:tcMar>
            <w:vAlign w:val="center"/>
          </w:tcPr>
          <w:p w14:paraId="0D564B83"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2,012</w:t>
            </w:r>
          </w:p>
        </w:tc>
        <w:tc>
          <w:tcPr>
            <w:tcW w:w="520" w:type="pct"/>
            <w:tcMar>
              <w:left w:w="28" w:type="dxa"/>
              <w:right w:w="28" w:type="dxa"/>
            </w:tcMar>
            <w:vAlign w:val="center"/>
          </w:tcPr>
          <w:p w14:paraId="429B9D82"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2,233</w:t>
            </w:r>
          </w:p>
        </w:tc>
        <w:tc>
          <w:tcPr>
            <w:tcW w:w="520" w:type="pct"/>
            <w:tcMar>
              <w:left w:w="28" w:type="dxa"/>
              <w:right w:w="28" w:type="dxa"/>
            </w:tcMar>
            <w:vAlign w:val="center"/>
          </w:tcPr>
          <w:p w14:paraId="66F6518D"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2,460</w:t>
            </w:r>
          </w:p>
        </w:tc>
        <w:tc>
          <w:tcPr>
            <w:tcW w:w="520" w:type="pct"/>
            <w:tcMar>
              <w:left w:w="28" w:type="dxa"/>
              <w:right w:w="28" w:type="dxa"/>
            </w:tcMar>
            <w:vAlign w:val="center"/>
          </w:tcPr>
          <w:p w14:paraId="12A37973"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2,695</w:t>
            </w:r>
          </w:p>
        </w:tc>
        <w:tc>
          <w:tcPr>
            <w:tcW w:w="517" w:type="pct"/>
            <w:tcMar>
              <w:left w:w="28" w:type="dxa"/>
              <w:right w:w="28" w:type="dxa"/>
            </w:tcMar>
            <w:vAlign w:val="center"/>
          </w:tcPr>
          <w:p w14:paraId="2476E17C"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2,935</w:t>
            </w:r>
          </w:p>
        </w:tc>
      </w:tr>
      <w:tr w:rsidR="007F6AB1" w:rsidRPr="007F6AB1" w14:paraId="6D832928" w14:textId="77777777" w:rsidTr="00EC0A91">
        <w:trPr>
          <w:cantSplit/>
        </w:trPr>
        <w:tc>
          <w:tcPr>
            <w:tcW w:w="170" w:type="pct"/>
            <w:tcMar>
              <w:left w:w="28" w:type="dxa"/>
              <w:right w:w="28" w:type="dxa"/>
            </w:tcMar>
            <w:vAlign w:val="center"/>
          </w:tcPr>
          <w:p w14:paraId="5F0372F4"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G</w:t>
            </w:r>
          </w:p>
        </w:tc>
        <w:tc>
          <w:tcPr>
            <w:tcW w:w="1696" w:type="pct"/>
            <w:tcMar>
              <w:left w:w="28" w:type="dxa"/>
              <w:right w:w="28" w:type="dxa"/>
            </w:tcMar>
            <w:vAlign w:val="center"/>
          </w:tcPr>
          <w:p w14:paraId="225DE15F" w14:textId="77777777" w:rsidR="00AB7646" w:rsidRPr="007F6AB1" w:rsidRDefault="00AB7646" w:rsidP="006007BB">
            <w:pPr>
              <w:widowControl w:val="0"/>
              <w:spacing w:before="40" w:after="40"/>
              <w:ind w:left="0"/>
              <w:rPr>
                <w:rFonts w:ascii="Arial Narrow" w:hAnsi="Arial Narrow" w:cs="Arial"/>
                <w:sz w:val="18"/>
                <w:szCs w:val="18"/>
              </w:rPr>
            </w:pPr>
            <w:r w:rsidRPr="007F6AB1">
              <w:rPr>
                <w:rFonts w:ascii="Arial Narrow" w:hAnsi="Arial Narrow" w:cs="Arial"/>
                <w:sz w:val="18"/>
                <w:szCs w:val="18"/>
              </w:rPr>
              <w:t>Patients requiring reintroduction</w:t>
            </w:r>
          </w:p>
        </w:tc>
        <w:tc>
          <w:tcPr>
            <w:tcW w:w="537" w:type="pct"/>
            <w:shd w:val="clear" w:color="auto" w:fill="auto"/>
            <w:tcMar>
              <w:left w:w="28" w:type="dxa"/>
              <w:right w:w="28" w:type="dxa"/>
            </w:tcMar>
            <w:vAlign w:val="center"/>
          </w:tcPr>
          <w:p w14:paraId="069BAE1D" w14:textId="77777777" w:rsidR="00AB7646" w:rsidRPr="00EC0A91" w:rsidRDefault="00AB7646" w:rsidP="006007BB">
            <w:pPr>
              <w:widowControl w:val="0"/>
              <w:spacing w:before="40" w:after="40"/>
              <w:ind w:left="0"/>
              <w:jc w:val="center"/>
              <w:rPr>
                <w:rFonts w:ascii="Arial Narrow" w:hAnsi="Arial Narrow" w:cs="Arial"/>
                <w:sz w:val="18"/>
                <w:szCs w:val="18"/>
              </w:rPr>
            </w:pPr>
            <w:r w:rsidRPr="00EC0A91">
              <w:rPr>
                <w:rFonts w:ascii="Arial Narrow" w:hAnsi="Arial Narrow" w:cs="Arial"/>
                <w:sz w:val="18"/>
                <w:szCs w:val="18"/>
              </w:rPr>
              <w:t>From above</w:t>
            </w:r>
          </w:p>
        </w:tc>
        <w:tc>
          <w:tcPr>
            <w:tcW w:w="520" w:type="pct"/>
            <w:tcMar>
              <w:left w:w="28" w:type="dxa"/>
              <w:right w:w="28" w:type="dxa"/>
            </w:tcMar>
            <w:vAlign w:val="center"/>
          </w:tcPr>
          <w:p w14:paraId="1D7355A5"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728</w:t>
            </w:r>
          </w:p>
        </w:tc>
        <w:tc>
          <w:tcPr>
            <w:tcW w:w="520" w:type="pct"/>
            <w:tcMar>
              <w:left w:w="28" w:type="dxa"/>
              <w:right w:w="28" w:type="dxa"/>
            </w:tcMar>
            <w:vAlign w:val="center"/>
          </w:tcPr>
          <w:p w14:paraId="6CA95CE0"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808</w:t>
            </w:r>
          </w:p>
        </w:tc>
        <w:tc>
          <w:tcPr>
            <w:tcW w:w="520" w:type="pct"/>
            <w:tcMar>
              <w:left w:w="28" w:type="dxa"/>
              <w:right w:w="28" w:type="dxa"/>
            </w:tcMar>
            <w:vAlign w:val="center"/>
          </w:tcPr>
          <w:p w14:paraId="385CF795"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891</w:t>
            </w:r>
          </w:p>
        </w:tc>
        <w:tc>
          <w:tcPr>
            <w:tcW w:w="520" w:type="pct"/>
            <w:tcMar>
              <w:left w:w="28" w:type="dxa"/>
              <w:right w:w="28" w:type="dxa"/>
            </w:tcMar>
            <w:vAlign w:val="center"/>
          </w:tcPr>
          <w:p w14:paraId="6192F2DB"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975</w:t>
            </w:r>
          </w:p>
        </w:tc>
        <w:tc>
          <w:tcPr>
            <w:tcW w:w="517" w:type="pct"/>
            <w:tcMar>
              <w:left w:w="28" w:type="dxa"/>
              <w:right w:w="28" w:type="dxa"/>
            </w:tcMar>
            <w:vAlign w:val="center"/>
          </w:tcPr>
          <w:p w14:paraId="5D7BB2B1"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1,062</w:t>
            </w:r>
          </w:p>
        </w:tc>
      </w:tr>
      <w:tr w:rsidR="007F6AB1" w:rsidRPr="007F6AB1" w14:paraId="01205527" w14:textId="77777777" w:rsidTr="00EC0A91">
        <w:trPr>
          <w:cantSplit/>
        </w:trPr>
        <w:tc>
          <w:tcPr>
            <w:tcW w:w="170" w:type="pct"/>
            <w:tcMar>
              <w:left w:w="28" w:type="dxa"/>
              <w:right w:w="28" w:type="dxa"/>
            </w:tcMar>
            <w:vAlign w:val="center"/>
          </w:tcPr>
          <w:p w14:paraId="5BCEE335"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N</w:t>
            </w:r>
          </w:p>
        </w:tc>
        <w:tc>
          <w:tcPr>
            <w:tcW w:w="1696" w:type="pct"/>
            <w:tcMar>
              <w:left w:w="28" w:type="dxa"/>
              <w:right w:w="28" w:type="dxa"/>
            </w:tcMar>
            <w:vAlign w:val="center"/>
          </w:tcPr>
          <w:p w14:paraId="2AEF55E0" w14:textId="77777777" w:rsidR="00AB7646" w:rsidRPr="007F6AB1" w:rsidRDefault="00AB7646" w:rsidP="006007BB">
            <w:pPr>
              <w:widowControl w:val="0"/>
              <w:spacing w:before="40" w:after="40"/>
              <w:ind w:left="0"/>
              <w:rPr>
                <w:rFonts w:ascii="Arial Narrow" w:hAnsi="Arial Narrow" w:cs="Arial"/>
                <w:sz w:val="18"/>
                <w:szCs w:val="18"/>
              </w:rPr>
            </w:pPr>
            <w:r w:rsidRPr="007F6AB1">
              <w:rPr>
                <w:rFonts w:ascii="Arial Narrow" w:hAnsi="Arial Narrow" w:cs="Arial"/>
                <w:sz w:val="18"/>
                <w:szCs w:val="18"/>
              </w:rPr>
              <w:t>Number of psychiatrist visits per year</w:t>
            </w:r>
          </w:p>
        </w:tc>
        <w:tc>
          <w:tcPr>
            <w:tcW w:w="537" w:type="pct"/>
            <w:shd w:val="clear" w:color="auto" w:fill="auto"/>
            <w:tcMar>
              <w:left w:w="28" w:type="dxa"/>
              <w:right w:w="28" w:type="dxa"/>
            </w:tcMar>
            <w:vAlign w:val="center"/>
          </w:tcPr>
          <w:p w14:paraId="3ABE4240" w14:textId="77777777" w:rsidR="00AB7646" w:rsidRPr="00EC0A91" w:rsidRDefault="00AB7646" w:rsidP="006007BB">
            <w:pPr>
              <w:widowControl w:val="0"/>
              <w:spacing w:before="40" w:after="40"/>
              <w:ind w:left="0"/>
              <w:jc w:val="center"/>
              <w:rPr>
                <w:rFonts w:ascii="Arial Narrow" w:hAnsi="Arial Narrow" w:cs="Arial"/>
                <w:sz w:val="18"/>
                <w:szCs w:val="18"/>
              </w:rPr>
            </w:pPr>
            <w:r w:rsidRPr="00EC0A91">
              <w:rPr>
                <w:rFonts w:ascii="Arial Narrow" w:hAnsi="Arial Narrow" w:cs="Arial"/>
                <w:sz w:val="18"/>
                <w:szCs w:val="18"/>
              </w:rPr>
              <w:t>Gx1</w:t>
            </w:r>
          </w:p>
        </w:tc>
        <w:tc>
          <w:tcPr>
            <w:tcW w:w="520" w:type="pct"/>
            <w:tcMar>
              <w:left w:w="28" w:type="dxa"/>
              <w:right w:w="28" w:type="dxa"/>
            </w:tcMar>
            <w:vAlign w:val="center"/>
          </w:tcPr>
          <w:p w14:paraId="30005CDB"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728</w:t>
            </w:r>
          </w:p>
        </w:tc>
        <w:tc>
          <w:tcPr>
            <w:tcW w:w="520" w:type="pct"/>
            <w:tcMar>
              <w:left w:w="28" w:type="dxa"/>
              <w:right w:w="28" w:type="dxa"/>
            </w:tcMar>
            <w:vAlign w:val="center"/>
          </w:tcPr>
          <w:p w14:paraId="18F6FB9A"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808</w:t>
            </w:r>
          </w:p>
        </w:tc>
        <w:tc>
          <w:tcPr>
            <w:tcW w:w="520" w:type="pct"/>
            <w:tcMar>
              <w:left w:w="28" w:type="dxa"/>
              <w:right w:w="28" w:type="dxa"/>
            </w:tcMar>
            <w:vAlign w:val="center"/>
          </w:tcPr>
          <w:p w14:paraId="561F05B5"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891</w:t>
            </w:r>
          </w:p>
        </w:tc>
        <w:tc>
          <w:tcPr>
            <w:tcW w:w="520" w:type="pct"/>
            <w:tcMar>
              <w:left w:w="28" w:type="dxa"/>
              <w:right w:w="28" w:type="dxa"/>
            </w:tcMar>
            <w:vAlign w:val="center"/>
          </w:tcPr>
          <w:p w14:paraId="7F2AC485"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975</w:t>
            </w:r>
          </w:p>
        </w:tc>
        <w:tc>
          <w:tcPr>
            <w:tcW w:w="517" w:type="pct"/>
            <w:tcMar>
              <w:left w:w="28" w:type="dxa"/>
              <w:right w:w="28" w:type="dxa"/>
            </w:tcMar>
            <w:vAlign w:val="center"/>
          </w:tcPr>
          <w:p w14:paraId="26C2255E"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1,062</w:t>
            </w:r>
          </w:p>
        </w:tc>
      </w:tr>
      <w:tr w:rsidR="007F6AB1" w:rsidRPr="007F6AB1" w14:paraId="2D233B78" w14:textId="77777777" w:rsidTr="00EC0A91">
        <w:trPr>
          <w:cantSplit/>
        </w:trPr>
        <w:tc>
          <w:tcPr>
            <w:tcW w:w="170" w:type="pct"/>
            <w:tcMar>
              <w:left w:w="28" w:type="dxa"/>
              <w:right w:w="28" w:type="dxa"/>
            </w:tcMar>
            <w:vAlign w:val="center"/>
          </w:tcPr>
          <w:p w14:paraId="506F7004" w14:textId="77777777" w:rsidR="00AB7646"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H</w:t>
            </w:r>
          </w:p>
        </w:tc>
        <w:tc>
          <w:tcPr>
            <w:tcW w:w="1696" w:type="pct"/>
            <w:tcMar>
              <w:left w:w="28" w:type="dxa"/>
              <w:right w:w="28" w:type="dxa"/>
            </w:tcMar>
            <w:vAlign w:val="center"/>
          </w:tcPr>
          <w:p w14:paraId="5E2921CB" w14:textId="77777777" w:rsidR="00AB7646" w:rsidRPr="007F6AB1" w:rsidRDefault="00AB7646" w:rsidP="006007BB">
            <w:pPr>
              <w:widowControl w:val="0"/>
              <w:spacing w:before="40" w:after="40"/>
              <w:ind w:left="0"/>
              <w:rPr>
                <w:rFonts w:ascii="Arial Narrow" w:hAnsi="Arial Narrow" w:cs="Arial"/>
                <w:sz w:val="18"/>
                <w:szCs w:val="18"/>
              </w:rPr>
            </w:pPr>
            <w:r w:rsidRPr="007F6AB1">
              <w:rPr>
                <w:rFonts w:ascii="Arial Narrow" w:hAnsi="Arial Narrow" w:cs="Arial"/>
                <w:sz w:val="18"/>
                <w:szCs w:val="18"/>
              </w:rPr>
              <w:t>Patients requiring maintenance</w:t>
            </w:r>
          </w:p>
        </w:tc>
        <w:tc>
          <w:tcPr>
            <w:tcW w:w="537" w:type="pct"/>
            <w:shd w:val="clear" w:color="auto" w:fill="auto"/>
            <w:tcMar>
              <w:left w:w="28" w:type="dxa"/>
              <w:right w:w="28" w:type="dxa"/>
            </w:tcMar>
            <w:vAlign w:val="center"/>
          </w:tcPr>
          <w:p w14:paraId="6B0253F7" w14:textId="77777777" w:rsidR="00AB7646" w:rsidRPr="00EC0A91" w:rsidRDefault="00AB7646" w:rsidP="006007BB">
            <w:pPr>
              <w:widowControl w:val="0"/>
              <w:spacing w:before="40" w:after="40"/>
              <w:ind w:left="0"/>
              <w:jc w:val="center"/>
              <w:rPr>
                <w:rFonts w:ascii="Arial Narrow" w:hAnsi="Arial Narrow" w:cs="Arial"/>
                <w:sz w:val="18"/>
                <w:szCs w:val="18"/>
              </w:rPr>
            </w:pPr>
            <w:r w:rsidRPr="00EC0A91">
              <w:rPr>
                <w:rFonts w:ascii="Arial Narrow" w:hAnsi="Arial Narrow" w:cs="Arial"/>
                <w:sz w:val="18"/>
                <w:szCs w:val="18"/>
              </w:rPr>
              <w:t>From above</w:t>
            </w:r>
          </w:p>
        </w:tc>
        <w:tc>
          <w:tcPr>
            <w:tcW w:w="520" w:type="pct"/>
            <w:tcMar>
              <w:left w:w="28" w:type="dxa"/>
              <w:right w:w="28" w:type="dxa"/>
            </w:tcMar>
            <w:vAlign w:val="center"/>
          </w:tcPr>
          <w:p w14:paraId="535C2829"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201</w:t>
            </w:r>
          </w:p>
        </w:tc>
        <w:tc>
          <w:tcPr>
            <w:tcW w:w="520" w:type="pct"/>
            <w:tcMar>
              <w:left w:w="28" w:type="dxa"/>
              <w:right w:w="28" w:type="dxa"/>
            </w:tcMar>
            <w:vAlign w:val="center"/>
          </w:tcPr>
          <w:p w14:paraId="117D896F"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223</w:t>
            </w:r>
          </w:p>
        </w:tc>
        <w:tc>
          <w:tcPr>
            <w:tcW w:w="520" w:type="pct"/>
            <w:tcMar>
              <w:left w:w="28" w:type="dxa"/>
              <w:right w:w="28" w:type="dxa"/>
            </w:tcMar>
            <w:vAlign w:val="center"/>
          </w:tcPr>
          <w:p w14:paraId="180E2751"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246</w:t>
            </w:r>
          </w:p>
        </w:tc>
        <w:tc>
          <w:tcPr>
            <w:tcW w:w="520" w:type="pct"/>
            <w:tcMar>
              <w:left w:w="28" w:type="dxa"/>
              <w:right w:w="28" w:type="dxa"/>
            </w:tcMar>
            <w:vAlign w:val="center"/>
          </w:tcPr>
          <w:p w14:paraId="7207068B"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269</w:t>
            </w:r>
          </w:p>
        </w:tc>
        <w:tc>
          <w:tcPr>
            <w:tcW w:w="517" w:type="pct"/>
            <w:tcMar>
              <w:left w:w="28" w:type="dxa"/>
              <w:right w:w="28" w:type="dxa"/>
            </w:tcMar>
            <w:vAlign w:val="center"/>
          </w:tcPr>
          <w:p w14:paraId="12930493" w14:textId="77777777" w:rsidR="00AB7646" w:rsidRPr="007F6AB1" w:rsidRDefault="00AB7646" w:rsidP="006007BB">
            <w:pPr>
              <w:pStyle w:val="TableNotes0"/>
              <w:keepNext w:val="0"/>
              <w:keepLines w:val="0"/>
              <w:widowControl w:val="0"/>
              <w:spacing w:before="40" w:after="40"/>
              <w:jc w:val="center"/>
              <w:rPr>
                <w:rFonts w:ascii="Arial Narrow" w:hAnsi="Arial Narrow" w:cs="Arial Narrow"/>
                <w:sz w:val="18"/>
                <w:lang w:val="en-AU"/>
              </w:rPr>
            </w:pPr>
            <w:r w:rsidRPr="007F6AB1">
              <w:rPr>
                <w:rFonts w:ascii="Arial Narrow" w:hAnsi="Arial Narrow" w:cs="Arial Narrow"/>
                <w:sz w:val="18"/>
                <w:lang w:val="en-AU"/>
              </w:rPr>
              <w:t>293</w:t>
            </w:r>
          </w:p>
        </w:tc>
      </w:tr>
      <w:tr w:rsidR="007F6AB1" w:rsidRPr="007F6AB1" w14:paraId="58116A4C" w14:textId="77777777" w:rsidTr="006007BB">
        <w:trPr>
          <w:cantSplit/>
        </w:trPr>
        <w:tc>
          <w:tcPr>
            <w:tcW w:w="170" w:type="pct"/>
            <w:tcMar>
              <w:left w:w="28" w:type="dxa"/>
              <w:right w:w="28" w:type="dxa"/>
            </w:tcMar>
            <w:vAlign w:val="center"/>
          </w:tcPr>
          <w:p w14:paraId="3BAD29AF" w14:textId="77777777" w:rsidR="00D654DE" w:rsidRPr="007F6AB1" w:rsidRDefault="00D654DE"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O</w:t>
            </w:r>
          </w:p>
        </w:tc>
        <w:tc>
          <w:tcPr>
            <w:tcW w:w="1696" w:type="pct"/>
            <w:tcMar>
              <w:left w:w="28" w:type="dxa"/>
              <w:right w:w="28" w:type="dxa"/>
            </w:tcMar>
            <w:vAlign w:val="center"/>
          </w:tcPr>
          <w:p w14:paraId="7D24F629" w14:textId="77777777" w:rsidR="00D654DE" w:rsidRPr="007F6AB1" w:rsidRDefault="00D654DE" w:rsidP="006007BB">
            <w:pPr>
              <w:widowControl w:val="0"/>
              <w:spacing w:before="40" w:after="40"/>
              <w:ind w:left="0"/>
              <w:rPr>
                <w:rFonts w:ascii="Arial Narrow" w:hAnsi="Arial Narrow" w:cs="Arial"/>
                <w:sz w:val="18"/>
                <w:szCs w:val="18"/>
              </w:rPr>
            </w:pPr>
            <w:r w:rsidRPr="007F6AB1">
              <w:rPr>
                <w:rFonts w:ascii="Arial Narrow" w:hAnsi="Arial Narrow" w:cs="Arial"/>
                <w:sz w:val="18"/>
                <w:szCs w:val="18"/>
              </w:rPr>
              <w:t>Number of psychiatrist visits per year</w:t>
            </w:r>
          </w:p>
        </w:tc>
        <w:tc>
          <w:tcPr>
            <w:tcW w:w="537" w:type="pct"/>
            <w:tcMar>
              <w:left w:w="28" w:type="dxa"/>
              <w:right w:w="28" w:type="dxa"/>
            </w:tcMar>
            <w:vAlign w:val="center"/>
          </w:tcPr>
          <w:p w14:paraId="0E049010" w14:textId="77777777" w:rsidR="00D654DE" w:rsidRPr="007F6AB1" w:rsidRDefault="00D654DE"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Hx3</w:t>
            </w:r>
          </w:p>
        </w:tc>
        <w:tc>
          <w:tcPr>
            <w:tcW w:w="520" w:type="pct"/>
            <w:tcMar>
              <w:left w:w="28" w:type="dxa"/>
              <w:right w:w="28" w:type="dxa"/>
            </w:tcMar>
            <w:vAlign w:val="center"/>
          </w:tcPr>
          <w:p w14:paraId="60177161" w14:textId="77777777" w:rsidR="00D654DE"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604</w:t>
            </w:r>
          </w:p>
        </w:tc>
        <w:tc>
          <w:tcPr>
            <w:tcW w:w="520" w:type="pct"/>
            <w:tcMar>
              <w:left w:w="28" w:type="dxa"/>
              <w:right w:w="28" w:type="dxa"/>
            </w:tcMar>
            <w:vAlign w:val="center"/>
          </w:tcPr>
          <w:p w14:paraId="7E657F95" w14:textId="77777777" w:rsidR="00D654DE"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670</w:t>
            </w:r>
          </w:p>
        </w:tc>
        <w:tc>
          <w:tcPr>
            <w:tcW w:w="520" w:type="pct"/>
            <w:tcMar>
              <w:left w:w="28" w:type="dxa"/>
              <w:right w:w="28" w:type="dxa"/>
            </w:tcMar>
            <w:vAlign w:val="center"/>
          </w:tcPr>
          <w:p w14:paraId="16DC862B" w14:textId="77777777" w:rsidR="00D654DE"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738</w:t>
            </w:r>
          </w:p>
        </w:tc>
        <w:tc>
          <w:tcPr>
            <w:tcW w:w="520" w:type="pct"/>
            <w:tcMar>
              <w:left w:w="28" w:type="dxa"/>
              <w:right w:w="28" w:type="dxa"/>
            </w:tcMar>
            <w:vAlign w:val="center"/>
          </w:tcPr>
          <w:p w14:paraId="2513F005" w14:textId="77777777" w:rsidR="00D654DE"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808</w:t>
            </w:r>
          </w:p>
        </w:tc>
        <w:tc>
          <w:tcPr>
            <w:tcW w:w="517" w:type="pct"/>
            <w:tcMar>
              <w:left w:w="28" w:type="dxa"/>
              <w:right w:w="28" w:type="dxa"/>
            </w:tcMar>
            <w:vAlign w:val="center"/>
          </w:tcPr>
          <w:p w14:paraId="08EBC5D6" w14:textId="77777777" w:rsidR="00D654DE" w:rsidRPr="007F6AB1" w:rsidRDefault="00AB7646" w:rsidP="006007BB">
            <w:pPr>
              <w:widowControl w:val="0"/>
              <w:spacing w:before="40" w:after="40"/>
              <w:ind w:left="0"/>
              <w:jc w:val="center"/>
              <w:rPr>
                <w:rFonts w:ascii="Arial Narrow" w:hAnsi="Arial Narrow" w:cs="Arial"/>
                <w:sz w:val="18"/>
                <w:szCs w:val="18"/>
              </w:rPr>
            </w:pPr>
            <w:r w:rsidRPr="007F6AB1">
              <w:rPr>
                <w:rFonts w:ascii="Arial Narrow" w:hAnsi="Arial Narrow" w:cs="Arial"/>
                <w:sz w:val="18"/>
                <w:szCs w:val="18"/>
              </w:rPr>
              <w:t>880</w:t>
            </w:r>
          </w:p>
        </w:tc>
      </w:tr>
      <w:tr w:rsidR="007F6AB1" w:rsidRPr="007F6AB1" w14:paraId="5A48BD6E" w14:textId="77777777" w:rsidTr="006007BB">
        <w:trPr>
          <w:cantSplit/>
        </w:trPr>
        <w:tc>
          <w:tcPr>
            <w:tcW w:w="170" w:type="pct"/>
            <w:tcMar>
              <w:left w:w="28" w:type="dxa"/>
              <w:right w:w="28" w:type="dxa"/>
            </w:tcMar>
            <w:vAlign w:val="center"/>
          </w:tcPr>
          <w:p w14:paraId="2F27D15C" w14:textId="77777777" w:rsidR="00D654DE" w:rsidRPr="007F6AB1" w:rsidRDefault="00D654DE"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P</w:t>
            </w:r>
          </w:p>
        </w:tc>
        <w:tc>
          <w:tcPr>
            <w:tcW w:w="1696" w:type="pct"/>
            <w:tcMar>
              <w:left w:w="28" w:type="dxa"/>
              <w:right w:w="28" w:type="dxa"/>
            </w:tcMar>
            <w:vAlign w:val="center"/>
          </w:tcPr>
          <w:p w14:paraId="2597718B" w14:textId="77777777" w:rsidR="00D654DE" w:rsidRPr="007F6AB1" w:rsidRDefault="00D654DE" w:rsidP="006007BB">
            <w:pPr>
              <w:keepNext/>
              <w:spacing w:before="40" w:after="40"/>
              <w:ind w:left="0"/>
              <w:rPr>
                <w:rFonts w:ascii="Arial Narrow" w:hAnsi="Arial Narrow" w:cs="Arial"/>
                <w:sz w:val="18"/>
                <w:szCs w:val="18"/>
              </w:rPr>
            </w:pPr>
            <w:r w:rsidRPr="007F6AB1">
              <w:rPr>
                <w:rFonts w:ascii="Arial Narrow" w:hAnsi="Arial Narrow" w:cs="Arial"/>
                <w:sz w:val="18"/>
                <w:szCs w:val="18"/>
              </w:rPr>
              <w:t>Total number of psychiatrist visits per year</w:t>
            </w:r>
          </w:p>
        </w:tc>
        <w:tc>
          <w:tcPr>
            <w:tcW w:w="537" w:type="pct"/>
            <w:tcMar>
              <w:left w:w="28" w:type="dxa"/>
              <w:right w:w="28" w:type="dxa"/>
            </w:tcMar>
            <w:vAlign w:val="center"/>
          </w:tcPr>
          <w:p w14:paraId="3DEBA109" w14:textId="77777777" w:rsidR="00D654DE" w:rsidRPr="007F6AB1" w:rsidRDefault="00D654DE"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M+N+O</w:t>
            </w:r>
          </w:p>
        </w:tc>
        <w:tc>
          <w:tcPr>
            <w:tcW w:w="520" w:type="pct"/>
            <w:tcMar>
              <w:left w:w="28" w:type="dxa"/>
              <w:right w:w="28" w:type="dxa"/>
            </w:tcMar>
            <w:vAlign w:val="center"/>
          </w:tcPr>
          <w:p w14:paraId="138DB14F" w14:textId="77777777" w:rsidR="00D654DE"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3,344</w:t>
            </w:r>
          </w:p>
        </w:tc>
        <w:tc>
          <w:tcPr>
            <w:tcW w:w="520" w:type="pct"/>
            <w:tcMar>
              <w:left w:w="28" w:type="dxa"/>
              <w:right w:w="28" w:type="dxa"/>
            </w:tcMar>
            <w:vAlign w:val="center"/>
          </w:tcPr>
          <w:p w14:paraId="3DD7F1C6" w14:textId="77777777" w:rsidR="00D654DE"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3,711</w:t>
            </w:r>
          </w:p>
        </w:tc>
        <w:tc>
          <w:tcPr>
            <w:tcW w:w="520" w:type="pct"/>
            <w:tcMar>
              <w:left w:w="28" w:type="dxa"/>
              <w:right w:w="28" w:type="dxa"/>
            </w:tcMar>
            <w:vAlign w:val="center"/>
          </w:tcPr>
          <w:p w14:paraId="20631D1C" w14:textId="77777777" w:rsidR="00D654DE"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4,089</w:t>
            </w:r>
          </w:p>
        </w:tc>
        <w:tc>
          <w:tcPr>
            <w:tcW w:w="520" w:type="pct"/>
            <w:tcMar>
              <w:left w:w="28" w:type="dxa"/>
              <w:right w:w="28" w:type="dxa"/>
            </w:tcMar>
            <w:vAlign w:val="center"/>
          </w:tcPr>
          <w:p w14:paraId="15608F65" w14:textId="77777777" w:rsidR="00D654DE"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4,479</w:t>
            </w:r>
          </w:p>
        </w:tc>
        <w:tc>
          <w:tcPr>
            <w:tcW w:w="517" w:type="pct"/>
            <w:tcMar>
              <w:left w:w="28" w:type="dxa"/>
              <w:right w:w="28" w:type="dxa"/>
            </w:tcMar>
            <w:vAlign w:val="center"/>
          </w:tcPr>
          <w:p w14:paraId="3469CF76" w14:textId="77777777" w:rsidR="00D654DE" w:rsidRPr="007F6AB1" w:rsidRDefault="00AB7646" w:rsidP="006007BB">
            <w:pPr>
              <w:keepNext/>
              <w:spacing w:before="40" w:after="40"/>
              <w:ind w:left="0"/>
              <w:jc w:val="center"/>
              <w:rPr>
                <w:rFonts w:ascii="Arial Narrow" w:hAnsi="Arial Narrow" w:cs="Arial"/>
                <w:sz w:val="18"/>
                <w:szCs w:val="18"/>
              </w:rPr>
            </w:pPr>
            <w:r w:rsidRPr="007F6AB1">
              <w:rPr>
                <w:rFonts w:ascii="Arial Narrow" w:hAnsi="Arial Narrow" w:cs="Arial"/>
                <w:sz w:val="18"/>
                <w:szCs w:val="18"/>
              </w:rPr>
              <w:t>4,878</w:t>
            </w:r>
          </w:p>
        </w:tc>
      </w:tr>
    </w:tbl>
    <w:p w14:paraId="3397FD74" w14:textId="77777777" w:rsidR="007D4231" w:rsidRPr="007F6AB1" w:rsidRDefault="007D4231" w:rsidP="006007BB">
      <w:pPr>
        <w:keepNext/>
        <w:spacing w:before="40" w:after="40"/>
        <w:rPr>
          <w:rFonts w:ascii="Arial Narrow" w:hAnsi="Arial Narrow" w:cs="Arial"/>
          <w:sz w:val="18"/>
          <w:szCs w:val="18"/>
        </w:rPr>
      </w:pPr>
      <w:r w:rsidRPr="007F6AB1">
        <w:rPr>
          <w:rFonts w:ascii="Arial Narrow" w:hAnsi="Arial Narrow" w:cs="Arial"/>
          <w:sz w:val="18"/>
          <w:szCs w:val="18"/>
        </w:rPr>
        <w:t>Source: Excel spreadsheet</w:t>
      </w:r>
      <w:r w:rsidR="00C23026" w:rsidRPr="007F6AB1">
        <w:rPr>
          <w:rFonts w:ascii="Arial Narrow" w:hAnsi="Arial Narrow" w:cs="Arial"/>
          <w:sz w:val="18"/>
          <w:szCs w:val="18"/>
        </w:rPr>
        <w:t xml:space="preserve"> (rTMS Section E.xls)</w:t>
      </w:r>
    </w:p>
    <w:p w14:paraId="68E31278" w14:textId="77777777" w:rsidR="007D4231" w:rsidRDefault="00F071F4" w:rsidP="006007BB">
      <w:pPr>
        <w:keepNext/>
        <w:spacing w:before="40" w:after="40"/>
        <w:rPr>
          <w:rFonts w:ascii="Arial Narrow" w:hAnsi="Arial Narrow" w:cs="Arial"/>
          <w:sz w:val="18"/>
          <w:szCs w:val="18"/>
        </w:rPr>
      </w:pPr>
      <w:r w:rsidRPr="007F6AB1">
        <w:rPr>
          <w:rFonts w:ascii="Arial Narrow" w:hAnsi="Arial Narrow" w:cs="Arial"/>
          <w:sz w:val="18"/>
          <w:szCs w:val="18"/>
        </w:rPr>
        <w:t>MBS = Medicare Benefits Schedule</w:t>
      </w:r>
      <w:r w:rsidR="007D4231" w:rsidRPr="007F6AB1">
        <w:rPr>
          <w:rFonts w:ascii="Arial Narrow" w:hAnsi="Arial Narrow" w:cs="Arial"/>
          <w:sz w:val="18"/>
          <w:szCs w:val="18"/>
        </w:rPr>
        <w:t>; rTMS = repetitive Transcranial Magnetic Stimulation</w:t>
      </w:r>
    </w:p>
    <w:p w14:paraId="6A4882CC" w14:textId="77777777" w:rsidR="006007BB" w:rsidRPr="007F6AB1" w:rsidRDefault="006007BB" w:rsidP="006007BB"/>
    <w:p w14:paraId="7ACEB9F3" w14:textId="77777777" w:rsidR="000729EA" w:rsidRDefault="00A464E7" w:rsidP="005E00ED">
      <w:pPr>
        <w:jc w:val="both"/>
      </w:pPr>
      <w:r>
        <w:t>In total, it is expected that rTMS treatment will result in 3,344 psychiatrist visits in Year 1 and a total of 20,500 consultations over the next 5 years.</w:t>
      </w:r>
    </w:p>
    <w:p w14:paraId="67C0AA6B" w14:textId="77777777" w:rsidR="00934AB2" w:rsidRDefault="00934AB2" w:rsidP="005E00ED">
      <w:pPr>
        <w:jc w:val="both"/>
      </w:pPr>
      <w:r>
        <w:t xml:space="preserve">The proposed effective price to the MBS for the initial </w:t>
      </w:r>
      <w:r w:rsidR="00AF6EA3">
        <w:t xml:space="preserve">psychiatrist consultation </w:t>
      </w:r>
      <w:r>
        <w:t>is $350.</w:t>
      </w:r>
      <w:r w:rsidR="00AF6EA3">
        <w:t xml:space="preserve"> At this consultation the psychiatrist would perform a “mapping” procedure to locate the motor cortex on the patients scalp (to enable measurement to the dorsolateral prefrontal cortex) and prescribe the dose of rTMS, which is a proportion of the patient’s motor threshold.</w:t>
      </w:r>
      <w:r>
        <w:t xml:space="preserve"> The proposed fee to the MBS per rTMS treatment provided by a nurse or allied health professional is $150. This fee covers the professional component ($81) and practice costs ($69). The professional component includes 10 minutes of setting up, 45 minutes of getting the patient seared and comfortable, providing ear plugs, marking out the location on the scalp for the coil, setting parameters on the rTMS machine, and applying treatment, plus 5 minutes to remove coils, check for discomfort and planning the next session. The practice costs includes miscellaneous, administrative and disposables expenses ($38), capital equipment costs ($14) and indirect costs for general overheads ($17).</w:t>
      </w:r>
    </w:p>
    <w:p w14:paraId="6556B08C" w14:textId="2501CA06" w:rsidR="00E315D7" w:rsidRDefault="00F07318" w:rsidP="005E00ED">
      <w:pPr>
        <w:jc w:val="both"/>
      </w:pPr>
      <w:r>
        <w:t>Combining the costs of psychiatrist visits and treatments with the number</w:t>
      </w:r>
      <w:r w:rsidR="00AF6EA3">
        <w:t xml:space="preserve">s estimated </w:t>
      </w:r>
      <w:r w:rsidR="00AF6EA3" w:rsidRPr="001F17C0">
        <w:rPr>
          <w:rFonts w:cs="Garamond"/>
          <w:szCs w:val="24"/>
        </w:rPr>
        <w:t xml:space="preserve">above </w:t>
      </w:r>
      <w:r w:rsidRPr="001F17C0">
        <w:rPr>
          <w:rFonts w:cs="Garamond"/>
          <w:szCs w:val="24"/>
        </w:rPr>
        <w:t xml:space="preserve">allows us to estimate the overall cost of </w:t>
      </w:r>
      <w:r w:rsidR="00F85EBC" w:rsidRPr="001F17C0">
        <w:rPr>
          <w:rFonts w:cs="Garamond"/>
          <w:szCs w:val="24"/>
        </w:rPr>
        <w:t xml:space="preserve">listing </w:t>
      </w:r>
      <w:r w:rsidRPr="001F17C0">
        <w:rPr>
          <w:rFonts w:cs="Garamond"/>
          <w:szCs w:val="24"/>
        </w:rPr>
        <w:t>r</w:t>
      </w:r>
      <w:r w:rsidR="00F85EBC" w:rsidRPr="001F17C0">
        <w:rPr>
          <w:rFonts w:cs="Garamond"/>
          <w:szCs w:val="24"/>
        </w:rPr>
        <w:t xml:space="preserve">TMS to the MBS (see </w:t>
      </w:r>
      <w:r w:rsidR="001F17C0" w:rsidRPr="001F17C0">
        <w:rPr>
          <w:rFonts w:cs="Garamond"/>
          <w:szCs w:val="24"/>
        </w:rPr>
        <w:fldChar w:fldCharType="begin"/>
      </w:r>
      <w:r w:rsidR="001F17C0" w:rsidRPr="001F17C0">
        <w:rPr>
          <w:rFonts w:cs="Garamond"/>
          <w:szCs w:val="24"/>
        </w:rPr>
        <w:instrText xml:space="preserve"> REF _Ref386103481 \h </w:instrText>
      </w:r>
      <w:r w:rsidR="001F17C0">
        <w:rPr>
          <w:rFonts w:cs="Garamond"/>
          <w:szCs w:val="24"/>
        </w:rPr>
        <w:instrText xml:space="preserve"> \* MERGEFORMAT </w:instrText>
      </w:r>
      <w:r w:rsidR="001F17C0" w:rsidRPr="001F17C0">
        <w:rPr>
          <w:rFonts w:cs="Garamond"/>
          <w:szCs w:val="24"/>
        </w:rPr>
      </w:r>
      <w:r w:rsidR="001F17C0" w:rsidRPr="001F17C0">
        <w:rPr>
          <w:rFonts w:cs="Garamond"/>
          <w:szCs w:val="24"/>
        </w:rPr>
        <w:fldChar w:fldCharType="separate"/>
      </w:r>
      <w:r w:rsidR="004C1C27" w:rsidRPr="004C1C27">
        <w:rPr>
          <w:rFonts w:cs="Garamond"/>
          <w:szCs w:val="24"/>
        </w:rPr>
        <w:t>Table 12</w:t>
      </w:r>
      <w:r w:rsidR="001F17C0" w:rsidRPr="001F17C0">
        <w:rPr>
          <w:rFonts w:cs="Garamond"/>
          <w:szCs w:val="24"/>
        </w:rPr>
        <w:fldChar w:fldCharType="end"/>
      </w:r>
      <w:r>
        <w:t>)</w:t>
      </w:r>
      <w:r w:rsidR="00F85EBC">
        <w:t>.</w:t>
      </w:r>
    </w:p>
    <w:p w14:paraId="49BFD75B" w14:textId="51402615" w:rsidR="00F07318" w:rsidRPr="006839C4" w:rsidRDefault="0001527B" w:rsidP="006258B7">
      <w:pPr>
        <w:pStyle w:val="TableName"/>
      </w:pPr>
      <w:bookmarkStart w:id="193" w:name="_Ref386103481"/>
      <w:bookmarkStart w:id="194" w:name="_Toc389140555"/>
      <w:bookmarkStart w:id="195" w:name="_Toc389142174"/>
      <w:bookmarkStart w:id="196" w:name="_Toc389143599"/>
      <w:r w:rsidRPr="007F787A">
        <w:t xml:space="preserve">Table </w:t>
      </w:r>
      <w:r w:rsidR="004C1C27">
        <w:fldChar w:fldCharType="begin"/>
      </w:r>
      <w:r w:rsidR="004C1C27">
        <w:instrText xml:space="preserve"> SEQ Table \* ARABI</w:instrText>
      </w:r>
      <w:r w:rsidR="004C1C27">
        <w:instrText xml:space="preserve">C </w:instrText>
      </w:r>
      <w:r w:rsidR="004C1C27">
        <w:fldChar w:fldCharType="separate"/>
      </w:r>
      <w:r w:rsidR="004C1C27">
        <w:rPr>
          <w:noProof/>
        </w:rPr>
        <w:t>12</w:t>
      </w:r>
      <w:r w:rsidR="004C1C27">
        <w:rPr>
          <w:noProof/>
        </w:rPr>
        <w:fldChar w:fldCharType="end"/>
      </w:r>
      <w:bookmarkEnd w:id="193"/>
      <w:r w:rsidRPr="007F787A">
        <w:t xml:space="preserve">: </w:t>
      </w:r>
      <w:r w:rsidR="00F07318" w:rsidRPr="006839C4">
        <w:t>Expected rTMS use and associated costs to the MBS</w:t>
      </w:r>
      <w:bookmarkEnd w:id="194"/>
      <w:bookmarkEnd w:id="195"/>
      <w:bookmarkEnd w:id="196"/>
    </w:p>
    <w:tbl>
      <w:tblPr>
        <w:tblStyle w:val="TableGrid"/>
        <w:tblW w:w="4604" w:type="pct"/>
        <w:tblInd w:w="737" w:type="dxa"/>
        <w:tblLayout w:type="fixed"/>
        <w:tblLook w:val="04A0" w:firstRow="1" w:lastRow="0" w:firstColumn="1" w:lastColumn="0" w:noHBand="0" w:noVBand="1"/>
        <w:tblCaption w:val="Expected rTMS use and associated cost for the MBS"/>
      </w:tblPr>
      <w:tblGrid>
        <w:gridCol w:w="284"/>
        <w:gridCol w:w="2551"/>
        <w:gridCol w:w="992"/>
        <w:gridCol w:w="907"/>
        <w:gridCol w:w="907"/>
        <w:gridCol w:w="907"/>
        <w:gridCol w:w="907"/>
        <w:gridCol w:w="908"/>
      </w:tblGrid>
      <w:tr w:rsidR="00A912F0" w:rsidRPr="00A912F0" w14:paraId="7E5D5481" w14:textId="77777777" w:rsidTr="006007BB">
        <w:trPr>
          <w:cantSplit/>
          <w:tblHeader/>
        </w:trPr>
        <w:tc>
          <w:tcPr>
            <w:tcW w:w="1695" w:type="pct"/>
            <w:gridSpan w:val="2"/>
            <w:tcMar>
              <w:left w:w="28" w:type="dxa"/>
              <w:right w:w="28" w:type="dxa"/>
            </w:tcMar>
            <w:vAlign w:val="center"/>
          </w:tcPr>
          <w:p w14:paraId="5FB5987F" w14:textId="77777777" w:rsidR="00831BA3" w:rsidRPr="00A912F0" w:rsidRDefault="00831BA3" w:rsidP="006007BB">
            <w:pPr>
              <w:keepNext/>
              <w:spacing w:before="40" w:after="40"/>
              <w:ind w:left="0"/>
              <w:rPr>
                <w:rFonts w:ascii="Arial Narrow" w:hAnsi="Arial Narrow" w:cs="Arial"/>
                <w:b/>
                <w:sz w:val="18"/>
                <w:szCs w:val="18"/>
              </w:rPr>
            </w:pPr>
          </w:p>
        </w:tc>
        <w:tc>
          <w:tcPr>
            <w:tcW w:w="593" w:type="pct"/>
            <w:tcMar>
              <w:left w:w="28" w:type="dxa"/>
              <w:right w:w="28" w:type="dxa"/>
            </w:tcMar>
            <w:vAlign w:val="center"/>
          </w:tcPr>
          <w:p w14:paraId="54A82331"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Method</w:t>
            </w:r>
          </w:p>
        </w:tc>
        <w:tc>
          <w:tcPr>
            <w:tcW w:w="542" w:type="pct"/>
            <w:tcMar>
              <w:left w:w="28" w:type="dxa"/>
              <w:right w:w="28" w:type="dxa"/>
            </w:tcMar>
            <w:vAlign w:val="center"/>
          </w:tcPr>
          <w:p w14:paraId="515AED96"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Year 1</w:t>
            </w:r>
          </w:p>
          <w:p w14:paraId="285964B7"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2015</w:t>
            </w:r>
          </w:p>
        </w:tc>
        <w:tc>
          <w:tcPr>
            <w:tcW w:w="542" w:type="pct"/>
            <w:tcMar>
              <w:left w:w="28" w:type="dxa"/>
              <w:right w:w="28" w:type="dxa"/>
            </w:tcMar>
            <w:vAlign w:val="center"/>
          </w:tcPr>
          <w:p w14:paraId="0879966D"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Year 2</w:t>
            </w:r>
          </w:p>
          <w:p w14:paraId="3B8C9430"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2016</w:t>
            </w:r>
          </w:p>
        </w:tc>
        <w:tc>
          <w:tcPr>
            <w:tcW w:w="542" w:type="pct"/>
            <w:tcMar>
              <w:left w:w="28" w:type="dxa"/>
              <w:right w:w="28" w:type="dxa"/>
            </w:tcMar>
            <w:vAlign w:val="center"/>
          </w:tcPr>
          <w:p w14:paraId="1B1DBEF2"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Year 3</w:t>
            </w:r>
          </w:p>
          <w:p w14:paraId="5F3304A8"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2017</w:t>
            </w:r>
          </w:p>
        </w:tc>
        <w:tc>
          <w:tcPr>
            <w:tcW w:w="542" w:type="pct"/>
            <w:tcMar>
              <w:left w:w="28" w:type="dxa"/>
              <w:right w:w="28" w:type="dxa"/>
            </w:tcMar>
            <w:vAlign w:val="center"/>
          </w:tcPr>
          <w:p w14:paraId="43468A75"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Year 4</w:t>
            </w:r>
          </w:p>
          <w:p w14:paraId="043A73CA"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2018</w:t>
            </w:r>
          </w:p>
        </w:tc>
        <w:tc>
          <w:tcPr>
            <w:tcW w:w="543" w:type="pct"/>
            <w:tcMar>
              <w:left w:w="28" w:type="dxa"/>
              <w:right w:w="28" w:type="dxa"/>
            </w:tcMar>
            <w:vAlign w:val="center"/>
          </w:tcPr>
          <w:p w14:paraId="5178B239"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Year 5</w:t>
            </w:r>
          </w:p>
          <w:p w14:paraId="1E5A0422" w14:textId="77777777" w:rsidR="00831BA3" w:rsidRPr="00A912F0" w:rsidRDefault="00831BA3" w:rsidP="006007BB">
            <w:pPr>
              <w:keepNext/>
              <w:spacing w:before="40" w:after="40"/>
              <w:ind w:left="0"/>
              <w:jc w:val="center"/>
              <w:rPr>
                <w:rFonts w:ascii="Arial Narrow" w:hAnsi="Arial Narrow" w:cs="Arial"/>
                <w:b/>
                <w:sz w:val="18"/>
                <w:szCs w:val="18"/>
              </w:rPr>
            </w:pPr>
            <w:r w:rsidRPr="00A912F0">
              <w:rPr>
                <w:rFonts w:ascii="Arial Narrow" w:hAnsi="Arial Narrow" w:cs="Arial"/>
                <w:b/>
                <w:sz w:val="18"/>
                <w:szCs w:val="18"/>
              </w:rPr>
              <w:t>2019</w:t>
            </w:r>
          </w:p>
        </w:tc>
      </w:tr>
      <w:tr w:rsidR="00A912F0" w:rsidRPr="00A912F0" w14:paraId="4FC02C40" w14:textId="77777777" w:rsidTr="006007BB">
        <w:trPr>
          <w:cantSplit/>
        </w:trPr>
        <w:tc>
          <w:tcPr>
            <w:tcW w:w="170" w:type="pct"/>
            <w:tcMar>
              <w:left w:w="28" w:type="dxa"/>
              <w:right w:w="28" w:type="dxa"/>
            </w:tcMar>
            <w:vAlign w:val="center"/>
          </w:tcPr>
          <w:p w14:paraId="5D7FD5FE" w14:textId="77777777" w:rsidR="00AB7646" w:rsidRPr="00A912F0" w:rsidRDefault="00AB7646" w:rsidP="006007BB">
            <w:pPr>
              <w:keepNext/>
              <w:spacing w:before="40" w:after="40"/>
              <w:ind w:left="0"/>
              <w:jc w:val="center"/>
              <w:rPr>
                <w:rFonts w:ascii="Arial Narrow" w:hAnsi="Arial Narrow" w:cs="Arial"/>
                <w:sz w:val="18"/>
                <w:szCs w:val="18"/>
              </w:rPr>
            </w:pPr>
            <w:r w:rsidRPr="00A912F0">
              <w:rPr>
                <w:rFonts w:ascii="Arial Narrow" w:hAnsi="Arial Narrow" w:cs="Arial"/>
                <w:sz w:val="18"/>
                <w:szCs w:val="18"/>
              </w:rPr>
              <w:t>L</w:t>
            </w:r>
          </w:p>
        </w:tc>
        <w:tc>
          <w:tcPr>
            <w:tcW w:w="1525" w:type="pct"/>
            <w:tcMar>
              <w:left w:w="28" w:type="dxa"/>
              <w:right w:w="28" w:type="dxa"/>
            </w:tcMar>
            <w:vAlign w:val="center"/>
          </w:tcPr>
          <w:p w14:paraId="0C41584E" w14:textId="77777777" w:rsidR="00AB7646" w:rsidRPr="00A912F0" w:rsidRDefault="00AB7646" w:rsidP="006007BB">
            <w:pPr>
              <w:keepNext/>
              <w:spacing w:before="40" w:after="40"/>
              <w:ind w:left="0"/>
              <w:rPr>
                <w:rFonts w:ascii="Arial Narrow" w:hAnsi="Arial Narrow" w:cs="Arial"/>
                <w:sz w:val="18"/>
                <w:szCs w:val="18"/>
              </w:rPr>
            </w:pPr>
            <w:r w:rsidRPr="00A912F0">
              <w:rPr>
                <w:rFonts w:ascii="Arial Narrow" w:hAnsi="Arial Narrow" w:cs="Arial"/>
                <w:sz w:val="18"/>
                <w:szCs w:val="18"/>
              </w:rPr>
              <w:t xml:space="preserve">Total number of treatments per year </w:t>
            </w:r>
          </w:p>
        </w:tc>
        <w:tc>
          <w:tcPr>
            <w:tcW w:w="593" w:type="pct"/>
            <w:tcMar>
              <w:left w:w="28" w:type="dxa"/>
              <w:right w:w="28" w:type="dxa"/>
            </w:tcMar>
            <w:vAlign w:val="center"/>
          </w:tcPr>
          <w:p w14:paraId="41E55272" w14:textId="77777777" w:rsidR="00AB7646" w:rsidRPr="00EC0A91" w:rsidRDefault="00AB7646" w:rsidP="006007BB">
            <w:pPr>
              <w:keepNext/>
              <w:spacing w:before="40" w:after="40"/>
              <w:ind w:left="0"/>
              <w:jc w:val="center"/>
              <w:rPr>
                <w:rFonts w:ascii="Arial Narrow" w:hAnsi="Arial Narrow" w:cs="Arial"/>
                <w:sz w:val="18"/>
                <w:szCs w:val="18"/>
              </w:rPr>
            </w:pPr>
            <w:r w:rsidRPr="00EC0A91">
              <w:rPr>
                <w:rFonts w:ascii="Arial Narrow" w:hAnsi="Arial Narrow" w:cs="Arial"/>
                <w:sz w:val="18"/>
                <w:szCs w:val="18"/>
              </w:rPr>
              <w:t>From above</w:t>
            </w:r>
          </w:p>
        </w:tc>
        <w:tc>
          <w:tcPr>
            <w:tcW w:w="542" w:type="pct"/>
            <w:tcMar>
              <w:left w:w="28" w:type="dxa"/>
              <w:right w:w="28" w:type="dxa"/>
            </w:tcMar>
            <w:vAlign w:val="center"/>
          </w:tcPr>
          <w:p w14:paraId="1598BC67" w14:textId="77777777" w:rsidR="00AB7646" w:rsidRPr="00A912F0" w:rsidRDefault="00AB7646" w:rsidP="006007BB">
            <w:pPr>
              <w:keepNext/>
              <w:spacing w:before="40" w:after="40"/>
              <w:ind w:left="0"/>
              <w:jc w:val="center"/>
              <w:rPr>
                <w:rFonts w:ascii="Arial Narrow" w:hAnsi="Arial Narrow" w:cs="Arial"/>
                <w:sz w:val="18"/>
                <w:szCs w:val="18"/>
              </w:rPr>
            </w:pPr>
            <w:r w:rsidRPr="00A912F0">
              <w:rPr>
                <w:rFonts w:ascii="Arial Narrow" w:hAnsi="Arial Narrow" w:cs="Arial"/>
                <w:sz w:val="18"/>
                <w:szCs w:val="18"/>
              </w:rPr>
              <w:t>82,777</w:t>
            </w:r>
          </w:p>
        </w:tc>
        <w:tc>
          <w:tcPr>
            <w:tcW w:w="542" w:type="pct"/>
            <w:tcMar>
              <w:left w:w="28" w:type="dxa"/>
              <w:right w:w="28" w:type="dxa"/>
            </w:tcMar>
            <w:vAlign w:val="center"/>
          </w:tcPr>
          <w:p w14:paraId="1F807EDB" w14:textId="77777777" w:rsidR="00AB7646" w:rsidRPr="00A912F0" w:rsidRDefault="00AB7646" w:rsidP="006007BB">
            <w:pPr>
              <w:keepNext/>
              <w:spacing w:before="40" w:after="40"/>
              <w:ind w:left="0"/>
              <w:jc w:val="center"/>
              <w:rPr>
                <w:rFonts w:ascii="Arial Narrow" w:hAnsi="Arial Narrow" w:cs="Arial"/>
                <w:sz w:val="18"/>
                <w:szCs w:val="18"/>
              </w:rPr>
            </w:pPr>
            <w:r w:rsidRPr="00A912F0">
              <w:rPr>
                <w:rFonts w:ascii="Arial Narrow" w:hAnsi="Arial Narrow" w:cs="Arial"/>
                <w:sz w:val="18"/>
                <w:szCs w:val="18"/>
              </w:rPr>
              <w:t>91,870</w:t>
            </w:r>
          </w:p>
        </w:tc>
        <w:tc>
          <w:tcPr>
            <w:tcW w:w="542" w:type="pct"/>
            <w:tcMar>
              <w:left w:w="28" w:type="dxa"/>
              <w:right w:w="28" w:type="dxa"/>
            </w:tcMar>
            <w:vAlign w:val="center"/>
          </w:tcPr>
          <w:p w14:paraId="1F8F5D52" w14:textId="77777777" w:rsidR="00AB7646" w:rsidRPr="00A912F0" w:rsidRDefault="00AB7646" w:rsidP="006007BB">
            <w:pPr>
              <w:keepNext/>
              <w:spacing w:before="40" w:after="40"/>
              <w:ind w:left="0"/>
              <w:jc w:val="center"/>
              <w:rPr>
                <w:rFonts w:ascii="Arial Narrow" w:hAnsi="Arial Narrow" w:cs="Arial"/>
                <w:sz w:val="18"/>
                <w:szCs w:val="18"/>
              </w:rPr>
            </w:pPr>
            <w:r w:rsidRPr="00A912F0">
              <w:rPr>
                <w:rFonts w:ascii="Arial Narrow" w:hAnsi="Arial Narrow" w:cs="Arial"/>
                <w:sz w:val="18"/>
                <w:szCs w:val="18"/>
              </w:rPr>
              <w:t>101,236</w:t>
            </w:r>
          </w:p>
        </w:tc>
        <w:tc>
          <w:tcPr>
            <w:tcW w:w="542" w:type="pct"/>
            <w:tcMar>
              <w:left w:w="28" w:type="dxa"/>
              <w:right w:w="28" w:type="dxa"/>
            </w:tcMar>
            <w:vAlign w:val="center"/>
          </w:tcPr>
          <w:p w14:paraId="59FBCA62" w14:textId="77777777" w:rsidR="00AB7646" w:rsidRPr="00A912F0" w:rsidRDefault="00AB7646" w:rsidP="006007BB">
            <w:pPr>
              <w:keepNext/>
              <w:spacing w:before="40" w:after="40"/>
              <w:ind w:left="0"/>
              <w:jc w:val="center"/>
              <w:rPr>
                <w:rFonts w:ascii="Arial Narrow" w:hAnsi="Arial Narrow" w:cs="Arial"/>
                <w:sz w:val="18"/>
                <w:szCs w:val="18"/>
              </w:rPr>
            </w:pPr>
            <w:r w:rsidRPr="00A912F0">
              <w:rPr>
                <w:rFonts w:ascii="Arial Narrow" w:hAnsi="Arial Narrow" w:cs="Arial"/>
                <w:sz w:val="18"/>
                <w:szCs w:val="18"/>
              </w:rPr>
              <w:t>110,872</w:t>
            </w:r>
          </w:p>
        </w:tc>
        <w:tc>
          <w:tcPr>
            <w:tcW w:w="543" w:type="pct"/>
            <w:tcMar>
              <w:left w:w="28" w:type="dxa"/>
              <w:right w:w="28" w:type="dxa"/>
            </w:tcMar>
            <w:vAlign w:val="center"/>
          </w:tcPr>
          <w:p w14:paraId="2B900943" w14:textId="77777777" w:rsidR="00AB7646" w:rsidRPr="00A912F0" w:rsidRDefault="00AB7646" w:rsidP="006007BB">
            <w:pPr>
              <w:keepNext/>
              <w:spacing w:before="40" w:after="40"/>
              <w:ind w:left="0"/>
              <w:jc w:val="center"/>
              <w:rPr>
                <w:rFonts w:ascii="Arial Narrow" w:hAnsi="Arial Narrow" w:cs="Arial"/>
                <w:sz w:val="18"/>
                <w:szCs w:val="18"/>
              </w:rPr>
            </w:pPr>
            <w:r w:rsidRPr="00A912F0">
              <w:rPr>
                <w:rFonts w:ascii="Arial Narrow" w:hAnsi="Arial Narrow" w:cs="Arial"/>
                <w:sz w:val="18"/>
                <w:szCs w:val="18"/>
              </w:rPr>
              <w:t>120,757</w:t>
            </w:r>
          </w:p>
        </w:tc>
      </w:tr>
      <w:tr w:rsidR="00A912F0" w:rsidRPr="00A912F0" w14:paraId="5B137FA1" w14:textId="77777777" w:rsidTr="006007BB">
        <w:trPr>
          <w:cantSplit/>
        </w:trPr>
        <w:tc>
          <w:tcPr>
            <w:tcW w:w="170" w:type="pct"/>
            <w:tcMar>
              <w:left w:w="28" w:type="dxa"/>
              <w:right w:w="28" w:type="dxa"/>
            </w:tcMar>
            <w:vAlign w:val="center"/>
          </w:tcPr>
          <w:p w14:paraId="1A6E7615" w14:textId="77777777" w:rsidR="00D654DE" w:rsidRPr="00A912F0" w:rsidRDefault="00D654DE"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Q</w:t>
            </w:r>
          </w:p>
        </w:tc>
        <w:tc>
          <w:tcPr>
            <w:tcW w:w="1525" w:type="pct"/>
            <w:tcMar>
              <w:left w:w="28" w:type="dxa"/>
              <w:right w:w="28" w:type="dxa"/>
            </w:tcMar>
            <w:vAlign w:val="center"/>
          </w:tcPr>
          <w:p w14:paraId="1AB4CD83" w14:textId="77777777" w:rsidR="00D654DE" w:rsidRPr="00A912F0" w:rsidRDefault="00D654DE" w:rsidP="006007BB">
            <w:pPr>
              <w:widowControl w:val="0"/>
              <w:spacing w:before="40" w:after="40"/>
              <w:ind w:left="0"/>
              <w:rPr>
                <w:rFonts w:ascii="Arial Narrow" w:hAnsi="Arial Narrow" w:cs="Arial"/>
                <w:sz w:val="18"/>
                <w:szCs w:val="18"/>
              </w:rPr>
            </w:pPr>
            <w:r w:rsidRPr="00A912F0">
              <w:rPr>
                <w:rFonts w:ascii="Arial Narrow" w:hAnsi="Arial Narrow" w:cs="Arial"/>
                <w:sz w:val="18"/>
                <w:szCs w:val="18"/>
              </w:rPr>
              <w:t>Cost of treatments per year</w:t>
            </w:r>
          </w:p>
        </w:tc>
        <w:tc>
          <w:tcPr>
            <w:tcW w:w="593" w:type="pct"/>
            <w:tcMar>
              <w:left w:w="28" w:type="dxa"/>
              <w:right w:w="28" w:type="dxa"/>
            </w:tcMar>
            <w:vAlign w:val="center"/>
          </w:tcPr>
          <w:p w14:paraId="253CD1D0" w14:textId="77777777" w:rsidR="00D654DE" w:rsidRPr="00EC0A91" w:rsidRDefault="00D654DE" w:rsidP="006007BB">
            <w:pPr>
              <w:widowControl w:val="0"/>
              <w:spacing w:before="40" w:after="40"/>
              <w:ind w:left="0"/>
              <w:jc w:val="center"/>
              <w:rPr>
                <w:rFonts w:ascii="Arial Narrow" w:hAnsi="Arial Narrow" w:cs="Arial"/>
                <w:sz w:val="18"/>
                <w:szCs w:val="18"/>
              </w:rPr>
            </w:pPr>
            <w:r w:rsidRPr="00EC0A91">
              <w:rPr>
                <w:rFonts w:ascii="Arial Narrow" w:hAnsi="Arial Narrow" w:cs="Arial"/>
                <w:sz w:val="18"/>
                <w:szCs w:val="18"/>
              </w:rPr>
              <w:t>Lx$150</w:t>
            </w:r>
          </w:p>
        </w:tc>
        <w:tc>
          <w:tcPr>
            <w:tcW w:w="542" w:type="pct"/>
            <w:tcMar>
              <w:left w:w="28" w:type="dxa"/>
              <w:right w:w="28" w:type="dxa"/>
            </w:tcMar>
            <w:vAlign w:val="center"/>
          </w:tcPr>
          <w:p w14:paraId="2949ED62" w14:textId="77777777" w:rsidR="00D654DE"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$12,416,494</w:t>
            </w:r>
          </w:p>
        </w:tc>
        <w:tc>
          <w:tcPr>
            <w:tcW w:w="542" w:type="pct"/>
            <w:tcMar>
              <w:left w:w="28" w:type="dxa"/>
              <w:right w:w="28" w:type="dxa"/>
            </w:tcMar>
            <w:vAlign w:val="center"/>
          </w:tcPr>
          <w:p w14:paraId="142493C2" w14:textId="77777777" w:rsidR="00D654DE"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$13,780,558</w:t>
            </w:r>
          </w:p>
        </w:tc>
        <w:tc>
          <w:tcPr>
            <w:tcW w:w="542" w:type="pct"/>
            <w:tcMar>
              <w:left w:w="28" w:type="dxa"/>
              <w:right w:w="28" w:type="dxa"/>
            </w:tcMar>
            <w:vAlign w:val="center"/>
          </w:tcPr>
          <w:p w14:paraId="5A453412" w14:textId="77777777" w:rsidR="00D654DE"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$15,185,431</w:t>
            </w:r>
          </w:p>
        </w:tc>
        <w:tc>
          <w:tcPr>
            <w:tcW w:w="542" w:type="pct"/>
            <w:tcMar>
              <w:left w:w="28" w:type="dxa"/>
              <w:right w:w="28" w:type="dxa"/>
            </w:tcMar>
            <w:vAlign w:val="center"/>
          </w:tcPr>
          <w:p w14:paraId="2BEB7207" w14:textId="77777777" w:rsidR="00D654DE"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$16,630,825</w:t>
            </w:r>
          </w:p>
        </w:tc>
        <w:tc>
          <w:tcPr>
            <w:tcW w:w="543" w:type="pct"/>
            <w:tcMar>
              <w:left w:w="28" w:type="dxa"/>
              <w:right w:w="28" w:type="dxa"/>
            </w:tcMar>
            <w:vAlign w:val="center"/>
          </w:tcPr>
          <w:p w14:paraId="02824812" w14:textId="77777777" w:rsidR="00D654DE"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$18,113,554</w:t>
            </w:r>
          </w:p>
        </w:tc>
      </w:tr>
      <w:tr w:rsidR="00A912F0" w:rsidRPr="00A912F0" w14:paraId="631C10BE" w14:textId="77777777" w:rsidTr="006007BB">
        <w:trPr>
          <w:cantSplit/>
        </w:trPr>
        <w:tc>
          <w:tcPr>
            <w:tcW w:w="170" w:type="pct"/>
            <w:tcMar>
              <w:left w:w="28" w:type="dxa"/>
              <w:right w:w="28" w:type="dxa"/>
            </w:tcMar>
            <w:vAlign w:val="center"/>
          </w:tcPr>
          <w:p w14:paraId="161419F6" w14:textId="77777777" w:rsidR="007522FA"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P</w:t>
            </w:r>
          </w:p>
        </w:tc>
        <w:tc>
          <w:tcPr>
            <w:tcW w:w="1525" w:type="pct"/>
            <w:tcMar>
              <w:left w:w="28" w:type="dxa"/>
              <w:right w:w="28" w:type="dxa"/>
            </w:tcMar>
            <w:vAlign w:val="center"/>
          </w:tcPr>
          <w:p w14:paraId="1C34AE03" w14:textId="77777777" w:rsidR="007522FA" w:rsidRPr="00A912F0" w:rsidRDefault="007522FA" w:rsidP="006007BB">
            <w:pPr>
              <w:widowControl w:val="0"/>
              <w:spacing w:before="40" w:after="40"/>
              <w:ind w:left="0"/>
              <w:rPr>
                <w:rFonts w:ascii="Arial Narrow" w:hAnsi="Arial Narrow" w:cs="Arial"/>
                <w:sz w:val="18"/>
                <w:szCs w:val="18"/>
              </w:rPr>
            </w:pPr>
            <w:r w:rsidRPr="00A912F0">
              <w:rPr>
                <w:rFonts w:ascii="Arial Narrow" w:hAnsi="Arial Narrow" w:cs="Arial"/>
                <w:sz w:val="18"/>
                <w:szCs w:val="18"/>
              </w:rPr>
              <w:t>Total number of visits per year</w:t>
            </w:r>
          </w:p>
        </w:tc>
        <w:tc>
          <w:tcPr>
            <w:tcW w:w="593" w:type="pct"/>
            <w:tcMar>
              <w:left w:w="28" w:type="dxa"/>
              <w:right w:w="28" w:type="dxa"/>
            </w:tcMar>
            <w:vAlign w:val="center"/>
          </w:tcPr>
          <w:p w14:paraId="2C04730C" w14:textId="77777777" w:rsidR="007522FA" w:rsidRPr="00EC0A91" w:rsidRDefault="007522FA" w:rsidP="006007BB">
            <w:pPr>
              <w:widowControl w:val="0"/>
              <w:spacing w:before="40" w:after="40"/>
              <w:ind w:left="0"/>
              <w:jc w:val="center"/>
              <w:rPr>
                <w:rFonts w:ascii="Arial Narrow" w:hAnsi="Arial Narrow" w:cs="Arial"/>
                <w:sz w:val="18"/>
                <w:szCs w:val="18"/>
              </w:rPr>
            </w:pPr>
            <w:r w:rsidRPr="00EC0A91">
              <w:rPr>
                <w:rFonts w:ascii="Arial Narrow" w:hAnsi="Arial Narrow" w:cs="Arial"/>
                <w:sz w:val="18"/>
                <w:szCs w:val="18"/>
              </w:rPr>
              <w:t>From above</w:t>
            </w:r>
          </w:p>
        </w:tc>
        <w:tc>
          <w:tcPr>
            <w:tcW w:w="542" w:type="pct"/>
            <w:tcMar>
              <w:left w:w="28" w:type="dxa"/>
              <w:right w:w="28" w:type="dxa"/>
            </w:tcMar>
            <w:vAlign w:val="center"/>
          </w:tcPr>
          <w:p w14:paraId="41BE518D" w14:textId="77777777" w:rsidR="007522FA"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3,344</w:t>
            </w:r>
          </w:p>
        </w:tc>
        <w:tc>
          <w:tcPr>
            <w:tcW w:w="542" w:type="pct"/>
            <w:tcMar>
              <w:left w:w="28" w:type="dxa"/>
              <w:right w:w="28" w:type="dxa"/>
            </w:tcMar>
            <w:vAlign w:val="center"/>
          </w:tcPr>
          <w:p w14:paraId="3D4B5EEC" w14:textId="77777777" w:rsidR="007522FA"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3,711</w:t>
            </w:r>
          </w:p>
        </w:tc>
        <w:tc>
          <w:tcPr>
            <w:tcW w:w="542" w:type="pct"/>
            <w:tcMar>
              <w:left w:w="28" w:type="dxa"/>
              <w:right w:w="28" w:type="dxa"/>
            </w:tcMar>
            <w:vAlign w:val="center"/>
          </w:tcPr>
          <w:p w14:paraId="0F854F44" w14:textId="77777777" w:rsidR="007522FA"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4,089</w:t>
            </w:r>
          </w:p>
        </w:tc>
        <w:tc>
          <w:tcPr>
            <w:tcW w:w="542" w:type="pct"/>
            <w:tcMar>
              <w:left w:w="28" w:type="dxa"/>
              <w:right w:w="28" w:type="dxa"/>
            </w:tcMar>
            <w:vAlign w:val="center"/>
          </w:tcPr>
          <w:p w14:paraId="083E9AC7" w14:textId="77777777" w:rsidR="007522FA"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4,479</w:t>
            </w:r>
          </w:p>
        </w:tc>
        <w:tc>
          <w:tcPr>
            <w:tcW w:w="543" w:type="pct"/>
            <w:tcMar>
              <w:left w:w="28" w:type="dxa"/>
              <w:right w:w="28" w:type="dxa"/>
            </w:tcMar>
            <w:vAlign w:val="center"/>
          </w:tcPr>
          <w:p w14:paraId="64C48B2C" w14:textId="77777777" w:rsidR="007522FA"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4,878</w:t>
            </w:r>
          </w:p>
        </w:tc>
      </w:tr>
      <w:tr w:rsidR="00A912F0" w:rsidRPr="00A912F0" w14:paraId="4E744D99" w14:textId="77777777" w:rsidTr="006007BB">
        <w:trPr>
          <w:cantSplit/>
        </w:trPr>
        <w:tc>
          <w:tcPr>
            <w:tcW w:w="170" w:type="pct"/>
            <w:tcMar>
              <w:left w:w="28" w:type="dxa"/>
              <w:right w:w="28" w:type="dxa"/>
            </w:tcMar>
            <w:vAlign w:val="center"/>
          </w:tcPr>
          <w:p w14:paraId="46BB293B" w14:textId="77777777" w:rsidR="00D654DE" w:rsidRPr="00A912F0" w:rsidRDefault="00D654DE"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R</w:t>
            </w:r>
          </w:p>
        </w:tc>
        <w:tc>
          <w:tcPr>
            <w:tcW w:w="1525" w:type="pct"/>
            <w:tcMar>
              <w:left w:w="28" w:type="dxa"/>
              <w:right w:w="28" w:type="dxa"/>
            </w:tcMar>
            <w:vAlign w:val="center"/>
          </w:tcPr>
          <w:p w14:paraId="15299EF8" w14:textId="77777777" w:rsidR="00D654DE" w:rsidRPr="00A912F0" w:rsidRDefault="00D654DE" w:rsidP="006007BB">
            <w:pPr>
              <w:widowControl w:val="0"/>
              <w:spacing w:before="40" w:after="40"/>
              <w:ind w:left="0"/>
              <w:rPr>
                <w:rFonts w:ascii="Arial Narrow" w:hAnsi="Arial Narrow" w:cs="Arial"/>
                <w:sz w:val="18"/>
                <w:szCs w:val="18"/>
              </w:rPr>
            </w:pPr>
            <w:r w:rsidRPr="00A912F0">
              <w:rPr>
                <w:rFonts w:ascii="Arial Narrow" w:hAnsi="Arial Narrow" w:cs="Arial"/>
                <w:sz w:val="18"/>
                <w:szCs w:val="18"/>
              </w:rPr>
              <w:t>Cost of psychiatrist visits per year</w:t>
            </w:r>
          </w:p>
        </w:tc>
        <w:tc>
          <w:tcPr>
            <w:tcW w:w="593" w:type="pct"/>
            <w:tcMar>
              <w:left w:w="28" w:type="dxa"/>
              <w:right w:w="28" w:type="dxa"/>
            </w:tcMar>
            <w:vAlign w:val="center"/>
          </w:tcPr>
          <w:p w14:paraId="78C43E19" w14:textId="77777777" w:rsidR="00D654DE" w:rsidRPr="00A912F0" w:rsidRDefault="00D654DE"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Px$350</w:t>
            </w:r>
          </w:p>
        </w:tc>
        <w:tc>
          <w:tcPr>
            <w:tcW w:w="542" w:type="pct"/>
            <w:tcMar>
              <w:left w:w="28" w:type="dxa"/>
              <w:right w:w="28" w:type="dxa"/>
            </w:tcMar>
            <w:vAlign w:val="center"/>
          </w:tcPr>
          <w:p w14:paraId="1B8F3327" w14:textId="77777777" w:rsidR="00D654DE"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$1,170,291</w:t>
            </w:r>
          </w:p>
        </w:tc>
        <w:tc>
          <w:tcPr>
            <w:tcW w:w="542" w:type="pct"/>
            <w:tcMar>
              <w:left w:w="28" w:type="dxa"/>
              <w:right w:w="28" w:type="dxa"/>
            </w:tcMar>
            <w:vAlign w:val="center"/>
          </w:tcPr>
          <w:p w14:paraId="5FAA3290" w14:textId="77777777" w:rsidR="00D654DE"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$1,298,858</w:t>
            </w:r>
          </w:p>
        </w:tc>
        <w:tc>
          <w:tcPr>
            <w:tcW w:w="542" w:type="pct"/>
            <w:tcMar>
              <w:left w:w="28" w:type="dxa"/>
              <w:right w:w="28" w:type="dxa"/>
            </w:tcMar>
            <w:vAlign w:val="center"/>
          </w:tcPr>
          <w:p w14:paraId="1F629E86" w14:textId="77777777" w:rsidR="00D654DE"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$1,431,272</w:t>
            </w:r>
          </w:p>
        </w:tc>
        <w:tc>
          <w:tcPr>
            <w:tcW w:w="542" w:type="pct"/>
            <w:tcMar>
              <w:left w:w="28" w:type="dxa"/>
              <w:right w:w="28" w:type="dxa"/>
            </w:tcMar>
            <w:vAlign w:val="center"/>
          </w:tcPr>
          <w:p w14:paraId="256836D9" w14:textId="77777777" w:rsidR="00D654DE"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$1,567,504</w:t>
            </w:r>
          </w:p>
        </w:tc>
        <w:tc>
          <w:tcPr>
            <w:tcW w:w="543" w:type="pct"/>
            <w:tcMar>
              <w:left w:w="28" w:type="dxa"/>
              <w:right w:w="28" w:type="dxa"/>
            </w:tcMar>
            <w:vAlign w:val="center"/>
          </w:tcPr>
          <w:p w14:paraId="2A0CF734" w14:textId="77777777" w:rsidR="00D654DE" w:rsidRPr="00A912F0" w:rsidRDefault="007522FA" w:rsidP="006007BB">
            <w:pPr>
              <w:widowControl w:val="0"/>
              <w:spacing w:before="40" w:after="40"/>
              <w:ind w:left="0"/>
              <w:jc w:val="center"/>
              <w:rPr>
                <w:rFonts w:ascii="Arial Narrow" w:hAnsi="Arial Narrow" w:cs="Arial"/>
                <w:sz w:val="18"/>
                <w:szCs w:val="18"/>
              </w:rPr>
            </w:pPr>
            <w:r w:rsidRPr="00A912F0">
              <w:rPr>
                <w:rFonts w:ascii="Arial Narrow" w:hAnsi="Arial Narrow" w:cs="Arial"/>
                <w:sz w:val="18"/>
                <w:szCs w:val="18"/>
              </w:rPr>
              <w:t>$1,707,256</w:t>
            </w:r>
          </w:p>
        </w:tc>
      </w:tr>
      <w:tr w:rsidR="00A912F0" w:rsidRPr="00A912F0" w14:paraId="3C49CFF0" w14:textId="77777777" w:rsidTr="006007BB">
        <w:trPr>
          <w:cantSplit/>
        </w:trPr>
        <w:tc>
          <w:tcPr>
            <w:tcW w:w="170" w:type="pct"/>
            <w:tcMar>
              <w:left w:w="28" w:type="dxa"/>
              <w:right w:w="28" w:type="dxa"/>
            </w:tcMar>
            <w:vAlign w:val="center"/>
          </w:tcPr>
          <w:p w14:paraId="5ED1B9E7" w14:textId="77777777" w:rsidR="00D654DE" w:rsidRPr="006007BB" w:rsidRDefault="00D654DE" w:rsidP="006007BB">
            <w:pPr>
              <w:keepNext/>
              <w:spacing w:before="40" w:after="40"/>
              <w:ind w:left="0"/>
              <w:jc w:val="center"/>
              <w:rPr>
                <w:rFonts w:ascii="Arial Narrow" w:hAnsi="Arial Narrow" w:cs="Arial"/>
                <w:sz w:val="18"/>
                <w:szCs w:val="18"/>
              </w:rPr>
            </w:pPr>
            <w:r w:rsidRPr="006007BB">
              <w:rPr>
                <w:rFonts w:ascii="Arial Narrow" w:hAnsi="Arial Narrow" w:cs="Arial"/>
                <w:sz w:val="18"/>
                <w:szCs w:val="18"/>
              </w:rPr>
              <w:t>S</w:t>
            </w:r>
          </w:p>
        </w:tc>
        <w:tc>
          <w:tcPr>
            <w:tcW w:w="1525" w:type="pct"/>
            <w:tcMar>
              <w:left w:w="28" w:type="dxa"/>
              <w:right w:w="28" w:type="dxa"/>
            </w:tcMar>
            <w:vAlign w:val="center"/>
          </w:tcPr>
          <w:p w14:paraId="2ED5AC29" w14:textId="77777777" w:rsidR="00D654DE" w:rsidRPr="006007BB" w:rsidRDefault="00D654DE" w:rsidP="006007BB">
            <w:pPr>
              <w:keepNext/>
              <w:spacing w:before="40" w:after="40"/>
              <w:ind w:left="0"/>
              <w:rPr>
                <w:rFonts w:ascii="Arial Narrow" w:hAnsi="Arial Narrow" w:cs="Arial"/>
                <w:sz w:val="18"/>
                <w:szCs w:val="18"/>
              </w:rPr>
            </w:pPr>
            <w:r w:rsidRPr="006007BB">
              <w:rPr>
                <w:rFonts w:ascii="Arial Narrow" w:hAnsi="Arial Narrow" w:cs="Arial"/>
                <w:sz w:val="18"/>
                <w:szCs w:val="18"/>
              </w:rPr>
              <w:t xml:space="preserve">Total cost of rTMS to the </w:t>
            </w:r>
            <w:r w:rsidR="003F4D65" w:rsidRPr="006007BB">
              <w:rPr>
                <w:rFonts w:ascii="Arial Narrow" w:hAnsi="Arial Narrow" w:cs="Arial"/>
                <w:sz w:val="18"/>
                <w:szCs w:val="18"/>
              </w:rPr>
              <w:t>M</w:t>
            </w:r>
            <w:r w:rsidRPr="006007BB">
              <w:rPr>
                <w:rFonts w:ascii="Arial Narrow" w:hAnsi="Arial Narrow" w:cs="Arial"/>
                <w:sz w:val="18"/>
                <w:szCs w:val="18"/>
              </w:rPr>
              <w:t>BS</w:t>
            </w:r>
          </w:p>
        </w:tc>
        <w:tc>
          <w:tcPr>
            <w:tcW w:w="593" w:type="pct"/>
            <w:tcMar>
              <w:left w:w="28" w:type="dxa"/>
              <w:right w:w="28" w:type="dxa"/>
            </w:tcMar>
            <w:vAlign w:val="center"/>
          </w:tcPr>
          <w:p w14:paraId="563A612F" w14:textId="77777777" w:rsidR="00D654DE" w:rsidRPr="006007BB" w:rsidRDefault="00D654DE" w:rsidP="006007BB">
            <w:pPr>
              <w:keepNext/>
              <w:spacing w:before="40" w:after="40"/>
              <w:ind w:left="0"/>
              <w:jc w:val="center"/>
              <w:rPr>
                <w:rFonts w:ascii="Arial Narrow" w:hAnsi="Arial Narrow" w:cs="Arial"/>
                <w:sz w:val="18"/>
                <w:szCs w:val="18"/>
              </w:rPr>
            </w:pPr>
            <w:r w:rsidRPr="006007BB">
              <w:rPr>
                <w:rFonts w:ascii="Arial Narrow" w:hAnsi="Arial Narrow" w:cs="Arial"/>
                <w:sz w:val="18"/>
                <w:szCs w:val="18"/>
              </w:rPr>
              <w:t>Q+R</w:t>
            </w:r>
          </w:p>
        </w:tc>
        <w:tc>
          <w:tcPr>
            <w:tcW w:w="542" w:type="pct"/>
            <w:tcMar>
              <w:left w:w="28" w:type="dxa"/>
              <w:right w:w="28" w:type="dxa"/>
            </w:tcMar>
            <w:vAlign w:val="center"/>
          </w:tcPr>
          <w:p w14:paraId="18AF1C12" w14:textId="77777777" w:rsidR="00D654DE" w:rsidRPr="006007BB" w:rsidRDefault="007522FA" w:rsidP="006007BB">
            <w:pPr>
              <w:keepNext/>
              <w:spacing w:before="40" w:after="40"/>
              <w:ind w:left="0"/>
              <w:jc w:val="center"/>
              <w:rPr>
                <w:rFonts w:ascii="Arial Narrow" w:hAnsi="Arial Narrow" w:cs="Arial"/>
                <w:sz w:val="18"/>
                <w:szCs w:val="18"/>
              </w:rPr>
            </w:pPr>
            <w:r w:rsidRPr="006007BB">
              <w:rPr>
                <w:rFonts w:ascii="Arial Narrow" w:hAnsi="Arial Narrow" w:cs="Arial"/>
                <w:sz w:val="18"/>
                <w:szCs w:val="18"/>
              </w:rPr>
              <w:t>$13,586,786</w:t>
            </w:r>
          </w:p>
        </w:tc>
        <w:tc>
          <w:tcPr>
            <w:tcW w:w="542" w:type="pct"/>
            <w:tcMar>
              <w:left w:w="28" w:type="dxa"/>
              <w:right w:w="28" w:type="dxa"/>
            </w:tcMar>
            <w:vAlign w:val="center"/>
          </w:tcPr>
          <w:p w14:paraId="10D4A9C5" w14:textId="77777777" w:rsidR="00D654DE" w:rsidRPr="006007BB" w:rsidRDefault="007522FA" w:rsidP="006007BB">
            <w:pPr>
              <w:keepNext/>
              <w:spacing w:before="40" w:after="40"/>
              <w:ind w:left="0"/>
              <w:jc w:val="center"/>
              <w:rPr>
                <w:rFonts w:ascii="Arial Narrow" w:hAnsi="Arial Narrow" w:cs="Arial"/>
                <w:sz w:val="18"/>
                <w:szCs w:val="18"/>
              </w:rPr>
            </w:pPr>
            <w:r w:rsidRPr="006007BB">
              <w:rPr>
                <w:rFonts w:ascii="Arial Narrow" w:hAnsi="Arial Narrow" w:cs="Arial"/>
                <w:sz w:val="18"/>
                <w:szCs w:val="18"/>
              </w:rPr>
              <w:t>$15,079,417</w:t>
            </w:r>
          </w:p>
        </w:tc>
        <w:tc>
          <w:tcPr>
            <w:tcW w:w="542" w:type="pct"/>
            <w:tcMar>
              <w:left w:w="28" w:type="dxa"/>
              <w:right w:w="28" w:type="dxa"/>
            </w:tcMar>
            <w:vAlign w:val="center"/>
          </w:tcPr>
          <w:p w14:paraId="4981AC21" w14:textId="77777777" w:rsidR="00D654DE" w:rsidRPr="006007BB" w:rsidRDefault="007522FA" w:rsidP="006007BB">
            <w:pPr>
              <w:keepNext/>
              <w:spacing w:before="40" w:after="40"/>
              <w:ind w:left="0"/>
              <w:jc w:val="center"/>
              <w:rPr>
                <w:rFonts w:ascii="Arial Narrow" w:hAnsi="Arial Narrow" w:cs="Arial"/>
                <w:sz w:val="18"/>
                <w:szCs w:val="18"/>
              </w:rPr>
            </w:pPr>
            <w:r w:rsidRPr="006007BB">
              <w:rPr>
                <w:rFonts w:ascii="Arial Narrow" w:hAnsi="Arial Narrow" w:cs="Arial"/>
                <w:sz w:val="18"/>
                <w:szCs w:val="18"/>
              </w:rPr>
              <w:t>$16,616,702</w:t>
            </w:r>
          </w:p>
        </w:tc>
        <w:tc>
          <w:tcPr>
            <w:tcW w:w="542" w:type="pct"/>
            <w:tcMar>
              <w:left w:w="28" w:type="dxa"/>
              <w:right w:w="28" w:type="dxa"/>
            </w:tcMar>
            <w:vAlign w:val="center"/>
          </w:tcPr>
          <w:p w14:paraId="0EB5455C" w14:textId="77777777" w:rsidR="00D654DE" w:rsidRPr="006007BB" w:rsidRDefault="007522FA" w:rsidP="006007BB">
            <w:pPr>
              <w:keepNext/>
              <w:spacing w:before="40" w:after="40"/>
              <w:ind w:left="0"/>
              <w:jc w:val="center"/>
              <w:rPr>
                <w:rFonts w:ascii="Arial Narrow" w:hAnsi="Arial Narrow" w:cs="Arial"/>
                <w:sz w:val="18"/>
                <w:szCs w:val="18"/>
              </w:rPr>
            </w:pPr>
            <w:r w:rsidRPr="006007BB">
              <w:rPr>
                <w:rFonts w:ascii="Arial Narrow" w:hAnsi="Arial Narrow" w:cs="Arial"/>
                <w:sz w:val="18"/>
                <w:szCs w:val="18"/>
              </w:rPr>
              <w:t>$18,198,329</w:t>
            </w:r>
          </w:p>
        </w:tc>
        <w:tc>
          <w:tcPr>
            <w:tcW w:w="543" w:type="pct"/>
            <w:tcMar>
              <w:left w:w="28" w:type="dxa"/>
              <w:right w:w="28" w:type="dxa"/>
            </w:tcMar>
            <w:vAlign w:val="center"/>
          </w:tcPr>
          <w:p w14:paraId="5B3285F4" w14:textId="77777777" w:rsidR="00D654DE" w:rsidRPr="006007BB" w:rsidRDefault="007522FA" w:rsidP="006007BB">
            <w:pPr>
              <w:keepNext/>
              <w:spacing w:before="40" w:after="40"/>
              <w:ind w:left="0"/>
              <w:jc w:val="center"/>
              <w:rPr>
                <w:rFonts w:ascii="Arial Narrow" w:hAnsi="Arial Narrow" w:cs="Arial"/>
                <w:sz w:val="18"/>
                <w:szCs w:val="18"/>
              </w:rPr>
            </w:pPr>
            <w:r w:rsidRPr="006007BB">
              <w:rPr>
                <w:rFonts w:ascii="Arial Narrow" w:hAnsi="Arial Narrow" w:cs="Arial"/>
                <w:sz w:val="18"/>
                <w:szCs w:val="18"/>
              </w:rPr>
              <w:t>$19,820,809</w:t>
            </w:r>
          </w:p>
        </w:tc>
      </w:tr>
    </w:tbl>
    <w:p w14:paraId="76BAEC0C" w14:textId="77777777" w:rsidR="00F07318" w:rsidRPr="00A912F0" w:rsidRDefault="00C23026" w:rsidP="006007BB">
      <w:pPr>
        <w:keepNext/>
        <w:spacing w:before="40" w:after="40"/>
        <w:rPr>
          <w:rFonts w:ascii="Arial Narrow" w:hAnsi="Arial Narrow" w:cs="Arial"/>
          <w:sz w:val="18"/>
          <w:szCs w:val="18"/>
        </w:rPr>
      </w:pPr>
      <w:r w:rsidRPr="00A912F0">
        <w:rPr>
          <w:rFonts w:ascii="Arial Narrow" w:hAnsi="Arial Narrow" w:cs="Arial"/>
          <w:sz w:val="18"/>
          <w:szCs w:val="18"/>
        </w:rPr>
        <w:t xml:space="preserve">Source: </w:t>
      </w:r>
      <w:r w:rsidR="00F07318" w:rsidRPr="00A912F0">
        <w:rPr>
          <w:rFonts w:ascii="Arial Narrow" w:hAnsi="Arial Narrow" w:cs="Arial"/>
          <w:sz w:val="18"/>
          <w:szCs w:val="18"/>
        </w:rPr>
        <w:t>Excel spreadsheet</w:t>
      </w:r>
      <w:r w:rsidRPr="00A912F0">
        <w:rPr>
          <w:rFonts w:ascii="Arial Narrow" w:hAnsi="Arial Narrow" w:cs="Arial"/>
          <w:sz w:val="18"/>
          <w:szCs w:val="18"/>
        </w:rPr>
        <w:t xml:space="preserve"> (rTMS Section E.xls)</w:t>
      </w:r>
    </w:p>
    <w:p w14:paraId="7BFE7B99" w14:textId="77777777" w:rsidR="00F07318" w:rsidRDefault="00F071F4" w:rsidP="006007BB">
      <w:pPr>
        <w:keepNext/>
        <w:spacing w:before="40" w:after="40"/>
        <w:rPr>
          <w:rFonts w:ascii="Arial Narrow" w:hAnsi="Arial Narrow" w:cs="Arial"/>
          <w:sz w:val="18"/>
          <w:szCs w:val="18"/>
        </w:rPr>
      </w:pPr>
      <w:r w:rsidRPr="00A912F0">
        <w:rPr>
          <w:rFonts w:ascii="Arial Narrow" w:hAnsi="Arial Narrow" w:cs="Arial"/>
          <w:sz w:val="18"/>
          <w:szCs w:val="18"/>
        </w:rPr>
        <w:t>MBS = Medicare Benefits Schedule</w:t>
      </w:r>
      <w:r w:rsidR="00B815C5" w:rsidRPr="00A912F0">
        <w:rPr>
          <w:rFonts w:ascii="Arial Narrow" w:hAnsi="Arial Narrow" w:cs="Arial"/>
          <w:sz w:val="18"/>
          <w:szCs w:val="18"/>
        </w:rPr>
        <w:t>; rTMS = repetitive Transcranial Magnetic Stimulation</w:t>
      </w:r>
    </w:p>
    <w:p w14:paraId="6CD88481" w14:textId="77777777" w:rsidR="006007BB" w:rsidRPr="00A912F0" w:rsidRDefault="006007BB" w:rsidP="006007BB"/>
    <w:p w14:paraId="496046AB" w14:textId="77777777" w:rsidR="003023E7" w:rsidRPr="003023E7" w:rsidRDefault="00A464E7" w:rsidP="00A912F0">
      <w:pPr>
        <w:jc w:val="both"/>
        <w:rPr>
          <w:rFonts w:cs="Arial"/>
          <w:szCs w:val="24"/>
        </w:rPr>
      </w:pPr>
      <w:proofErr w:type="gramStart"/>
      <w:r>
        <w:rPr>
          <w:rFonts w:cs="Arial"/>
          <w:szCs w:val="24"/>
        </w:rPr>
        <w:t>rTMS</w:t>
      </w:r>
      <w:proofErr w:type="gramEnd"/>
      <w:r>
        <w:rPr>
          <w:rFonts w:cs="Arial"/>
          <w:szCs w:val="24"/>
        </w:rPr>
        <w:t xml:space="preserve"> therapy is expected to cost the MBS approximately $13,586,786 in Year 1, increasing to $19,820,809 in Year 5. Over the next 5 years rTMS treatment and psychiatrist consults are estimated to cost the MBS approximately $83 million. </w:t>
      </w:r>
    </w:p>
    <w:p w14:paraId="0D83E710" w14:textId="77777777" w:rsidR="00B815C5" w:rsidRDefault="00B815C5" w:rsidP="00A912F0">
      <w:pPr>
        <w:pStyle w:val="Heading5"/>
      </w:pPr>
      <w:r>
        <w:t>Estimation of change</w:t>
      </w:r>
      <w:r w:rsidR="0053633F">
        <w:t>s in use and cost of other therapies</w:t>
      </w:r>
    </w:p>
    <w:p w14:paraId="345080B8" w14:textId="7FDD1D65" w:rsidR="00EC0A91" w:rsidRDefault="00EC0A91" w:rsidP="00EC0A91">
      <w:pPr>
        <w:jc w:val="both"/>
      </w:pPr>
      <w:r>
        <w:lastRenderedPageBreak/>
        <w:t xml:space="preserve">The treatment algorithm provided in the Protocol suggests that rTMS (± antidepressants ± psychotherapy) is a third-line therapy along with ECT (± antidepressants ± psychotherapy) and antidepressants (± psychotherapy).  As mentioned above, the applicant proposes that if a patient responds well to rTMS then their use of antidepressant medication and ECT may decrease. </w:t>
      </w:r>
    </w:p>
    <w:p w14:paraId="0F66D682" w14:textId="5CA9EFF1" w:rsidR="00EC0A91" w:rsidRDefault="00EC0A91" w:rsidP="00EC0A91">
      <w:pPr>
        <w:jc w:val="both"/>
      </w:pPr>
      <w:r>
        <w:t xml:space="preserve">Although there is no data on the proportion of patients who would cease antidepressant use following rTMS, it is expected that the majority will continue with an antidepressant to prevent relapse. Of the patients who are referred to ECT, it will be assumed that a small proportion would also be eligible and opt for rTMS, that is, they are not requiring rapid treatment due to psychosis or suicide risk, but are considered to have TRD.  </w:t>
      </w:r>
    </w:p>
    <w:p w14:paraId="773FED86" w14:textId="32FB2D66" w:rsidR="00EC0A91" w:rsidRDefault="00EC0A91" w:rsidP="00EC0A91">
      <w:pPr>
        <w:jc w:val="both"/>
      </w:pPr>
      <w:r>
        <w:t xml:space="preserve">As patients have been diagnosed with TRD, it is assumed that they are being cared for by a psychiatrist, therefore psychiatrist costs will be considered as common costs. </w:t>
      </w:r>
    </w:p>
    <w:p w14:paraId="6A8825A3" w14:textId="77777777" w:rsidR="00EC0A91" w:rsidRDefault="00EC0A91" w:rsidP="00EC0A91">
      <w:r>
        <w:t>In this analysis it is assumed that:</w:t>
      </w:r>
    </w:p>
    <w:p w14:paraId="0418D714" w14:textId="77777777" w:rsidR="00EC0A91" w:rsidRDefault="00EC0A91" w:rsidP="00EC0A91">
      <w:pPr>
        <w:pStyle w:val="ListParagraph"/>
        <w:numPr>
          <w:ilvl w:val="0"/>
          <w:numId w:val="39"/>
        </w:numPr>
        <w:ind w:left="1276"/>
        <w:rPr>
          <w:rFonts w:ascii="Garamond" w:hAnsi="Garamond"/>
        </w:rPr>
      </w:pPr>
      <w:r>
        <w:rPr>
          <w:rFonts w:ascii="Garamond" w:hAnsi="Garamond"/>
        </w:rPr>
        <w:t>20% of patients will reduce their antidepressant use following rTMS treatment (assumption);</w:t>
      </w:r>
    </w:p>
    <w:p w14:paraId="47FFCD37" w14:textId="77777777" w:rsidR="00EC0A91" w:rsidRPr="00836D19" w:rsidRDefault="00EC0A91" w:rsidP="00EC0A91">
      <w:pPr>
        <w:pStyle w:val="ListParagraph"/>
        <w:numPr>
          <w:ilvl w:val="0"/>
          <w:numId w:val="39"/>
        </w:numPr>
        <w:ind w:left="1276"/>
        <w:rPr>
          <w:rFonts w:ascii="Garamond" w:hAnsi="Garamond"/>
        </w:rPr>
      </w:pPr>
      <w:r w:rsidRPr="00836D19">
        <w:rPr>
          <w:rFonts w:ascii="Garamond" w:hAnsi="Garamond"/>
        </w:rPr>
        <w:t xml:space="preserve">10% of patients who would have had ECT will receive rTMS (assumption). </w:t>
      </w:r>
    </w:p>
    <w:p w14:paraId="3B70A49A" w14:textId="77777777" w:rsidR="00EC0A91" w:rsidRDefault="00EC0A91" w:rsidP="00EC0A91">
      <w:pPr>
        <w:pStyle w:val="ListParagraph"/>
        <w:numPr>
          <w:ilvl w:val="0"/>
          <w:numId w:val="39"/>
        </w:numPr>
        <w:ind w:left="1276"/>
        <w:rPr>
          <w:rFonts w:ascii="Garamond" w:hAnsi="Garamond"/>
        </w:rPr>
      </w:pPr>
      <w:r>
        <w:rPr>
          <w:rFonts w:ascii="Garamond" w:hAnsi="Garamond"/>
        </w:rPr>
        <w:t>ECT patients would have received one course (10 treatments) of ECT; and</w:t>
      </w:r>
    </w:p>
    <w:p w14:paraId="6B6777D1" w14:textId="106EFB60" w:rsidR="00EC0A91" w:rsidRDefault="00EC0A91" w:rsidP="00EC0A91">
      <w:pPr>
        <w:pStyle w:val="ListParagraph"/>
        <w:numPr>
          <w:ilvl w:val="0"/>
          <w:numId w:val="39"/>
        </w:numPr>
        <w:spacing w:after="240"/>
        <w:ind w:left="1276" w:hanging="357"/>
        <w:rPr>
          <w:rFonts w:ascii="Garamond" w:hAnsi="Garamond"/>
        </w:rPr>
      </w:pPr>
      <w:r>
        <w:rPr>
          <w:rFonts w:ascii="Garamond" w:hAnsi="Garamond"/>
        </w:rPr>
        <w:t>All patients are being cared for by a psychiatrist, therefore no extra psychiatrist fees are required for those who reduce antidepressant use or for those would have received ECT, as the MBS fee for prescribing rTMS is proposed to be the same as that for prescribing ECT (</w:t>
      </w:r>
      <w:r w:rsidR="00FF7CE4">
        <w:rPr>
          <w:rFonts w:ascii="Garamond" w:hAnsi="Garamond"/>
        </w:rPr>
        <w:t xml:space="preserve">Protocol </w:t>
      </w:r>
      <w:r>
        <w:rPr>
          <w:rFonts w:ascii="Garamond" w:hAnsi="Garamond"/>
        </w:rPr>
        <w:t>1196).</w:t>
      </w:r>
    </w:p>
    <w:p w14:paraId="7B6C7EE3" w14:textId="77777777" w:rsidR="00EC0A91" w:rsidRPr="00836D19" w:rsidRDefault="00EC0A91" w:rsidP="00EC0A91">
      <w:pPr>
        <w:spacing w:after="0"/>
      </w:pPr>
      <w:r>
        <w:t>The assumptions made above will be tested in the sensitivity analysis.</w:t>
      </w:r>
    </w:p>
    <w:p w14:paraId="054DA7DA" w14:textId="77777777" w:rsidR="00922D59" w:rsidRDefault="00B815C5" w:rsidP="00A912F0">
      <w:pPr>
        <w:pStyle w:val="Heading5"/>
      </w:pPr>
      <w:r w:rsidRPr="007E128D">
        <w:t>Co</w:t>
      </w:r>
      <w:r w:rsidR="00922D59">
        <w:t>sts of substitutable treatments</w:t>
      </w:r>
    </w:p>
    <w:p w14:paraId="3961ABA2" w14:textId="77777777" w:rsidR="00EC0A91" w:rsidRPr="008474A0" w:rsidRDefault="00EC0A91" w:rsidP="008474A0">
      <w:pPr>
        <w:ind w:left="1701"/>
        <w:rPr>
          <w:rFonts w:ascii="Tahoma" w:hAnsi="Tahoma" w:cs="Tahoma"/>
          <w:b/>
          <w:sz w:val="20"/>
        </w:rPr>
      </w:pPr>
      <w:r w:rsidRPr="008474A0">
        <w:rPr>
          <w:rFonts w:ascii="Tahoma" w:hAnsi="Tahoma" w:cs="Tahoma"/>
          <w:b/>
          <w:sz w:val="20"/>
        </w:rPr>
        <w:t>Antidepressants</w:t>
      </w:r>
    </w:p>
    <w:p w14:paraId="7302338D" w14:textId="36808FED" w:rsidR="00EC0A91" w:rsidRDefault="00EC0A91" w:rsidP="00EC0A91">
      <w:pPr>
        <w:jc w:val="both"/>
        <w:rPr>
          <w:rFonts w:cs="Garamond"/>
          <w:szCs w:val="24"/>
        </w:rPr>
      </w:pPr>
      <w:r>
        <w:rPr>
          <w:rFonts w:cs="Garamond"/>
          <w:szCs w:val="24"/>
        </w:rPr>
        <w:t>The average cost for antidepressants, which was used in the economic model in this report, was calculated using figures from the DUSC review of antidepressant use, 2011 and the PBS website. The average weekly antidepressant cost was estimated to be $17.27 (or $69.08 per month).</w:t>
      </w:r>
    </w:p>
    <w:p w14:paraId="2BBF9481" w14:textId="77777777" w:rsidR="00180EAF" w:rsidRPr="008474A0" w:rsidRDefault="00180EAF" w:rsidP="008474A0">
      <w:pPr>
        <w:ind w:left="1701"/>
        <w:rPr>
          <w:rFonts w:ascii="Tahoma" w:hAnsi="Tahoma" w:cs="Tahoma"/>
          <w:b/>
          <w:sz w:val="20"/>
        </w:rPr>
      </w:pPr>
      <w:r w:rsidRPr="008474A0">
        <w:rPr>
          <w:rFonts w:ascii="Tahoma" w:hAnsi="Tahoma" w:cs="Tahoma"/>
          <w:b/>
          <w:sz w:val="20"/>
        </w:rPr>
        <w:t>ECT</w:t>
      </w:r>
    </w:p>
    <w:p w14:paraId="6FB0EB6F" w14:textId="0B930136" w:rsidR="00180EAF" w:rsidRDefault="00B650F7" w:rsidP="005E00ED">
      <w:pPr>
        <w:jc w:val="both"/>
      </w:pPr>
      <w:r>
        <w:t>A</w:t>
      </w:r>
      <w:r w:rsidR="00180EAF">
        <w:t xml:space="preserve"> psychiatrist consultation is required to prescribe ECT before treatment can begin. As per the </w:t>
      </w:r>
      <w:r w:rsidR="00E45AF4">
        <w:t>Protocol</w:t>
      </w:r>
      <w:r w:rsidR="00EC0A91">
        <w:t xml:space="preserve"> </w:t>
      </w:r>
      <w:r w:rsidR="00AE33AC">
        <w:t>1196</w:t>
      </w:r>
      <w:r w:rsidR="00180EAF">
        <w:t xml:space="preserve"> p23, this is assumed to cost the same as the rTMS initial psychiatrist consultation</w:t>
      </w:r>
      <w:r>
        <w:t xml:space="preserve"> (</w:t>
      </w:r>
      <w:r w:rsidR="00180EAF">
        <w:t>$350</w:t>
      </w:r>
      <w:r>
        <w:t>)</w:t>
      </w:r>
      <w:r w:rsidR="00180EAF">
        <w:t>.</w:t>
      </w:r>
    </w:p>
    <w:p w14:paraId="7144E19B" w14:textId="77777777" w:rsidR="00180EAF" w:rsidRDefault="00180EAF" w:rsidP="00B90BA6">
      <w:pPr>
        <w:spacing w:after="120"/>
        <w:jc w:val="both"/>
      </w:pPr>
      <w:r>
        <w:t>In addition, the following MBS item descriptors are required per ECT treatment.</w:t>
      </w:r>
    </w:p>
    <w:tbl>
      <w:tblPr>
        <w:tblStyle w:val="TableGrid"/>
        <w:tblW w:w="0" w:type="auto"/>
        <w:tblInd w:w="817" w:type="dxa"/>
        <w:tblLook w:val="04A0" w:firstRow="1" w:lastRow="0" w:firstColumn="1" w:lastColumn="0" w:noHBand="0" w:noVBand="1"/>
        <w:tblCaption w:val="Table of the following MBS item descriptors that are required per ECT treatment"/>
      </w:tblPr>
      <w:tblGrid>
        <w:gridCol w:w="8425"/>
      </w:tblGrid>
      <w:tr w:rsidR="00180EAF" w:rsidRPr="00A912F0" w14:paraId="7CB31564" w14:textId="77777777" w:rsidTr="00194AED">
        <w:trPr>
          <w:cantSplit/>
          <w:tblHeader/>
        </w:trPr>
        <w:tc>
          <w:tcPr>
            <w:tcW w:w="8425" w:type="dxa"/>
          </w:tcPr>
          <w:p w14:paraId="7A8FE0E1" w14:textId="77777777" w:rsidR="00180EAF" w:rsidRPr="00A912F0" w:rsidRDefault="00180EAF" w:rsidP="00A912F0">
            <w:pPr>
              <w:keepNext/>
              <w:tabs>
                <w:tab w:val="left" w:pos="2652"/>
              </w:tabs>
              <w:spacing w:after="0"/>
              <w:ind w:left="0"/>
              <w:jc w:val="right"/>
              <w:rPr>
                <w:rFonts w:ascii="Arial Narrow" w:hAnsi="Arial Narrow" w:cs="Arial"/>
                <w:sz w:val="20"/>
              </w:rPr>
            </w:pPr>
            <w:r w:rsidRPr="00A912F0">
              <w:rPr>
                <w:rFonts w:ascii="Arial Narrow" w:hAnsi="Arial Narrow" w:cs="Arial"/>
                <w:sz w:val="20"/>
              </w:rPr>
              <w:tab/>
              <w:t>Category 3 – Therapeutic procedures</w:t>
            </w:r>
          </w:p>
        </w:tc>
      </w:tr>
      <w:tr w:rsidR="00180EAF" w:rsidRPr="00A912F0" w14:paraId="3C8B6638" w14:textId="77777777" w:rsidTr="00194AED">
        <w:trPr>
          <w:cantSplit/>
          <w:tblHeader/>
        </w:trPr>
        <w:tc>
          <w:tcPr>
            <w:tcW w:w="8425" w:type="dxa"/>
          </w:tcPr>
          <w:p w14:paraId="7D488EB1" w14:textId="77777777" w:rsidR="00180EAF" w:rsidRPr="00A912F0" w:rsidRDefault="00180EAF" w:rsidP="00A912F0">
            <w:pPr>
              <w:keepNext/>
              <w:spacing w:after="0"/>
              <w:ind w:left="0"/>
              <w:rPr>
                <w:rFonts w:ascii="Arial Narrow" w:hAnsi="Arial Narrow" w:cs="Arial"/>
                <w:sz w:val="20"/>
              </w:rPr>
            </w:pPr>
            <w:r w:rsidRPr="00A912F0">
              <w:rPr>
                <w:rFonts w:ascii="Arial Narrow" w:hAnsi="Arial Narrow" w:cs="Arial"/>
                <w:sz w:val="20"/>
              </w:rPr>
              <w:t>MBS 14224</w:t>
            </w:r>
          </w:p>
          <w:p w14:paraId="639715C2" w14:textId="77777777" w:rsidR="00180EAF" w:rsidRPr="00A912F0" w:rsidRDefault="00180EAF" w:rsidP="00A912F0">
            <w:pPr>
              <w:keepNext/>
              <w:spacing w:after="0"/>
              <w:ind w:left="0"/>
              <w:rPr>
                <w:rFonts w:ascii="Arial Narrow" w:hAnsi="Arial Narrow" w:cs="Arial"/>
                <w:sz w:val="20"/>
              </w:rPr>
            </w:pPr>
          </w:p>
          <w:p w14:paraId="362A9E40" w14:textId="77777777" w:rsidR="00180EAF" w:rsidRPr="00A912F0" w:rsidRDefault="00180EAF" w:rsidP="00A912F0">
            <w:pPr>
              <w:keepNext/>
              <w:spacing w:after="0"/>
              <w:ind w:left="0"/>
              <w:rPr>
                <w:rFonts w:ascii="Arial Narrow" w:hAnsi="Arial Narrow" w:cs="Arial"/>
                <w:sz w:val="20"/>
              </w:rPr>
            </w:pPr>
            <w:r w:rsidRPr="00A912F0">
              <w:rPr>
                <w:rFonts w:ascii="Arial Narrow" w:hAnsi="Arial Narrow" w:cs="Arial"/>
                <w:sz w:val="20"/>
              </w:rPr>
              <w:t>ELECTROCONVULSIVE THERAPY, with or without the use of stimulus dosing techniques, including any electroencephalographic monitoring and associated consultation.</w:t>
            </w:r>
          </w:p>
          <w:p w14:paraId="1C05D0DF" w14:textId="77777777" w:rsidR="00180EAF" w:rsidRPr="00A912F0" w:rsidRDefault="00180EAF" w:rsidP="00A912F0">
            <w:pPr>
              <w:keepNext/>
              <w:spacing w:after="0"/>
              <w:ind w:left="0"/>
              <w:rPr>
                <w:rFonts w:ascii="Arial Narrow" w:hAnsi="Arial Narrow" w:cs="Arial"/>
                <w:sz w:val="20"/>
              </w:rPr>
            </w:pPr>
          </w:p>
          <w:p w14:paraId="262AC9C3" w14:textId="77777777" w:rsidR="00180EAF" w:rsidRPr="00A912F0" w:rsidRDefault="00180EAF" w:rsidP="00A912F0">
            <w:pPr>
              <w:keepNext/>
              <w:spacing w:after="0"/>
              <w:ind w:left="0"/>
              <w:rPr>
                <w:rFonts w:ascii="Arial Narrow" w:hAnsi="Arial Narrow" w:cs="Arial"/>
                <w:sz w:val="20"/>
              </w:rPr>
            </w:pPr>
            <w:r w:rsidRPr="00A912F0">
              <w:rPr>
                <w:rFonts w:ascii="Arial Narrow" w:hAnsi="Arial Narrow" w:cs="Arial"/>
                <w:sz w:val="20"/>
              </w:rPr>
              <w:t>(Anaes.)</w:t>
            </w:r>
          </w:p>
          <w:p w14:paraId="528B1402" w14:textId="77777777" w:rsidR="00180EAF" w:rsidRPr="00A912F0" w:rsidRDefault="00180EAF" w:rsidP="00A912F0">
            <w:pPr>
              <w:keepNext/>
              <w:spacing w:after="0"/>
              <w:ind w:left="0"/>
              <w:rPr>
                <w:rFonts w:ascii="Arial Narrow" w:hAnsi="Arial Narrow" w:cs="Arial"/>
                <w:sz w:val="20"/>
              </w:rPr>
            </w:pPr>
            <w:r w:rsidRPr="00A912F0">
              <w:rPr>
                <w:rFonts w:ascii="Arial Narrow" w:hAnsi="Arial Narrow" w:cs="Arial"/>
                <w:sz w:val="20"/>
              </w:rPr>
              <w:t>Fee: $70.35 Benefit: 75% = $52.80 85% = $59.80</w:t>
            </w:r>
          </w:p>
        </w:tc>
      </w:tr>
    </w:tbl>
    <w:p w14:paraId="4ADD55D9" w14:textId="77777777" w:rsidR="00180EAF" w:rsidRPr="00A912F0" w:rsidRDefault="001E5851" w:rsidP="001E5851">
      <w:pPr>
        <w:spacing w:after="120"/>
        <w:rPr>
          <w:rFonts w:ascii="Arial Narrow" w:hAnsi="Arial Narrow" w:cs="Arial"/>
          <w:sz w:val="18"/>
          <w:szCs w:val="18"/>
        </w:rPr>
      </w:pPr>
      <w:r w:rsidRPr="00A912F0">
        <w:rPr>
          <w:rFonts w:ascii="Arial Narrow" w:hAnsi="Arial Narrow" w:cs="Arial"/>
          <w:sz w:val="18"/>
          <w:szCs w:val="18"/>
        </w:rPr>
        <w:t>Source: MBS online</w:t>
      </w:r>
    </w:p>
    <w:tbl>
      <w:tblPr>
        <w:tblStyle w:val="TableGrid"/>
        <w:tblW w:w="0" w:type="auto"/>
        <w:tblInd w:w="840" w:type="dxa"/>
        <w:tblLook w:val="04A0" w:firstRow="1" w:lastRow="0" w:firstColumn="1" w:lastColumn="0" w:noHBand="0" w:noVBand="1"/>
        <w:tblCaption w:val="Table of the following MBS item descriptors that are required per ECT treatment"/>
      </w:tblPr>
      <w:tblGrid>
        <w:gridCol w:w="8402"/>
      </w:tblGrid>
      <w:tr w:rsidR="00180EAF" w:rsidRPr="00A912F0" w14:paraId="52606CAC" w14:textId="77777777" w:rsidTr="00194AED">
        <w:trPr>
          <w:cantSplit/>
          <w:tblHeader/>
        </w:trPr>
        <w:tc>
          <w:tcPr>
            <w:tcW w:w="8402" w:type="dxa"/>
          </w:tcPr>
          <w:p w14:paraId="28334811" w14:textId="77777777" w:rsidR="00180EAF" w:rsidRPr="00A912F0" w:rsidRDefault="00180EAF" w:rsidP="00180EAF">
            <w:pPr>
              <w:spacing w:after="0"/>
              <w:ind w:left="0"/>
              <w:jc w:val="right"/>
              <w:rPr>
                <w:rFonts w:ascii="Arial Narrow" w:hAnsi="Arial Narrow" w:cs="Arial"/>
                <w:sz w:val="20"/>
              </w:rPr>
            </w:pPr>
            <w:r w:rsidRPr="00A912F0">
              <w:rPr>
                <w:rFonts w:ascii="Arial Narrow" w:hAnsi="Arial Narrow" w:cs="Arial"/>
                <w:sz w:val="20"/>
              </w:rPr>
              <w:lastRenderedPageBreak/>
              <w:t>Category 3 – Therapeutic procedures</w:t>
            </w:r>
          </w:p>
        </w:tc>
      </w:tr>
      <w:tr w:rsidR="00180EAF" w:rsidRPr="00A912F0" w14:paraId="136F78F5" w14:textId="77777777" w:rsidTr="00194AED">
        <w:trPr>
          <w:cantSplit/>
          <w:tblHeader/>
        </w:trPr>
        <w:tc>
          <w:tcPr>
            <w:tcW w:w="8402" w:type="dxa"/>
          </w:tcPr>
          <w:p w14:paraId="5835DAAC" w14:textId="77777777" w:rsidR="00180EAF" w:rsidRPr="00A912F0" w:rsidRDefault="00180EAF" w:rsidP="003554F3">
            <w:pPr>
              <w:spacing w:after="0"/>
              <w:ind w:left="0"/>
              <w:rPr>
                <w:rFonts w:ascii="Arial Narrow" w:hAnsi="Arial Narrow" w:cs="Arial"/>
                <w:sz w:val="20"/>
              </w:rPr>
            </w:pPr>
            <w:r w:rsidRPr="00A912F0">
              <w:rPr>
                <w:rFonts w:ascii="Arial Narrow" w:hAnsi="Arial Narrow" w:cs="Arial"/>
                <w:sz w:val="20"/>
              </w:rPr>
              <w:t>MBS 20104</w:t>
            </w:r>
          </w:p>
          <w:p w14:paraId="2512F0AC" w14:textId="77777777" w:rsidR="00180EAF" w:rsidRPr="00A912F0" w:rsidRDefault="00180EAF" w:rsidP="003554F3">
            <w:pPr>
              <w:spacing w:after="0"/>
              <w:ind w:left="0"/>
              <w:rPr>
                <w:rFonts w:ascii="Arial Narrow" w:hAnsi="Arial Narrow" w:cs="Arial"/>
                <w:sz w:val="20"/>
              </w:rPr>
            </w:pPr>
          </w:p>
          <w:p w14:paraId="62A7B772" w14:textId="77777777" w:rsidR="00180EAF" w:rsidRPr="00A912F0" w:rsidRDefault="00180EAF" w:rsidP="003554F3">
            <w:pPr>
              <w:spacing w:after="0"/>
              <w:ind w:left="0"/>
              <w:rPr>
                <w:rFonts w:ascii="Arial Narrow" w:hAnsi="Arial Narrow" w:cs="Arial"/>
                <w:sz w:val="20"/>
              </w:rPr>
            </w:pPr>
            <w:r w:rsidRPr="00A912F0">
              <w:rPr>
                <w:rFonts w:ascii="Arial Narrow" w:hAnsi="Arial Narrow" w:cs="Arial"/>
                <w:sz w:val="20"/>
              </w:rPr>
              <w:t>INITIATION OF MANAGEMENT OF ANAESTHESIA for electroconvulsive therapy.</w:t>
            </w:r>
          </w:p>
          <w:p w14:paraId="57357CC2" w14:textId="77777777" w:rsidR="00180EAF" w:rsidRPr="00A912F0" w:rsidRDefault="00180EAF" w:rsidP="003554F3">
            <w:pPr>
              <w:spacing w:after="0"/>
              <w:ind w:left="0"/>
              <w:rPr>
                <w:rFonts w:ascii="Arial Narrow" w:hAnsi="Arial Narrow" w:cs="Arial"/>
                <w:sz w:val="20"/>
              </w:rPr>
            </w:pPr>
          </w:p>
          <w:p w14:paraId="3A001158" w14:textId="77777777" w:rsidR="00180EAF" w:rsidRPr="00A912F0" w:rsidRDefault="00180EAF" w:rsidP="003554F3">
            <w:pPr>
              <w:spacing w:after="0"/>
              <w:ind w:left="0"/>
              <w:rPr>
                <w:rFonts w:ascii="Arial Narrow" w:hAnsi="Arial Narrow" w:cs="Arial"/>
                <w:sz w:val="20"/>
              </w:rPr>
            </w:pPr>
            <w:r w:rsidRPr="00A912F0">
              <w:rPr>
                <w:rFonts w:ascii="Arial Narrow" w:hAnsi="Arial Narrow" w:cs="Arial"/>
                <w:sz w:val="20"/>
              </w:rPr>
              <w:t>(4 basic units)</w:t>
            </w:r>
          </w:p>
          <w:p w14:paraId="2FA621E7" w14:textId="77777777" w:rsidR="00180EAF" w:rsidRPr="00A912F0" w:rsidRDefault="00180EAF" w:rsidP="003554F3">
            <w:pPr>
              <w:spacing w:after="0"/>
              <w:ind w:left="0"/>
              <w:rPr>
                <w:rFonts w:ascii="Arial Narrow" w:hAnsi="Arial Narrow" w:cs="Arial"/>
                <w:sz w:val="20"/>
              </w:rPr>
            </w:pPr>
            <w:r w:rsidRPr="00A912F0">
              <w:rPr>
                <w:rFonts w:ascii="Arial Narrow" w:hAnsi="Arial Narrow" w:cs="Arial"/>
                <w:sz w:val="20"/>
              </w:rPr>
              <w:t>Fee = $79.20 Benefit: 75% = $59.40 85% = $67.35</w:t>
            </w:r>
          </w:p>
        </w:tc>
      </w:tr>
    </w:tbl>
    <w:p w14:paraId="368000E8" w14:textId="77777777" w:rsidR="00180EAF" w:rsidRPr="00A912F0" w:rsidRDefault="00222A8A" w:rsidP="00A912F0">
      <w:pPr>
        <w:spacing w:after="120"/>
        <w:rPr>
          <w:rFonts w:ascii="Arial Narrow" w:hAnsi="Arial Narrow" w:cs="Arial"/>
          <w:sz w:val="18"/>
          <w:szCs w:val="18"/>
        </w:rPr>
      </w:pPr>
      <w:r w:rsidRPr="00A912F0">
        <w:rPr>
          <w:rFonts w:ascii="Arial Narrow" w:hAnsi="Arial Narrow" w:cs="Arial"/>
          <w:sz w:val="18"/>
          <w:szCs w:val="18"/>
        </w:rPr>
        <w:t>Source: MBS online</w:t>
      </w:r>
    </w:p>
    <w:p w14:paraId="57299EBE" w14:textId="77777777" w:rsidR="00515AF1" w:rsidRPr="007E128D" w:rsidRDefault="00515AF1" w:rsidP="00A912F0">
      <w:pPr>
        <w:pStyle w:val="Heading5"/>
      </w:pPr>
      <w:r w:rsidRPr="007E128D">
        <w:t>Estimated extent of s</w:t>
      </w:r>
      <w:r w:rsidR="0067363D">
        <w:t>ubstitution</w:t>
      </w:r>
    </w:p>
    <w:p w14:paraId="588DEA90" w14:textId="77777777" w:rsidR="004C314A" w:rsidRPr="008474A0" w:rsidRDefault="004C314A" w:rsidP="008474A0">
      <w:pPr>
        <w:ind w:left="1701"/>
        <w:rPr>
          <w:rFonts w:ascii="Tahoma" w:hAnsi="Tahoma" w:cs="Tahoma"/>
          <w:b/>
          <w:sz w:val="20"/>
        </w:rPr>
      </w:pPr>
      <w:r w:rsidRPr="008474A0">
        <w:rPr>
          <w:rFonts w:ascii="Tahoma" w:hAnsi="Tahoma" w:cs="Tahoma"/>
          <w:b/>
          <w:sz w:val="20"/>
        </w:rPr>
        <w:t>Antidepressants</w:t>
      </w:r>
    </w:p>
    <w:p w14:paraId="576C7B04" w14:textId="14BDFD9F" w:rsidR="004C314A" w:rsidRDefault="004C314A" w:rsidP="004C314A">
      <w:pPr>
        <w:jc w:val="both"/>
      </w:pPr>
      <w:r>
        <w:t>For the purpose of this analysis it is assumed that 20% of rTMS patients will reduce their antidepressant use. The number of patients is calculated in Table 26.</w:t>
      </w:r>
    </w:p>
    <w:p w14:paraId="77B82716" w14:textId="4AE73243" w:rsidR="004C314A" w:rsidRDefault="004C314A" w:rsidP="006258B7">
      <w:pPr>
        <w:pStyle w:val="TableName"/>
      </w:pPr>
      <w:bookmarkStart w:id="197" w:name="_Ref386103500"/>
      <w:bookmarkStart w:id="198" w:name="_Toc386102839"/>
      <w:bookmarkStart w:id="199" w:name="_Toc389143600"/>
      <w:r>
        <w:t>Table 2</w:t>
      </w:r>
      <w:bookmarkEnd w:id="197"/>
      <w:r>
        <w:t xml:space="preserve">6: Summary of </w:t>
      </w:r>
      <w:r w:rsidR="006258B7">
        <w:t>antidepressant</w:t>
      </w:r>
      <w:r>
        <w:t xml:space="preserve"> substitutions</w:t>
      </w:r>
      <w:bookmarkEnd w:id="198"/>
      <w:bookmarkEnd w:id="199"/>
      <w:r>
        <w:t xml:space="preserve"> </w:t>
      </w:r>
    </w:p>
    <w:tbl>
      <w:tblPr>
        <w:tblStyle w:val="TableGrid"/>
        <w:tblW w:w="4591" w:type="pct"/>
        <w:tblInd w:w="760" w:type="dxa"/>
        <w:tblLook w:val="04A0" w:firstRow="1" w:lastRow="0" w:firstColumn="1" w:lastColumn="0" w:noHBand="0" w:noVBand="1"/>
        <w:tblCaption w:val="Lithium substitution"/>
      </w:tblPr>
      <w:tblGrid>
        <w:gridCol w:w="285"/>
        <w:gridCol w:w="3241"/>
        <w:gridCol w:w="1129"/>
        <w:gridCol w:w="759"/>
        <w:gridCol w:w="680"/>
        <w:gridCol w:w="689"/>
        <w:gridCol w:w="709"/>
        <w:gridCol w:w="847"/>
      </w:tblGrid>
      <w:tr w:rsidR="004C314A" w14:paraId="26EEDA81" w14:textId="77777777" w:rsidTr="00194AED">
        <w:trPr>
          <w:cantSplit/>
          <w:tblHeader/>
        </w:trPr>
        <w:tc>
          <w:tcPr>
            <w:tcW w:w="211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C060A3" w14:textId="77777777" w:rsidR="004C314A" w:rsidRPr="00C81725" w:rsidRDefault="004C314A" w:rsidP="004C314A">
            <w:pPr>
              <w:keepNext/>
              <w:spacing w:before="40" w:after="40"/>
              <w:ind w:left="0"/>
              <w:rPr>
                <w:rFonts w:ascii="Arial Narrow" w:hAnsi="Arial Narrow" w:cs="Arial"/>
                <w:sz w:val="20"/>
              </w:rPr>
            </w:pPr>
          </w:p>
        </w:tc>
        <w:tc>
          <w:tcPr>
            <w:tcW w:w="6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4851C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Method</w:t>
            </w:r>
          </w:p>
        </w:tc>
        <w:tc>
          <w:tcPr>
            <w:tcW w:w="4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758C1E"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128D326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D3EC57"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561EABA8"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AC350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767A538F"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4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E479E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512479FD"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68C329"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7113FD7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41CE6079" w14:textId="77777777" w:rsidTr="004C314A">
        <w:trPr>
          <w:cantSplit/>
        </w:trPr>
        <w:tc>
          <w:tcPr>
            <w:tcW w:w="1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41437B"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F</w:t>
            </w:r>
          </w:p>
        </w:tc>
        <w:tc>
          <w:tcPr>
            <w:tcW w:w="19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C69D80" w14:textId="77777777" w:rsidR="004C314A" w:rsidRPr="00C81725" w:rsidRDefault="004C314A" w:rsidP="004C314A">
            <w:pPr>
              <w:keepNext/>
              <w:spacing w:before="40" w:after="40"/>
              <w:ind w:left="0"/>
              <w:rPr>
                <w:rFonts w:ascii="Arial Narrow" w:hAnsi="Arial Narrow" w:cs="Arial"/>
                <w:sz w:val="20"/>
              </w:rPr>
            </w:pPr>
            <w:r>
              <w:rPr>
                <w:rFonts w:ascii="Arial Narrow" w:hAnsi="Arial Narrow" w:cs="Arial"/>
                <w:sz w:val="20"/>
              </w:rPr>
              <w:t xml:space="preserve">Yearly </w:t>
            </w:r>
            <w:r w:rsidRPr="00C81725">
              <w:rPr>
                <w:rFonts w:ascii="Arial Narrow" w:hAnsi="Arial Narrow" w:cs="Arial"/>
                <w:sz w:val="20"/>
              </w:rPr>
              <w:t xml:space="preserve">rTMS patient number  </w:t>
            </w:r>
          </w:p>
        </w:tc>
        <w:tc>
          <w:tcPr>
            <w:tcW w:w="6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950CD8"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From above</w:t>
            </w:r>
          </w:p>
        </w:tc>
        <w:tc>
          <w:tcPr>
            <w:tcW w:w="4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1A900A"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2,012</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1493BE"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2,233</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74BE22"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2,460</w:t>
            </w:r>
          </w:p>
        </w:tc>
        <w:tc>
          <w:tcPr>
            <w:tcW w:w="4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AEFD97"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2,695</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43382A"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2,935</w:t>
            </w:r>
          </w:p>
        </w:tc>
      </w:tr>
      <w:tr w:rsidR="004C314A" w14:paraId="2C102447" w14:textId="77777777" w:rsidTr="004C314A">
        <w:trPr>
          <w:cantSplit/>
        </w:trPr>
        <w:tc>
          <w:tcPr>
            <w:tcW w:w="1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57EB2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T</w:t>
            </w:r>
          </w:p>
        </w:tc>
        <w:tc>
          <w:tcPr>
            <w:tcW w:w="19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E53845"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Number of rTMS patients reduc</w:t>
            </w:r>
            <w:r>
              <w:rPr>
                <w:rFonts w:ascii="Arial Narrow" w:hAnsi="Arial Narrow" w:cs="Arial"/>
                <w:sz w:val="20"/>
              </w:rPr>
              <w:t>ing</w:t>
            </w:r>
            <w:r w:rsidRPr="00C81725">
              <w:rPr>
                <w:rFonts w:ascii="Arial Narrow" w:hAnsi="Arial Narrow" w:cs="Arial"/>
                <w:sz w:val="20"/>
              </w:rPr>
              <w:t xml:space="preserve"> their antidepressant use</w:t>
            </w:r>
          </w:p>
        </w:tc>
        <w:tc>
          <w:tcPr>
            <w:tcW w:w="6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AC87A2"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Fx20%</w:t>
            </w:r>
          </w:p>
        </w:tc>
        <w:tc>
          <w:tcPr>
            <w:tcW w:w="4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DC2028"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402</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CA4AE4"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447</w:t>
            </w:r>
          </w:p>
        </w:tc>
        <w:tc>
          <w:tcPr>
            <w:tcW w:w="4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A7D4B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492</w:t>
            </w:r>
          </w:p>
        </w:tc>
        <w:tc>
          <w:tcPr>
            <w:tcW w:w="4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971ED6"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539</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86A261"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587</w:t>
            </w:r>
          </w:p>
        </w:tc>
      </w:tr>
    </w:tbl>
    <w:p w14:paraId="024C84C0"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4C8D5BC4" w14:textId="77777777" w:rsidR="004C314A" w:rsidRDefault="004C314A" w:rsidP="004C314A">
      <w:pPr>
        <w:keepNext/>
        <w:spacing w:before="40" w:after="40"/>
        <w:rPr>
          <w:rFonts w:ascii="Arial Narrow" w:hAnsi="Arial Narrow" w:cs="Arial"/>
          <w:sz w:val="18"/>
          <w:szCs w:val="18"/>
        </w:rPr>
      </w:pPr>
      <w:proofErr w:type="gramStart"/>
      <w:r>
        <w:rPr>
          <w:rFonts w:ascii="Arial Narrow" w:hAnsi="Arial Narrow" w:cs="Arial"/>
          <w:sz w:val="18"/>
          <w:szCs w:val="18"/>
        </w:rPr>
        <w:t>rTMS</w:t>
      </w:r>
      <w:proofErr w:type="gramEnd"/>
      <w:r>
        <w:rPr>
          <w:rFonts w:ascii="Arial Narrow" w:hAnsi="Arial Narrow" w:cs="Arial"/>
          <w:sz w:val="18"/>
          <w:szCs w:val="18"/>
        </w:rPr>
        <w:t xml:space="preserve"> = repetitive Transcranial Magnetic Stimulation</w:t>
      </w:r>
    </w:p>
    <w:p w14:paraId="31BA4B41" w14:textId="77777777" w:rsidR="00415F65" w:rsidRDefault="00415F65" w:rsidP="00415F65">
      <w:pPr>
        <w:spacing w:after="0"/>
      </w:pPr>
    </w:p>
    <w:p w14:paraId="1CB2D7E5" w14:textId="77777777" w:rsidR="004C314A" w:rsidRDefault="004C314A" w:rsidP="004C314A">
      <w:r>
        <w:t>It is estimated that in Year 1 402 patients will reduce their antidepressant use. This is expected to increase to 587 in Year 5.</w:t>
      </w:r>
    </w:p>
    <w:p w14:paraId="3BBE006E" w14:textId="77777777" w:rsidR="009F099B" w:rsidRPr="008474A0" w:rsidRDefault="009F099B" w:rsidP="008474A0">
      <w:pPr>
        <w:ind w:left="1701"/>
        <w:rPr>
          <w:rFonts w:ascii="Tahoma" w:hAnsi="Tahoma" w:cs="Tahoma"/>
          <w:b/>
          <w:sz w:val="20"/>
        </w:rPr>
      </w:pPr>
      <w:r w:rsidRPr="008474A0">
        <w:rPr>
          <w:rFonts w:ascii="Tahoma" w:hAnsi="Tahoma" w:cs="Tahoma"/>
          <w:b/>
          <w:sz w:val="20"/>
        </w:rPr>
        <w:t>ECT</w:t>
      </w:r>
    </w:p>
    <w:p w14:paraId="0E9423E9" w14:textId="00F13E30" w:rsidR="004C314A" w:rsidRDefault="004C314A" w:rsidP="004C314A">
      <w:pPr>
        <w:jc w:val="both"/>
      </w:pPr>
      <w:r>
        <w:t>If 10% of patients who would have received ECT instead receive rTMS, then the following services on the MBS will not be required</w:t>
      </w:r>
      <w:r>
        <w:rPr>
          <w:rFonts w:cs="Garamond"/>
          <w:szCs w:val="24"/>
        </w:rPr>
        <w:t xml:space="preserve"> (see </w:t>
      </w:r>
      <w:r>
        <w:rPr>
          <w:rFonts w:cs="Garamond"/>
          <w:szCs w:val="24"/>
        </w:rPr>
        <w:fldChar w:fldCharType="begin"/>
      </w:r>
      <w:r>
        <w:rPr>
          <w:rFonts w:cs="Garamond"/>
          <w:szCs w:val="24"/>
        </w:rPr>
        <w:instrText xml:space="preserve"> REF _Ref386103517 \h  \* MERGEFORMAT </w:instrText>
      </w:r>
      <w:r>
        <w:rPr>
          <w:rFonts w:cs="Garamond"/>
          <w:szCs w:val="24"/>
        </w:rPr>
      </w:r>
      <w:r>
        <w:rPr>
          <w:rFonts w:cs="Garamond"/>
          <w:szCs w:val="24"/>
        </w:rPr>
        <w:fldChar w:fldCharType="separate"/>
      </w:r>
      <w:r w:rsidR="004C1C27" w:rsidRPr="004C1C27">
        <w:rPr>
          <w:rFonts w:cs="Garamond"/>
          <w:szCs w:val="24"/>
        </w:rPr>
        <w:t>Table 27</w:t>
      </w:r>
      <w:r>
        <w:rPr>
          <w:rFonts w:cs="Garamond"/>
          <w:szCs w:val="24"/>
        </w:rPr>
        <w:fldChar w:fldCharType="end"/>
      </w:r>
      <w:r>
        <w:rPr>
          <w:rFonts w:cs="Garamond"/>
          <w:szCs w:val="24"/>
        </w:rPr>
        <w:t>). The following calculations are based on the</w:t>
      </w:r>
      <w:r>
        <w:t xml:space="preserve"> assumption that each patient would have received one course (10 treatments) of ECT.</w:t>
      </w:r>
    </w:p>
    <w:p w14:paraId="64325904" w14:textId="359D5383" w:rsidR="004C314A" w:rsidRDefault="004C314A" w:rsidP="006258B7">
      <w:pPr>
        <w:pStyle w:val="TableName"/>
      </w:pPr>
      <w:bookmarkStart w:id="200" w:name="_Ref386103517"/>
      <w:bookmarkStart w:id="201" w:name="_Toc386102841"/>
      <w:bookmarkStart w:id="202" w:name="_Toc389143601"/>
      <w:r>
        <w:t>Table 27</w:t>
      </w:r>
      <w:bookmarkEnd w:id="200"/>
      <w:r>
        <w:t>: Summary of ECT substitutions</w:t>
      </w:r>
      <w:bookmarkEnd w:id="201"/>
      <w:bookmarkEnd w:id="202"/>
    </w:p>
    <w:tbl>
      <w:tblPr>
        <w:tblStyle w:val="TableGrid"/>
        <w:tblW w:w="4602" w:type="pct"/>
        <w:tblInd w:w="737" w:type="dxa"/>
        <w:tblLook w:val="04A0" w:firstRow="1" w:lastRow="0" w:firstColumn="1" w:lastColumn="0" w:noHBand="0" w:noVBand="1"/>
        <w:tblCaption w:val="ECT substitution"/>
      </w:tblPr>
      <w:tblGrid>
        <w:gridCol w:w="360"/>
        <w:gridCol w:w="3077"/>
        <w:gridCol w:w="972"/>
        <w:gridCol w:w="792"/>
        <w:gridCol w:w="792"/>
        <w:gridCol w:w="792"/>
        <w:gridCol w:w="792"/>
        <w:gridCol w:w="782"/>
      </w:tblGrid>
      <w:tr w:rsidR="004C314A" w14:paraId="6C334F62" w14:textId="77777777" w:rsidTr="004C314A">
        <w:trPr>
          <w:cantSplit/>
          <w:tblHeader/>
        </w:trPr>
        <w:tc>
          <w:tcPr>
            <w:tcW w:w="205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8DD135" w14:textId="77777777" w:rsidR="004C314A" w:rsidRPr="00C81725" w:rsidRDefault="004C314A" w:rsidP="004C314A">
            <w:pPr>
              <w:keepNext/>
              <w:spacing w:before="40" w:after="40"/>
              <w:ind w:left="0"/>
              <w:rPr>
                <w:rFonts w:ascii="Arial Narrow" w:hAnsi="Arial Narrow" w:cs="Arial"/>
                <w:sz w:val="20"/>
              </w:rPr>
            </w:pPr>
          </w:p>
        </w:tc>
        <w:tc>
          <w:tcPr>
            <w:tcW w:w="5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9FC788"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Method</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B667D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21B9E51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9587BA"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4A84E082"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A5B15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7D90654F"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8B95B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30FA62DF"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4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AFC80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42986A5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6F2C2203" w14:textId="77777777" w:rsidTr="004C314A">
        <w:trPr>
          <w:cantSplit/>
        </w:trPr>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795805"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U</w:t>
            </w:r>
          </w:p>
        </w:tc>
        <w:tc>
          <w:tcPr>
            <w:tcW w:w="18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5325D34" w14:textId="77777777" w:rsidR="004C314A" w:rsidRPr="00C81725" w:rsidRDefault="004C314A" w:rsidP="004C314A">
            <w:pPr>
              <w:keepNext/>
              <w:autoSpaceDE w:val="0"/>
              <w:autoSpaceDN w:val="0"/>
              <w:adjustRightInd w:val="0"/>
              <w:spacing w:before="40" w:after="40"/>
              <w:ind w:left="0"/>
              <w:rPr>
                <w:rFonts w:ascii="Arial Narrow" w:hAnsi="Arial Narrow" w:cs="Arial"/>
                <w:sz w:val="20"/>
              </w:rPr>
            </w:pPr>
            <w:r w:rsidRPr="00C81725">
              <w:rPr>
                <w:rFonts w:ascii="Arial Narrow" w:hAnsi="Arial Narrow" w:cs="Arial"/>
                <w:sz w:val="20"/>
              </w:rPr>
              <w:t>Number of ECT courses delivered</w:t>
            </w:r>
            <w:r>
              <w:rPr>
                <w:rFonts w:ascii="Arial Narrow" w:hAnsi="Arial Narrow" w:cs="Arial"/>
                <w:sz w:val="20"/>
              </w:rPr>
              <w:t>/</w:t>
            </w:r>
            <w:r w:rsidRPr="00C81725">
              <w:rPr>
                <w:rFonts w:ascii="Arial Narrow" w:hAnsi="Arial Narrow" w:cs="Arial"/>
                <w:sz w:val="20"/>
              </w:rPr>
              <w:t>year</w:t>
            </w:r>
          </w:p>
        </w:tc>
        <w:tc>
          <w:tcPr>
            <w:tcW w:w="5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2E863C"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From above</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E06650"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2,234</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C205F1"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2,471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6AEA8F"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2,538</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B53B08"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2,768</w:t>
            </w:r>
          </w:p>
        </w:tc>
        <w:tc>
          <w:tcPr>
            <w:tcW w:w="4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A65589"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2,869</w:t>
            </w:r>
          </w:p>
        </w:tc>
      </w:tr>
      <w:tr w:rsidR="004C314A" w14:paraId="288EB4F8" w14:textId="77777777" w:rsidTr="004C314A">
        <w:trPr>
          <w:cantSplit/>
        </w:trPr>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21C49B"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V</w:t>
            </w:r>
          </w:p>
        </w:tc>
        <w:tc>
          <w:tcPr>
            <w:tcW w:w="18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8016FF"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Number of ECT courses no longer provided on the MBS</w:t>
            </w:r>
          </w:p>
        </w:tc>
        <w:tc>
          <w:tcPr>
            <w:tcW w:w="5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FF0051"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Ux10%</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BBE87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223</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D0CF54"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247</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AE9DA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254</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E3359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277</w:t>
            </w:r>
          </w:p>
        </w:tc>
        <w:tc>
          <w:tcPr>
            <w:tcW w:w="4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8A8EA2"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287</w:t>
            </w:r>
          </w:p>
        </w:tc>
      </w:tr>
      <w:tr w:rsidR="004C314A" w14:paraId="46E5220A" w14:textId="77777777" w:rsidTr="004C314A">
        <w:trPr>
          <w:cantSplit/>
        </w:trPr>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C158F3"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W</w:t>
            </w:r>
          </w:p>
        </w:tc>
        <w:tc>
          <w:tcPr>
            <w:tcW w:w="18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7E275C"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Number of ECT treatments no longer provided on the MBS</w:t>
            </w:r>
          </w:p>
        </w:tc>
        <w:tc>
          <w:tcPr>
            <w:tcW w:w="5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B8E065"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Wx10</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8552B7"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2,234</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C31005"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2,471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4A6BFA"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2,538</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1D3FB2"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2,768</w:t>
            </w:r>
          </w:p>
        </w:tc>
        <w:tc>
          <w:tcPr>
            <w:tcW w:w="4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215C78"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2,869</w:t>
            </w:r>
          </w:p>
        </w:tc>
      </w:tr>
      <w:tr w:rsidR="004C314A" w14:paraId="542E84AD" w14:textId="77777777" w:rsidTr="004C314A">
        <w:trPr>
          <w:cantSplit/>
        </w:trPr>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57A72F"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X</w:t>
            </w:r>
          </w:p>
        </w:tc>
        <w:tc>
          <w:tcPr>
            <w:tcW w:w="18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B58FD7"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Number of anaesthetics no longer provided on the MBS</w:t>
            </w:r>
          </w:p>
        </w:tc>
        <w:tc>
          <w:tcPr>
            <w:tcW w:w="5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5BF5D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Wx10</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F1E3B6"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2,234</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B98AF9"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2,471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151B5E"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2,538</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C7C5BC"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2,768</w:t>
            </w:r>
          </w:p>
        </w:tc>
        <w:tc>
          <w:tcPr>
            <w:tcW w:w="4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F975F1"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2,869</w:t>
            </w:r>
          </w:p>
        </w:tc>
      </w:tr>
    </w:tbl>
    <w:p w14:paraId="17A4D0CB"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28EABD76" w14:textId="77777777" w:rsidR="004C314A" w:rsidRDefault="004C314A" w:rsidP="004C314A">
      <w:pPr>
        <w:keepNext/>
        <w:spacing w:before="40" w:after="40"/>
        <w:rPr>
          <w:rFonts w:ascii="Arial Narrow" w:hAnsi="Arial Narrow"/>
          <w:sz w:val="18"/>
          <w:szCs w:val="18"/>
        </w:rPr>
      </w:pPr>
      <w:r>
        <w:rPr>
          <w:rFonts w:ascii="Arial Narrow" w:hAnsi="Arial Narrow" w:cs="Arial"/>
          <w:sz w:val="18"/>
          <w:szCs w:val="18"/>
        </w:rPr>
        <w:t>ECT = electroconvulsive therapy; MBS = Medical Benefits Schedule</w:t>
      </w:r>
      <w:r>
        <w:rPr>
          <w:rFonts w:ascii="Arial Narrow" w:hAnsi="Arial Narrow"/>
          <w:sz w:val="18"/>
          <w:szCs w:val="18"/>
        </w:rPr>
        <w:t xml:space="preserve"> </w:t>
      </w:r>
    </w:p>
    <w:p w14:paraId="507316CE" w14:textId="77777777" w:rsidR="004C314A" w:rsidRDefault="004C314A" w:rsidP="00415F65">
      <w:pPr>
        <w:pStyle w:val="Heading4"/>
        <w:spacing w:before="0" w:after="0"/>
      </w:pPr>
    </w:p>
    <w:p w14:paraId="54C567B2" w14:textId="77777777" w:rsidR="00515AF1" w:rsidRDefault="00515AF1" w:rsidP="00404A6E">
      <w:pPr>
        <w:pStyle w:val="Heading4"/>
      </w:pPr>
      <w:r>
        <w:t xml:space="preserve">Estimated financial implications for the </w:t>
      </w:r>
      <w:r w:rsidR="004F526F">
        <w:t>PBS</w:t>
      </w:r>
      <w:r w:rsidR="00744204">
        <w:t xml:space="preserve"> and MBS</w:t>
      </w:r>
    </w:p>
    <w:p w14:paraId="02A0D7C4" w14:textId="77777777" w:rsidR="004C314A" w:rsidRDefault="004C314A" w:rsidP="004C314A">
      <w:pPr>
        <w:jc w:val="both"/>
      </w:pPr>
      <w:r>
        <w:lastRenderedPageBreak/>
        <w:t xml:space="preserve">The proposed listing of rTMS will generate cost savings to the PBS which are attributable to reduced antidepressant use, and to the MBS through reduced ECT treatments and the associated reduction in anaesthesias. </w:t>
      </w:r>
    </w:p>
    <w:p w14:paraId="6F82274F" w14:textId="77777777" w:rsidR="004C314A" w:rsidRDefault="004C314A" w:rsidP="004C314A">
      <w:pPr>
        <w:pStyle w:val="Heading5"/>
      </w:pPr>
      <w:r>
        <w:t>Antidepressants</w:t>
      </w:r>
    </w:p>
    <w:p w14:paraId="6F2AE8E0" w14:textId="77777777" w:rsidR="004C314A" w:rsidRDefault="004C314A" w:rsidP="004C314A">
      <w:pPr>
        <w:jc w:val="both"/>
      </w:pPr>
      <w:r>
        <w:t>To calculate cost savings to the PBS, it is necessary to first estimate the percentage of patients in each PBS patient category. The averages provided in ‘Expenditure and prescriptions, twelve months to 30 June 2013’ were used – 67.7% of patients were assumed to be concessional patients, non-Safety Net; 20.1% were concessional, Safety Net; and 2.2% were general, Safety Net. The remaining 10.0% of patients were assumed to be general, non-Safety Net. The patient co-payment rates used for in the calculations were the 2014 co-payments of $6.00 for concessional patients and $36.90 for general patients.</w:t>
      </w:r>
    </w:p>
    <w:p w14:paraId="70EDE722" w14:textId="711DB93F" w:rsidR="004C314A" w:rsidRDefault="004C314A" w:rsidP="004C314A">
      <w:pPr>
        <w:jc w:val="both"/>
      </w:pPr>
      <w:r>
        <w:t>As the average monthly cost of antidepressant therapy is $69.08, the Government pays on average $63.08 per concessional, non-Safety Net and general, Safety Net prescription, $32.18 per general prescription, and the full $69.08 per concessional, Safety Net prescription. The cost savings to the PBS are presented in Table 28.</w:t>
      </w:r>
    </w:p>
    <w:p w14:paraId="71C8F5B0" w14:textId="35C22408" w:rsidR="004C314A" w:rsidRDefault="004C314A" w:rsidP="006258B7">
      <w:pPr>
        <w:pStyle w:val="TableName"/>
      </w:pPr>
      <w:bookmarkStart w:id="203" w:name="_Ref386103524"/>
      <w:bookmarkStart w:id="204" w:name="_Toc386102842"/>
      <w:bookmarkStart w:id="205" w:name="_Toc389143602"/>
      <w:r>
        <w:t>Table</w:t>
      </w:r>
      <w:bookmarkEnd w:id="203"/>
      <w:r>
        <w:t xml:space="preserve"> 28: Cost savings to the PBS due to reduced antidepressant use</w:t>
      </w:r>
      <w:bookmarkEnd w:id="204"/>
      <w:bookmarkEnd w:id="205"/>
    </w:p>
    <w:tbl>
      <w:tblPr>
        <w:tblStyle w:val="TableGrid"/>
        <w:tblW w:w="4604" w:type="pct"/>
        <w:tblInd w:w="737" w:type="dxa"/>
        <w:tblLayout w:type="fixed"/>
        <w:tblLook w:val="04A0" w:firstRow="1" w:lastRow="0" w:firstColumn="1" w:lastColumn="0" w:noHBand="0" w:noVBand="1"/>
        <w:tblCaption w:val="Cost savings to PBS due to reduced lithium use"/>
      </w:tblPr>
      <w:tblGrid>
        <w:gridCol w:w="312"/>
        <w:gridCol w:w="2807"/>
        <w:gridCol w:w="992"/>
        <w:gridCol w:w="850"/>
        <w:gridCol w:w="851"/>
        <w:gridCol w:w="850"/>
        <w:gridCol w:w="851"/>
        <w:gridCol w:w="850"/>
      </w:tblGrid>
      <w:tr w:rsidR="004C314A" w14:paraId="03F8BA92" w14:textId="77777777" w:rsidTr="004C314A">
        <w:trPr>
          <w:cantSplit/>
          <w:tblHeader/>
        </w:trPr>
        <w:tc>
          <w:tcPr>
            <w:tcW w:w="186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86682F" w14:textId="77777777" w:rsidR="004C314A" w:rsidRPr="00C81725" w:rsidRDefault="004C314A" w:rsidP="004C314A">
            <w:pPr>
              <w:keepNext/>
              <w:spacing w:before="40" w:after="40"/>
              <w:ind w:left="0"/>
              <w:rPr>
                <w:rFonts w:ascii="Arial Narrow" w:hAnsi="Arial Narrow" w:cs="Arial"/>
                <w:sz w:val="20"/>
              </w:rPr>
            </w:pPr>
          </w:p>
          <w:p w14:paraId="5057A7AB" w14:textId="77777777" w:rsidR="004C314A" w:rsidRPr="00C81725" w:rsidRDefault="004C314A" w:rsidP="004C314A">
            <w:pPr>
              <w:keepNext/>
              <w:spacing w:before="40" w:after="40"/>
              <w:ind w:left="0"/>
              <w:rPr>
                <w:rFonts w:ascii="Arial Narrow" w:hAnsi="Arial Narrow" w:cs="Arial"/>
                <w:sz w:val="20"/>
              </w:rPr>
            </w:pP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C827B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Method</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A91E42"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7CFA7DF9"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BFBBE9"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4698964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C96027"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567AB3E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536DF2"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67ADA106"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07414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3060931E"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460D0F28"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1A3041"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T</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BA16D1"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Number of rTMS patients reduc</w:t>
            </w:r>
            <w:r>
              <w:rPr>
                <w:rFonts w:ascii="Arial Narrow" w:hAnsi="Arial Narrow" w:cs="Arial"/>
                <w:sz w:val="20"/>
              </w:rPr>
              <w:t>ing</w:t>
            </w:r>
            <w:r w:rsidRPr="00C81725">
              <w:rPr>
                <w:rFonts w:ascii="Arial Narrow" w:hAnsi="Arial Narrow" w:cs="Arial"/>
                <w:sz w:val="20"/>
              </w:rPr>
              <w:t xml:space="preserve"> their antidepressant use</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0A044D"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From above</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53D68A"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402</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5A3A7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447</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80870C"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492</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C99F37"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539</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EDE23D"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587</w:t>
            </w:r>
          </w:p>
        </w:tc>
      </w:tr>
      <w:tr w:rsidR="004C314A" w14:paraId="24878CBC"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0B58EE"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Y</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5F95C7"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Number of antidepressant prescriptions no</w:t>
            </w:r>
            <w:r>
              <w:rPr>
                <w:rFonts w:ascii="Arial Narrow" w:hAnsi="Arial Narrow" w:cs="Arial"/>
                <w:sz w:val="20"/>
              </w:rPr>
              <w:t>t</w:t>
            </w:r>
            <w:r w:rsidRPr="00C81725">
              <w:rPr>
                <w:rFonts w:ascii="Arial Narrow" w:hAnsi="Arial Narrow" w:cs="Arial"/>
                <w:sz w:val="20"/>
              </w:rPr>
              <w:t xml:space="preserve"> dispensed</w:t>
            </w:r>
            <w:r>
              <w:rPr>
                <w:rFonts w:ascii="Arial Narrow" w:hAnsi="Arial Narrow" w:cs="Arial"/>
                <w:sz w:val="20"/>
              </w:rPr>
              <w:t>/</w:t>
            </w:r>
            <w:r w:rsidRPr="00C81725">
              <w:rPr>
                <w:rFonts w:ascii="Arial Narrow" w:hAnsi="Arial Narrow" w:cs="Arial"/>
                <w:sz w:val="20"/>
              </w:rPr>
              <w:t>year</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01BBC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Tx12</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8C8108"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4,828</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3EBFF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5,359</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561E38"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5,905</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D247DA"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6,467</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1B332F"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7,044</w:t>
            </w:r>
          </w:p>
        </w:tc>
      </w:tr>
      <w:tr w:rsidR="004C314A" w14:paraId="0B4BB3F7"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2EC91B"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Z</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E61595"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Number of concessional rate prescriptions</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D6C9DF"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Yx67.7%</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0B5A9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3,269</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9E0507"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3,628</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33B8A8"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3,998</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3FDA12"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4,378</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9DEAF5"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4,769</w:t>
            </w:r>
          </w:p>
        </w:tc>
      </w:tr>
      <w:tr w:rsidR="004C314A" w14:paraId="1E811F3F"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43C10D"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AA</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520403"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Cost saving to the PBS</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70BD55"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Zx$63.08</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1C4257"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$206,199</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29E2FE"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$228,852</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F5E684"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$252,182</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99314B"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$276,186</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04DC37"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$300,809</w:t>
            </w:r>
          </w:p>
        </w:tc>
      </w:tr>
      <w:tr w:rsidR="004C314A" w14:paraId="45135FDD"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9871A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BB</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4BFABE"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 xml:space="preserve">Number of concessional </w:t>
            </w:r>
            <w:r>
              <w:rPr>
                <w:rFonts w:ascii="Arial Narrow" w:hAnsi="Arial Narrow" w:cs="Arial"/>
                <w:sz w:val="20"/>
              </w:rPr>
              <w:t>S</w:t>
            </w:r>
            <w:r w:rsidRPr="00C81725">
              <w:rPr>
                <w:rFonts w:ascii="Arial Narrow" w:hAnsi="Arial Narrow" w:cs="Arial"/>
                <w:sz w:val="20"/>
              </w:rPr>
              <w:t xml:space="preserve">afety </w:t>
            </w:r>
            <w:r>
              <w:rPr>
                <w:rFonts w:ascii="Arial Narrow" w:hAnsi="Arial Narrow" w:cs="Arial"/>
                <w:sz w:val="20"/>
              </w:rPr>
              <w:t>N</w:t>
            </w:r>
            <w:r w:rsidRPr="00C81725">
              <w:rPr>
                <w:rFonts w:ascii="Arial Narrow" w:hAnsi="Arial Narrow" w:cs="Arial"/>
                <w:sz w:val="20"/>
              </w:rPr>
              <w:t>et rate prescriptions</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DF08E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Yx20.1%</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65D431"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971</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8A5E4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1,077</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4EA03B"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1,187</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65CF3F"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1,300</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CC9F9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1,416</w:t>
            </w:r>
          </w:p>
        </w:tc>
      </w:tr>
      <w:tr w:rsidR="004C314A" w14:paraId="20E6F2CD"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516C5E"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CC</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B7113D"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Cost saving to the PBS</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1D28C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BBx$69.08</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B1348D"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$67,043</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39E728"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$74,408</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65AC85"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$81,994</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982CA1"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$89,799</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F4F851"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$97,805</w:t>
            </w:r>
          </w:p>
        </w:tc>
      </w:tr>
      <w:tr w:rsidR="004C314A" w14:paraId="058CAC32"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FD5EDD"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DD</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2D2D8F"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Number of general rate prescriptions</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39A8A8"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Yx10.0%</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08097A"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483</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605BFF"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536</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B614D6"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591</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4A2F5C"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647</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07993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704</w:t>
            </w:r>
          </w:p>
        </w:tc>
      </w:tr>
      <w:tr w:rsidR="004C314A" w14:paraId="73EC69D4"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B6B7D6"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EE</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B72CA9"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Cost saving to the PBS</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3937C6"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DDx$32.18</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1D66D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$15,538</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FF43FD"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$17,245</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DFFA62"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$19003</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95414A"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$20,812</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F69CDC"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$22,667</w:t>
            </w:r>
          </w:p>
        </w:tc>
      </w:tr>
      <w:tr w:rsidR="004C314A" w14:paraId="08673496"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A4D5E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FF</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AF3B11"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 xml:space="preserve">Number of general </w:t>
            </w:r>
            <w:r>
              <w:rPr>
                <w:rFonts w:ascii="Arial Narrow" w:hAnsi="Arial Narrow" w:cs="Arial"/>
                <w:sz w:val="20"/>
              </w:rPr>
              <w:t>S</w:t>
            </w:r>
            <w:r w:rsidRPr="00C81725">
              <w:rPr>
                <w:rFonts w:ascii="Arial Narrow" w:hAnsi="Arial Narrow" w:cs="Arial"/>
                <w:sz w:val="20"/>
              </w:rPr>
              <w:t xml:space="preserve">afety </w:t>
            </w:r>
            <w:r>
              <w:rPr>
                <w:rFonts w:ascii="Arial Narrow" w:hAnsi="Arial Narrow" w:cs="Arial"/>
                <w:sz w:val="20"/>
              </w:rPr>
              <w:t>N</w:t>
            </w:r>
            <w:r w:rsidRPr="00C81725">
              <w:rPr>
                <w:rFonts w:ascii="Arial Narrow" w:hAnsi="Arial Narrow" w:cs="Arial"/>
                <w:sz w:val="20"/>
              </w:rPr>
              <w:t>et rate prescriptions</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79B27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Yx2.2%</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C0A7BF"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106</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F0286D"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118</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4B8F7F"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130</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CCFA4B"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142</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AACC2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155</w:t>
            </w:r>
          </w:p>
        </w:tc>
      </w:tr>
      <w:tr w:rsidR="004C314A" w14:paraId="62A0927D"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59235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GG</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AE0AC3"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Cost saving to the PBS</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DFB73A"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FFx$63.08</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85047C"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$6,701</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09EFC6"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$7,437</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4059E4"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$8,195</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C56D4B"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$8,975</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FEE4EA"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$9,775</w:t>
            </w:r>
          </w:p>
        </w:tc>
      </w:tr>
      <w:tr w:rsidR="004C314A" w:rsidRPr="007F225F" w14:paraId="02B68332" w14:textId="77777777" w:rsidTr="004C314A">
        <w:trPr>
          <w:cantSplit/>
        </w:trPr>
        <w:tc>
          <w:tcPr>
            <w:tcW w:w="1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20A91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HH</w:t>
            </w:r>
          </w:p>
        </w:tc>
        <w:tc>
          <w:tcPr>
            <w:tcW w:w="1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02BAFC" w14:textId="77777777" w:rsidR="004C314A" w:rsidRPr="00C81725" w:rsidRDefault="004C314A" w:rsidP="004C314A">
            <w:pPr>
              <w:keepNext/>
              <w:spacing w:before="40" w:after="40"/>
              <w:ind w:left="0"/>
              <w:rPr>
                <w:rFonts w:ascii="Arial Narrow" w:hAnsi="Arial Narrow" w:cs="Arial"/>
                <w:b/>
                <w:sz w:val="20"/>
              </w:rPr>
            </w:pPr>
            <w:r w:rsidRPr="00C81725">
              <w:rPr>
                <w:rFonts w:ascii="Arial Narrow" w:hAnsi="Arial Narrow" w:cs="Arial"/>
                <w:b/>
                <w:sz w:val="20"/>
              </w:rPr>
              <w:t>Total cost saving to the PBS</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CC05CD"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AA+CC+EE+GG</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07626A"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$295,481</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57474A"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$327,942</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569FFF"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$361,374</w:t>
            </w:r>
          </w:p>
        </w:tc>
        <w:tc>
          <w:tcPr>
            <w:tcW w:w="5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44E9B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$395,771</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C77A95"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$431,056</w:t>
            </w:r>
          </w:p>
        </w:tc>
      </w:tr>
    </w:tbl>
    <w:p w14:paraId="2ED3B935"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0B74E7E6" w14:textId="77777777" w:rsidR="004C314A" w:rsidRDefault="004C314A" w:rsidP="004C314A">
      <w:pPr>
        <w:keepNext/>
        <w:spacing w:before="40" w:after="40"/>
        <w:jc w:val="both"/>
        <w:rPr>
          <w:rFonts w:ascii="Arial Narrow" w:hAnsi="Arial Narrow" w:cs="Arial"/>
          <w:sz w:val="18"/>
          <w:szCs w:val="18"/>
        </w:rPr>
      </w:pPr>
      <w:r>
        <w:rPr>
          <w:rFonts w:ascii="Arial Narrow" w:hAnsi="Arial Narrow" w:cs="Arial"/>
          <w:sz w:val="18"/>
          <w:szCs w:val="18"/>
        </w:rPr>
        <w:t>PBS = Pharmaceutical Benefits Scheme; rTMS = repetitive Transcranial Magnetic Stimulation</w:t>
      </w:r>
    </w:p>
    <w:p w14:paraId="1EF10B2B" w14:textId="77777777" w:rsidR="004C314A" w:rsidRDefault="004C314A" w:rsidP="004C314A">
      <w:pPr>
        <w:jc w:val="both"/>
      </w:pPr>
    </w:p>
    <w:p w14:paraId="20463555" w14:textId="77777777" w:rsidR="004C314A" w:rsidRDefault="004C314A" w:rsidP="004C314A">
      <w:pPr>
        <w:jc w:val="both"/>
      </w:pPr>
      <w:r>
        <w:t>The introduction of rTMS is expected to save the PBS approximately $1.8 million over the next five years.</w:t>
      </w:r>
    </w:p>
    <w:p w14:paraId="7F31322B" w14:textId="77777777" w:rsidR="00A22D83" w:rsidRDefault="00A22D83" w:rsidP="007866E8">
      <w:pPr>
        <w:pStyle w:val="Heading5"/>
      </w:pPr>
      <w:r>
        <w:t>ECT</w:t>
      </w:r>
    </w:p>
    <w:p w14:paraId="55A44472" w14:textId="13DDEE73" w:rsidR="004C314A" w:rsidRDefault="004C314A" w:rsidP="004C314A">
      <w:pPr>
        <w:jc w:val="both"/>
        <w:rPr>
          <w:rFonts w:cs="Garamond"/>
          <w:szCs w:val="24"/>
        </w:rPr>
      </w:pPr>
      <w:r>
        <w:t xml:space="preserve">The financial implications of a reduction in the number of ECT treatments to the MBS </w:t>
      </w:r>
      <w:r>
        <w:rPr>
          <w:rFonts w:cs="Garamond"/>
          <w:szCs w:val="24"/>
        </w:rPr>
        <w:t xml:space="preserve">are presented below in </w:t>
      </w:r>
      <w:r>
        <w:rPr>
          <w:rFonts w:cs="Garamond"/>
          <w:szCs w:val="24"/>
        </w:rPr>
        <w:fldChar w:fldCharType="begin"/>
      </w:r>
      <w:r>
        <w:rPr>
          <w:rFonts w:cs="Garamond"/>
          <w:szCs w:val="24"/>
        </w:rPr>
        <w:instrText xml:space="preserve"> REF _Ref386103536 \h  \* MERGEFORMAT </w:instrText>
      </w:r>
      <w:r>
        <w:rPr>
          <w:rFonts w:cs="Garamond"/>
          <w:szCs w:val="24"/>
        </w:rPr>
      </w:r>
      <w:r>
        <w:rPr>
          <w:rFonts w:cs="Garamond"/>
          <w:szCs w:val="24"/>
        </w:rPr>
        <w:fldChar w:fldCharType="separate"/>
      </w:r>
      <w:proofErr w:type="gramStart"/>
      <w:r w:rsidR="004C1C27" w:rsidRPr="004C1C27">
        <w:rPr>
          <w:rFonts w:cs="Garamond"/>
          <w:szCs w:val="24"/>
        </w:rPr>
        <w:t xml:space="preserve">Table </w:t>
      </w:r>
      <w:proofErr w:type="gramEnd"/>
      <w:r>
        <w:rPr>
          <w:rFonts w:cs="Garamond"/>
          <w:szCs w:val="24"/>
        </w:rPr>
        <w:fldChar w:fldCharType="end"/>
      </w:r>
      <w:r>
        <w:rPr>
          <w:rFonts w:cs="Garamond"/>
          <w:szCs w:val="24"/>
        </w:rPr>
        <w:t>.</w:t>
      </w:r>
    </w:p>
    <w:p w14:paraId="19E2BCF5" w14:textId="6BA831CC" w:rsidR="004C314A" w:rsidRDefault="004C314A" w:rsidP="006258B7">
      <w:pPr>
        <w:pStyle w:val="TableName"/>
      </w:pPr>
      <w:bookmarkStart w:id="206" w:name="_Ref386103536"/>
      <w:bookmarkStart w:id="207" w:name="_Toc386102844"/>
      <w:bookmarkStart w:id="208" w:name="_Toc389143603"/>
      <w:r>
        <w:lastRenderedPageBreak/>
        <w:t xml:space="preserve">Table </w:t>
      </w:r>
      <w:bookmarkEnd w:id="206"/>
      <w:r>
        <w:t>2</w:t>
      </w:r>
      <w:r w:rsidR="006258B7">
        <w:t>9</w:t>
      </w:r>
      <w:r>
        <w:t>: Cost savings to the MBS due to reduced ECT</w:t>
      </w:r>
      <w:bookmarkEnd w:id="207"/>
      <w:bookmarkEnd w:id="208"/>
    </w:p>
    <w:tbl>
      <w:tblPr>
        <w:tblStyle w:val="TableGrid"/>
        <w:tblW w:w="8370" w:type="dxa"/>
        <w:tblInd w:w="760" w:type="dxa"/>
        <w:tblLayout w:type="fixed"/>
        <w:tblLook w:val="04A0" w:firstRow="1" w:lastRow="0" w:firstColumn="1" w:lastColumn="0" w:noHBand="0" w:noVBand="1"/>
        <w:tblCaption w:val="Cost savings to MBS due to reduced ECT"/>
      </w:tblPr>
      <w:tblGrid>
        <w:gridCol w:w="402"/>
        <w:gridCol w:w="2686"/>
        <w:gridCol w:w="1000"/>
        <w:gridCol w:w="850"/>
        <w:gridCol w:w="851"/>
        <w:gridCol w:w="850"/>
        <w:gridCol w:w="851"/>
        <w:gridCol w:w="880"/>
      </w:tblGrid>
      <w:tr w:rsidR="004C314A" w14:paraId="499AFD1F" w14:textId="77777777" w:rsidTr="004C314A">
        <w:trPr>
          <w:cantSplit/>
          <w:tblHeader/>
        </w:trPr>
        <w:tc>
          <w:tcPr>
            <w:tcW w:w="308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77B9EE" w14:textId="77777777" w:rsidR="004C314A" w:rsidRPr="00C81725" w:rsidRDefault="004C314A" w:rsidP="004C314A">
            <w:pPr>
              <w:keepNext/>
              <w:spacing w:before="40" w:after="40"/>
              <w:ind w:left="0"/>
              <w:rPr>
                <w:rFonts w:ascii="Arial Narrow" w:hAnsi="Arial Narrow" w:cs="Arial"/>
                <w:sz w:val="20"/>
              </w:rPr>
            </w:pPr>
          </w:p>
        </w:tc>
        <w:tc>
          <w:tcPr>
            <w:tcW w:w="10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249868"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Method</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F7A96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742B4D54"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427917"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5D2C3EA5"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6C313D"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22A996DA"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0CEAAE"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0D940BFA"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8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9C257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185680E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583CBC27" w14:textId="77777777" w:rsidTr="004C314A">
        <w:trPr>
          <w:cantSplit/>
        </w:trPr>
        <w:tc>
          <w:tcPr>
            <w:tcW w:w="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ED6FBE"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W</w:t>
            </w:r>
          </w:p>
        </w:tc>
        <w:tc>
          <w:tcPr>
            <w:tcW w:w="2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E4B1EE"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Number of ECT treatments no</w:t>
            </w:r>
            <w:r>
              <w:rPr>
                <w:rFonts w:ascii="Arial Narrow" w:hAnsi="Arial Narrow" w:cs="Arial"/>
                <w:sz w:val="20"/>
              </w:rPr>
              <w:t>t</w:t>
            </w:r>
            <w:r w:rsidRPr="00C81725">
              <w:rPr>
                <w:rFonts w:ascii="Arial Narrow" w:hAnsi="Arial Narrow" w:cs="Arial"/>
                <w:sz w:val="20"/>
              </w:rPr>
              <w:t xml:space="preserve"> provided on the MBS</w:t>
            </w:r>
            <w:r>
              <w:rPr>
                <w:rFonts w:ascii="Arial Narrow" w:hAnsi="Arial Narrow" w:cs="Arial"/>
                <w:sz w:val="20"/>
              </w:rPr>
              <w:t>/year</w:t>
            </w:r>
          </w:p>
        </w:tc>
        <w:tc>
          <w:tcPr>
            <w:tcW w:w="10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8AAC22"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From above</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FA88CA"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2,234</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5E9190"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2,471</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031589"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2,538</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5DE28A"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2,768</w:t>
            </w:r>
          </w:p>
        </w:tc>
        <w:tc>
          <w:tcPr>
            <w:tcW w:w="8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C8A3B3"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2,869</w:t>
            </w:r>
          </w:p>
        </w:tc>
      </w:tr>
      <w:tr w:rsidR="004C314A" w14:paraId="4D22142E" w14:textId="77777777" w:rsidTr="004C314A">
        <w:trPr>
          <w:cantSplit/>
        </w:trPr>
        <w:tc>
          <w:tcPr>
            <w:tcW w:w="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0B11DD"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II</w:t>
            </w:r>
          </w:p>
        </w:tc>
        <w:tc>
          <w:tcPr>
            <w:tcW w:w="2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B92221"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Cost saving to the MBS</w:t>
            </w:r>
          </w:p>
        </w:tc>
        <w:tc>
          <w:tcPr>
            <w:tcW w:w="10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5F137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Wx$59.80</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7AC76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$133,617</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3F6D1E"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$147,790</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49D71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$151,796</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CC5F5E"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$165,526</w:t>
            </w:r>
          </w:p>
        </w:tc>
        <w:tc>
          <w:tcPr>
            <w:tcW w:w="8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73A23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$171,542</w:t>
            </w:r>
          </w:p>
        </w:tc>
      </w:tr>
      <w:tr w:rsidR="004C314A" w14:paraId="5DF157BF" w14:textId="77777777" w:rsidTr="004C314A">
        <w:trPr>
          <w:cantSplit/>
        </w:trPr>
        <w:tc>
          <w:tcPr>
            <w:tcW w:w="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6D1595"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X</w:t>
            </w:r>
          </w:p>
        </w:tc>
        <w:tc>
          <w:tcPr>
            <w:tcW w:w="2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E1CC0D"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Number of anaesthetics no</w:t>
            </w:r>
            <w:r>
              <w:rPr>
                <w:rFonts w:ascii="Arial Narrow" w:hAnsi="Arial Narrow" w:cs="Arial"/>
                <w:sz w:val="20"/>
              </w:rPr>
              <w:t>t</w:t>
            </w:r>
            <w:r w:rsidRPr="00C81725">
              <w:rPr>
                <w:rFonts w:ascii="Arial Narrow" w:hAnsi="Arial Narrow" w:cs="Arial"/>
                <w:sz w:val="20"/>
              </w:rPr>
              <w:t xml:space="preserve"> provided on the MBS</w:t>
            </w:r>
            <w:r>
              <w:rPr>
                <w:rFonts w:ascii="Arial Narrow" w:hAnsi="Arial Narrow" w:cs="Arial"/>
                <w:sz w:val="20"/>
              </w:rPr>
              <w:t>/year</w:t>
            </w:r>
          </w:p>
        </w:tc>
        <w:tc>
          <w:tcPr>
            <w:tcW w:w="10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5DB6D0"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From above</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3B03DB"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2,234</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0FCE8A"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2,471</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733FC7"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2,538</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627F40"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2,768</w:t>
            </w:r>
          </w:p>
        </w:tc>
        <w:tc>
          <w:tcPr>
            <w:tcW w:w="8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B87871" w14:textId="77777777" w:rsidR="004C314A" w:rsidRPr="00C81725" w:rsidRDefault="004C314A" w:rsidP="004C314A">
            <w:pPr>
              <w:keepNext/>
              <w:autoSpaceDE w:val="0"/>
              <w:autoSpaceDN w:val="0"/>
              <w:adjustRightInd w:val="0"/>
              <w:spacing w:before="40" w:after="40"/>
              <w:ind w:left="0"/>
              <w:jc w:val="center"/>
              <w:rPr>
                <w:rFonts w:ascii="Arial Narrow" w:hAnsi="Arial Narrow" w:cs="Arial"/>
                <w:sz w:val="20"/>
              </w:rPr>
            </w:pPr>
            <w:r w:rsidRPr="00C81725">
              <w:rPr>
                <w:rFonts w:ascii="Arial Narrow" w:hAnsi="Arial Narrow" w:cs="Arial"/>
                <w:sz w:val="20"/>
              </w:rPr>
              <w:t>2,869</w:t>
            </w:r>
          </w:p>
        </w:tc>
      </w:tr>
      <w:tr w:rsidR="004C314A" w14:paraId="608E9201" w14:textId="77777777" w:rsidTr="004C314A">
        <w:trPr>
          <w:cantSplit/>
        </w:trPr>
        <w:tc>
          <w:tcPr>
            <w:tcW w:w="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C02C48"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JJ</w:t>
            </w:r>
          </w:p>
        </w:tc>
        <w:tc>
          <w:tcPr>
            <w:tcW w:w="2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6F7D3A"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Cost saving to the MBS</w:t>
            </w:r>
          </w:p>
        </w:tc>
        <w:tc>
          <w:tcPr>
            <w:tcW w:w="10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240751"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Xx$67.35</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3981D2"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$150,487</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36357F"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$166,449</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AF2BAB"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$170,961</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2B137E"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$186,425</w:t>
            </w:r>
          </w:p>
        </w:tc>
        <w:tc>
          <w:tcPr>
            <w:tcW w:w="8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97907A"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$193,200</w:t>
            </w:r>
          </w:p>
        </w:tc>
      </w:tr>
      <w:tr w:rsidR="004C314A" w14:paraId="1A2A3106" w14:textId="77777777" w:rsidTr="004C314A">
        <w:trPr>
          <w:cantSplit/>
        </w:trPr>
        <w:tc>
          <w:tcPr>
            <w:tcW w:w="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84099A"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KK</w:t>
            </w:r>
          </w:p>
        </w:tc>
        <w:tc>
          <w:tcPr>
            <w:tcW w:w="2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713F98" w14:textId="77777777" w:rsidR="004C314A" w:rsidRPr="00C81725" w:rsidRDefault="004C314A" w:rsidP="004C314A">
            <w:pPr>
              <w:keepNext/>
              <w:spacing w:before="40" w:after="40"/>
              <w:ind w:left="0"/>
              <w:rPr>
                <w:rFonts w:ascii="Arial Narrow" w:hAnsi="Arial Narrow" w:cs="Arial"/>
                <w:b/>
                <w:sz w:val="20"/>
              </w:rPr>
            </w:pPr>
            <w:r w:rsidRPr="00C81725">
              <w:rPr>
                <w:rFonts w:ascii="Arial Narrow" w:hAnsi="Arial Narrow" w:cs="Arial"/>
                <w:b/>
                <w:sz w:val="20"/>
              </w:rPr>
              <w:t>Total cost saving to MBS due to reduced ECT use</w:t>
            </w:r>
          </w:p>
        </w:tc>
        <w:tc>
          <w:tcPr>
            <w:tcW w:w="10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A1A49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II+JJ</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338CFE" w14:textId="77777777" w:rsidR="004C314A" w:rsidRPr="00C81725" w:rsidRDefault="004C314A" w:rsidP="004C314A">
            <w:pPr>
              <w:pStyle w:val="TableText"/>
              <w:jc w:val="center"/>
              <w:rPr>
                <w:b/>
                <w:sz w:val="20"/>
              </w:rPr>
            </w:pPr>
            <w:r w:rsidRPr="00C81725">
              <w:rPr>
                <w:b/>
                <w:sz w:val="20"/>
              </w:rPr>
              <w:t>$284,104</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B4D434" w14:textId="77777777" w:rsidR="004C314A" w:rsidRPr="00C81725" w:rsidRDefault="004C314A" w:rsidP="004C314A">
            <w:pPr>
              <w:pStyle w:val="TableText"/>
              <w:jc w:val="center"/>
              <w:rPr>
                <w:b/>
                <w:sz w:val="20"/>
              </w:rPr>
            </w:pPr>
            <w:r w:rsidRPr="00C81725">
              <w:rPr>
                <w:b/>
                <w:sz w:val="20"/>
              </w:rPr>
              <w:t>$314,239</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3D7FF8" w14:textId="77777777" w:rsidR="004C314A" w:rsidRPr="00C81725" w:rsidRDefault="004C314A" w:rsidP="004C314A">
            <w:pPr>
              <w:pStyle w:val="TableText"/>
              <w:jc w:val="center"/>
              <w:rPr>
                <w:b/>
                <w:sz w:val="20"/>
              </w:rPr>
            </w:pPr>
            <w:r w:rsidRPr="00C81725">
              <w:rPr>
                <w:b/>
                <w:sz w:val="20"/>
              </w:rPr>
              <w:t>$322,758</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6325F5" w14:textId="77777777" w:rsidR="004C314A" w:rsidRPr="00C81725" w:rsidRDefault="004C314A" w:rsidP="004C314A">
            <w:pPr>
              <w:pStyle w:val="TableText"/>
              <w:jc w:val="center"/>
              <w:rPr>
                <w:b/>
                <w:sz w:val="20"/>
              </w:rPr>
            </w:pPr>
            <w:r w:rsidRPr="00C81725">
              <w:rPr>
                <w:b/>
                <w:sz w:val="20"/>
              </w:rPr>
              <w:t>$351,951</w:t>
            </w:r>
          </w:p>
        </w:tc>
        <w:tc>
          <w:tcPr>
            <w:tcW w:w="8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B4122D" w14:textId="77777777" w:rsidR="004C314A" w:rsidRPr="00C81725" w:rsidRDefault="004C314A" w:rsidP="004C314A">
            <w:pPr>
              <w:pStyle w:val="TableText"/>
              <w:jc w:val="center"/>
              <w:rPr>
                <w:b/>
                <w:sz w:val="20"/>
              </w:rPr>
            </w:pPr>
            <w:r w:rsidRPr="00C81725">
              <w:rPr>
                <w:b/>
                <w:sz w:val="20"/>
              </w:rPr>
              <w:t>$364,742</w:t>
            </w:r>
          </w:p>
        </w:tc>
      </w:tr>
    </w:tbl>
    <w:p w14:paraId="5FA78380"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386CBAEA" w14:textId="77777777" w:rsidR="004C314A" w:rsidRDefault="004C314A" w:rsidP="004C314A">
      <w:pPr>
        <w:keepNext/>
        <w:spacing w:before="40" w:after="40"/>
        <w:jc w:val="both"/>
        <w:rPr>
          <w:rFonts w:ascii="Arial Narrow" w:hAnsi="Arial Narrow" w:cs="Arial"/>
          <w:sz w:val="18"/>
          <w:szCs w:val="18"/>
        </w:rPr>
      </w:pPr>
      <w:r>
        <w:rPr>
          <w:rFonts w:ascii="Arial Narrow" w:hAnsi="Arial Narrow" w:cs="Arial"/>
          <w:sz w:val="18"/>
          <w:szCs w:val="18"/>
        </w:rPr>
        <w:t>ECT = electroconvulsive therapy; MBS = Medicare Benefits Schedule</w:t>
      </w:r>
    </w:p>
    <w:p w14:paraId="3E4B6EB0" w14:textId="77777777" w:rsidR="004C314A" w:rsidRDefault="004C314A" w:rsidP="00542CF0">
      <w:pPr>
        <w:spacing w:after="0"/>
        <w:jc w:val="both"/>
      </w:pPr>
    </w:p>
    <w:p w14:paraId="6EE21AF2" w14:textId="77777777" w:rsidR="004C314A" w:rsidRDefault="004C314A" w:rsidP="004C314A">
      <w:pPr>
        <w:jc w:val="both"/>
      </w:pPr>
      <w:r>
        <w:t>The introduction of rTMS could potentially save the MBS $1.6 million over five years through reduced ECT use.</w:t>
      </w:r>
    </w:p>
    <w:p w14:paraId="7A9EC49D" w14:textId="77777777" w:rsidR="004F526F" w:rsidRDefault="0056401C" w:rsidP="00404A6E">
      <w:pPr>
        <w:pStyle w:val="Heading4"/>
      </w:pPr>
      <w:r>
        <w:t xml:space="preserve">Cost to the </w:t>
      </w:r>
      <w:r w:rsidRPr="00404A6E">
        <w:t>Australian</w:t>
      </w:r>
      <w:r>
        <w:t xml:space="preserve"> healthcare system overall</w:t>
      </w:r>
    </w:p>
    <w:p w14:paraId="6F743E50" w14:textId="30D0E305" w:rsidR="004C314A" w:rsidRDefault="004C314A" w:rsidP="004C314A">
      <w:pPr>
        <w:jc w:val="both"/>
      </w:pPr>
      <w:r>
        <w:t xml:space="preserve">The net impact to the Government of listing rTMS on the MBS is shown in </w:t>
      </w:r>
      <w:r w:rsidRPr="004C314A">
        <w:fldChar w:fldCharType="begin"/>
      </w:r>
      <w:r w:rsidRPr="004C314A">
        <w:instrText xml:space="preserve"> REF _Ref386103544 \h </w:instrText>
      </w:r>
      <w:r>
        <w:instrText xml:space="preserve"> \* MERGEFORMAT </w:instrText>
      </w:r>
      <w:r w:rsidRPr="004C314A">
        <w:fldChar w:fldCharType="separate"/>
      </w:r>
      <w:proofErr w:type="gramStart"/>
      <w:r w:rsidR="004C1C27">
        <w:t xml:space="preserve">Table </w:t>
      </w:r>
      <w:proofErr w:type="gramEnd"/>
      <w:r w:rsidRPr="004C314A">
        <w:fldChar w:fldCharType="end"/>
      </w:r>
      <w:r w:rsidRPr="004C314A">
        <w:t xml:space="preserve">. </w:t>
      </w:r>
    </w:p>
    <w:p w14:paraId="598766A4" w14:textId="36F01D2C" w:rsidR="004C314A" w:rsidRDefault="004C314A" w:rsidP="006258B7">
      <w:pPr>
        <w:pStyle w:val="TableName"/>
      </w:pPr>
      <w:bookmarkStart w:id="209" w:name="_Ref386103544"/>
      <w:bookmarkStart w:id="210" w:name="_Toc386102845"/>
      <w:bookmarkStart w:id="211" w:name="_Toc389143604"/>
      <w:r>
        <w:t xml:space="preserve">Table </w:t>
      </w:r>
      <w:bookmarkEnd w:id="209"/>
      <w:r w:rsidR="006258B7">
        <w:t>30</w:t>
      </w:r>
      <w:r>
        <w:t>: Overall cost to the health budget of listing rTMS on the MBS</w:t>
      </w:r>
      <w:bookmarkEnd w:id="210"/>
      <w:bookmarkEnd w:id="211"/>
    </w:p>
    <w:tbl>
      <w:tblPr>
        <w:tblStyle w:val="TableGrid"/>
        <w:tblW w:w="0" w:type="auto"/>
        <w:tblInd w:w="760" w:type="dxa"/>
        <w:tblLook w:val="04A0" w:firstRow="1" w:lastRow="0" w:firstColumn="1" w:lastColumn="0" w:noHBand="0" w:noVBand="1"/>
        <w:tblCaption w:val="Over all cost to the health budget"/>
      </w:tblPr>
      <w:tblGrid>
        <w:gridCol w:w="348"/>
        <w:gridCol w:w="2248"/>
        <w:gridCol w:w="881"/>
        <w:gridCol w:w="969"/>
        <w:gridCol w:w="969"/>
        <w:gridCol w:w="969"/>
        <w:gridCol w:w="969"/>
        <w:gridCol w:w="969"/>
      </w:tblGrid>
      <w:tr w:rsidR="004C314A" w14:paraId="243EDB4A" w14:textId="77777777" w:rsidTr="004C314A">
        <w:trPr>
          <w:cantSplit/>
          <w:tblHeader/>
        </w:trPr>
        <w:tc>
          <w:tcPr>
            <w:tcW w:w="297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798ADA" w14:textId="77777777" w:rsidR="004C314A" w:rsidRPr="00C81725" w:rsidRDefault="004C314A" w:rsidP="004C314A">
            <w:pPr>
              <w:keepNext/>
              <w:spacing w:before="40" w:after="40"/>
              <w:ind w:left="0"/>
              <w:rPr>
                <w:rFonts w:ascii="Arial Narrow" w:hAnsi="Arial Narrow" w:cs="Arial"/>
                <w:sz w:val="20"/>
              </w:rPr>
            </w:pPr>
          </w:p>
        </w:tc>
        <w:tc>
          <w:tcPr>
            <w:tcW w:w="9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D0AEE6"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Method</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D2A85C"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4791C676"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776C1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0679A1C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40A584"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621A7857"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87951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686EC0D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E99248"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4A9DD69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5E72F33B" w14:textId="77777777" w:rsidTr="004C314A">
        <w:trPr>
          <w:cantSplit/>
        </w:trPr>
        <w:tc>
          <w:tcPr>
            <w:tcW w:w="3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6F7DB4"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S</w:t>
            </w:r>
          </w:p>
        </w:tc>
        <w:tc>
          <w:tcPr>
            <w:tcW w:w="26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36115F"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 xml:space="preserve">Total cost of rTMS to the MBS </w:t>
            </w:r>
          </w:p>
        </w:tc>
        <w:tc>
          <w:tcPr>
            <w:tcW w:w="9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453F15"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From above</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91CCBE"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$13,586,786</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684CC6"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$15,079,417</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5600CC"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$16,616,702</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698D25"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$18,198,329</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5881A9"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$19,820,809</w:t>
            </w:r>
          </w:p>
        </w:tc>
      </w:tr>
      <w:tr w:rsidR="004C314A" w14:paraId="2783B22A" w14:textId="77777777" w:rsidTr="004C314A">
        <w:trPr>
          <w:cantSplit/>
        </w:trPr>
        <w:tc>
          <w:tcPr>
            <w:tcW w:w="3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E9F92C"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HH</w:t>
            </w:r>
          </w:p>
        </w:tc>
        <w:tc>
          <w:tcPr>
            <w:tcW w:w="26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08F3EF"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 xml:space="preserve">Total cost saving to the PBS </w:t>
            </w:r>
            <w:r>
              <w:rPr>
                <w:rFonts w:ascii="Arial Narrow" w:hAnsi="Arial Narrow" w:cs="Arial"/>
                <w:sz w:val="20"/>
              </w:rPr>
              <w:t>(</w:t>
            </w:r>
            <w:r w:rsidRPr="00C81725">
              <w:rPr>
                <w:rFonts w:ascii="Arial Narrow" w:hAnsi="Arial Narrow" w:cs="Arial"/>
                <w:sz w:val="20"/>
              </w:rPr>
              <w:t>reduced antidepressant use</w:t>
            </w:r>
            <w:r>
              <w:rPr>
                <w:rFonts w:ascii="Arial Narrow" w:hAnsi="Arial Narrow" w:cs="Arial"/>
                <w:sz w:val="20"/>
              </w:rPr>
              <w:t>)</w:t>
            </w:r>
          </w:p>
        </w:tc>
        <w:tc>
          <w:tcPr>
            <w:tcW w:w="9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8307B1"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From above</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CAF27B"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$295,481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C54914"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$327,942</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91496D"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$361,374</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BAA72D"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$395,771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AC3540"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$431,056</w:t>
            </w:r>
          </w:p>
        </w:tc>
      </w:tr>
      <w:tr w:rsidR="004C314A" w14:paraId="78E4FAA8" w14:textId="77777777" w:rsidTr="004C314A">
        <w:trPr>
          <w:cantSplit/>
        </w:trPr>
        <w:tc>
          <w:tcPr>
            <w:tcW w:w="3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56CDE7"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KK</w:t>
            </w:r>
          </w:p>
        </w:tc>
        <w:tc>
          <w:tcPr>
            <w:tcW w:w="26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25C5D2"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 xml:space="preserve">Total cost saving to MBS </w:t>
            </w:r>
            <w:r>
              <w:rPr>
                <w:rFonts w:ascii="Arial Narrow" w:hAnsi="Arial Narrow" w:cs="Arial"/>
                <w:sz w:val="20"/>
              </w:rPr>
              <w:t>(</w:t>
            </w:r>
            <w:r w:rsidRPr="00C81725">
              <w:rPr>
                <w:rFonts w:ascii="Arial Narrow" w:hAnsi="Arial Narrow" w:cs="Arial"/>
                <w:sz w:val="20"/>
              </w:rPr>
              <w:t>reduced ECT use</w:t>
            </w:r>
            <w:r>
              <w:rPr>
                <w:rFonts w:ascii="Arial Narrow" w:hAnsi="Arial Narrow" w:cs="Arial"/>
                <w:sz w:val="20"/>
              </w:rPr>
              <w:t>)</w:t>
            </w:r>
          </w:p>
        </w:tc>
        <w:tc>
          <w:tcPr>
            <w:tcW w:w="9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22FE41"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From above</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80E2D9" w14:textId="77777777" w:rsidR="004C314A" w:rsidRPr="00C81725" w:rsidRDefault="004C314A" w:rsidP="004C314A">
            <w:pPr>
              <w:pStyle w:val="TableText"/>
              <w:jc w:val="center"/>
              <w:rPr>
                <w:sz w:val="20"/>
              </w:rPr>
            </w:pPr>
            <w:r w:rsidRPr="00C81725">
              <w:rPr>
                <w:sz w:val="20"/>
              </w:rPr>
              <w:t>$284,104</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8B7380" w14:textId="77777777" w:rsidR="004C314A" w:rsidRPr="00C81725" w:rsidRDefault="004C314A" w:rsidP="004C314A">
            <w:pPr>
              <w:pStyle w:val="TableText"/>
              <w:jc w:val="center"/>
              <w:rPr>
                <w:sz w:val="20"/>
              </w:rPr>
            </w:pPr>
            <w:r w:rsidRPr="00C81725">
              <w:rPr>
                <w:sz w:val="20"/>
              </w:rPr>
              <w:t>$314,239</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DAD915" w14:textId="77777777" w:rsidR="004C314A" w:rsidRPr="00C81725" w:rsidRDefault="004C314A" w:rsidP="004C314A">
            <w:pPr>
              <w:pStyle w:val="TableText"/>
              <w:jc w:val="center"/>
              <w:rPr>
                <w:sz w:val="20"/>
              </w:rPr>
            </w:pPr>
            <w:r w:rsidRPr="00C81725">
              <w:rPr>
                <w:sz w:val="20"/>
              </w:rPr>
              <w:t>$322,758</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C6BD77" w14:textId="77777777" w:rsidR="004C314A" w:rsidRPr="00C81725" w:rsidRDefault="004C314A" w:rsidP="004C314A">
            <w:pPr>
              <w:pStyle w:val="TableText"/>
              <w:jc w:val="center"/>
              <w:rPr>
                <w:sz w:val="20"/>
              </w:rPr>
            </w:pPr>
            <w:r w:rsidRPr="00C81725">
              <w:rPr>
                <w:sz w:val="20"/>
              </w:rPr>
              <w:t>$351,951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5F58F8" w14:textId="77777777" w:rsidR="004C314A" w:rsidRPr="00C81725" w:rsidRDefault="004C314A" w:rsidP="004C314A">
            <w:pPr>
              <w:pStyle w:val="TableText"/>
              <w:jc w:val="center"/>
              <w:rPr>
                <w:sz w:val="20"/>
              </w:rPr>
            </w:pPr>
            <w:r w:rsidRPr="00C81725">
              <w:rPr>
                <w:sz w:val="20"/>
              </w:rPr>
              <w:t>$364,742</w:t>
            </w:r>
          </w:p>
        </w:tc>
      </w:tr>
      <w:tr w:rsidR="004C314A" w:rsidRPr="00B95920" w14:paraId="127F594B" w14:textId="77777777" w:rsidTr="004C314A">
        <w:trPr>
          <w:cantSplit/>
        </w:trPr>
        <w:tc>
          <w:tcPr>
            <w:tcW w:w="3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70F3B3" w14:textId="77777777" w:rsidR="004C314A" w:rsidRPr="00C81725" w:rsidRDefault="004C314A" w:rsidP="004C314A">
            <w:pPr>
              <w:widowControl w:val="0"/>
              <w:spacing w:before="40" w:after="40"/>
              <w:ind w:left="0"/>
              <w:jc w:val="center"/>
              <w:rPr>
                <w:rFonts w:ascii="Arial Narrow" w:hAnsi="Arial Narrow" w:cs="Arial"/>
                <w:b/>
                <w:sz w:val="20"/>
              </w:rPr>
            </w:pPr>
            <w:r w:rsidRPr="00C81725">
              <w:rPr>
                <w:rFonts w:ascii="Arial Narrow" w:hAnsi="Arial Narrow" w:cs="Arial"/>
                <w:b/>
                <w:sz w:val="20"/>
              </w:rPr>
              <w:t>LL</w:t>
            </w:r>
          </w:p>
        </w:tc>
        <w:tc>
          <w:tcPr>
            <w:tcW w:w="26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41C676" w14:textId="77777777" w:rsidR="004C314A" w:rsidRPr="00C81725" w:rsidRDefault="004C314A" w:rsidP="004C314A">
            <w:pPr>
              <w:widowControl w:val="0"/>
              <w:spacing w:before="40" w:after="40"/>
              <w:ind w:left="0"/>
              <w:rPr>
                <w:rFonts w:ascii="Arial Narrow" w:hAnsi="Arial Narrow" w:cs="Arial"/>
                <w:b/>
                <w:sz w:val="20"/>
              </w:rPr>
            </w:pPr>
            <w:r w:rsidRPr="00C81725">
              <w:rPr>
                <w:rFonts w:ascii="Arial Narrow" w:hAnsi="Arial Narrow" w:cs="Arial"/>
                <w:b/>
                <w:sz w:val="20"/>
              </w:rPr>
              <w:t>Net impact to Government</w:t>
            </w:r>
          </w:p>
        </w:tc>
        <w:tc>
          <w:tcPr>
            <w:tcW w:w="9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676BB1" w14:textId="77777777" w:rsidR="004C314A" w:rsidRPr="00C81725" w:rsidRDefault="004C314A" w:rsidP="004C314A">
            <w:pPr>
              <w:widowControl w:val="0"/>
              <w:spacing w:before="40" w:after="40"/>
              <w:ind w:left="0"/>
              <w:jc w:val="center"/>
              <w:rPr>
                <w:rFonts w:ascii="Arial Narrow" w:hAnsi="Arial Narrow" w:cs="Arial"/>
                <w:b/>
                <w:sz w:val="20"/>
              </w:rPr>
            </w:pPr>
            <w:r w:rsidRPr="00C81725">
              <w:rPr>
                <w:rFonts w:ascii="Arial Narrow" w:hAnsi="Arial Narrow" w:cs="Arial"/>
                <w:b/>
                <w:sz w:val="20"/>
              </w:rPr>
              <w:t>S-HH-KK</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9B4270" w14:textId="77777777" w:rsidR="004C314A" w:rsidRPr="00C81725" w:rsidRDefault="004C314A" w:rsidP="004C314A">
            <w:pPr>
              <w:pStyle w:val="TableText"/>
              <w:keepNext w:val="0"/>
              <w:widowControl w:val="0"/>
              <w:jc w:val="center"/>
              <w:rPr>
                <w:b/>
                <w:sz w:val="20"/>
              </w:rPr>
            </w:pPr>
            <w:r w:rsidRPr="00C81725">
              <w:rPr>
                <w:b/>
                <w:sz w:val="20"/>
              </w:rPr>
              <w:t>$13,007,201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509410" w14:textId="77777777" w:rsidR="004C314A" w:rsidRPr="00C81725" w:rsidRDefault="004C314A" w:rsidP="004C314A">
            <w:pPr>
              <w:pStyle w:val="TableText"/>
              <w:keepNext w:val="0"/>
              <w:widowControl w:val="0"/>
              <w:jc w:val="center"/>
              <w:rPr>
                <w:b/>
                <w:sz w:val="20"/>
              </w:rPr>
            </w:pPr>
            <w:r w:rsidRPr="00C81725">
              <w:rPr>
                <w:b/>
                <w:sz w:val="20"/>
              </w:rPr>
              <w:t>$14,437,236</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4CE754" w14:textId="77777777" w:rsidR="004C314A" w:rsidRPr="00C81725" w:rsidRDefault="004C314A" w:rsidP="004C314A">
            <w:pPr>
              <w:pStyle w:val="TableText"/>
              <w:keepNext w:val="0"/>
              <w:widowControl w:val="0"/>
              <w:jc w:val="center"/>
              <w:rPr>
                <w:b/>
                <w:sz w:val="20"/>
              </w:rPr>
            </w:pPr>
            <w:r w:rsidRPr="00C81725">
              <w:rPr>
                <w:b/>
                <w:sz w:val="20"/>
              </w:rPr>
              <w:t>$15,932,570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536039" w14:textId="77777777" w:rsidR="004C314A" w:rsidRPr="00C81725" w:rsidRDefault="004C314A" w:rsidP="004C314A">
            <w:pPr>
              <w:pStyle w:val="TableText"/>
              <w:keepNext w:val="0"/>
              <w:widowControl w:val="0"/>
              <w:jc w:val="center"/>
              <w:rPr>
                <w:b/>
                <w:sz w:val="20"/>
              </w:rPr>
            </w:pPr>
            <w:r w:rsidRPr="00C81725">
              <w:rPr>
                <w:b/>
                <w:sz w:val="20"/>
              </w:rPr>
              <w:t>$17,450,607</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9F5B54" w14:textId="77777777" w:rsidR="004C314A" w:rsidRPr="00C81725" w:rsidRDefault="004C314A" w:rsidP="004C314A">
            <w:pPr>
              <w:pStyle w:val="TableText"/>
              <w:keepNext w:val="0"/>
              <w:widowControl w:val="0"/>
              <w:jc w:val="center"/>
              <w:rPr>
                <w:b/>
                <w:sz w:val="20"/>
              </w:rPr>
            </w:pPr>
            <w:r w:rsidRPr="00C81725">
              <w:rPr>
                <w:b/>
                <w:sz w:val="20"/>
              </w:rPr>
              <w:t>$19,025,011</w:t>
            </w:r>
          </w:p>
        </w:tc>
      </w:tr>
    </w:tbl>
    <w:p w14:paraId="3A91596E"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752099DD" w14:textId="77777777" w:rsidR="004C314A" w:rsidRDefault="004C314A" w:rsidP="004C314A">
      <w:pPr>
        <w:keepNext/>
        <w:spacing w:before="40" w:after="40"/>
        <w:jc w:val="both"/>
        <w:rPr>
          <w:rFonts w:ascii="Arial Narrow" w:hAnsi="Arial Narrow" w:cs="Arial"/>
          <w:sz w:val="18"/>
          <w:szCs w:val="18"/>
        </w:rPr>
      </w:pPr>
      <w:r>
        <w:rPr>
          <w:rFonts w:ascii="Arial Narrow" w:hAnsi="Arial Narrow" w:cs="Arial"/>
          <w:sz w:val="18"/>
          <w:szCs w:val="18"/>
        </w:rPr>
        <w:t>ECT = electroconvulsive therapy; MBS = Medicare Benefits Schedule; PBS = Pharmaceutical Benefits Scheme; rTMS = repetitive Transcranial Magnetic Stimulation</w:t>
      </w:r>
    </w:p>
    <w:p w14:paraId="7EBBA95E" w14:textId="77777777" w:rsidR="004C314A" w:rsidRDefault="004C314A" w:rsidP="004C314A">
      <w:pPr>
        <w:spacing w:after="0"/>
        <w:jc w:val="both"/>
        <w:rPr>
          <w:rFonts w:cs="Arial"/>
          <w:szCs w:val="24"/>
        </w:rPr>
      </w:pPr>
    </w:p>
    <w:p w14:paraId="005D858C" w14:textId="77777777" w:rsidR="004C314A" w:rsidRDefault="004C314A" w:rsidP="004C314A">
      <w:pPr>
        <w:spacing w:after="0"/>
        <w:jc w:val="both"/>
        <w:rPr>
          <w:rFonts w:cs="Arial"/>
          <w:szCs w:val="24"/>
        </w:rPr>
      </w:pPr>
      <w:r>
        <w:rPr>
          <w:rFonts w:cs="Arial"/>
          <w:szCs w:val="24"/>
        </w:rPr>
        <w:t>When the savings to the PBS, through reduced antidepressant prescribing, and to the MBS, through reduced ECT use, are taken into account, it is estimated that the addition of rTMS to the MBS will cost the Australian healthcare system approximately $79.85 million dollars over the next five years. This is $3.45 million less than the $83.30 million estimated above when these cost trade-offs were not included.</w:t>
      </w:r>
    </w:p>
    <w:p w14:paraId="023E243F" w14:textId="66308BE8" w:rsidR="009D0603" w:rsidRPr="009F5B93" w:rsidRDefault="009D0603" w:rsidP="00404A6E">
      <w:pPr>
        <w:spacing w:after="0"/>
        <w:jc w:val="both"/>
        <w:rPr>
          <w:rFonts w:cs="Arial"/>
          <w:szCs w:val="24"/>
        </w:rPr>
      </w:pPr>
    </w:p>
    <w:p w14:paraId="2501458D" w14:textId="77777777" w:rsidR="00515AF1" w:rsidRPr="00404A6E" w:rsidRDefault="00A875F6" w:rsidP="00404A6E">
      <w:pPr>
        <w:pStyle w:val="Heading4"/>
      </w:pPr>
      <w:r>
        <w:t>Identification, estimation and reduction of uncertainty</w:t>
      </w:r>
    </w:p>
    <w:p w14:paraId="3CD602B3" w14:textId="77777777" w:rsidR="00A875F6" w:rsidRDefault="00A875F6" w:rsidP="005E00ED">
      <w:pPr>
        <w:jc w:val="both"/>
      </w:pPr>
      <w:r>
        <w:t>As noted in the above sections, there have been a number of assumptions made in estimating the financial impact to government of listing rTMS for the treatment of treatment</w:t>
      </w:r>
      <w:r w:rsidR="00C90589">
        <w:t>-</w:t>
      </w:r>
      <w:r>
        <w:t>resistant depression. Therefore, it is appropriate to investigate the robustness of the assumptions through sensitivity analyses.</w:t>
      </w:r>
    </w:p>
    <w:p w14:paraId="79325AA6" w14:textId="77777777" w:rsidR="00A875F6" w:rsidRPr="00073A0A" w:rsidRDefault="00A875F6" w:rsidP="008C3491">
      <w:pPr>
        <w:pStyle w:val="Heading5"/>
      </w:pPr>
      <w:r w:rsidRPr="00073A0A">
        <w:t>The prevalence of treatment</w:t>
      </w:r>
      <w:r w:rsidR="006B38E2" w:rsidRPr="00073A0A">
        <w:t>-</w:t>
      </w:r>
      <w:r w:rsidRPr="00073A0A">
        <w:t>resistant depression</w:t>
      </w:r>
    </w:p>
    <w:p w14:paraId="1BCC9967" w14:textId="77777777" w:rsidR="00A875F6" w:rsidRDefault="00624174" w:rsidP="005E00ED">
      <w:pPr>
        <w:jc w:val="both"/>
      </w:pPr>
      <w:r>
        <w:lastRenderedPageBreak/>
        <w:t>There is uncertainty surrounding the prevalence of treatment</w:t>
      </w:r>
      <w:r w:rsidR="006B38E2">
        <w:t>-</w:t>
      </w:r>
      <w:r>
        <w:t>resistant depression in Australia. The STAR*D data used, though cited regularly in the literature, was an American study which required participants to follow a strict treatment algorithm. All patients were commenced on c</w:t>
      </w:r>
      <w:r w:rsidR="00674DA7">
        <w:t>italopram</w:t>
      </w:r>
      <w:r>
        <w:t>. If treatment with this agent was unsuccessful, medications in Step 2 of the algorithm were allowed</w:t>
      </w:r>
      <w:r w:rsidR="00267182">
        <w:t xml:space="preserve"> (bupropion, sertraline and venlafaxine)</w:t>
      </w:r>
      <w:r>
        <w:t xml:space="preserve">. </w:t>
      </w:r>
      <w:r w:rsidR="00267182">
        <w:t xml:space="preserve">In Australia </w:t>
      </w:r>
      <w:r>
        <w:t>bupropion is only approved for smoking cessation.</w:t>
      </w:r>
      <w:r w:rsidR="00267182">
        <w:t xml:space="preserve"> In addition, there are a large number of other medications available on the PBS which may be trialled and which may result in symptom remission.</w:t>
      </w:r>
      <w:r>
        <w:t xml:space="preserve"> </w:t>
      </w:r>
    </w:p>
    <w:p w14:paraId="1325CB14" w14:textId="3393644E" w:rsidR="00624174" w:rsidRPr="001F17C0" w:rsidRDefault="00624174" w:rsidP="005E00ED">
      <w:pPr>
        <w:jc w:val="both"/>
        <w:rPr>
          <w:rFonts w:cs="Garamond"/>
          <w:szCs w:val="24"/>
        </w:rPr>
      </w:pPr>
      <w:r>
        <w:t>For the base case analysis, 43.9% of those diagnosed with depression were assumed to develop treatment</w:t>
      </w:r>
      <w:r w:rsidR="006B38E2">
        <w:t>-</w:t>
      </w:r>
      <w:r>
        <w:t xml:space="preserve">resistant depression, and these patients formed the pool of patients eligible for rTMS therapy. A sensitivity analysis </w:t>
      </w:r>
      <w:r w:rsidR="008655C2">
        <w:t xml:space="preserve">in which </w:t>
      </w:r>
      <w:r w:rsidR="00674DA7">
        <w:t xml:space="preserve">43.9% </w:t>
      </w:r>
      <w:r>
        <w:t xml:space="preserve">± 10% </w:t>
      </w:r>
      <w:r w:rsidR="008655C2">
        <w:t xml:space="preserve">of patients </w:t>
      </w:r>
      <w:r w:rsidR="00674DA7" w:rsidRPr="001F17C0">
        <w:rPr>
          <w:rFonts w:cs="Garamond"/>
          <w:szCs w:val="24"/>
        </w:rPr>
        <w:t>develop</w:t>
      </w:r>
      <w:r w:rsidR="008655C2" w:rsidRPr="001F17C0">
        <w:rPr>
          <w:rFonts w:cs="Garamond"/>
          <w:szCs w:val="24"/>
        </w:rPr>
        <w:t>ed</w:t>
      </w:r>
      <w:r w:rsidR="00674DA7" w:rsidRPr="001F17C0">
        <w:rPr>
          <w:rFonts w:cs="Garamond"/>
          <w:szCs w:val="24"/>
        </w:rPr>
        <w:t xml:space="preserve"> treatment-resistant depression </w:t>
      </w:r>
      <w:r w:rsidRPr="001F17C0">
        <w:rPr>
          <w:rFonts w:cs="Garamond"/>
          <w:szCs w:val="24"/>
        </w:rPr>
        <w:t xml:space="preserve">is presented in </w:t>
      </w:r>
      <w:r w:rsidR="001F17C0" w:rsidRPr="001F17C0">
        <w:rPr>
          <w:rFonts w:cs="Garamond"/>
          <w:szCs w:val="24"/>
        </w:rPr>
        <w:fldChar w:fldCharType="begin"/>
      </w:r>
      <w:r w:rsidR="001F17C0" w:rsidRPr="001F17C0">
        <w:rPr>
          <w:rFonts w:cs="Garamond"/>
          <w:szCs w:val="24"/>
        </w:rPr>
        <w:instrText xml:space="preserve"> REF _Ref386103553 \h </w:instrText>
      </w:r>
      <w:r w:rsidR="001F17C0">
        <w:rPr>
          <w:rFonts w:cs="Garamond"/>
          <w:szCs w:val="24"/>
        </w:rPr>
        <w:instrText xml:space="preserve"> \* MERGEFORMAT </w:instrText>
      </w:r>
      <w:r w:rsidR="001F17C0" w:rsidRPr="001F17C0">
        <w:rPr>
          <w:rFonts w:cs="Garamond"/>
          <w:szCs w:val="24"/>
        </w:rPr>
      </w:r>
      <w:r w:rsidR="001F17C0" w:rsidRPr="001F17C0">
        <w:rPr>
          <w:rFonts w:cs="Garamond"/>
          <w:szCs w:val="24"/>
        </w:rPr>
        <w:fldChar w:fldCharType="separate"/>
      </w:r>
      <w:r w:rsidR="004C1C27" w:rsidRPr="004C1C27">
        <w:rPr>
          <w:rFonts w:cs="Garamond"/>
          <w:szCs w:val="24"/>
        </w:rPr>
        <w:t>Table 13</w:t>
      </w:r>
      <w:r w:rsidR="001F17C0" w:rsidRPr="001F17C0">
        <w:rPr>
          <w:rFonts w:cs="Garamond"/>
          <w:szCs w:val="24"/>
        </w:rPr>
        <w:fldChar w:fldCharType="end"/>
      </w:r>
      <w:r w:rsidRPr="001F17C0">
        <w:rPr>
          <w:rFonts w:cs="Garamond"/>
          <w:szCs w:val="24"/>
        </w:rPr>
        <w:t>.</w:t>
      </w:r>
    </w:p>
    <w:p w14:paraId="5A812230" w14:textId="789612DC" w:rsidR="004C314A" w:rsidRDefault="004C314A" w:rsidP="006258B7">
      <w:pPr>
        <w:pStyle w:val="TableName"/>
      </w:pPr>
      <w:bookmarkStart w:id="212" w:name="_Ref386103553"/>
      <w:bookmarkStart w:id="213" w:name="_Toc386102846"/>
      <w:bookmarkStart w:id="214" w:name="_Toc389140556"/>
      <w:bookmarkStart w:id="215" w:name="_Toc389142175"/>
      <w:bookmarkStart w:id="216" w:name="_Toc389143605"/>
      <w:r>
        <w:t xml:space="preserve">Table </w:t>
      </w:r>
      <w:r w:rsidR="004C1C27">
        <w:fldChar w:fldCharType="begin"/>
      </w:r>
      <w:r w:rsidR="004C1C27">
        <w:instrText xml:space="preserve"> SEQ Table \* ARABIC </w:instrText>
      </w:r>
      <w:r w:rsidR="004C1C27">
        <w:fldChar w:fldCharType="separate"/>
      </w:r>
      <w:r w:rsidR="004C1C27">
        <w:rPr>
          <w:noProof/>
        </w:rPr>
        <w:t>13</w:t>
      </w:r>
      <w:r w:rsidR="004C1C27">
        <w:rPr>
          <w:noProof/>
        </w:rPr>
        <w:fldChar w:fldCharType="end"/>
      </w:r>
      <w:bookmarkEnd w:id="212"/>
      <w:r>
        <w:t>: Sensitivity analysis – Prevalence of treatment-resistant depression</w:t>
      </w:r>
      <w:bookmarkEnd w:id="213"/>
      <w:bookmarkEnd w:id="214"/>
      <w:bookmarkEnd w:id="215"/>
      <w:bookmarkEnd w:id="216"/>
    </w:p>
    <w:tbl>
      <w:tblPr>
        <w:tblStyle w:val="TableGrid"/>
        <w:tblW w:w="4558" w:type="pct"/>
        <w:tblInd w:w="817" w:type="dxa"/>
        <w:tblLayout w:type="fixed"/>
        <w:tblLook w:val="04A0" w:firstRow="1" w:lastRow="0" w:firstColumn="1" w:lastColumn="0" w:noHBand="0" w:noVBand="1"/>
        <w:tblCaption w:val="Sensitivity analysis - prevalence "/>
      </w:tblPr>
      <w:tblGrid>
        <w:gridCol w:w="2646"/>
        <w:gridCol w:w="1116"/>
        <w:gridCol w:w="1114"/>
        <w:gridCol w:w="1114"/>
        <w:gridCol w:w="1118"/>
        <w:gridCol w:w="1171"/>
      </w:tblGrid>
      <w:tr w:rsidR="004C314A" w14:paraId="639D2780" w14:textId="77777777" w:rsidTr="004C314A">
        <w:trPr>
          <w:cantSplit/>
          <w:tblHeader/>
        </w:trPr>
        <w:tc>
          <w:tcPr>
            <w:tcW w:w="1598" w:type="pct"/>
            <w:tcBorders>
              <w:top w:val="single" w:sz="4" w:space="0" w:color="auto"/>
              <w:left w:val="single" w:sz="4" w:space="0" w:color="auto"/>
              <w:bottom w:val="single" w:sz="4" w:space="0" w:color="auto"/>
              <w:right w:val="single" w:sz="4" w:space="0" w:color="auto"/>
            </w:tcBorders>
            <w:tcMar>
              <w:left w:w="28" w:type="dxa"/>
              <w:right w:w="28" w:type="dxa"/>
            </w:tcMar>
          </w:tcPr>
          <w:p w14:paraId="27095F95" w14:textId="77777777" w:rsidR="004C314A" w:rsidRPr="00C81725" w:rsidRDefault="004C314A" w:rsidP="004C314A">
            <w:pPr>
              <w:keepNext/>
              <w:spacing w:before="40" w:after="40"/>
              <w:ind w:left="0"/>
              <w:rPr>
                <w:rFonts w:ascii="Arial Narrow" w:hAnsi="Arial Narrow" w:cs="Arial"/>
                <w:sz w:val="20"/>
              </w:rPr>
            </w:pPr>
          </w:p>
        </w:tc>
        <w:tc>
          <w:tcPr>
            <w:tcW w:w="67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A4B04C"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220C0CEF"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358DE94"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435F9E9E"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654FED8"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45C1907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67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CF0F1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7B82257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707"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AE33C36"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0A89CD7F"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2CDABBBE" w14:textId="77777777" w:rsidTr="004C314A">
        <w:trPr>
          <w:cantSplit/>
        </w:trPr>
        <w:tc>
          <w:tcPr>
            <w:tcW w:w="159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013357"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33.9% develop TRD</w:t>
            </w:r>
          </w:p>
        </w:tc>
        <w:tc>
          <w:tcPr>
            <w:tcW w:w="6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1B6248" w14:textId="77777777" w:rsidR="004C314A" w:rsidRPr="00C81725" w:rsidRDefault="004C314A" w:rsidP="004C314A">
            <w:pPr>
              <w:spacing w:after="0"/>
              <w:ind w:left="0"/>
              <w:jc w:val="center"/>
              <w:rPr>
                <w:rFonts w:ascii="Arial Narrow" w:hAnsi="Arial Narrow" w:cs="Arial"/>
                <w:sz w:val="20"/>
              </w:rPr>
            </w:pPr>
            <w:r w:rsidRPr="00C81725">
              <w:rPr>
                <w:rFonts w:ascii="Arial Narrow" w:hAnsi="Arial Narrow" w:cs="Arial"/>
                <w:sz w:val="20"/>
              </w:rPr>
              <w:t>$9,979,569</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961730" w14:textId="77777777" w:rsidR="004C314A" w:rsidRPr="00C81725" w:rsidRDefault="004C314A" w:rsidP="004C314A">
            <w:pPr>
              <w:spacing w:after="0"/>
              <w:ind w:left="0"/>
              <w:jc w:val="center"/>
              <w:rPr>
                <w:rFonts w:ascii="Arial Narrow" w:hAnsi="Arial Narrow" w:cs="Arial"/>
                <w:sz w:val="20"/>
              </w:rPr>
            </w:pPr>
            <w:r w:rsidRPr="00C81725">
              <w:rPr>
                <w:rFonts w:ascii="Arial Narrow" w:hAnsi="Arial Narrow" w:cs="Arial"/>
                <w:sz w:val="20"/>
              </w:rPr>
              <w:t>$11,076,991</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04344D" w14:textId="77777777" w:rsidR="004C314A" w:rsidRPr="00C81725" w:rsidRDefault="004C314A" w:rsidP="004C314A">
            <w:pPr>
              <w:spacing w:after="0"/>
              <w:ind w:left="0"/>
              <w:jc w:val="center"/>
              <w:rPr>
                <w:rFonts w:ascii="Arial Narrow" w:hAnsi="Arial Narrow" w:cs="Arial"/>
                <w:sz w:val="20"/>
              </w:rPr>
            </w:pPr>
            <w:r w:rsidRPr="00C81725">
              <w:rPr>
                <w:rFonts w:ascii="Arial Narrow" w:hAnsi="Arial Narrow" w:cs="Arial"/>
                <w:sz w:val="20"/>
              </w:rPr>
              <w:t>$12,229,762</w:t>
            </w:r>
          </w:p>
        </w:tc>
        <w:tc>
          <w:tcPr>
            <w:tcW w:w="6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5739BA" w14:textId="77777777" w:rsidR="004C314A" w:rsidRPr="00C81725" w:rsidRDefault="004C314A" w:rsidP="004C314A">
            <w:pPr>
              <w:spacing w:after="0"/>
              <w:ind w:left="0"/>
              <w:jc w:val="center"/>
              <w:rPr>
                <w:rFonts w:ascii="Arial Narrow" w:hAnsi="Arial Narrow" w:cs="Arial"/>
                <w:sz w:val="20"/>
              </w:rPr>
            </w:pPr>
            <w:r w:rsidRPr="00C81725">
              <w:rPr>
                <w:rFonts w:ascii="Arial Narrow" w:hAnsi="Arial Narrow" w:cs="Arial"/>
                <w:sz w:val="20"/>
              </w:rPr>
              <w:t>$13,395,355</w:t>
            </w:r>
          </w:p>
        </w:tc>
        <w:tc>
          <w:tcPr>
            <w:tcW w:w="7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4E608C" w14:textId="77777777" w:rsidR="004C314A" w:rsidRPr="00C81725" w:rsidRDefault="004C314A" w:rsidP="004C314A">
            <w:pPr>
              <w:spacing w:after="0"/>
              <w:ind w:left="0"/>
              <w:jc w:val="center"/>
              <w:rPr>
                <w:rFonts w:ascii="Arial Narrow" w:hAnsi="Arial Narrow" w:cs="Arial"/>
                <w:sz w:val="20"/>
              </w:rPr>
            </w:pPr>
            <w:r w:rsidRPr="00C81725">
              <w:rPr>
                <w:rFonts w:ascii="Arial Narrow" w:hAnsi="Arial Narrow" w:cs="Arial"/>
                <w:sz w:val="20"/>
              </w:rPr>
              <w:t>$14,608,211</w:t>
            </w:r>
          </w:p>
        </w:tc>
      </w:tr>
      <w:tr w:rsidR="004C314A" w14:paraId="14FA7C05" w14:textId="77777777" w:rsidTr="004C314A">
        <w:trPr>
          <w:cantSplit/>
        </w:trPr>
        <w:tc>
          <w:tcPr>
            <w:tcW w:w="159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E613C9E"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43.9% develop TRD (base case)</w:t>
            </w:r>
          </w:p>
        </w:tc>
        <w:tc>
          <w:tcPr>
            <w:tcW w:w="6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5F5602" w14:textId="77777777" w:rsidR="004C314A" w:rsidRPr="00C81725" w:rsidRDefault="004C314A" w:rsidP="004C314A">
            <w:pPr>
              <w:pStyle w:val="TableText"/>
              <w:keepNext w:val="0"/>
              <w:widowControl w:val="0"/>
              <w:jc w:val="center"/>
              <w:rPr>
                <w:b/>
                <w:sz w:val="20"/>
              </w:rPr>
            </w:pPr>
            <w:r w:rsidRPr="00C81725">
              <w:rPr>
                <w:b/>
                <w:sz w:val="20"/>
              </w:rPr>
              <w:t>$13,007,201</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73780D" w14:textId="77777777" w:rsidR="004C314A" w:rsidRPr="00C81725" w:rsidRDefault="004C314A" w:rsidP="004C314A">
            <w:pPr>
              <w:pStyle w:val="TableText"/>
              <w:keepNext w:val="0"/>
              <w:widowControl w:val="0"/>
              <w:jc w:val="center"/>
              <w:rPr>
                <w:b/>
                <w:sz w:val="20"/>
              </w:rPr>
            </w:pPr>
            <w:r w:rsidRPr="00C81725">
              <w:rPr>
                <w:b/>
                <w:sz w:val="20"/>
              </w:rPr>
              <w:t>$14,437,236</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D13EB9" w14:textId="77777777" w:rsidR="004C314A" w:rsidRPr="00C81725" w:rsidRDefault="004C314A" w:rsidP="004C314A">
            <w:pPr>
              <w:pStyle w:val="TableText"/>
              <w:keepNext w:val="0"/>
              <w:widowControl w:val="0"/>
              <w:jc w:val="center"/>
              <w:rPr>
                <w:b/>
                <w:sz w:val="20"/>
              </w:rPr>
            </w:pPr>
            <w:r w:rsidRPr="00C81725">
              <w:rPr>
                <w:b/>
                <w:sz w:val="20"/>
              </w:rPr>
              <w:t>$15,932,570</w:t>
            </w:r>
          </w:p>
        </w:tc>
        <w:tc>
          <w:tcPr>
            <w:tcW w:w="6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601B4B" w14:textId="77777777" w:rsidR="004C314A" w:rsidRPr="00C81725" w:rsidRDefault="004C314A" w:rsidP="004C314A">
            <w:pPr>
              <w:pStyle w:val="TableText"/>
              <w:keepNext w:val="0"/>
              <w:widowControl w:val="0"/>
              <w:jc w:val="center"/>
              <w:rPr>
                <w:b/>
                <w:sz w:val="20"/>
              </w:rPr>
            </w:pPr>
            <w:r w:rsidRPr="00C81725">
              <w:rPr>
                <w:b/>
                <w:sz w:val="20"/>
              </w:rPr>
              <w:t>$17,450,607</w:t>
            </w:r>
          </w:p>
        </w:tc>
        <w:tc>
          <w:tcPr>
            <w:tcW w:w="7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03EF27" w14:textId="77777777" w:rsidR="004C314A" w:rsidRPr="00C81725" w:rsidRDefault="004C314A" w:rsidP="004C314A">
            <w:pPr>
              <w:pStyle w:val="TableText"/>
              <w:keepNext w:val="0"/>
              <w:widowControl w:val="0"/>
              <w:jc w:val="center"/>
              <w:rPr>
                <w:b/>
                <w:sz w:val="20"/>
              </w:rPr>
            </w:pPr>
            <w:r w:rsidRPr="00C81725">
              <w:rPr>
                <w:b/>
                <w:sz w:val="20"/>
              </w:rPr>
              <w:t>$19,025,011</w:t>
            </w:r>
          </w:p>
        </w:tc>
      </w:tr>
      <w:tr w:rsidR="004C314A" w14:paraId="052FA5CD" w14:textId="77777777" w:rsidTr="004C314A">
        <w:trPr>
          <w:cantSplit/>
        </w:trPr>
        <w:tc>
          <w:tcPr>
            <w:tcW w:w="159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747EEA"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53.9% develop TRD</w:t>
            </w:r>
          </w:p>
        </w:tc>
        <w:tc>
          <w:tcPr>
            <w:tcW w:w="6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35D290" w14:textId="77777777" w:rsidR="004C314A" w:rsidRPr="00C81725" w:rsidRDefault="004C314A" w:rsidP="004C314A">
            <w:pPr>
              <w:spacing w:after="0"/>
              <w:ind w:left="0"/>
              <w:jc w:val="center"/>
              <w:rPr>
                <w:rFonts w:ascii="Arial Narrow" w:hAnsi="Arial Narrow" w:cs="Arial"/>
                <w:sz w:val="20"/>
              </w:rPr>
            </w:pPr>
            <w:r w:rsidRPr="00C81725">
              <w:rPr>
                <w:rFonts w:ascii="Arial Narrow" w:hAnsi="Arial Narrow" w:cs="Arial"/>
                <w:sz w:val="20"/>
              </w:rPr>
              <w:t>$16,034,833</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DBCC4F" w14:textId="77777777" w:rsidR="004C314A" w:rsidRPr="00C81725" w:rsidRDefault="004C314A" w:rsidP="004C314A">
            <w:pPr>
              <w:spacing w:after="0"/>
              <w:ind w:left="0"/>
              <w:jc w:val="center"/>
              <w:rPr>
                <w:rFonts w:ascii="Arial Narrow" w:hAnsi="Arial Narrow" w:cs="Arial"/>
                <w:sz w:val="20"/>
              </w:rPr>
            </w:pPr>
            <w:r w:rsidRPr="00C81725">
              <w:rPr>
                <w:rFonts w:ascii="Arial Narrow" w:hAnsi="Arial Narrow" w:cs="Arial"/>
                <w:sz w:val="20"/>
              </w:rPr>
              <w:t>$17,797,481</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39BF0D" w14:textId="77777777" w:rsidR="004C314A" w:rsidRPr="00C81725" w:rsidRDefault="004C314A" w:rsidP="004C314A">
            <w:pPr>
              <w:spacing w:after="0"/>
              <w:ind w:left="0"/>
              <w:jc w:val="center"/>
              <w:rPr>
                <w:rFonts w:ascii="Arial Narrow" w:hAnsi="Arial Narrow" w:cs="Arial"/>
                <w:sz w:val="20"/>
              </w:rPr>
            </w:pPr>
            <w:r w:rsidRPr="00C81725">
              <w:rPr>
                <w:rFonts w:ascii="Arial Narrow" w:hAnsi="Arial Narrow" w:cs="Arial"/>
                <w:sz w:val="20"/>
              </w:rPr>
              <w:t>$19,635,379</w:t>
            </w:r>
          </w:p>
        </w:tc>
        <w:tc>
          <w:tcPr>
            <w:tcW w:w="6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633315" w14:textId="77777777" w:rsidR="004C314A" w:rsidRPr="00C81725" w:rsidRDefault="004C314A" w:rsidP="004C314A">
            <w:pPr>
              <w:spacing w:after="0"/>
              <w:ind w:left="0"/>
              <w:jc w:val="center"/>
              <w:rPr>
                <w:rFonts w:ascii="Arial Narrow" w:hAnsi="Arial Narrow" w:cs="Arial"/>
                <w:sz w:val="20"/>
              </w:rPr>
            </w:pPr>
            <w:r w:rsidRPr="00C81725">
              <w:rPr>
                <w:rFonts w:ascii="Arial Narrow" w:hAnsi="Arial Narrow" w:cs="Arial"/>
                <w:sz w:val="20"/>
              </w:rPr>
              <w:t>$21,505,860</w:t>
            </w:r>
          </w:p>
        </w:tc>
        <w:tc>
          <w:tcPr>
            <w:tcW w:w="7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AB92E8" w14:textId="77777777" w:rsidR="004C314A" w:rsidRPr="00C81725" w:rsidRDefault="004C314A" w:rsidP="004C314A">
            <w:pPr>
              <w:spacing w:after="0"/>
              <w:ind w:left="0"/>
              <w:jc w:val="center"/>
              <w:rPr>
                <w:rFonts w:ascii="Arial Narrow" w:hAnsi="Arial Narrow" w:cs="Arial"/>
                <w:sz w:val="20"/>
              </w:rPr>
            </w:pPr>
            <w:r w:rsidRPr="00C81725">
              <w:rPr>
                <w:rFonts w:ascii="Arial Narrow" w:hAnsi="Arial Narrow" w:cs="Arial"/>
                <w:sz w:val="20"/>
              </w:rPr>
              <w:t>$23,441,811</w:t>
            </w:r>
          </w:p>
        </w:tc>
      </w:tr>
    </w:tbl>
    <w:p w14:paraId="0FF862F2"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46F89D9A"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TRD = treatment-resistant depression</w:t>
      </w:r>
    </w:p>
    <w:p w14:paraId="4AC305EB" w14:textId="77777777" w:rsidR="004C314A" w:rsidRDefault="004C314A" w:rsidP="004C314A"/>
    <w:p w14:paraId="36C6F492" w14:textId="77777777" w:rsidR="004C314A" w:rsidRDefault="004C314A" w:rsidP="004C314A">
      <w:pPr>
        <w:jc w:val="both"/>
        <w:rPr>
          <w:szCs w:val="24"/>
        </w:rPr>
      </w:pPr>
      <w:r>
        <w:t xml:space="preserve">Increasing the incidence of treatment resistant depression to 54% increases the financial impact of rTMS to the Governments overall health budget </w:t>
      </w:r>
      <w:r>
        <w:rPr>
          <w:szCs w:val="24"/>
        </w:rPr>
        <w:t>to $98.4 million over the next five years.</w:t>
      </w:r>
      <w:r>
        <w:rPr>
          <w:sz w:val="22"/>
        </w:rPr>
        <w:t xml:space="preserve"> </w:t>
      </w:r>
      <w:r>
        <w:rPr>
          <w:szCs w:val="24"/>
        </w:rPr>
        <w:t>A 10% reduction in the incidence of treatment resistant depression results in rTMS adding approximately $61.3 million to the overall health budget over a five year time horizon.</w:t>
      </w:r>
    </w:p>
    <w:p w14:paraId="2A8D974F" w14:textId="77777777" w:rsidR="00A875F6" w:rsidRPr="00073A0A" w:rsidRDefault="00FC7487" w:rsidP="008C3491">
      <w:pPr>
        <w:pStyle w:val="Heading5"/>
      </w:pPr>
      <w:r w:rsidRPr="00073A0A">
        <w:t>The proportion of patients receiving rTMS</w:t>
      </w:r>
    </w:p>
    <w:p w14:paraId="14F275AA" w14:textId="5840662C" w:rsidR="00FC7487" w:rsidRPr="001F17C0" w:rsidRDefault="00FC7487" w:rsidP="005E00ED">
      <w:pPr>
        <w:jc w:val="both"/>
        <w:rPr>
          <w:rFonts w:cs="Garamond"/>
          <w:szCs w:val="24"/>
        </w:rPr>
      </w:pPr>
      <w:r>
        <w:t xml:space="preserve">The proportion of patients who will opt for rTMS initially following listing on the MBS was estimated to be 0.56% of the eligible population. This was based on the current rate of referrals for rTMS among those with private health insurance in South Australia, and extrapolated to the Australian adult population. </w:t>
      </w:r>
      <w:r w:rsidR="00674DA7">
        <w:t>Although this resulted in an uptake of rTMS which, when compared to current ECT use</w:t>
      </w:r>
      <w:r w:rsidR="008655C2">
        <w:t>,</w:t>
      </w:r>
      <w:r w:rsidR="00674DA7">
        <w:t xml:space="preserve"> seems reasonable, a</w:t>
      </w:r>
      <w:r>
        <w:t xml:space="preserve"> sen</w:t>
      </w:r>
      <w:r w:rsidR="0096199F">
        <w:t>sitivity analysis increasing this</w:t>
      </w:r>
      <w:r>
        <w:t xml:space="preserve"> </w:t>
      </w:r>
      <w:r w:rsidR="0096199F">
        <w:t>proportion</w:t>
      </w:r>
      <w:r>
        <w:t xml:space="preserve"> to 1%, 1.5% and 2% of the eligible population </w:t>
      </w:r>
      <w:r w:rsidR="008655C2">
        <w:t xml:space="preserve">was performed </w:t>
      </w:r>
      <w:r w:rsidR="008655C2" w:rsidRPr="001F17C0">
        <w:rPr>
          <w:rFonts w:cs="Garamond"/>
          <w:szCs w:val="24"/>
        </w:rPr>
        <w:t xml:space="preserve">and </w:t>
      </w:r>
      <w:r w:rsidRPr="001F17C0">
        <w:rPr>
          <w:rFonts w:cs="Garamond"/>
          <w:szCs w:val="24"/>
        </w:rPr>
        <w:t xml:space="preserve">is summarised in </w:t>
      </w:r>
      <w:r w:rsidR="001F17C0" w:rsidRPr="001F17C0">
        <w:rPr>
          <w:rFonts w:cs="Garamond"/>
          <w:szCs w:val="24"/>
        </w:rPr>
        <w:fldChar w:fldCharType="begin"/>
      </w:r>
      <w:r w:rsidR="001F17C0" w:rsidRPr="001F17C0">
        <w:rPr>
          <w:rFonts w:cs="Garamond"/>
          <w:szCs w:val="24"/>
        </w:rPr>
        <w:instrText xml:space="preserve"> REF _Ref386103560 \h </w:instrText>
      </w:r>
      <w:r w:rsidR="001F17C0">
        <w:rPr>
          <w:rFonts w:cs="Garamond"/>
          <w:szCs w:val="24"/>
        </w:rPr>
        <w:instrText xml:space="preserve"> \* MERGEFORMAT </w:instrText>
      </w:r>
      <w:r w:rsidR="001F17C0" w:rsidRPr="001F17C0">
        <w:rPr>
          <w:rFonts w:cs="Garamond"/>
          <w:szCs w:val="24"/>
        </w:rPr>
      </w:r>
      <w:r w:rsidR="001F17C0" w:rsidRPr="001F17C0">
        <w:rPr>
          <w:rFonts w:cs="Garamond"/>
          <w:szCs w:val="24"/>
        </w:rPr>
        <w:fldChar w:fldCharType="separate"/>
      </w:r>
      <w:r w:rsidR="004C1C27" w:rsidRPr="004C1C27">
        <w:rPr>
          <w:rFonts w:cs="Garamond"/>
          <w:szCs w:val="24"/>
        </w:rPr>
        <w:t>Table 3</w:t>
      </w:r>
      <w:r w:rsidR="001F17C0" w:rsidRPr="001F17C0">
        <w:rPr>
          <w:rFonts w:cs="Garamond"/>
          <w:szCs w:val="24"/>
        </w:rPr>
        <w:fldChar w:fldCharType="end"/>
      </w:r>
      <w:r w:rsidRPr="001F17C0">
        <w:rPr>
          <w:rFonts w:cs="Garamond"/>
          <w:szCs w:val="24"/>
        </w:rPr>
        <w:t>.</w:t>
      </w:r>
    </w:p>
    <w:p w14:paraId="3971A41B" w14:textId="5CD8A15B" w:rsidR="004C314A" w:rsidRDefault="004C314A" w:rsidP="006258B7">
      <w:pPr>
        <w:pStyle w:val="TableName"/>
      </w:pPr>
      <w:bookmarkStart w:id="217" w:name="_Ref386103560"/>
      <w:bookmarkStart w:id="218" w:name="_Toc386102847"/>
      <w:bookmarkStart w:id="219" w:name="_Toc389143606"/>
      <w:r>
        <w:t>Table 3</w:t>
      </w:r>
      <w:bookmarkEnd w:id="217"/>
      <w:r w:rsidR="006258B7">
        <w:t>2</w:t>
      </w:r>
      <w:r>
        <w:t>: Sensitivity analysis – Proportion of patients who opt for rTMS</w:t>
      </w:r>
      <w:bookmarkEnd w:id="218"/>
      <w:bookmarkEnd w:id="219"/>
    </w:p>
    <w:tbl>
      <w:tblPr>
        <w:tblStyle w:val="TableGrid"/>
        <w:tblW w:w="4558" w:type="pct"/>
        <w:tblInd w:w="817" w:type="dxa"/>
        <w:tblLook w:val="04A0" w:firstRow="1" w:lastRow="0" w:firstColumn="1" w:lastColumn="0" w:noHBand="0" w:noVBand="1"/>
        <w:tblCaption w:val="Sensitivity analysis - proportion of patients who opt for rTMS"/>
      </w:tblPr>
      <w:tblGrid>
        <w:gridCol w:w="2644"/>
        <w:gridCol w:w="1140"/>
        <w:gridCol w:w="1138"/>
        <w:gridCol w:w="1139"/>
        <w:gridCol w:w="1109"/>
        <w:gridCol w:w="1109"/>
      </w:tblGrid>
      <w:tr w:rsidR="004C314A" w14:paraId="2E7F0519" w14:textId="77777777" w:rsidTr="004C314A">
        <w:trPr>
          <w:cantSplit/>
          <w:tblHeader/>
        </w:trPr>
        <w:tc>
          <w:tcPr>
            <w:tcW w:w="1596" w:type="pct"/>
            <w:tcBorders>
              <w:top w:val="single" w:sz="4" w:space="0" w:color="auto"/>
              <w:left w:val="single" w:sz="4" w:space="0" w:color="auto"/>
              <w:bottom w:val="single" w:sz="4" w:space="0" w:color="auto"/>
              <w:right w:val="single" w:sz="4" w:space="0" w:color="auto"/>
            </w:tcBorders>
            <w:tcMar>
              <w:left w:w="28" w:type="dxa"/>
              <w:right w:w="28" w:type="dxa"/>
            </w:tcMar>
          </w:tcPr>
          <w:p w14:paraId="57B17779" w14:textId="77777777" w:rsidR="004C314A" w:rsidRPr="00C81725" w:rsidRDefault="004C314A" w:rsidP="004C314A">
            <w:pPr>
              <w:keepNext/>
              <w:spacing w:before="40" w:after="40"/>
              <w:ind w:left="0"/>
              <w:rPr>
                <w:rFonts w:ascii="Arial Narrow" w:hAnsi="Arial Narrow" w:cs="Arial"/>
                <w:sz w:val="20"/>
              </w:rPr>
            </w:pPr>
          </w:p>
        </w:tc>
        <w:tc>
          <w:tcPr>
            <w:tcW w:w="68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E414ABA"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39DC9F62"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6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DB35F6"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77B20384"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68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33DE767"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78E3050D"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6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845AB2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63C2CE8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670"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379099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157116A9"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648B6B77" w14:textId="77777777" w:rsidTr="004C314A">
        <w:trPr>
          <w:cantSplit/>
        </w:trPr>
        <w:tc>
          <w:tcPr>
            <w:tcW w:w="1596"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9F3504B"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0.56% opt for rTMS (base case)</w:t>
            </w:r>
          </w:p>
        </w:tc>
        <w:tc>
          <w:tcPr>
            <w:tcW w:w="68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5C40A2" w14:textId="77777777" w:rsidR="004C314A" w:rsidRPr="00C81725" w:rsidRDefault="004C314A" w:rsidP="004C314A">
            <w:pPr>
              <w:pStyle w:val="TableText"/>
              <w:keepNext w:val="0"/>
              <w:widowControl w:val="0"/>
              <w:jc w:val="center"/>
              <w:rPr>
                <w:b/>
                <w:sz w:val="20"/>
              </w:rPr>
            </w:pPr>
            <w:r w:rsidRPr="00C81725">
              <w:rPr>
                <w:b/>
                <w:sz w:val="20"/>
              </w:rPr>
              <w:t>$13,007,201</w:t>
            </w:r>
          </w:p>
        </w:tc>
        <w:tc>
          <w:tcPr>
            <w:tcW w:w="6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287C90" w14:textId="77777777" w:rsidR="004C314A" w:rsidRPr="00C81725" w:rsidRDefault="004C314A" w:rsidP="004C314A">
            <w:pPr>
              <w:pStyle w:val="TableText"/>
              <w:keepNext w:val="0"/>
              <w:widowControl w:val="0"/>
              <w:jc w:val="center"/>
              <w:rPr>
                <w:b/>
                <w:sz w:val="20"/>
              </w:rPr>
            </w:pPr>
            <w:r w:rsidRPr="00C81725">
              <w:rPr>
                <w:b/>
                <w:sz w:val="20"/>
              </w:rPr>
              <w:t>$14,437,236</w:t>
            </w:r>
          </w:p>
        </w:tc>
        <w:tc>
          <w:tcPr>
            <w:tcW w:w="68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3F87DD" w14:textId="77777777" w:rsidR="004C314A" w:rsidRPr="00C81725" w:rsidRDefault="004C314A" w:rsidP="004C314A">
            <w:pPr>
              <w:pStyle w:val="TableText"/>
              <w:keepNext w:val="0"/>
              <w:widowControl w:val="0"/>
              <w:jc w:val="center"/>
              <w:rPr>
                <w:b/>
                <w:sz w:val="20"/>
              </w:rPr>
            </w:pPr>
            <w:r w:rsidRPr="00C81725">
              <w:rPr>
                <w:b/>
                <w:sz w:val="20"/>
              </w:rPr>
              <w:t>$15,932,570</w:t>
            </w:r>
          </w:p>
        </w:tc>
        <w:tc>
          <w:tcPr>
            <w:tcW w:w="6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4C042C" w14:textId="77777777" w:rsidR="004C314A" w:rsidRPr="00C81725" w:rsidRDefault="004C314A" w:rsidP="004C314A">
            <w:pPr>
              <w:pStyle w:val="TableText"/>
              <w:keepNext w:val="0"/>
              <w:widowControl w:val="0"/>
              <w:jc w:val="center"/>
              <w:rPr>
                <w:b/>
                <w:sz w:val="20"/>
              </w:rPr>
            </w:pPr>
            <w:r w:rsidRPr="00C81725">
              <w:rPr>
                <w:b/>
                <w:sz w:val="20"/>
              </w:rPr>
              <w:t>$17,450,607</w:t>
            </w:r>
          </w:p>
        </w:tc>
        <w:tc>
          <w:tcPr>
            <w:tcW w:w="6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48F27D" w14:textId="77777777" w:rsidR="004C314A" w:rsidRPr="00C81725" w:rsidRDefault="004C314A" w:rsidP="004C314A">
            <w:pPr>
              <w:pStyle w:val="TableText"/>
              <w:keepNext w:val="0"/>
              <w:widowControl w:val="0"/>
              <w:jc w:val="center"/>
              <w:rPr>
                <w:b/>
                <w:sz w:val="20"/>
              </w:rPr>
            </w:pPr>
            <w:r w:rsidRPr="00C81725">
              <w:rPr>
                <w:b/>
                <w:sz w:val="20"/>
              </w:rPr>
              <w:t>$19,025,011</w:t>
            </w:r>
          </w:p>
        </w:tc>
      </w:tr>
      <w:tr w:rsidR="004C314A" w14:paraId="1D7C0A09" w14:textId="77777777" w:rsidTr="004C314A">
        <w:trPr>
          <w:cantSplit/>
        </w:trPr>
        <w:tc>
          <w:tcPr>
            <w:tcW w:w="1596"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3A6AE10"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1.0% opt for rTMS</w:t>
            </w:r>
          </w:p>
        </w:tc>
        <w:tc>
          <w:tcPr>
            <w:tcW w:w="68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7082FD"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$23,450,369</w:t>
            </w:r>
          </w:p>
        </w:tc>
        <w:tc>
          <w:tcPr>
            <w:tcW w:w="6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5E0252"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$26,027,681</w:t>
            </w:r>
          </w:p>
        </w:tc>
        <w:tc>
          <w:tcPr>
            <w:tcW w:w="68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8BD88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$28,704,614</w:t>
            </w:r>
          </w:p>
        </w:tc>
        <w:tc>
          <w:tcPr>
            <w:tcW w:w="6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FEC3F4"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$31,438,331</w:t>
            </w:r>
          </w:p>
        </w:tc>
        <w:tc>
          <w:tcPr>
            <w:tcW w:w="670" w:type="pct"/>
            <w:tcBorders>
              <w:top w:val="single" w:sz="4" w:space="0" w:color="auto"/>
              <w:left w:val="single" w:sz="4" w:space="0" w:color="auto"/>
              <w:bottom w:val="single" w:sz="4" w:space="0" w:color="auto"/>
              <w:right w:val="single" w:sz="4" w:space="0" w:color="auto"/>
            </w:tcBorders>
            <w:tcMar>
              <w:left w:w="28" w:type="dxa"/>
              <w:right w:w="28" w:type="dxa"/>
            </w:tcMar>
          </w:tcPr>
          <w:p w14:paraId="03B04CB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$34,259,817</w:t>
            </w:r>
          </w:p>
        </w:tc>
      </w:tr>
      <w:tr w:rsidR="004C314A" w14:paraId="31650D61" w14:textId="77777777" w:rsidTr="004C314A">
        <w:trPr>
          <w:cantSplit/>
        </w:trPr>
        <w:tc>
          <w:tcPr>
            <w:tcW w:w="1596"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A99B0EB"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1.5% opt for rTMS</w:t>
            </w:r>
          </w:p>
        </w:tc>
        <w:tc>
          <w:tcPr>
            <w:tcW w:w="68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25034F"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$35,317,606</w:t>
            </w:r>
          </w:p>
        </w:tc>
        <w:tc>
          <w:tcPr>
            <w:tcW w:w="6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FCC2AA"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$39,198,640</w:t>
            </w:r>
          </w:p>
        </w:tc>
        <w:tc>
          <w:tcPr>
            <w:tcW w:w="68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C4F335"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$43,218,299</w:t>
            </w:r>
          </w:p>
        </w:tc>
        <w:tc>
          <w:tcPr>
            <w:tcW w:w="6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B33755"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$48,333,473</w:t>
            </w:r>
          </w:p>
        </w:tc>
        <w:tc>
          <w:tcPr>
            <w:tcW w:w="670" w:type="pct"/>
            <w:tcBorders>
              <w:top w:val="single" w:sz="4" w:space="0" w:color="auto"/>
              <w:left w:val="single" w:sz="4" w:space="0" w:color="auto"/>
              <w:bottom w:val="single" w:sz="4" w:space="0" w:color="auto"/>
              <w:right w:val="single" w:sz="4" w:space="0" w:color="auto"/>
            </w:tcBorders>
            <w:tcMar>
              <w:left w:w="28" w:type="dxa"/>
              <w:right w:w="28" w:type="dxa"/>
            </w:tcMar>
          </w:tcPr>
          <w:p w14:paraId="725E941D"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$51,572,097</w:t>
            </w:r>
          </w:p>
        </w:tc>
      </w:tr>
      <w:tr w:rsidR="004C314A" w14:paraId="230C79AE" w14:textId="77777777" w:rsidTr="004C314A">
        <w:trPr>
          <w:cantSplit/>
        </w:trPr>
        <w:tc>
          <w:tcPr>
            <w:tcW w:w="1596"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CBF0AD9"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2.0% opt for rTMS</w:t>
            </w:r>
          </w:p>
        </w:tc>
        <w:tc>
          <w:tcPr>
            <w:tcW w:w="68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0FDAAF"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$47,184,842</w:t>
            </w:r>
          </w:p>
        </w:tc>
        <w:tc>
          <w:tcPr>
            <w:tcW w:w="6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4539BA"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$52,369,600</w:t>
            </w:r>
          </w:p>
        </w:tc>
        <w:tc>
          <w:tcPr>
            <w:tcW w:w="68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C4595C"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$57,731,985</w:t>
            </w:r>
          </w:p>
        </w:tc>
        <w:tc>
          <w:tcPr>
            <w:tcW w:w="6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A4C828"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$63,228,614</w:t>
            </w:r>
          </w:p>
        </w:tc>
        <w:tc>
          <w:tcPr>
            <w:tcW w:w="670" w:type="pct"/>
            <w:tcBorders>
              <w:top w:val="single" w:sz="4" w:space="0" w:color="auto"/>
              <w:left w:val="single" w:sz="4" w:space="0" w:color="auto"/>
              <w:bottom w:val="single" w:sz="4" w:space="0" w:color="auto"/>
              <w:right w:val="single" w:sz="4" w:space="0" w:color="auto"/>
            </w:tcBorders>
            <w:tcMar>
              <w:left w:w="28" w:type="dxa"/>
              <w:right w:w="28" w:type="dxa"/>
            </w:tcMar>
          </w:tcPr>
          <w:p w14:paraId="209F870B"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$68,884,377</w:t>
            </w:r>
          </w:p>
        </w:tc>
      </w:tr>
    </w:tbl>
    <w:p w14:paraId="30A4C308"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3BDAD3F0" w14:textId="77777777" w:rsidR="004C314A" w:rsidRDefault="004C314A" w:rsidP="004C314A">
      <w:pPr>
        <w:keepNext/>
        <w:spacing w:before="40" w:after="40"/>
        <w:rPr>
          <w:rFonts w:ascii="Arial Narrow" w:hAnsi="Arial Narrow" w:cs="Arial"/>
          <w:sz w:val="18"/>
          <w:szCs w:val="18"/>
        </w:rPr>
      </w:pPr>
      <w:proofErr w:type="gramStart"/>
      <w:r>
        <w:rPr>
          <w:rFonts w:ascii="Arial Narrow" w:hAnsi="Arial Narrow" w:cs="Arial"/>
          <w:sz w:val="18"/>
          <w:szCs w:val="18"/>
        </w:rPr>
        <w:t>rTMS</w:t>
      </w:r>
      <w:proofErr w:type="gramEnd"/>
      <w:r>
        <w:rPr>
          <w:rFonts w:ascii="Arial Narrow" w:hAnsi="Arial Narrow" w:cs="Arial"/>
          <w:sz w:val="18"/>
          <w:szCs w:val="18"/>
        </w:rPr>
        <w:t xml:space="preserve"> = repetitive Transcranial Magnetic Stimulation</w:t>
      </w:r>
    </w:p>
    <w:p w14:paraId="55016358" w14:textId="77777777" w:rsidR="004C314A" w:rsidRDefault="004C314A" w:rsidP="004C314A"/>
    <w:p w14:paraId="314D19E9" w14:textId="77777777" w:rsidR="004C314A" w:rsidRDefault="004C314A" w:rsidP="004C314A">
      <w:pPr>
        <w:jc w:val="both"/>
      </w:pPr>
      <w:r>
        <w:lastRenderedPageBreak/>
        <w:t xml:space="preserve">Increasing the uptake of rTMS among patients who are treatment resistant to 1%, 1.5% and 2% substantially increases Government expenditure. </w:t>
      </w:r>
    </w:p>
    <w:p w14:paraId="66AF8200" w14:textId="77777777" w:rsidR="001F0BFB" w:rsidRDefault="00F83351" w:rsidP="008C3491">
      <w:pPr>
        <w:pStyle w:val="Heading5"/>
      </w:pPr>
      <w:r w:rsidRPr="00073A0A">
        <w:t>The gra</w:t>
      </w:r>
      <w:r w:rsidR="001F0BFB" w:rsidRPr="00073A0A">
        <w:t>dual uptake rate of rTMS</w:t>
      </w:r>
    </w:p>
    <w:p w14:paraId="761B2897" w14:textId="37204AF9" w:rsidR="001F0BFB" w:rsidRPr="001F17C0" w:rsidRDefault="00C62F45" w:rsidP="00F83351">
      <w:pPr>
        <w:jc w:val="both"/>
        <w:rPr>
          <w:rFonts w:cs="Garamond"/>
          <w:szCs w:val="24"/>
        </w:rPr>
      </w:pPr>
      <w:r>
        <w:t>It was assumed in t</w:t>
      </w:r>
      <w:r w:rsidR="001F0BFB">
        <w:t xml:space="preserve">he base case analysis that </w:t>
      </w:r>
      <w:r w:rsidR="00674DA7">
        <w:t>as the availability and accessibility of rTMS improves</w:t>
      </w:r>
      <w:r w:rsidR="0024387A">
        <w:t xml:space="preserve"> following </w:t>
      </w:r>
      <w:r w:rsidR="00674DA7">
        <w:t xml:space="preserve">listing on the </w:t>
      </w:r>
      <w:proofErr w:type="gramStart"/>
      <w:r w:rsidR="00674DA7">
        <w:t>MBS,</w:t>
      </w:r>
      <w:proofErr w:type="gramEnd"/>
      <w:r w:rsidR="00674DA7">
        <w:t xml:space="preserve"> </w:t>
      </w:r>
      <w:r w:rsidR="0096199F">
        <w:t>its</w:t>
      </w:r>
      <w:r w:rsidR="00674DA7">
        <w:t xml:space="preserve"> </w:t>
      </w:r>
      <w:r w:rsidR="001F0BFB">
        <w:t xml:space="preserve">uptake </w:t>
      </w:r>
      <w:r w:rsidR="00674DA7">
        <w:t xml:space="preserve">will </w:t>
      </w:r>
      <w:r w:rsidR="006B38E2">
        <w:t>increase by 10% per year</w:t>
      </w:r>
      <w:r w:rsidR="00674DA7">
        <w:t>.</w:t>
      </w:r>
      <w:r w:rsidR="001F0BFB">
        <w:t xml:space="preserve"> </w:t>
      </w:r>
      <w:r w:rsidR="00674DA7">
        <w:t xml:space="preserve">Although this is an </w:t>
      </w:r>
      <w:r w:rsidR="001F0BFB">
        <w:t>assumption only</w:t>
      </w:r>
      <w:r w:rsidR="00674DA7">
        <w:t xml:space="preserve">, it was based on the uptake of </w:t>
      </w:r>
      <w:r w:rsidR="0096199F">
        <w:t>ECT following its listing on the PBS in 1999 and took into consideration the safety profile of rTMS</w:t>
      </w:r>
      <w:r w:rsidR="006B38E2">
        <w:t xml:space="preserve">. A sensitivity analysis in which </w:t>
      </w:r>
      <w:r w:rsidR="0096199F">
        <w:t xml:space="preserve">the </w:t>
      </w:r>
      <w:r w:rsidR="006B38E2">
        <w:t xml:space="preserve">uptake </w:t>
      </w:r>
      <w:r w:rsidR="0096199F">
        <w:t xml:space="preserve">of rTMS </w:t>
      </w:r>
      <w:r w:rsidR="006B38E2">
        <w:t xml:space="preserve">increases by </w:t>
      </w:r>
      <w:r w:rsidR="0024387A">
        <w:t>15</w:t>
      </w:r>
      <w:r w:rsidR="006B38E2">
        <w:t xml:space="preserve">% and </w:t>
      </w:r>
      <w:r w:rsidR="0024387A">
        <w:t>20</w:t>
      </w:r>
      <w:r w:rsidR="006B38E2">
        <w:t xml:space="preserve">% per year </w:t>
      </w:r>
      <w:r w:rsidR="001F0BFB">
        <w:t xml:space="preserve">is </w:t>
      </w:r>
      <w:r w:rsidR="001F0BFB" w:rsidRPr="001F17C0">
        <w:rPr>
          <w:rFonts w:cs="Garamond"/>
          <w:szCs w:val="24"/>
        </w:rPr>
        <w:t xml:space="preserve">presented in </w:t>
      </w:r>
      <w:r w:rsidR="001F17C0" w:rsidRPr="001F17C0">
        <w:rPr>
          <w:rFonts w:cs="Garamond"/>
          <w:szCs w:val="24"/>
        </w:rPr>
        <w:fldChar w:fldCharType="begin"/>
      </w:r>
      <w:r w:rsidR="001F17C0" w:rsidRPr="001F17C0">
        <w:rPr>
          <w:rFonts w:cs="Garamond"/>
          <w:szCs w:val="24"/>
        </w:rPr>
        <w:instrText xml:space="preserve"> REF _Ref386103566 \h </w:instrText>
      </w:r>
      <w:r w:rsidR="001F17C0">
        <w:rPr>
          <w:rFonts w:cs="Garamond"/>
          <w:szCs w:val="24"/>
        </w:rPr>
        <w:instrText xml:space="preserve"> \* MERGEFORMAT </w:instrText>
      </w:r>
      <w:r w:rsidR="001F17C0" w:rsidRPr="001F17C0">
        <w:rPr>
          <w:rFonts w:cs="Garamond"/>
          <w:szCs w:val="24"/>
        </w:rPr>
      </w:r>
      <w:r w:rsidR="001F17C0" w:rsidRPr="001F17C0">
        <w:rPr>
          <w:rFonts w:cs="Garamond"/>
          <w:szCs w:val="24"/>
        </w:rPr>
        <w:fldChar w:fldCharType="separate"/>
      </w:r>
      <w:r w:rsidR="004C1C27" w:rsidRPr="004C1C27">
        <w:rPr>
          <w:rFonts w:cs="Garamond"/>
          <w:szCs w:val="24"/>
        </w:rPr>
        <w:t>Table 3</w:t>
      </w:r>
      <w:r w:rsidR="001F17C0" w:rsidRPr="001F17C0">
        <w:rPr>
          <w:rFonts w:cs="Garamond"/>
          <w:szCs w:val="24"/>
        </w:rPr>
        <w:fldChar w:fldCharType="end"/>
      </w:r>
      <w:r w:rsidR="001F0BFB" w:rsidRPr="001F17C0">
        <w:rPr>
          <w:rFonts w:cs="Garamond"/>
          <w:szCs w:val="24"/>
        </w:rPr>
        <w:t>.</w:t>
      </w:r>
    </w:p>
    <w:p w14:paraId="4D203EC7" w14:textId="0632D389" w:rsidR="004C314A" w:rsidRDefault="004C314A" w:rsidP="006258B7">
      <w:pPr>
        <w:pStyle w:val="TableName"/>
      </w:pPr>
      <w:bookmarkStart w:id="220" w:name="_Ref386103566"/>
      <w:bookmarkStart w:id="221" w:name="_Toc386102848"/>
      <w:bookmarkStart w:id="222" w:name="_Toc389143607"/>
      <w:r>
        <w:t>Table 3</w:t>
      </w:r>
      <w:bookmarkEnd w:id="220"/>
      <w:r w:rsidR="006258B7">
        <w:t>3</w:t>
      </w:r>
      <w:r>
        <w:t>: Sensitivity analysis – Gradual uptake rate of rTMS</w:t>
      </w:r>
      <w:bookmarkEnd w:id="221"/>
      <w:bookmarkEnd w:id="222"/>
    </w:p>
    <w:tbl>
      <w:tblPr>
        <w:tblStyle w:val="TableGrid"/>
        <w:tblW w:w="4594" w:type="pct"/>
        <w:tblInd w:w="737" w:type="dxa"/>
        <w:tblLook w:val="04A0" w:firstRow="1" w:lastRow="0" w:firstColumn="1" w:lastColumn="0" w:noHBand="0" w:noVBand="1"/>
        <w:tblCaption w:val="Sensitivity analysis - update of rTMS"/>
      </w:tblPr>
      <w:tblGrid>
        <w:gridCol w:w="2301"/>
        <w:gridCol w:w="1226"/>
        <w:gridCol w:w="1227"/>
        <w:gridCol w:w="1227"/>
        <w:gridCol w:w="1227"/>
        <w:gridCol w:w="1137"/>
      </w:tblGrid>
      <w:tr w:rsidR="004C314A" w14:paraId="677666B9" w14:textId="77777777" w:rsidTr="004C314A">
        <w:trPr>
          <w:cantSplit/>
          <w:tblHeader/>
        </w:trPr>
        <w:tc>
          <w:tcPr>
            <w:tcW w:w="1379" w:type="pct"/>
            <w:tcBorders>
              <w:top w:val="single" w:sz="4" w:space="0" w:color="auto"/>
              <w:left w:val="single" w:sz="4" w:space="0" w:color="auto"/>
              <w:bottom w:val="single" w:sz="4" w:space="0" w:color="auto"/>
              <w:right w:val="single" w:sz="4" w:space="0" w:color="auto"/>
            </w:tcBorders>
            <w:tcMar>
              <w:left w:w="28" w:type="dxa"/>
              <w:right w:w="28" w:type="dxa"/>
            </w:tcMar>
          </w:tcPr>
          <w:p w14:paraId="69152A7D" w14:textId="77777777" w:rsidR="004C314A" w:rsidRPr="00C81725" w:rsidRDefault="004C314A" w:rsidP="004C314A">
            <w:pPr>
              <w:keepNext/>
              <w:spacing w:before="40" w:after="40"/>
              <w:ind w:left="0"/>
              <w:rPr>
                <w:rFonts w:ascii="Arial Narrow" w:hAnsi="Arial Narrow" w:cs="Arial"/>
                <w:sz w:val="20"/>
              </w:rPr>
            </w:pP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C0BE136"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1ECBD2B9"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5FD1A9"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52FAFAB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7017E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44524E04"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87B969"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05E0BACE"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96B1328"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3BCAA05A"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3CD0A6DF" w14:textId="77777777" w:rsidTr="004C314A">
        <w:trPr>
          <w:cantSplit/>
        </w:trPr>
        <w:tc>
          <w:tcPr>
            <w:tcW w:w="137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44FB2BB"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Gradual uptake = 10%</w:t>
            </w:r>
            <w:r>
              <w:rPr>
                <w:rFonts w:ascii="Arial Narrow" w:hAnsi="Arial Narrow" w:cs="Arial"/>
                <w:sz w:val="20"/>
              </w:rPr>
              <w:t>/</w:t>
            </w:r>
            <w:r w:rsidRPr="00C81725">
              <w:rPr>
                <w:rFonts w:ascii="Arial Narrow" w:hAnsi="Arial Narrow" w:cs="Arial"/>
                <w:sz w:val="20"/>
              </w:rPr>
              <w:t>year (base case)</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887C83" w14:textId="77777777" w:rsidR="004C314A" w:rsidRPr="00C81725" w:rsidRDefault="004C314A" w:rsidP="004C314A">
            <w:pPr>
              <w:pStyle w:val="TableText"/>
              <w:keepNext w:val="0"/>
              <w:widowControl w:val="0"/>
              <w:jc w:val="center"/>
              <w:rPr>
                <w:b/>
                <w:sz w:val="20"/>
              </w:rPr>
            </w:pPr>
            <w:r w:rsidRPr="00C81725">
              <w:rPr>
                <w:b/>
                <w:sz w:val="20"/>
              </w:rPr>
              <w:t>$13,007,201</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1D797E" w14:textId="77777777" w:rsidR="004C314A" w:rsidRPr="00C81725" w:rsidRDefault="004C314A" w:rsidP="004C314A">
            <w:pPr>
              <w:pStyle w:val="TableText"/>
              <w:keepNext w:val="0"/>
              <w:widowControl w:val="0"/>
              <w:jc w:val="center"/>
              <w:rPr>
                <w:b/>
                <w:sz w:val="20"/>
              </w:rPr>
            </w:pPr>
            <w:r w:rsidRPr="00C81725">
              <w:rPr>
                <w:b/>
                <w:sz w:val="20"/>
              </w:rPr>
              <w:t>$14,437,236</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CAB0B0" w14:textId="77777777" w:rsidR="004C314A" w:rsidRPr="00C81725" w:rsidRDefault="004C314A" w:rsidP="004C314A">
            <w:pPr>
              <w:pStyle w:val="TableText"/>
              <w:keepNext w:val="0"/>
              <w:widowControl w:val="0"/>
              <w:jc w:val="center"/>
              <w:rPr>
                <w:b/>
                <w:sz w:val="20"/>
              </w:rPr>
            </w:pPr>
            <w:r w:rsidRPr="00C81725">
              <w:rPr>
                <w:b/>
                <w:sz w:val="20"/>
              </w:rPr>
              <w:t>$15,932,570</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E92894" w14:textId="77777777" w:rsidR="004C314A" w:rsidRPr="00C81725" w:rsidRDefault="004C314A" w:rsidP="004C314A">
            <w:pPr>
              <w:pStyle w:val="TableText"/>
              <w:keepNext w:val="0"/>
              <w:widowControl w:val="0"/>
              <w:jc w:val="center"/>
              <w:rPr>
                <w:b/>
                <w:sz w:val="20"/>
              </w:rPr>
            </w:pPr>
            <w:r w:rsidRPr="00C81725">
              <w:rPr>
                <w:b/>
                <w:sz w:val="20"/>
              </w:rPr>
              <w:t>$17,450,607</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C68B08" w14:textId="77777777" w:rsidR="004C314A" w:rsidRPr="00C81725" w:rsidRDefault="004C314A" w:rsidP="004C314A">
            <w:pPr>
              <w:pStyle w:val="TableText"/>
              <w:keepNext w:val="0"/>
              <w:widowControl w:val="0"/>
              <w:jc w:val="center"/>
              <w:rPr>
                <w:b/>
                <w:sz w:val="20"/>
              </w:rPr>
            </w:pPr>
            <w:r w:rsidRPr="00C81725">
              <w:rPr>
                <w:b/>
                <w:sz w:val="20"/>
              </w:rPr>
              <w:t>$19,025,011</w:t>
            </w:r>
          </w:p>
        </w:tc>
      </w:tr>
      <w:tr w:rsidR="004C314A" w14:paraId="4CD61B3D" w14:textId="77777777" w:rsidTr="004C314A">
        <w:trPr>
          <w:cantSplit/>
        </w:trPr>
        <w:tc>
          <w:tcPr>
            <w:tcW w:w="137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B9E813F"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Gradual uptake = 15%</w:t>
            </w:r>
            <w:r>
              <w:rPr>
                <w:rFonts w:ascii="Arial Narrow" w:hAnsi="Arial Narrow" w:cs="Arial"/>
                <w:sz w:val="20"/>
              </w:rPr>
              <w:t>/</w:t>
            </w:r>
            <w:r w:rsidRPr="00C81725">
              <w:rPr>
                <w:rFonts w:ascii="Arial Narrow" w:hAnsi="Arial Narrow" w:cs="Arial"/>
                <w:sz w:val="20"/>
              </w:rPr>
              <w:t>year</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D10541"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$13,611,351</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C397BB"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$15,666,526</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A0CA35"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$17,808,185</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7A34F6"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$19,993,830</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674E95CF"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$22,256,636</w:t>
            </w:r>
          </w:p>
        </w:tc>
      </w:tr>
      <w:tr w:rsidR="004C314A" w14:paraId="3FBB7750" w14:textId="77777777" w:rsidTr="004C314A">
        <w:trPr>
          <w:cantSplit/>
        </w:trPr>
        <w:tc>
          <w:tcPr>
            <w:tcW w:w="1379"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4CDFC25C"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Gradual uptake = 20%</w:t>
            </w:r>
            <w:r>
              <w:rPr>
                <w:rFonts w:ascii="Arial Narrow" w:hAnsi="Arial Narrow" w:cs="Arial"/>
                <w:sz w:val="20"/>
              </w:rPr>
              <w:t>/</w:t>
            </w:r>
            <w:r w:rsidRPr="00C81725">
              <w:rPr>
                <w:rFonts w:ascii="Arial Narrow" w:hAnsi="Arial Narrow" w:cs="Arial"/>
                <w:sz w:val="20"/>
              </w:rPr>
              <w:t>year</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301D09"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$14,215,501</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D6C567"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$16,895,815</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5FBFCE"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$19,683,800</w:t>
            </w:r>
          </w:p>
        </w:tc>
        <w:tc>
          <w:tcPr>
            <w:tcW w:w="7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4E354C"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$22,537,052</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05FA14B"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$25,488,262</w:t>
            </w:r>
          </w:p>
        </w:tc>
      </w:tr>
    </w:tbl>
    <w:p w14:paraId="15DD1354"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5D3B3A22" w14:textId="77777777" w:rsidR="004C314A" w:rsidRDefault="004C314A" w:rsidP="004C314A">
      <w:pPr>
        <w:keepNext/>
        <w:spacing w:before="40" w:after="40"/>
        <w:rPr>
          <w:rFonts w:ascii="Arial Narrow" w:hAnsi="Arial Narrow" w:cs="Arial"/>
          <w:sz w:val="18"/>
          <w:szCs w:val="18"/>
        </w:rPr>
      </w:pPr>
      <w:proofErr w:type="gramStart"/>
      <w:r>
        <w:rPr>
          <w:rFonts w:ascii="Arial Narrow" w:hAnsi="Arial Narrow" w:cs="Arial"/>
          <w:sz w:val="18"/>
          <w:szCs w:val="18"/>
        </w:rPr>
        <w:t>rTMS</w:t>
      </w:r>
      <w:proofErr w:type="gramEnd"/>
      <w:r>
        <w:rPr>
          <w:rFonts w:ascii="Arial Narrow" w:hAnsi="Arial Narrow" w:cs="Arial"/>
          <w:sz w:val="18"/>
          <w:szCs w:val="18"/>
        </w:rPr>
        <w:t xml:space="preserve"> = repetitive Transcranial Magnetic Stimulation</w:t>
      </w:r>
    </w:p>
    <w:p w14:paraId="1AD2EA59" w14:textId="77777777" w:rsidR="005353DF" w:rsidRPr="008C3491" w:rsidRDefault="005353DF" w:rsidP="005353DF"/>
    <w:p w14:paraId="287519BF" w14:textId="6F236730" w:rsidR="001F0BFB" w:rsidRDefault="00310C27" w:rsidP="005E00ED">
      <w:pPr>
        <w:jc w:val="both"/>
      </w:pPr>
      <w:r>
        <w:t xml:space="preserve">Increasing the gradual uptake rate of rTMS to 15% and 20% per year results in a predicted expenditure in Year 5 is which </w:t>
      </w:r>
      <w:proofErr w:type="gramStart"/>
      <w:r>
        <w:t xml:space="preserve">is </w:t>
      </w:r>
      <w:r w:rsidR="00E72D54">
        <w:t>$2.2</w:t>
      </w:r>
      <w:proofErr w:type="gramEnd"/>
      <w:r w:rsidR="00E72D54">
        <w:t xml:space="preserve"> and $4.5 million </w:t>
      </w:r>
      <w:r w:rsidR="008C3491">
        <w:t>respectively more than the base-</w:t>
      </w:r>
      <w:r w:rsidR="00E72D54">
        <w:t>case estimate.</w:t>
      </w:r>
    </w:p>
    <w:p w14:paraId="2F697DD1" w14:textId="77777777" w:rsidR="00AE33AC" w:rsidRPr="00073A0A" w:rsidRDefault="00AE33AC" w:rsidP="008C3491">
      <w:pPr>
        <w:pStyle w:val="Heading5"/>
      </w:pPr>
      <w:r w:rsidRPr="00073A0A">
        <w:t>The average number of rTMS treatments per course</w:t>
      </w:r>
    </w:p>
    <w:p w14:paraId="7D0C9510" w14:textId="222E389B" w:rsidR="00AE33AC" w:rsidRPr="001F17C0" w:rsidRDefault="00492A4B" w:rsidP="005E00ED">
      <w:pPr>
        <w:jc w:val="both"/>
        <w:rPr>
          <w:rFonts w:cs="Garamond"/>
          <w:szCs w:val="24"/>
        </w:rPr>
      </w:pPr>
      <w:r>
        <w:t>In the base case analysis, the average number of treatments per course of rTMS is 28.3</w:t>
      </w:r>
      <w:r w:rsidR="007226BB">
        <w:t xml:space="preserve"> (SD = 10.1)</w:t>
      </w:r>
      <w:r>
        <w:t xml:space="preserve"> (Carpenter 2012). As there is limited information available on </w:t>
      </w:r>
      <w:r w:rsidR="00C62F45">
        <w:t xml:space="preserve">what is the </w:t>
      </w:r>
      <w:r>
        <w:t xml:space="preserve">optimal </w:t>
      </w:r>
      <w:r w:rsidR="00C62F45">
        <w:t xml:space="preserve">number of </w:t>
      </w:r>
      <w:r>
        <w:t>treatment</w:t>
      </w:r>
      <w:r w:rsidR="00C62F45">
        <w:t>s and on compliance rates</w:t>
      </w:r>
      <w:r w:rsidR="007932D2">
        <w:t xml:space="preserve"> (rTMS requires regularly attending a clinic/hospital for treatment sessions)</w:t>
      </w:r>
      <w:r w:rsidR="00C62F45">
        <w:t>,</w:t>
      </w:r>
      <w:r>
        <w:t xml:space="preserve"> and </w:t>
      </w:r>
      <w:r w:rsidR="00C62F45">
        <w:t xml:space="preserve">as </w:t>
      </w:r>
      <w:r>
        <w:t>the application states that ‘</w:t>
      </w:r>
      <w:r w:rsidRPr="0055362F">
        <w:rPr>
          <w:u w:val="single"/>
        </w:rPr>
        <w:t>most</w:t>
      </w:r>
      <w:r>
        <w:t xml:space="preserve"> patients would undergo a course treatment of between 20 and 30 treatments’ a sensitivity analysis in w</w:t>
      </w:r>
      <w:r w:rsidR="00C62F45">
        <w:t>hich the number of treatments equals</w:t>
      </w:r>
      <w:r>
        <w:t xml:space="preserve"> </w:t>
      </w:r>
      <w:r w:rsidR="0055362F">
        <w:t xml:space="preserve">15, 25 and 35 is presented below in </w:t>
      </w:r>
      <w:r w:rsidR="001F17C0" w:rsidRPr="001F17C0">
        <w:rPr>
          <w:rFonts w:cs="Garamond"/>
          <w:szCs w:val="24"/>
        </w:rPr>
        <w:fldChar w:fldCharType="begin"/>
      </w:r>
      <w:r w:rsidR="001F17C0" w:rsidRPr="001F17C0">
        <w:rPr>
          <w:rFonts w:cs="Garamond"/>
          <w:szCs w:val="24"/>
        </w:rPr>
        <w:instrText xml:space="preserve"> REF _Ref386103571 \h </w:instrText>
      </w:r>
      <w:r w:rsidR="001F17C0">
        <w:rPr>
          <w:rFonts w:cs="Garamond"/>
          <w:szCs w:val="24"/>
        </w:rPr>
        <w:instrText xml:space="preserve"> \* MERGEFORMAT </w:instrText>
      </w:r>
      <w:r w:rsidR="001F17C0" w:rsidRPr="001F17C0">
        <w:rPr>
          <w:rFonts w:cs="Garamond"/>
          <w:szCs w:val="24"/>
        </w:rPr>
      </w:r>
      <w:r w:rsidR="001F17C0" w:rsidRPr="001F17C0">
        <w:rPr>
          <w:rFonts w:cs="Garamond"/>
          <w:szCs w:val="24"/>
        </w:rPr>
        <w:fldChar w:fldCharType="separate"/>
      </w:r>
      <w:r w:rsidR="004C1C27" w:rsidRPr="004C1C27">
        <w:rPr>
          <w:rFonts w:cs="Garamond"/>
          <w:szCs w:val="24"/>
        </w:rPr>
        <w:t>Table 3</w:t>
      </w:r>
      <w:r w:rsidR="001F17C0" w:rsidRPr="001F17C0">
        <w:rPr>
          <w:rFonts w:cs="Garamond"/>
          <w:szCs w:val="24"/>
        </w:rPr>
        <w:fldChar w:fldCharType="end"/>
      </w:r>
      <w:r w:rsidR="0055362F" w:rsidRPr="001F17C0">
        <w:rPr>
          <w:rFonts w:cs="Garamond"/>
          <w:szCs w:val="24"/>
        </w:rPr>
        <w:t xml:space="preserve">. </w:t>
      </w:r>
    </w:p>
    <w:p w14:paraId="698E4D96" w14:textId="3FF77A68" w:rsidR="004C314A" w:rsidRDefault="004C314A" w:rsidP="006258B7">
      <w:pPr>
        <w:pStyle w:val="TableName"/>
      </w:pPr>
      <w:bookmarkStart w:id="223" w:name="_Ref386103571"/>
      <w:bookmarkStart w:id="224" w:name="_Toc386102849"/>
      <w:bookmarkStart w:id="225" w:name="_Toc389143608"/>
      <w:r>
        <w:t>Table 3</w:t>
      </w:r>
      <w:bookmarkEnd w:id="223"/>
      <w:r w:rsidR="006258B7">
        <w:t>4</w:t>
      </w:r>
      <w:r>
        <w:t>: Sensitivity analysis – Average number of rTMS treatments</w:t>
      </w:r>
      <w:bookmarkEnd w:id="224"/>
      <w:bookmarkEnd w:id="225"/>
    </w:p>
    <w:tbl>
      <w:tblPr>
        <w:tblStyle w:val="TableGrid"/>
        <w:tblW w:w="8370" w:type="dxa"/>
        <w:tblInd w:w="760" w:type="dxa"/>
        <w:tblLayout w:type="fixed"/>
        <w:tblLook w:val="04A0" w:firstRow="1" w:lastRow="0" w:firstColumn="1" w:lastColumn="0" w:noHBand="0" w:noVBand="1"/>
        <w:tblCaption w:val="Sensitivity analysis - number of rTMS treatments"/>
      </w:tblPr>
      <w:tblGrid>
        <w:gridCol w:w="3379"/>
        <w:gridCol w:w="992"/>
        <w:gridCol w:w="993"/>
        <w:gridCol w:w="992"/>
        <w:gridCol w:w="992"/>
        <w:gridCol w:w="1022"/>
      </w:tblGrid>
      <w:tr w:rsidR="004C314A" w14:paraId="7059A214" w14:textId="77777777" w:rsidTr="004C314A">
        <w:trPr>
          <w:cantSplit/>
          <w:tblHeader/>
        </w:trPr>
        <w:tc>
          <w:tcPr>
            <w:tcW w:w="33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4373B3" w14:textId="77777777" w:rsidR="004C314A" w:rsidRPr="00C81725" w:rsidRDefault="004C314A" w:rsidP="004C314A">
            <w:pPr>
              <w:keepNext/>
              <w:spacing w:before="40" w:after="40"/>
              <w:ind w:left="0"/>
              <w:rPr>
                <w:rFonts w:ascii="Arial Narrow" w:hAnsi="Arial Narrow" w:cs="Arial"/>
                <w:sz w:val="20"/>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BA4557"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0E02CDA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978E14"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7D326104"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C0C8CC"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4EE3F4A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2C990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3BF6B75F"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10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E58298"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39CFB4D8"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349FD362" w14:textId="77777777" w:rsidTr="004C314A">
        <w:trPr>
          <w:cantSplit/>
        </w:trPr>
        <w:tc>
          <w:tcPr>
            <w:tcW w:w="33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ABC16B"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15 rTMS treatments</w:t>
            </w:r>
            <w:r>
              <w:rPr>
                <w:rFonts w:ascii="Arial Narrow" w:hAnsi="Arial Narrow" w:cs="Arial"/>
                <w:sz w:val="20"/>
              </w:rPr>
              <w:t>/</w:t>
            </w:r>
            <w:r w:rsidRPr="00C81725">
              <w:rPr>
                <w:rFonts w:ascii="Arial Narrow" w:hAnsi="Arial Narrow" w:cs="Arial"/>
                <w:sz w:val="20"/>
              </w:rPr>
              <w:t>course</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27EBC8"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$7,540,631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8D1D30"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$8,370,114</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A5A9DA"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$9,246,930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721438"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$10,128,608</w:t>
            </w:r>
          </w:p>
        </w:tc>
        <w:tc>
          <w:tcPr>
            <w:tcW w:w="10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7E8421"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$11,050,215</w:t>
            </w:r>
          </w:p>
        </w:tc>
      </w:tr>
      <w:tr w:rsidR="004C314A" w14:paraId="5C38A2BA" w14:textId="77777777" w:rsidTr="004C314A">
        <w:trPr>
          <w:cantSplit/>
        </w:trPr>
        <w:tc>
          <w:tcPr>
            <w:tcW w:w="33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7D37EE"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25 rTMS treatments</w:t>
            </w:r>
            <w:r>
              <w:rPr>
                <w:rFonts w:ascii="Arial Narrow" w:hAnsi="Arial Narrow" w:cs="Arial"/>
                <w:sz w:val="20"/>
              </w:rPr>
              <w:t>/</w:t>
            </w:r>
            <w:r w:rsidRPr="00C81725">
              <w:rPr>
                <w:rFonts w:ascii="Arial Narrow" w:hAnsi="Arial Narrow" w:cs="Arial"/>
                <w:sz w:val="20"/>
              </w:rPr>
              <w:t>course</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D7A3CA"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$11,650,834</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B35FAA"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$12,931,860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69CA15"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$14,273,727</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7A72D9"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$15,633,870</w:t>
            </w:r>
          </w:p>
        </w:tc>
        <w:tc>
          <w:tcPr>
            <w:tcW w:w="10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94EC43" w14:textId="77777777" w:rsidR="004C314A" w:rsidRPr="00C81725" w:rsidRDefault="004C314A" w:rsidP="004C314A">
            <w:pPr>
              <w:widowControl w:val="0"/>
              <w:spacing w:before="40" w:after="40"/>
              <w:ind w:left="0"/>
              <w:jc w:val="center"/>
              <w:rPr>
                <w:rFonts w:ascii="Arial Narrow" w:hAnsi="Arial Narrow" w:cs="Arial"/>
                <w:sz w:val="20"/>
              </w:rPr>
            </w:pPr>
            <w:r w:rsidRPr="00C81725">
              <w:rPr>
                <w:rFonts w:ascii="Arial Narrow" w:hAnsi="Arial Narrow" w:cs="Arial"/>
                <w:sz w:val="20"/>
              </w:rPr>
              <w:t>$17,046,302</w:t>
            </w:r>
          </w:p>
        </w:tc>
      </w:tr>
      <w:tr w:rsidR="004C314A" w14:paraId="3F5EEFFF" w14:textId="77777777" w:rsidTr="004C314A">
        <w:trPr>
          <w:cantSplit/>
        </w:trPr>
        <w:tc>
          <w:tcPr>
            <w:tcW w:w="33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C791FD" w14:textId="77777777" w:rsidR="004C314A" w:rsidRPr="00C81725" w:rsidRDefault="004C314A" w:rsidP="004C314A">
            <w:pPr>
              <w:widowControl w:val="0"/>
              <w:spacing w:before="40" w:after="40"/>
              <w:ind w:left="0"/>
              <w:rPr>
                <w:rFonts w:ascii="Arial Narrow" w:hAnsi="Arial Narrow" w:cs="Arial"/>
                <w:sz w:val="20"/>
              </w:rPr>
            </w:pPr>
            <w:r w:rsidRPr="00C81725">
              <w:rPr>
                <w:rFonts w:ascii="Arial Narrow" w:hAnsi="Arial Narrow" w:cs="Arial"/>
                <w:sz w:val="20"/>
              </w:rPr>
              <w:t>28.3 rTMS treatments</w:t>
            </w:r>
            <w:r>
              <w:rPr>
                <w:rFonts w:ascii="Arial Narrow" w:hAnsi="Arial Narrow" w:cs="Arial"/>
                <w:sz w:val="20"/>
              </w:rPr>
              <w:t>/</w:t>
            </w:r>
            <w:r w:rsidRPr="00C81725">
              <w:rPr>
                <w:rFonts w:ascii="Arial Narrow" w:hAnsi="Arial Narrow" w:cs="Arial"/>
                <w:sz w:val="20"/>
              </w:rPr>
              <w:t>course (base case)</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385747" w14:textId="77777777" w:rsidR="004C314A" w:rsidRPr="00C81725" w:rsidRDefault="004C314A" w:rsidP="004C314A">
            <w:pPr>
              <w:pStyle w:val="TableText"/>
              <w:keepNext w:val="0"/>
              <w:widowControl w:val="0"/>
              <w:jc w:val="center"/>
              <w:rPr>
                <w:b/>
                <w:sz w:val="20"/>
              </w:rPr>
            </w:pPr>
            <w:r w:rsidRPr="00C81725">
              <w:rPr>
                <w:b/>
                <w:sz w:val="20"/>
              </w:rPr>
              <w:t>$13,007,201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78F364" w14:textId="77777777" w:rsidR="004C314A" w:rsidRPr="00C81725" w:rsidRDefault="004C314A" w:rsidP="004C314A">
            <w:pPr>
              <w:pStyle w:val="TableText"/>
              <w:keepNext w:val="0"/>
              <w:widowControl w:val="0"/>
              <w:jc w:val="center"/>
              <w:rPr>
                <w:b/>
                <w:sz w:val="20"/>
              </w:rPr>
            </w:pPr>
            <w:r w:rsidRPr="00C81725">
              <w:rPr>
                <w:b/>
                <w:sz w:val="20"/>
              </w:rPr>
              <w:t>$14,437,236</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1E30CD" w14:textId="77777777" w:rsidR="004C314A" w:rsidRPr="00C81725" w:rsidRDefault="004C314A" w:rsidP="004C314A">
            <w:pPr>
              <w:pStyle w:val="TableText"/>
              <w:keepNext w:val="0"/>
              <w:widowControl w:val="0"/>
              <w:jc w:val="center"/>
              <w:rPr>
                <w:b/>
                <w:sz w:val="20"/>
              </w:rPr>
            </w:pPr>
            <w:r w:rsidRPr="00C81725">
              <w:rPr>
                <w:b/>
                <w:sz w:val="20"/>
              </w:rPr>
              <w:t>$15,932,570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42EA7B" w14:textId="77777777" w:rsidR="004C314A" w:rsidRPr="00C81725" w:rsidRDefault="004C314A" w:rsidP="004C314A">
            <w:pPr>
              <w:pStyle w:val="TableText"/>
              <w:keepNext w:val="0"/>
              <w:widowControl w:val="0"/>
              <w:jc w:val="center"/>
              <w:rPr>
                <w:b/>
                <w:sz w:val="20"/>
              </w:rPr>
            </w:pPr>
            <w:r w:rsidRPr="00C81725">
              <w:rPr>
                <w:b/>
                <w:sz w:val="20"/>
              </w:rPr>
              <w:t>$17,450,607</w:t>
            </w:r>
          </w:p>
        </w:tc>
        <w:tc>
          <w:tcPr>
            <w:tcW w:w="10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2A71DC" w14:textId="77777777" w:rsidR="004C314A" w:rsidRPr="00C81725" w:rsidRDefault="004C314A" w:rsidP="004C314A">
            <w:pPr>
              <w:pStyle w:val="TableText"/>
              <w:keepNext w:val="0"/>
              <w:widowControl w:val="0"/>
              <w:jc w:val="center"/>
              <w:rPr>
                <w:b/>
                <w:sz w:val="20"/>
              </w:rPr>
            </w:pPr>
            <w:r w:rsidRPr="00C81725">
              <w:rPr>
                <w:b/>
                <w:sz w:val="20"/>
              </w:rPr>
              <w:t>$19,025,011</w:t>
            </w:r>
          </w:p>
        </w:tc>
      </w:tr>
      <w:tr w:rsidR="004C314A" w14:paraId="600BFCB7" w14:textId="77777777" w:rsidTr="004C314A">
        <w:trPr>
          <w:cantSplit/>
        </w:trPr>
        <w:tc>
          <w:tcPr>
            <w:tcW w:w="33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29D2C4"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35 rTMS treatments</w:t>
            </w:r>
            <w:r>
              <w:rPr>
                <w:rFonts w:ascii="Arial Narrow" w:hAnsi="Arial Narrow" w:cs="Arial"/>
                <w:sz w:val="20"/>
              </w:rPr>
              <w:t>/</w:t>
            </w:r>
            <w:r w:rsidRPr="00C81725">
              <w:rPr>
                <w:rFonts w:ascii="Arial Narrow" w:hAnsi="Arial Narrow" w:cs="Arial"/>
                <w:sz w:val="20"/>
              </w:rPr>
              <w:t>course</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878DD5"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$15,761,037</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58FC0B"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$17,493,606</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CA1FC3"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$19,300,525</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318004"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$21,139,133</w:t>
            </w:r>
          </w:p>
        </w:tc>
        <w:tc>
          <w:tcPr>
            <w:tcW w:w="10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08DCD1"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$23,042,389</w:t>
            </w:r>
          </w:p>
        </w:tc>
      </w:tr>
    </w:tbl>
    <w:p w14:paraId="46EADA90"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3ACF973C" w14:textId="77777777" w:rsidR="004C314A" w:rsidRDefault="004C314A" w:rsidP="004C314A">
      <w:pPr>
        <w:keepNext/>
        <w:spacing w:before="40"/>
        <w:rPr>
          <w:rFonts w:ascii="Arial Narrow" w:hAnsi="Arial Narrow" w:cs="Arial"/>
          <w:sz w:val="18"/>
          <w:szCs w:val="18"/>
        </w:rPr>
      </w:pPr>
      <w:proofErr w:type="gramStart"/>
      <w:r>
        <w:rPr>
          <w:rFonts w:ascii="Arial Narrow" w:hAnsi="Arial Narrow" w:cs="Arial"/>
          <w:sz w:val="18"/>
          <w:szCs w:val="18"/>
        </w:rPr>
        <w:t>rTMS</w:t>
      </w:r>
      <w:proofErr w:type="gramEnd"/>
      <w:r>
        <w:rPr>
          <w:rFonts w:ascii="Arial Narrow" w:hAnsi="Arial Narrow" w:cs="Arial"/>
          <w:sz w:val="18"/>
          <w:szCs w:val="18"/>
        </w:rPr>
        <w:t xml:space="preserve"> = repetitive Transcranial Magnetic Stimulation</w:t>
      </w:r>
    </w:p>
    <w:p w14:paraId="4973DD81" w14:textId="77777777" w:rsidR="004C314A" w:rsidRDefault="004C314A" w:rsidP="004C314A">
      <w:r>
        <w:t>If the average number of rTMS treatments per course is increased to 35, the impact to the Governments health care budget is expected to increase to $93.7 million over the next five years. If the average number of treatments is actually 25 per course, the impact to the five year budget of rTMS is $71.5 million.</w:t>
      </w:r>
    </w:p>
    <w:p w14:paraId="376D4D05" w14:textId="77777777" w:rsidR="004C314A" w:rsidRDefault="004C314A" w:rsidP="004C314A">
      <w:pPr>
        <w:pStyle w:val="Heading5"/>
      </w:pPr>
      <w:r>
        <w:lastRenderedPageBreak/>
        <w:t>The reduced rates of antidepressant and ECT use</w:t>
      </w:r>
    </w:p>
    <w:p w14:paraId="77308E15" w14:textId="62E1957A" w:rsidR="004C314A" w:rsidRDefault="004C314A" w:rsidP="004C314A">
      <w:pPr>
        <w:jc w:val="both"/>
        <w:rPr>
          <w:rFonts w:cs="Garamond"/>
          <w:szCs w:val="24"/>
        </w:rPr>
      </w:pPr>
      <w:r>
        <w:t>That 20% of rTMS users would reduce their antidepressant use was an assumption. A sensitivity analysis using values of 10% and 30% is presented in Table 3</w:t>
      </w:r>
      <w:r w:rsidR="005778D5">
        <w:t>4</w:t>
      </w:r>
      <w:r>
        <w:t xml:space="preserve">. </w:t>
      </w:r>
    </w:p>
    <w:p w14:paraId="1CC7B098" w14:textId="4860D618" w:rsidR="004C314A" w:rsidRDefault="004C314A" w:rsidP="006258B7">
      <w:pPr>
        <w:pStyle w:val="TableName"/>
      </w:pPr>
      <w:bookmarkStart w:id="226" w:name="_Ref386103576"/>
      <w:bookmarkStart w:id="227" w:name="_Toc386102850"/>
      <w:bookmarkStart w:id="228" w:name="_Toc389143609"/>
      <w:r>
        <w:t>Table 3</w:t>
      </w:r>
      <w:bookmarkEnd w:id="226"/>
      <w:r w:rsidR="006258B7">
        <w:t>5</w:t>
      </w:r>
      <w:r>
        <w:t>: Sensitivity analysis – Rate of reduction in antidepressant use</w:t>
      </w:r>
      <w:bookmarkEnd w:id="227"/>
      <w:r>
        <w:t xml:space="preserve"> following rTMS therapy</w:t>
      </w:r>
      <w:bookmarkEnd w:id="228"/>
    </w:p>
    <w:tbl>
      <w:tblPr>
        <w:tblStyle w:val="TableGrid"/>
        <w:tblW w:w="4594" w:type="pct"/>
        <w:tblInd w:w="737" w:type="dxa"/>
        <w:tblLook w:val="04A0" w:firstRow="1" w:lastRow="0" w:firstColumn="1" w:lastColumn="0" w:noHBand="0" w:noVBand="1"/>
        <w:tblCaption w:val="Sensitivity analysis - rate of lithium substitution"/>
      </w:tblPr>
      <w:tblGrid>
        <w:gridCol w:w="2747"/>
        <w:gridCol w:w="1118"/>
        <w:gridCol w:w="1120"/>
        <w:gridCol w:w="1120"/>
        <w:gridCol w:w="1120"/>
        <w:gridCol w:w="1120"/>
      </w:tblGrid>
      <w:tr w:rsidR="004C314A" w14:paraId="5704E36E" w14:textId="77777777" w:rsidTr="004C314A">
        <w:trPr>
          <w:cantSplit/>
          <w:tblHeader/>
        </w:trPr>
        <w:tc>
          <w:tcPr>
            <w:tcW w:w="1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CE7F87" w14:textId="77777777" w:rsidR="004C314A" w:rsidRPr="00C81725" w:rsidRDefault="004C314A" w:rsidP="004C314A">
            <w:pPr>
              <w:keepNext/>
              <w:spacing w:before="40" w:after="40"/>
              <w:ind w:left="0"/>
              <w:rPr>
                <w:rFonts w:ascii="Arial Narrow" w:hAnsi="Arial Narrow" w:cs="Arial"/>
                <w:sz w:val="20"/>
              </w:rPr>
            </w:pP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FF1C6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3CF0BA3D"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257971"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0AB0E89A"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D81BDC"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60B19E7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180E86"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4AF1EA5E"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B9012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7D6CEE74"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2040AD45" w14:textId="77777777" w:rsidTr="004C314A">
        <w:trPr>
          <w:cantSplit/>
        </w:trPr>
        <w:tc>
          <w:tcPr>
            <w:tcW w:w="1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95E693"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10% reduction in patients using antidepressants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BB79A9"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$13,154,941</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36FD39"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$14,601,207</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9D295A"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$16,113,258</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4863FF"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$17,648,493</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3102AF"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$19,240,539</w:t>
            </w:r>
          </w:p>
        </w:tc>
      </w:tr>
      <w:tr w:rsidR="004C314A" w14:paraId="645FF517" w14:textId="77777777" w:rsidTr="004C314A">
        <w:trPr>
          <w:cantSplit/>
        </w:trPr>
        <w:tc>
          <w:tcPr>
            <w:tcW w:w="1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4404A8"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20% reduction in patients using antidepressants (base case)</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73A402" w14:textId="77777777" w:rsidR="004C314A" w:rsidRPr="00C81725" w:rsidRDefault="004C314A" w:rsidP="004C314A">
            <w:pPr>
              <w:pStyle w:val="TableText"/>
              <w:keepNext w:val="0"/>
              <w:widowControl w:val="0"/>
              <w:jc w:val="center"/>
              <w:rPr>
                <w:b/>
                <w:sz w:val="20"/>
              </w:rPr>
            </w:pPr>
            <w:r w:rsidRPr="00C81725">
              <w:rPr>
                <w:b/>
                <w:sz w:val="20"/>
              </w:rPr>
              <w:t>$13,007,201</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67A7AF" w14:textId="77777777" w:rsidR="004C314A" w:rsidRPr="00C81725" w:rsidRDefault="004C314A" w:rsidP="004C314A">
            <w:pPr>
              <w:pStyle w:val="TableText"/>
              <w:keepNext w:val="0"/>
              <w:widowControl w:val="0"/>
              <w:jc w:val="center"/>
              <w:rPr>
                <w:b/>
                <w:sz w:val="20"/>
              </w:rPr>
            </w:pPr>
            <w:r w:rsidRPr="00C81725">
              <w:rPr>
                <w:b/>
                <w:sz w:val="20"/>
              </w:rPr>
              <w:t>$14,437,236</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98BEF0" w14:textId="77777777" w:rsidR="004C314A" w:rsidRPr="00C81725" w:rsidRDefault="004C314A" w:rsidP="004C314A">
            <w:pPr>
              <w:pStyle w:val="TableText"/>
              <w:keepNext w:val="0"/>
              <w:widowControl w:val="0"/>
              <w:jc w:val="center"/>
              <w:rPr>
                <w:b/>
                <w:sz w:val="20"/>
              </w:rPr>
            </w:pPr>
            <w:r w:rsidRPr="00C81725">
              <w:rPr>
                <w:b/>
                <w:sz w:val="20"/>
              </w:rPr>
              <w:t>$15,932,570</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E1D947" w14:textId="77777777" w:rsidR="004C314A" w:rsidRPr="00C81725" w:rsidRDefault="004C314A" w:rsidP="004C314A">
            <w:pPr>
              <w:pStyle w:val="TableText"/>
              <w:keepNext w:val="0"/>
              <w:widowControl w:val="0"/>
              <w:jc w:val="center"/>
              <w:rPr>
                <w:b/>
                <w:sz w:val="20"/>
              </w:rPr>
            </w:pPr>
            <w:r w:rsidRPr="00C81725">
              <w:rPr>
                <w:b/>
                <w:sz w:val="20"/>
              </w:rPr>
              <w:t>$17,450,607</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593555" w14:textId="77777777" w:rsidR="004C314A" w:rsidRPr="00C81725" w:rsidRDefault="004C314A" w:rsidP="004C314A">
            <w:pPr>
              <w:pStyle w:val="TableText"/>
              <w:keepNext w:val="0"/>
              <w:widowControl w:val="0"/>
              <w:jc w:val="center"/>
              <w:rPr>
                <w:b/>
                <w:sz w:val="20"/>
              </w:rPr>
            </w:pPr>
            <w:r w:rsidRPr="00C81725">
              <w:rPr>
                <w:b/>
                <w:sz w:val="20"/>
              </w:rPr>
              <w:t>$19,025,011</w:t>
            </w:r>
          </w:p>
        </w:tc>
      </w:tr>
      <w:tr w:rsidR="004C314A" w14:paraId="6D5F715B" w14:textId="77777777" w:rsidTr="004C314A">
        <w:trPr>
          <w:cantSplit/>
        </w:trPr>
        <w:tc>
          <w:tcPr>
            <w:tcW w:w="1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4A4CD2"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30% reduction in patients using antidepressants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71E97B"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$12,859,461</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1701AE"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$14,273,265</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A83C90"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$15,751,883</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283DAC"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$17,252,722</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D2D5C4" w14:textId="77777777" w:rsidR="004C314A" w:rsidRPr="00C81725" w:rsidRDefault="004C314A" w:rsidP="004C314A">
            <w:pPr>
              <w:keepNext/>
              <w:spacing w:before="40" w:after="40"/>
              <w:ind w:left="0"/>
              <w:jc w:val="center"/>
              <w:rPr>
                <w:rFonts w:ascii="Arial Narrow" w:hAnsi="Arial Narrow" w:cs="Arial"/>
                <w:sz w:val="20"/>
              </w:rPr>
            </w:pPr>
            <w:r w:rsidRPr="00C81725">
              <w:rPr>
                <w:rFonts w:ascii="Arial Narrow" w:hAnsi="Arial Narrow" w:cs="Arial"/>
                <w:sz w:val="20"/>
              </w:rPr>
              <w:t>$18,809,483</w:t>
            </w:r>
          </w:p>
        </w:tc>
      </w:tr>
    </w:tbl>
    <w:p w14:paraId="018C8FE6"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08791AE3"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ECT = electroconvulsive therapy; rTMS = repetitive Transcranial Magnetic Stimulation</w:t>
      </w:r>
    </w:p>
    <w:p w14:paraId="29093003" w14:textId="77777777" w:rsidR="004C314A" w:rsidRDefault="004C314A" w:rsidP="004C314A"/>
    <w:p w14:paraId="6083B53F" w14:textId="77777777" w:rsidR="004C314A" w:rsidRDefault="004C314A" w:rsidP="004C314A">
      <w:pPr>
        <w:jc w:val="both"/>
        <w:rPr>
          <w:rFonts w:cs="Arial"/>
          <w:szCs w:val="24"/>
        </w:rPr>
      </w:pPr>
      <w:r>
        <w:rPr>
          <w:rFonts w:cs="Arial"/>
          <w:szCs w:val="24"/>
        </w:rPr>
        <w:t>Altering the assumptions surrounding the estimated extent of substitution if rTMS is available on the MBS results in changes to predicted Government expenditures. If 10% of rTMS users reduce their use of antidepressants, the impact to the health budget is estimated to be an extra $0.9 million over five years. On the other hand, if 30% of patients reduce their use of antidepressants, the impact to the healthcare budget is estimated to be approximately $78.9 million, a decrease of $0.9 million over five years.</w:t>
      </w:r>
    </w:p>
    <w:p w14:paraId="37CD2564" w14:textId="53ABD085" w:rsidR="004C314A" w:rsidRDefault="004C314A" w:rsidP="004C314A">
      <w:r>
        <w:t>Table 3</w:t>
      </w:r>
      <w:r w:rsidR="006258B7">
        <w:t>6</w:t>
      </w:r>
      <w:r>
        <w:t xml:space="preserve"> below presents the sensitivity analysis for when the percentage of patients opting for rTMS instead of ECT is varied to 15% and 20%.</w:t>
      </w:r>
    </w:p>
    <w:p w14:paraId="542033FC" w14:textId="20EBD88A" w:rsidR="004C314A" w:rsidRDefault="004C314A" w:rsidP="006258B7">
      <w:pPr>
        <w:pStyle w:val="TableName"/>
      </w:pPr>
      <w:bookmarkStart w:id="229" w:name="_Toc389143610"/>
      <w:r>
        <w:t>Table 3</w:t>
      </w:r>
      <w:r w:rsidR="006258B7">
        <w:t>6</w:t>
      </w:r>
      <w:r>
        <w:t xml:space="preserve">: Sensitivity analysis – Rate of reduction in </w:t>
      </w:r>
      <w:r w:rsidR="008C4272">
        <w:t>ECT</w:t>
      </w:r>
      <w:r>
        <w:t xml:space="preserve"> use following rTMS therapy</w:t>
      </w:r>
      <w:bookmarkEnd w:id="229"/>
    </w:p>
    <w:tbl>
      <w:tblPr>
        <w:tblStyle w:val="TableGrid"/>
        <w:tblW w:w="4594" w:type="pct"/>
        <w:tblInd w:w="737" w:type="dxa"/>
        <w:tblLook w:val="04A0" w:firstRow="1" w:lastRow="0" w:firstColumn="1" w:lastColumn="0" w:noHBand="0" w:noVBand="1"/>
        <w:tblCaption w:val="Sensitivity analysis - rate of lithium substitution"/>
      </w:tblPr>
      <w:tblGrid>
        <w:gridCol w:w="2747"/>
        <w:gridCol w:w="1118"/>
        <w:gridCol w:w="1120"/>
        <w:gridCol w:w="1120"/>
        <w:gridCol w:w="1120"/>
        <w:gridCol w:w="1120"/>
      </w:tblGrid>
      <w:tr w:rsidR="004C314A" w14:paraId="1452E6AB" w14:textId="77777777" w:rsidTr="004C314A">
        <w:trPr>
          <w:cantSplit/>
          <w:tblHeader/>
        </w:trPr>
        <w:tc>
          <w:tcPr>
            <w:tcW w:w="1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772F66" w14:textId="77777777" w:rsidR="004C314A" w:rsidRPr="00C81725" w:rsidRDefault="004C314A" w:rsidP="004C314A">
            <w:pPr>
              <w:keepNext/>
              <w:spacing w:before="40" w:after="40"/>
              <w:ind w:left="0"/>
              <w:rPr>
                <w:rFonts w:ascii="Arial Narrow" w:hAnsi="Arial Narrow" w:cs="Arial"/>
                <w:sz w:val="20"/>
              </w:rPr>
            </w:pP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6248A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1</w:t>
            </w:r>
          </w:p>
          <w:p w14:paraId="1289039C"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2015</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5C3736"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2</w:t>
            </w:r>
          </w:p>
          <w:p w14:paraId="45BEEDA8"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2016</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B0141B"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3</w:t>
            </w:r>
          </w:p>
          <w:p w14:paraId="260033FD"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2017</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D7452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4</w:t>
            </w:r>
          </w:p>
          <w:p w14:paraId="0D83E320"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2018</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ACF7E7"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Year 5</w:t>
            </w:r>
          </w:p>
          <w:p w14:paraId="61AF1203" w14:textId="77777777" w:rsidR="004C314A" w:rsidRPr="00C81725" w:rsidRDefault="004C314A" w:rsidP="004C314A">
            <w:pPr>
              <w:keepNext/>
              <w:spacing w:before="40" w:after="40"/>
              <w:ind w:left="0"/>
              <w:jc w:val="center"/>
              <w:rPr>
                <w:rFonts w:ascii="Arial Narrow" w:hAnsi="Arial Narrow" w:cs="Arial"/>
                <w:b/>
                <w:sz w:val="20"/>
              </w:rPr>
            </w:pPr>
            <w:r w:rsidRPr="00C81725">
              <w:rPr>
                <w:rFonts w:ascii="Arial Narrow" w:hAnsi="Arial Narrow" w:cs="Arial"/>
                <w:b/>
                <w:sz w:val="20"/>
              </w:rPr>
              <w:t>2019</w:t>
            </w:r>
          </w:p>
        </w:tc>
      </w:tr>
      <w:tr w:rsidR="004C314A" w14:paraId="2B3184AC" w14:textId="77777777" w:rsidTr="004C314A">
        <w:trPr>
          <w:cantSplit/>
        </w:trPr>
        <w:tc>
          <w:tcPr>
            <w:tcW w:w="1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67DEF9"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 xml:space="preserve">10% of ECT patients </w:t>
            </w:r>
            <w:r>
              <w:rPr>
                <w:rFonts w:ascii="Arial Narrow" w:hAnsi="Arial Narrow" w:cs="Arial"/>
                <w:sz w:val="20"/>
              </w:rPr>
              <w:t xml:space="preserve">are eligible and </w:t>
            </w:r>
            <w:r w:rsidRPr="00C81725">
              <w:rPr>
                <w:rFonts w:ascii="Arial Narrow" w:hAnsi="Arial Narrow" w:cs="Arial"/>
                <w:sz w:val="20"/>
              </w:rPr>
              <w:t>opt for rTMS (base case)</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E1E0C7" w14:textId="77777777" w:rsidR="004C314A" w:rsidRPr="00C81725" w:rsidRDefault="004C314A" w:rsidP="004C314A">
            <w:pPr>
              <w:pStyle w:val="TableText"/>
              <w:keepNext w:val="0"/>
              <w:widowControl w:val="0"/>
              <w:jc w:val="center"/>
              <w:rPr>
                <w:b/>
                <w:sz w:val="20"/>
              </w:rPr>
            </w:pPr>
            <w:r w:rsidRPr="00C81725">
              <w:rPr>
                <w:b/>
                <w:sz w:val="20"/>
              </w:rPr>
              <w:t>$13,007,201</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7928D4" w14:textId="77777777" w:rsidR="004C314A" w:rsidRPr="00C81725" w:rsidRDefault="004C314A" w:rsidP="004C314A">
            <w:pPr>
              <w:pStyle w:val="TableText"/>
              <w:keepNext w:val="0"/>
              <w:widowControl w:val="0"/>
              <w:jc w:val="center"/>
              <w:rPr>
                <w:b/>
                <w:sz w:val="20"/>
              </w:rPr>
            </w:pPr>
            <w:r w:rsidRPr="00C81725">
              <w:rPr>
                <w:b/>
                <w:sz w:val="20"/>
              </w:rPr>
              <w:t>$14,437,236</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20347E" w14:textId="77777777" w:rsidR="004C314A" w:rsidRPr="00C81725" w:rsidRDefault="004C314A" w:rsidP="004C314A">
            <w:pPr>
              <w:pStyle w:val="TableText"/>
              <w:keepNext w:val="0"/>
              <w:widowControl w:val="0"/>
              <w:jc w:val="center"/>
              <w:rPr>
                <w:b/>
                <w:sz w:val="20"/>
              </w:rPr>
            </w:pPr>
            <w:r w:rsidRPr="00C81725">
              <w:rPr>
                <w:b/>
                <w:sz w:val="20"/>
              </w:rPr>
              <w:t>$15,932,570</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8A99C4" w14:textId="77777777" w:rsidR="004C314A" w:rsidRPr="00C81725" w:rsidRDefault="004C314A" w:rsidP="004C314A">
            <w:pPr>
              <w:pStyle w:val="TableText"/>
              <w:keepNext w:val="0"/>
              <w:widowControl w:val="0"/>
              <w:jc w:val="center"/>
              <w:rPr>
                <w:b/>
                <w:sz w:val="20"/>
              </w:rPr>
            </w:pPr>
            <w:r w:rsidRPr="00C81725">
              <w:rPr>
                <w:b/>
                <w:sz w:val="20"/>
              </w:rPr>
              <w:t>$17,450,607</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39E5CB" w14:textId="77777777" w:rsidR="004C314A" w:rsidRPr="00C81725" w:rsidRDefault="004C314A" w:rsidP="004C314A">
            <w:pPr>
              <w:pStyle w:val="TableText"/>
              <w:keepNext w:val="0"/>
              <w:widowControl w:val="0"/>
              <w:jc w:val="center"/>
              <w:rPr>
                <w:b/>
                <w:sz w:val="20"/>
              </w:rPr>
            </w:pPr>
            <w:r w:rsidRPr="00C81725">
              <w:rPr>
                <w:b/>
                <w:sz w:val="20"/>
              </w:rPr>
              <w:t>$19,025,011</w:t>
            </w:r>
          </w:p>
        </w:tc>
      </w:tr>
      <w:tr w:rsidR="004C314A" w14:paraId="191A2F42" w14:textId="77777777" w:rsidTr="004C314A">
        <w:trPr>
          <w:cantSplit/>
        </w:trPr>
        <w:tc>
          <w:tcPr>
            <w:tcW w:w="1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BB91DA"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 xml:space="preserve">15% of </w:t>
            </w:r>
            <w:r>
              <w:rPr>
                <w:rFonts w:ascii="Arial Narrow" w:hAnsi="Arial Narrow" w:cs="Arial"/>
                <w:sz w:val="20"/>
              </w:rPr>
              <w:t>E</w:t>
            </w:r>
            <w:r w:rsidRPr="00C81725">
              <w:rPr>
                <w:rFonts w:ascii="Arial Narrow" w:hAnsi="Arial Narrow" w:cs="Arial"/>
                <w:sz w:val="20"/>
              </w:rPr>
              <w:t xml:space="preserve">CT patients </w:t>
            </w:r>
            <w:r>
              <w:rPr>
                <w:rFonts w:ascii="Arial Narrow" w:hAnsi="Arial Narrow" w:cs="Arial"/>
                <w:sz w:val="20"/>
              </w:rPr>
              <w:t xml:space="preserve">are eligible and </w:t>
            </w:r>
            <w:r w:rsidRPr="00C81725">
              <w:rPr>
                <w:rFonts w:ascii="Arial Narrow" w:hAnsi="Arial Narrow" w:cs="Arial"/>
                <w:sz w:val="20"/>
              </w:rPr>
              <w:t>opt for rTMS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D72A18" w14:textId="77777777" w:rsidR="004C314A" w:rsidRPr="00C81725" w:rsidRDefault="004C314A" w:rsidP="004C314A">
            <w:pPr>
              <w:keepNext/>
              <w:spacing w:before="40" w:after="40"/>
              <w:ind w:left="0"/>
              <w:jc w:val="center"/>
              <w:rPr>
                <w:rFonts w:ascii="Arial Narrow" w:hAnsi="Arial Narrow" w:cs="Arial"/>
                <w:sz w:val="20"/>
              </w:rPr>
            </w:pPr>
            <w:r>
              <w:rPr>
                <w:rFonts w:ascii="Arial Narrow" w:hAnsi="Arial Narrow" w:cs="Arial"/>
                <w:sz w:val="20"/>
              </w:rPr>
              <w:t>$</w:t>
            </w:r>
            <w:r w:rsidRPr="00C81725">
              <w:rPr>
                <w:rFonts w:ascii="Arial Narrow" w:hAnsi="Arial Narrow" w:cs="Arial"/>
                <w:sz w:val="20"/>
              </w:rPr>
              <w:t>12</w:t>
            </w:r>
            <w:r>
              <w:rPr>
                <w:rFonts w:ascii="Arial Narrow" w:hAnsi="Arial Narrow" w:cs="Arial"/>
                <w:sz w:val="20"/>
              </w:rPr>
              <w:t>,</w:t>
            </w:r>
            <w:r w:rsidRPr="00C81725">
              <w:rPr>
                <w:rFonts w:ascii="Arial Narrow" w:hAnsi="Arial Narrow" w:cs="Arial"/>
                <w:sz w:val="20"/>
              </w:rPr>
              <w:t>865</w:t>
            </w:r>
            <w:r>
              <w:rPr>
                <w:rFonts w:ascii="Arial Narrow" w:hAnsi="Arial Narrow" w:cs="Arial"/>
                <w:sz w:val="20"/>
              </w:rPr>
              <w:t>,</w:t>
            </w:r>
            <w:r w:rsidRPr="00C81725">
              <w:rPr>
                <w:rFonts w:ascii="Arial Narrow" w:hAnsi="Arial Narrow" w:cs="Arial"/>
                <w:sz w:val="20"/>
              </w:rPr>
              <w:t>149</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76A2A7" w14:textId="77777777" w:rsidR="004C314A" w:rsidRPr="00C81725" w:rsidRDefault="004C314A" w:rsidP="004C314A">
            <w:pPr>
              <w:keepNext/>
              <w:spacing w:before="40" w:after="40"/>
              <w:ind w:left="0"/>
              <w:jc w:val="center"/>
              <w:rPr>
                <w:rFonts w:ascii="Arial Narrow" w:hAnsi="Arial Narrow" w:cs="Arial"/>
                <w:sz w:val="20"/>
              </w:rPr>
            </w:pPr>
            <w:r>
              <w:rPr>
                <w:rFonts w:ascii="Arial Narrow" w:hAnsi="Arial Narrow" w:cs="Arial"/>
                <w:sz w:val="20"/>
              </w:rPr>
              <w:t>$</w:t>
            </w:r>
            <w:r w:rsidRPr="00C81725">
              <w:rPr>
                <w:rFonts w:ascii="Arial Narrow" w:hAnsi="Arial Narrow" w:cs="Arial"/>
                <w:sz w:val="20"/>
              </w:rPr>
              <w:t>14</w:t>
            </w:r>
            <w:r>
              <w:rPr>
                <w:rFonts w:ascii="Arial Narrow" w:hAnsi="Arial Narrow" w:cs="Arial"/>
                <w:sz w:val="20"/>
              </w:rPr>
              <w:t>,</w:t>
            </w:r>
            <w:r w:rsidRPr="00C81725">
              <w:rPr>
                <w:rFonts w:ascii="Arial Narrow" w:hAnsi="Arial Narrow" w:cs="Arial"/>
                <w:sz w:val="20"/>
              </w:rPr>
              <w:t>280</w:t>
            </w:r>
            <w:r>
              <w:rPr>
                <w:rFonts w:ascii="Arial Narrow" w:hAnsi="Arial Narrow" w:cs="Arial"/>
                <w:sz w:val="20"/>
              </w:rPr>
              <w:t>,</w:t>
            </w:r>
            <w:r w:rsidRPr="00C81725">
              <w:rPr>
                <w:rFonts w:ascii="Arial Narrow" w:hAnsi="Arial Narrow" w:cs="Arial"/>
                <w:sz w:val="20"/>
              </w:rPr>
              <w:t>117</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4AA287" w14:textId="77777777" w:rsidR="004C314A" w:rsidRPr="00C81725" w:rsidRDefault="004C314A" w:rsidP="004C314A">
            <w:pPr>
              <w:keepNext/>
              <w:spacing w:before="40" w:after="40"/>
              <w:ind w:left="0"/>
              <w:jc w:val="center"/>
              <w:rPr>
                <w:rFonts w:ascii="Arial Narrow" w:hAnsi="Arial Narrow" w:cs="Arial"/>
                <w:sz w:val="20"/>
              </w:rPr>
            </w:pPr>
            <w:r>
              <w:rPr>
                <w:rFonts w:ascii="Arial Narrow" w:hAnsi="Arial Narrow" w:cs="Arial"/>
                <w:sz w:val="20"/>
              </w:rPr>
              <w:t>$</w:t>
            </w:r>
            <w:r w:rsidRPr="00C81725">
              <w:rPr>
                <w:rFonts w:ascii="Arial Narrow" w:hAnsi="Arial Narrow" w:cs="Arial"/>
                <w:sz w:val="20"/>
              </w:rPr>
              <w:t>15</w:t>
            </w:r>
            <w:r>
              <w:rPr>
                <w:rFonts w:ascii="Arial Narrow" w:hAnsi="Arial Narrow" w:cs="Arial"/>
                <w:sz w:val="20"/>
              </w:rPr>
              <w:t>,</w:t>
            </w:r>
            <w:r w:rsidRPr="00C81725">
              <w:rPr>
                <w:rFonts w:ascii="Arial Narrow" w:hAnsi="Arial Narrow" w:cs="Arial"/>
                <w:sz w:val="20"/>
              </w:rPr>
              <w:t>771</w:t>
            </w:r>
            <w:r>
              <w:rPr>
                <w:rFonts w:ascii="Arial Narrow" w:hAnsi="Arial Narrow" w:cs="Arial"/>
                <w:sz w:val="20"/>
              </w:rPr>
              <w:t>,</w:t>
            </w:r>
            <w:r w:rsidRPr="00C81725">
              <w:rPr>
                <w:rFonts w:ascii="Arial Narrow" w:hAnsi="Arial Narrow" w:cs="Arial"/>
                <w:sz w:val="20"/>
              </w:rPr>
              <w:t>192</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4A0849" w14:textId="77777777" w:rsidR="004C314A" w:rsidRPr="00C81725" w:rsidRDefault="004C314A" w:rsidP="004C314A">
            <w:pPr>
              <w:keepNext/>
              <w:spacing w:before="40" w:after="40"/>
              <w:ind w:left="0"/>
              <w:jc w:val="center"/>
              <w:rPr>
                <w:rFonts w:ascii="Arial Narrow" w:hAnsi="Arial Narrow" w:cs="Arial"/>
                <w:sz w:val="20"/>
              </w:rPr>
            </w:pPr>
            <w:r>
              <w:rPr>
                <w:rFonts w:ascii="Arial Narrow" w:hAnsi="Arial Narrow" w:cs="Arial"/>
                <w:sz w:val="20"/>
              </w:rPr>
              <w:t>$</w:t>
            </w:r>
            <w:r w:rsidRPr="00C81725">
              <w:rPr>
                <w:rFonts w:ascii="Arial Narrow" w:hAnsi="Arial Narrow" w:cs="Arial"/>
                <w:sz w:val="20"/>
              </w:rPr>
              <w:t>17</w:t>
            </w:r>
            <w:r>
              <w:rPr>
                <w:rFonts w:ascii="Arial Narrow" w:hAnsi="Arial Narrow" w:cs="Arial"/>
                <w:sz w:val="20"/>
              </w:rPr>
              <w:t>,</w:t>
            </w:r>
            <w:r w:rsidRPr="00C81725">
              <w:rPr>
                <w:rFonts w:ascii="Arial Narrow" w:hAnsi="Arial Narrow" w:cs="Arial"/>
                <w:sz w:val="20"/>
              </w:rPr>
              <w:t>274</w:t>
            </w:r>
            <w:r>
              <w:rPr>
                <w:rFonts w:ascii="Arial Narrow" w:hAnsi="Arial Narrow" w:cs="Arial"/>
                <w:sz w:val="20"/>
              </w:rPr>
              <w:t>,</w:t>
            </w:r>
            <w:r w:rsidRPr="00C81725">
              <w:rPr>
                <w:rFonts w:ascii="Arial Narrow" w:hAnsi="Arial Narrow" w:cs="Arial"/>
                <w:sz w:val="20"/>
              </w:rPr>
              <w:t>631</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2C99EF" w14:textId="77777777" w:rsidR="004C314A" w:rsidRPr="00C81725" w:rsidRDefault="004C314A" w:rsidP="004C314A">
            <w:pPr>
              <w:keepNext/>
              <w:spacing w:before="40" w:after="40"/>
              <w:ind w:left="0"/>
              <w:jc w:val="center"/>
              <w:rPr>
                <w:rFonts w:ascii="Arial Narrow" w:hAnsi="Arial Narrow" w:cs="Arial"/>
                <w:sz w:val="20"/>
              </w:rPr>
            </w:pPr>
            <w:r>
              <w:rPr>
                <w:rFonts w:ascii="Arial Narrow" w:hAnsi="Arial Narrow" w:cs="Arial"/>
                <w:sz w:val="20"/>
              </w:rPr>
              <w:t>$</w:t>
            </w:r>
            <w:r w:rsidRPr="00C81725">
              <w:rPr>
                <w:rFonts w:ascii="Arial Narrow" w:hAnsi="Arial Narrow" w:cs="Arial"/>
                <w:sz w:val="20"/>
              </w:rPr>
              <w:t>18</w:t>
            </w:r>
            <w:r>
              <w:rPr>
                <w:rFonts w:ascii="Arial Narrow" w:hAnsi="Arial Narrow" w:cs="Arial"/>
                <w:sz w:val="20"/>
              </w:rPr>
              <w:t>,</w:t>
            </w:r>
            <w:r w:rsidRPr="00C81725">
              <w:rPr>
                <w:rFonts w:ascii="Arial Narrow" w:hAnsi="Arial Narrow" w:cs="Arial"/>
                <w:sz w:val="20"/>
              </w:rPr>
              <w:t>842</w:t>
            </w:r>
            <w:r>
              <w:rPr>
                <w:rFonts w:ascii="Arial Narrow" w:hAnsi="Arial Narrow" w:cs="Arial"/>
                <w:sz w:val="20"/>
              </w:rPr>
              <w:t>,</w:t>
            </w:r>
            <w:r w:rsidRPr="00C81725">
              <w:rPr>
                <w:rFonts w:ascii="Arial Narrow" w:hAnsi="Arial Narrow" w:cs="Arial"/>
                <w:sz w:val="20"/>
              </w:rPr>
              <w:t>640</w:t>
            </w:r>
          </w:p>
        </w:tc>
      </w:tr>
      <w:tr w:rsidR="004C314A" w14:paraId="5B53EE31" w14:textId="77777777" w:rsidTr="004C314A">
        <w:trPr>
          <w:cantSplit/>
        </w:trPr>
        <w:tc>
          <w:tcPr>
            <w:tcW w:w="164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93AAC1" w14:textId="77777777" w:rsidR="004C314A" w:rsidRPr="00C81725" w:rsidRDefault="004C314A" w:rsidP="004C314A">
            <w:pPr>
              <w:keepNext/>
              <w:spacing w:before="40" w:after="40"/>
              <w:ind w:left="0"/>
              <w:rPr>
                <w:rFonts w:ascii="Arial Narrow" w:hAnsi="Arial Narrow" w:cs="Arial"/>
                <w:sz w:val="20"/>
              </w:rPr>
            </w:pPr>
            <w:r w:rsidRPr="00C81725">
              <w:rPr>
                <w:rFonts w:ascii="Arial Narrow" w:hAnsi="Arial Narrow" w:cs="Arial"/>
                <w:sz w:val="20"/>
              </w:rPr>
              <w:t xml:space="preserve">20% of ECT patients </w:t>
            </w:r>
            <w:r>
              <w:rPr>
                <w:rFonts w:ascii="Arial Narrow" w:hAnsi="Arial Narrow" w:cs="Arial"/>
                <w:sz w:val="20"/>
              </w:rPr>
              <w:t xml:space="preserve">are eligible and </w:t>
            </w:r>
            <w:r w:rsidRPr="00C81725">
              <w:rPr>
                <w:rFonts w:ascii="Arial Narrow" w:hAnsi="Arial Narrow" w:cs="Arial"/>
                <w:sz w:val="20"/>
              </w:rPr>
              <w:t>opt for rTMS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0A754B" w14:textId="77777777" w:rsidR="004C314A" w:rsidRPr="00C81725" w:rsidRDefault="004C314A" w:rsidP="004C314A">
            <w:pPr>
              <w:keepNext/>
              <w:spacing w:before="40" w:after="40"/>
              <w:ind w:left="0"/>
              <w:jc w:val="center"/>
              <w:rPr>
                <w:rFonts w:ascii="Arial Narrow" w:hAnsi="Arial Narrow" w:cs="Arial"/>
                <w:sz w:val="20"/>
              </w:rPr>
            </w:pPr>
            <w:r>
              <w:rPr>
                <w:rFonts w:ascii="Arial Narrow" w:hAnsi="Arial Narrow" w:cs="Arial"/>
                <w:sz w:val="20"/>
              </w:rPr>
              <w:t>$</w:t>
            </w:r>
            <w:r w:rsidRPr="00C81725">
              <w:rPr>
                <w:rFonts w:ascii="Arial Narrow" w:hAnsi="Arial Narrow" w:cs="Arial"/>
                <w:sz w:val="20"/>
              </w:rPr>
              <w:t>12</w:t>
            </w:r>
            <w:r>
              <w:rPr>
                <w:rFonts w:ascii="Arial Narrow" w:hAnsi="Arial Narrow" w:cs="Arial"/>
                <w:sz w:val="20"/>
              </w:rPr>
              <w:t>,</w:t>
            </w:r>
            <w:r w:rsidRPr="00C81725">
              <w:rPr>
                <w:rFonts w:ascii="Arial Narrow" w:hAnsi="Arial Narrow" w:cs="Arial"/>
                <w:sz w:val="20"/>
              </w:rPr>
              <w:t>723</w:t>
            </w:r>
            <w:r>
              <w:rPr>
                <w:rFonts w:ascii="Arial Narrow" w:hAnsi="Arial Narrow" w:cs="Arial"/>
                <w:sz w:val="20"/>
              </w:rPr>
              <w:t>,</w:t>
            </w:r>
            <w:r w:rsidRPr="00C81725">
              <w:rPr>
                <w:rFonts w:ascii="Arial Narrow" w:hAnsi="Arial Narrow" w:cs="Arial"/>
                <w:sz w:val="20"/>
              </w:rPr>
              <w:t>097</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42AD83" w14:textId="77777777" w:rsidR="004C314A" w:rsidRPr="00C81725" w:rsidRDefault="004C314A" w:rsidP="004C314A">
            <w:pPr>
              <w:keepNext/>
              <w:spacing w:before="40" w:after="40"/>
              <w:ind w:left="0"/>
              <w:jc w:val="center"/>
              <w:rPr>
                <w:rFonts w:ascii="Arial Narrow" w:hAnsi="Arial Narrow" w:cs="Arial"/>
                <w:sz w:val="20"/>
              </w:rPr>
            </w:pPr>
            <w:r>
              <w:rPr>
                <w:rFonts w:ascii="Arial Narrow" w:hAnsi="Arial Narrow" w:cs="Arial"/>
                <w:sz w:val="20"/>
              </w:rPr>
              <w:t>$</w:t>
            </w:r>
            <w:r w:rsidRPr="00C81725">
              <w:rPr>
                <w:rFonts w:ascii="Arial Narrow" w:hAnsi="Arial Narrow" w:cs="Arial"/>
                <w:sz w:val="20"/>
              </w:rPr>
              <w:t>14</w:t>
            </w:r>
            <w:r>
              <w:rPr>
                <w:rFonts w:ascii="Arial Narrow" w:hAnsi="Arial Narrow" w:cs="Arial"/>
                <w:sz w:val="20"/>
              </w:rPr>
              <w:t>,</w:t>
            </w:r>
            <w:r w:rsidRPr="00C81725">
              <w:rPr>
                <w:rFonts w:ascii="Arial Narrow" w:hAnsi="Arial Narrow" w:cs="Arial"/>
                <w:sz w:val="20"/>
              </w:rPr>
              <w:t>122</w:t>
            </w:r>
            <w:r>
              <w:rPr>
                <w:rFonts w:ascii="Arial Narrow" w:hAnsi="Arial Narrow" w:cs="Arial"/>
                <w:sz w:val="20"/>
              </w:rPr>
              <w:t>,</w:t>
            </w:r>
            <w:r w:rsidRPr="00C81725">
              <w:rPr>
                <w:rFonts w:ascii="Arial Narrow" w:hAnsi="Arial Narrow" w:cs="Arial"/>
                <w:sz w:val="20"/>
              </w:rPr>
              <w:t>998</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0770AD" w14:textId="77777777" w:rsidR="004C314A" w:rsidRPr="00C81725" w:rsidRDefault="004C314A" w:rsidP="004C314A">
            <w:pPr>
              <w:keepNext/>
              <w:spacing w:before="40" w:after="40"/>
              <w:ind w:left="0"/>
              <w:jc w:val="center"/>
              <w:rPr>
                <w:rFonts w:ascii="Arial Narrow" w:hAnsi="Arial Narrow" w:cs="Arial"/>
                <w:sz w:val="20"/>
              </w:rPr>
            </w:pPr>
            <w:r>
              <w:rPr>
                <w:rFonts w:ascii="Arial Narrow" w:hAnsi="Arial Narrow" w:cs="Arial"/>
                <w:sz w:val="20"/>
              </w:rPr>
              <w:t>$</w:t>
            </w:r>
            <w:r w:rsidRPr="00C81725">
              <w:rPr>
                <w:rFonts w:ascii="Arial Narrow" w:hAnsi="Arial Narrow" w:cs="Arial"/>
                <w:sz w:val="20"/>
              </w:rPr>
              <w:t>15</w:t>
            </w:r>
            <w:r>
              <w:rPr>
                <w:rFonts w:ascii="Arial Narrow" w:hAnsi="Arial Narrow" w:cs="Arial"/>
                <w:sz w:val="20"/>
              </w:rPr>
              <w:t>,</w:t>
            </w:r>
            <w:r w:rsidRPr="00C81725">
              <w:rPr>
                <w:rFonts w:ascii="Arial Narrow" w:hAnsi="Arial Narrow" w:cs="Arial"/>
                <w:sz w:val="20"/>
              </w:rPr>
              <w:t>609</w:t>
            </w:r>
            <w:r>
              <w:rPr>
                <w:rFonts w:ascii="Arial Narrow" w:hAnsi="Arial Narrow" w:cs="Arial"/>
                <w:sz w:val="20"/>
              </w:rPr>
              <w:t>,</w:t>
            </w:r>
            <w:r w:rsidRPr="00C81725">
              <w:rPr>
                <w:rFonts w:ascii="Arial Narrow" w:hAnsi="Arial Narrow" w:cs="Arial"/>
                <w:sz w:val="20"/>
              </w:rPr>
              <w:t>813</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7A80E0" w14:textId="77777777" w:rsidR="004C314A" w:rsidRPr="00C81725" w:rsidRDefault="004C314A" w:rsidP="004C314A">
            <w:pPr>
              <w:keepNext/>
              <w:spacing w:before="40" w:after="40"/>
              <w:ind w:left="0"/>
              <w:jc w:val="center"/>
              <w:rPr>
                <w:rFonts w:ascii="Arial Narrow" w:hAnsi="Arial Narrow" w:cs="Arial"/>
                <w:sz w:val="20"/>
              </w:rPr>
            </w:pPr>
            <w:r>
              <w:rPr>
                <w:rFonts w:ascii="Arial Narrow" w:hAnsi="Arial Narrow" w:cs="Arial"/>
                <w:sz w:val="20"/>
              </w:rPr>
              <w:t>$</w:t>
            </w:r>
            <w:r w:rsidRPr="00C81725">
              <w:rPr>
                <w:rFonts w:ascii="Arial Narrow" w:hAnsi="Arial Narrow" w:cs="Arial"/>
                <w:sz w:val="20"/>
              </w:rPr>
              <w:t>17</w:t>
            </w:r>
            <w:r>
              <w:rPr>
                <w:rFonts w:ascii="Arial Narrow" w:hAnsi="Arial Narrow" w:cs="Arial"/>
                <w:sz w:val="20"/>
              </w:rPr>
              <w:t>,</w:t>
            </w:r>
            <w:r w:rsidRPr="00C81725">
              <w:rPr>
                <w:rFonts w:ascii="Arial Narrow" w:hAnsi="Arial Narrow" w:cs="Arial"/>
                <w:sz w:val="20"/>
              </w:rPr>
              <w:t>098</w:t>
            </w:r>
            <w:r>
              <w:rPr>
                <w:rFonts w:ascii="Arial Narrow" w:hAnsi="Arial Narrow" w:cs="Arial"/>
                <w:sz w:val="20"/>
              </w:rPr>
              <w:t>,</w:t>
            </w:r>
            <w:r w:rsidRPr="00C81725">
              <w:rPr>
                <w:rFonts w:ascii="Arial Narrow" w:hAnsi="Arial Narrow" w:cs="Arial"/>
                <w:sz w:val="20"/>
              </w:rPr>
              <w:t>656</w:t>
            </w:r>
          </w:p>
        </w:tc>
        <w:tc>
          <w:tcPr>
            <w:tcW w:w="6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AEFE06" w14:textId="77777777" w:rsidR="004C314A" w:rsidRPr="00C81725" w:rsidRDefault="004C314A" w:rsidP="004C314A">
            <w:pPr>
              <w:keepNext/>
              <w:spacing w:before="40" w:after="40"/>
              <w:ind w:left="0"/>
              <w:jc w:val="center"/>
              <w:rPr>
                <w:rFonts w:ascii="Arial Narrow" w:hAnsi="Arial Narrow" w:cs="Arial"/>
                <w:sz w:val="20"/>
              </w:rPr>
            </w:pPr>
            <w:r>
              <w:rPr>
                <w:rFonts w:ascii="Arial Narrow" w:hAnsi="Arial Narrow" w:cs="Arial"/>
                <w:sz w:val="20"/>
              </w:rPr>
              <w:t>$</w:t>
            </w:r>
            <w:r w:rsidRPr="00C81725">
              <w:rPr>
                <w:rFonts w:ascii="Arial Narrow" w:hAnsi="Arial Narrow" w:cs="Arial"/>
                <w:sz w:val="20"/>
              </w:rPr>
              <w:t>18</w:t>
            </w:r>
            <w:r>
              <w:rPr>
                <w:rFonts w:ascii="Arial Narrow" w:hAnsi="Arial Narrow" w:cs="Arial"/>
                <w:sz w:val="20"/>
              </w:rPr>
              <w:t>,</w:t>
            </w:r>
            <w:r w:rsidRPr="00C81725">
              <w:rPr>
                <w:rFonts w:ascii="Arial Narrow" w:hAnsi="Arial Narrow" w:cs="Arial"/>
                <w:sz w:val="20"/>
              </w:rPr>
              <w:t>660</w:t>
            </w:r>
            <w:r>
              <w:rPr>
                <w:rFonts w:ascii="Arial Narrow" w:hAnsi="Arial Narrow" w:cs="Arial"/>
                <w:sz w:val="20"/>
              </w:rPr>
              <w:t>,</w:t>
            </w:r>
            <w:r w:rsidRPr="00C81725">
              <w:rPr>
                <w:rFonts w:ascii="Arial Narrow" w:hAnsi="Arial Narrow" w:cs="Arial"/>
                <w:sz w:val="20"/>
              </w:rPr>
              <w:t>268</w:t>
            </w:r>
          </w:p>
        </w:tc>
      </w:tr>
    </w:tbl>
    <w:p w14:paraId="3DE5A89D"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Source: Excel spreadsheet (rTMS Section E.xls)</w:t>
      </w:r>
    </w:p>
    <w:p w14:paraId="2E826E92" w14:textId="77777777" w:rsidR="004C314A" w:rsidRDefault="004C314A" w:rsidP="004C314A">
      <w:pPr>
        <w:keepNext/>
        <w:spacing w:before="40" w:after="40"/>
        <w:rPr>
          <w:rFonts w:ascii="Arial Narrow" w:hAnsi="Arial Narrow" w:cs="Arial"/>
          <w:sz w:val="18"/>
          <w:szCs w:val="18"/>
        </w:rPr>
      </w:pPr>
      <w:r>
        <w:rPr>
          <w:rFonts w:ascii="Arial Narrow" w:hAnsi="Arial Narrow" w:cs="Arial"/>
          <w:sz w:val="18"/>
          <w:szCs w:val="18"/>
        </w:rPr>
        <w:t>ECT = electroconvulsive therapy; rTMS = repetitive Transcranial Magnetic Stimulation</w:t>
      </w:r>
    </w:p>
    <w:p w14:paraId="5CD8A137" w14:textId="77777777" w:rsidR="004C314A" w:rsidRDefault="004C314A" w:rsidP="004C314A"/>
    <w:p w14:paraId="7DADB470" w14:textId="77777777" w:rsidR="004C314A" w:rsidRDefault="004C314A" w:rsidP="004C314A">
      <w:r>
        <w:t>Increasing the number of patients who opt to receive rTMS rather than ECT has a minimal impact on the overall healthcare budget. If 15% of eligible ECT patients opt for rTMS treatment there is an overall saving of 0$0.8 million over five years, if this increases to 20% the saving is $1.6 million.</w:t>
      </w:r>
    </w:p>
    <w:p w14:paraId="29081DD5" w14:textId="77777777" w:rsidR="004C314A" w:rsidRDefault="004C314A" w:rsidP="004C314A"/>
    <w:p w14:paraId="4C3F98D5" w14:textId="77777777" w:rsidR="003E61DB" w:rsidRPr="00C9782D" w:rsidRDefault="003E61DB" w:rsidP="00AB6AD4">
      <w:pPr>
        <w:pStyle w:val="Heading2"/>
      </w:pPr>
      <w:bookmarkStart w:id="230" w:name="_Toc386093978"/>
      <w:bookmarkStart w:id="231" w:name="_Toc386094217"/>
      <w:bookmarkStart w:id="232" w:name="_Toc389142059"/>
      <w:r w:rsidRPr="00C9782D">
        <w:lastRenderedPageBreak/>
        <w:t>Discussion</w:t>
      </w:r>
      <w:bookmarkEnd w:id="230"/>
      <w:bookmarkEnd w:id="231"/>
      <w:bookmarkEnd w:id="232"/>
      <w:r w:rsidRPr="00C9782D">
        <w:t xml:space="preserve"> </w:t>
      </w:r>
    </w:p>
    <w:p w14:paraId="3ED6FC3F" w14:textId="77777777" w:rsidR="003E61DB" w:rsidRPr="00C9782D" w:rsidRDefault="003E61DB" w:rsidP="00D22942">
      <w:pPr>
        <w:pStyle w:val="Heading3"/>
      </w:pPr>
      <w:bookmarkStart w:id="233" w:name="_Toc389142060"/>
      <w:r w:rsidRPr="00C9782D">
        <w:t>Is it safe?</w:t>
      </w:r>
      <w:bookmarkEnd w:id="233"/>
      <w:r w:rsidRPr="00C9782D">
        <w:t xml:space="preserve"> </w:t>
      </w:r>
    </w:p>
    <w:p w14:paraId="5897C0B2" w14:textId="358833B0" w:rsidR="00A02A09" w:rsidRPr="00374B0F" w:rsidRDefault="00A02A09" w:rsidP="00A02A09">
      <w:pPr>
        <w:pStyle w:val="NoSpacing"/>
        <w:spacing w:after="240"/>
        <w:jc w:val="both"/>
      </w:pPr>
      <w:r w:rsidRPr="00374B0F">
        <w:t xml:space="preserve">NeuroStar </w:t>
      </w:r>
      <w:r w:rsidR="00336F9C">
        <w:t>r</w:t>
      </w:r>
      <w:r w:rsidRPr="00374B0F">
        <w:t xml:space="preserve">TMS has a unique safety profile among depression treatments in that it is non-systemic and non-invasive. The ability of NeuroStar </w:t>
      </w:r>
      <w:r w:rsidR="00336F9C">
        <w:t>r</w:t>
      </w:r>
      <w:r w:rsidRPr="00374B0F">
        <w:t xml:space="preserve">TMS to non-invasively enter the brain, positively impact neurobiological function and exit without leaving negative residual effects is a significant medical innovation.  The primary side effect of the use of NeuroStar </w:t>
      </w:r>
      <w:r w:rsidR="00336F9C">
        <w:t>r</w:t>
      </w:r>
      <w:r w:rsidRPr="00374B0F">
        <w:t>TMS is discomfort or pain at the site of stimulation during active treatment. This is due to the brief activation of motor and sensory nerves in the scalp.</w:t>
      </w:r>
    </w:p>
    <w:p w14:paraId="50C85543" w14:textId="167B0D2A" w:rsidR="0035014E" w:rsidRPr="008C4FB2" w:rsidRDefault="0035014E" w:rsidP="0035014E">
      <w:pPr>
        <w:pStyle w:val="NoSpacing"/>
        <w:spacing w:after="240"/>
        <w:jc w:val="both"/>
      </w:pPr>
      <w:r w:rsidRPr="008C4FB2">
        <w:t xml:space="preserve">A major recognized strength of NeuroStar </w:t>
      </w:r>
      <w:r w:rsidR="00336F9C">
        <w:t>r</w:t>
      </w:r>
      <w:r w:rsidRPr="008C4FB2">
        <w:t xml:space="preserve">TMS </w:t>
      </w:r>
      <w:r>
        <w:t>T</w:t>
      </w:r>
      <w:r w:rsidRPr="008C4FB2">
        <w:t xml:space="preserve">herapy in clinical use is its safety and tolerability. The early experience with </w:t>
      </w:r>
      <w:r w:rsidR="00336F9C">
        <w:t>r</w:t>
      </w:r>
      <w:r w:rsidRPr="008C4FB2">
        <w:t xml:space="preserve">TMS reported in the published literature has established a predictable and clinically benign safety and tolerability profile for </w:t>
      </w:r>
      <w:r w:rsidR="00336F9C">
        <w:t>r</w:t>
      </w:r>
      <w:r w:rsidRPr="008C4FB2">
        <w:t xml:space="preserve">TMS in therapeutic use in patients with major depression.  </w:t>
      </w:r>
    </w:p>
    <w:p w14:paraId="307BDB0F" w14:textId="790FC9E4" w:rsidR="0035014E" w:rsidRDefault="0035014E" w:rsidP="0035014E">
      <w:pPr>
        <w:pStyle w:val="NoSpacing"/>
        <w:spacing w:after="240"/>
        <w:jc w:val="both"/>
      </w:pPr>
      <w:r w:rsidRPr="008C4FB2">
        <w:t xml:space="preserve">This prior research and the clinical studies conducted using the NeuroStar </w:t>
      </w:r>
      <w:r w:rsidR="00336F9C">
        <w:t>r</w:t>
      </w:r>
      <w:r w:rsidRPr="008C4FB2">
        <w:t xml:space="preserve">TMS Therapy </w:t>
      </w:r>
      <w:r>
        <w:t>S</w:t>
      </w:r>
      <w:r w:rsidRPr="008C4FB2">
        <w:t xml:space="preserve">ystem underscore the fact that </w:t>
      </w:r>
      <w:r w:rsidR="00336F9C">
        <w:t>r</w:t>
      </w:r>
      <w:r w:rsidRPr="008C4FB2">
        <w:t xml:space="preserve">TMS can be safely administered in an outpatient clinical setting (Janicak, 2008). </w:t>
      </w:r>
    </w:p>
    <w:p w14:paraId="1A8FA19F" w14:textId="77777777" w:rsidR="003E61DB" w:rsidRDefault="00A02A09" w:rsidP="003E61DB">
      <w:r>
        <w:t>The strength of the evidence for the NeuroStar system in RCTs and post-market review trials indicates that rTMS is safe with few harmful effects</w:t>
      </w:r>
      <w:r w:rsidR="00A43F66">
        <w:t xml:space="preserve"> (e.g. 7 seizures reported for 14,000 patients since 2008)</w:t>
      </w:r>
      <w:r>
        <w:t xml:space="preserve">.  The sham trials consistently support this.  There were no seizures or deaths and little suicidal ideation in </w:t>
      </w:r>
      <w:r w:rsidR="00227D72">
        <w:t xml:space="preserve">the NeuroStar trials.  </w:t>
      </w:r>
    </w:p>
    <w:p w14:paraId="13381C11" w14:textId="77777777" w:rsidR="00227D72" w:rsidRDefault="00227D72" w:rsidP="003E61DB">
      <w:r>
        <w:t xml:space="preserve">There is no direct comparative evidence of safety outcomes from trial evidence </w:t>
      </w:r>
      <w:r w:rsidR="004003F7">
        <w:t>for either antidepressants or</w:t>
      </w:r>
      <w:r>
        <w:t xml:space="preserve"> ECT.  The available evidence shows that with all three treatments, there are different toxicity profiles.  </w:t>
      </w:r>
      <w:proofErr w:type="gramStart"/>
      <w:r>
        <w:t>rTMS</w:t>
      </w:r>
      <w:proofErr w:type="gramEnd"/>
      <w:r>
        <w:t xml:space="preserve"> however, has the least serious effects of all three options.</w:t>
      </w:r>
    </w:p>
    <w:p w14:paraId="6A9980B4" w14:textId="77777777" w:rsidR="00000BA3" w:rsidRPr="00C9782D" w:rsidRDefault="00000BA3" w:rsidP="003E61DB">
      <w:r>
        <w:t xml:space="preserve">An important advantage of rTMS over antidepressants is the very low discontinuation rate once therapy has begun.  In Janicak </w:t>
      </w:r>
      <w:r w:rsidRPr="00000BA3">
        <w:rPr>
          <w:i/>
        </w:rPr>
        <w:t>et al.</w:t>
      </w:r>
      <w:r>
        <w:t xml:space="preserve"> (2008) and George </w:t>
      </w:r>
      <w:r w:rsidRPr="00000BA3">
        <w:rPr>
          <w:i/>
        </w:rPr>
        <w:t>et al.</w:t>
      </w:r>
      <w:r>
        <w:t xml:space="preserve"> (2010), discontinuation rates were less than 5%.  This reflects the very high acceptability of this form of antidepressant treatment and high safety profile relative to antidepressants and ECT.</w:t>
      </w:r>
    </w:p>
    <w:p w14:paraId="1DEB7300" w14:textId="77777777" w:rsidR="003E61DB" w:rsidRPr="00C9782D" w:rsidRDefault="003E61DB" w:rsidP="00D22942">
      <w:pPr>
        <w:pStyle w:val="Heading3"/>
      </w:pPr>
      <w:bookmarkStart w:id="234" w:name="_Toc389142061"/>
      <w:r w:rsidRPr="00C9782D">
        <w:t>Is it effective?</w:t>
      </w:r>
      <w:bookmarkEnd w:id="234"/>
      <w:r w:rsidRPr="00C9782D">
        <w:t xml:space="preserve"> </w:t>
      </w:r>
    </w:p>
    <w:p w14:paraId="6CA79945" w14:textId="77777777" w:rsidR="00A43F66" w:rsidRDefault="00A43F66" w:rsidP="00ED70FB">
      <w:pPr>
        <w:jc w:val="both"/>
        <w:rPr>
          <w:lang w:val="en-US"/>
        </w:rPr>
      </w:pPr>
      <w:r>
        <w:rPr>
          <w:lang w:val="en-US"/>
        </w:rPr>
        <w:t>There is a large body of evidence for TMS against sham TMS but relatively less for rTMS against ECT and none versus antidepressants.</w:t>
      </w:r>
    </w:p>
    <w:p w14:paraId="74AFD6D6" w14:textId="77777777" w:rsidR="00227D72" w:rsidRDefault="00227D72" w:rsidP="00ED70FB">
      <w:pPr>
        <w:jc w:val="both"/>
        <w:rPr>
          <w:lang w:val="en-US"/>
        </w:rPr>
      </w:pPr>
      <w:r>
        <w:rPr>
          <w:lang w:val="en-US"/>
        </w:rPr>
        <w:t xml:space="preserve">Level II evidence strongly supports the efficacy of rTMS against sham. However this is not the comparator appropriate for the proposed MBS target population since there are other options available (antidepressants or ECT).  There this is lack of evidence directly comparing rTMS with either antidepressants or ECT and </w:t>
      </w:r>
      <w:r w:rsidR="00A43F66">
        <w:rPr>
          <w:lang w:val="en-US"/>
        </w:rPr>
        <w:t xml:space="preserve">indirect </w:t>
      </w:r>
      <w:r>
        <w:rPr>
          <w:lang w:val="en-US"/>
        </w:rPr>
        <w:t xml:space="preserve">comparisons </w:t>
      </w:r>
      <w:r w:rsidR="00A43F66">
        <w:rPr>
          <w:lang w:val="en-US"/>
        </w:rPr>
        <w:t>were necessary here</w:t>
      </w:r>
      <w:r>
        <w:rPr>
          <w:lang w:val="en-US"/>
        </w:rPr>
        <w:t xml:space="preserve">.  These indicate in general, that </w:t>
      </w:r>
      <w:r w:rsidR="00872DCD">
        <w:rPr>
          <w:lang w:val="en-US"/>
        </w:rPr>
        <w:t xml:space="preserve">rTMS is effective in terms of higher response rates than antidepressants but </w:t>
      </w:r>
      <w:r w:rsidR="00A43F66">
        <w:rPr>
          <w:lang w:val="en-US"/>
        </w:rPr>
        <w:t>has</w:t>
      </w:r>
      <w:r w:rsidR="00872DCD">
        <w:rPr>
          <w:lang w:val="en-US"/>
        </w:rPr>
        <w:t xml:space="preserve"> similar </w:t>
      </w:r>
      <w:r w:rsidR="00A43F66">
        <w:rPr>
          <w:lang w:val="en-US"/>
        </w:rPr>
        <w:t xml:space="preserve">effectiveness </w:t>
      </w:r>
      <w:r w:rsidR="00872DCD">
        <w:rPr>
          <w:lang w:val="en-US"/>
        </w:rPr>
        <w:t>compared with ECT.</w:t>
      </w:r>
    </w:p>
    <w:p w14:paraId="43379344" w14:textId="4AECCD7B" w:rsidR="003E61DB" w:rsidRDefault="006779C4" w:rsidP="00ED70FB">
      <w:pPr>
        <w:jc w:val="both"/>
        <w:rPr>
          <w:lang w:val="en-US"/>
        </w:rPr>
      </w:pPr>
      <w:r w:rsidRPr="009E2E2D">
        <w:rPr>
          <w:lang w:val="en-US"/>
        </w:rPr>
        <w:t>In order to properly understand the scientific ev</w:t>
      </w:r>
      <w:r>
        <w:rPr>
          <w:lang w:val="en-US"/>
        </w:rPr>
        <w:t>idence base for the use of TMS t</w:t>
      </w:r>
      <w:r w:rsidRPr="009E2E2D">
        <w:rPr>
          <w:lang w:val="en-US"/>
        </w:rPr>
        <w:t xml:space="preserve">herapy as an antidepressant, it is important to consider the temporal evolution of the literature </w:t>
      </w:r>
      <w:r w:rsidRPr="009E2E2D">
        <w:rPr>
          <w:lang w:val="en-US"/>
        </w:rPr>
        <w:lastRenderedPageBreak/>
        <w:t xml:space="preserve">on the technology of </w:t>
      </w:r>
      <w:r w:rsidR="00336F9C">
        <w:rPr>
          <w:lang w:val="en-US"/>
        </w:rPr>
        <w:t>r</w:t>
      </w:r>
      <w:r w:rsidRPr="009E2E2D">
        <w:rPr>
          <w:lang w:val="en-US"/>
        </w:rPr>
        <w:t xml:space="preserve">TMS itself, and to examine the early generation of clinical trial data separately from the more recently completed multi-site randomized controlled clinical trials. In the earlier generation of studies, a major focus of scientific interest was placed on establishing a clear dose-effect relationship, understanding the optimal method of targeting the brain regions of interest, and then clarifying the appropriate duration of treatment exposure. For example, one of the earliest meta-analyses conducted came from the Cochrane Library (Martin, et al 2003). While this meta-analysis was authoritative at the time that it was published, it should be noted that this report was published at a time when only 13 small, exploratory studies had been conducted and reported in the scientific literature. Since that time, significant improvements in the field’s understanding of dose selection, study design, treatment duration, and site of stimulation have been addressed. In fact, later meta-analyses have clearly demonstrated a secular trend of improved and more consistent results in </w:t>
      </w:r>
      <w:r w:rsidR="00336F9C">
        <w:rPr>
          <w:lang w:val="en-US"/>
        </w:rPr>
        <w:t>r</w:t>
      </w:r>
      <w:r w:rsidRPr="009E2E2D">
        <w:rPr>
          <w:lang w:val="en-US"/>
        </w:rPr>
        <w:t>TMS studies over time. For example, the more recent meta-analysis by Gross and colleagues (2007) compared the conclusions of the Cochrane review report to the results of studies conducted in the subsequent years and found that the more recently completed TMS trials showed consistently larger treatment effects than the first generation of exploratory studies</w:t>
      </w:r>
      <w:r w:rsidR="00B01457">
        <w:rPr>
          <w:lang w:val="en-US"/>
        </w:rPr>
        <w:t>.</w:t>
      </w:r>
    </w:p>
    <w:p w14:paraId="62EC5713" w14:textId="77777777" w:rsidR="00B01457" w:rsidRDefault="00B01457" w:rsidP="00B01457">
      <w:pPr>
        <w:spacing w:after="0"/>
        <w:jc w:val="both"/>
      </w:pPr>
      <w:r>
        <w:t>The review summarises the extensive body of research evaluating the efficacy of rTMS,</w:t>
      </w:r>
    </w:p>
    <w:p w14:paraId="6CA6E93A" w14:textId="7CE6CD13" w:rsidR="00B01457" w:rsidRDefault="00B01457" w:rsidP="00B01457">
      <w:pPr>
        <w:spacing w:after="0"/>
        <w:jc w:val="both"/>
      </w:pPr>
      <w:proofErr w:type="gramStart"/>
      <w:r>
        <w:t>predominately</w:t>
      </w:r>
      <w:proofErr w:type="gramEnd"/>
      <w:r>
        <w:t xml:space="preserve"> compared to sham or placebo treatment. It is notable that this includes a number of large multisite trials are summarised in the report but also greater than 30 single site studies summarised in multiple positive meta-analyses. The evidence clearly indicates superior or equivalent efficacy to antidepressant medication, despite rTMS treatment trials having predominately been performed in patients who are medication resistant and who would typically be was expected to respond at very low rates to further trials of medication therapy.</w:t>
      </w:r>
    </w:p>
    <w:p w14:paraId="5A4E3C59" w14:textId="213360C2" w:rsidR="00B01457" w:rsidRDefault="00B01457" w:rsidP="00B01457">
      <w:pPr>
        <w:spacing w:after="0"/>
        <w:jc w:val="both"/>
      </w:pPr>
    </w:p>
    <w:p w14:paraId="68A82260" w14:textId="2DDCD399" w:rsidR="00B01457" w:rsidRDefault="00B01457" w:rsidP="00B01457">
      <w:pPr>
        <w:spacing w:after="0"/>
        <w:jc w:val="both"/>
      </w:pPr>
      <w:r>
        <w:t>The effectiveness of rTMS does not appear to be dependent on the individual machine being used for administration with positive clinical trials using the Neuro Star device quoted in the application, but also using a range of other commercially available systems. There appears to be no difference in efficacy or safety related to the type of rTMS equipment utilised.</w:t>
      </w:r>
    </w:p>
    <w:p w14:paraId="153BA58E" w14:textId="5BFFEA45" w:rsidR="00B01457" w:rsidRDefault="00B01457" w:rsidP="00B01457">
      <w:pPr>
        <w:spacing w:after="0"/>
        <w:ind w:left="0"/>
        <w:jc w:val="both"/>
      </w:pPr>
    </w:p>
    <w:p w14:paraId="33F5C231" w14:textId="446E384F" w:rsidR="00B01457" w:rsidRDefault="00B01457" w:rsidP="00B01457">
      <w:pPr>
        <w:spacing w:after="0"/>
        <w:jc w:val="both"/>
      </w:pPr>
      <w:r>
        <w:t xml:space="preserve">A secondary efficacy comparison has been made between rTMS and ECT. In clinical practice, these are highly unlikely to be comparable therapeutic options for patients at an equivalent illness stage. Due to the side-effects and stigma associated with ECT, it is typically reserved for patients who are </w:t>
      </w:r>
      <w:proofErr w:type="gramStart"/>
      <w:r>
        <w:t>either acutely and</w:t>
      </w:r>
      <w:proofErr w:type="gramEnd"/>
      <w:r>
        <w:t xml:space="preserve"> severely unwell or for those who are significantly treatment resistant. Treatment resistant patients referred for ECT will most typically have undergone a significantly greater number of antidepressant treatment trials compared to those being considered for rTMS given the more favourable safety profile of rTMS treatment.</w:t>
      </w:r>
    </w:p>
    <w:p w14:paraId="53731A5F" w14:textId="77777777" w:rsidR="00B01457" w:rsidRDefault="00B01457" w:rsidP="00B01457">
      <w:pPr>
        <w:spacing w:after="0"/>
        <w:jc w:val="both"/>
      </w:pPr>
    </w:p>
    <w:p w14:paraId="6755355B" w14:textId="443E8076" w:rsidR="00B01457" w:rsidRDefault="00B01457" w:rsidP="00B01457">
      <w:pPr>
        <w:spacing w:after="0"/>
        <w:jc w:val="both"/>
        <w:rPr>
          <w:lang w:val="en-US"/>
        </w:rPr>
      </w:pPr>
      <w:r>
        <w:t>Consideration is given to structured psychotherapy as a potential comparator. It is clear that there are no direct studies comparing rTMS treatment to structured psychotherapy. What is perhaps slightly less clear is a significant absence of substantive evidence for the efficacy of psychotherapy in this clinical population. In particular, no studies have compared the use of a structured form of psychotherapy to a control therapy in patients who have failed to respond to two or more antidepressant medication treatments as it is typically the case with rTMS trials. A small number of trials have compared efficacy of structured psychotherapy to a control condition in patients who have failed one antidepressant medication. However, in these studies, the level of depression has</w:t>
      </w:r>
      <w:r w:rsidR="00542CF0">
        <w:t xml:space="preserve"> </w:t>
      </w:r>
      <w:r>
        <w:t xml:space="preserve">typically </w:t>
      </w:r>
      <w:r>
        <w:lastRenderedPageBreak/>
        <w:t>been mild and hence not comparable to the clinical population where rTMS is being utilised. The vast majority of rTMS treatment studies have been conducted in patients with moderate or severe depression.</w:t>
      </w:r>
    </w:p>
    <w:p w14:paraId="461970B8" w14:textId="77777777" w:rsidR="00244EC9" w:rsidRDefault="00244EC9" w:rsidP="00404A6E">
      <w:pPr>
        <w:pStyle w:val="Heading4"/>
        <w:rPr>
          <w:lang w:val="en-US"/>
        </w:rPr>
      </w:pPr>
      <w:r>
        <w:rPr>
          <w:lang w:val="en-US"/>
        </w:rPr>
        <w:t xml:space="preserve">Long </w:t>
      </w:r>
      <w:r w:rsidRPr="00404A6E">
        <w:t>term</w:t>
      </w:r>
      <w:r>
        <w:rPr>
          <w:lang w:val="en-US"/>
        </w:rPr>
        <w:t xml:space="preserve"> rTMS vs sham</w:t>
      </w:r>
    </w:p>
    <w:p w14:paraId="59061497" w14:textId="25000D72" w:rsidR="00244EC9" w:rsidRDefault="00244EC9" w:rsidP="00244EC9">
      <w:pPr>
        <w:jc w:val="both"/>
      </w:pPr>
      <w:r w:rsidRPr="00AD6EF2">
        <w:t xml:space="preserve">In summary, there are now </w:t>
      </w:r>
      <w:r>
        <w:t>three</w:t>
      </w:r>
      <w:r w:rsidRPr="00AD6EF2">
        <w:t xml:space="preserve"> independent studies of the long term outcomes following acute tr</w:t>
      </w:r>
      <w:r>
        <w:t>eatment with the NeuroStar TMS T</w:t>
      </w:r>
      <w:r w:rsidRPr="00AD6EF2">
        <w:t xml:space="preserve">herapy </w:t>
      </w:r>
      <w:r>
        <w:t>S</w:t>
      </w:r>
      <w:r w:rsidRPr="00AD6EF2">
        <w:t xml:space="preserve">ystem. Over increasing intervals of time through 12 months of follow-up, these studies are consistent in demonstrating that the acute treatment benefits are durable, and can be maintained with a reduced burden of antidepressant medication as maintenance treatment. Additionally, these reports demonstrate a modest need for reintroduction of </w:t>
      </w:r>
      <w:r w:rsidR="00336F9C">
        <w:t>r</w:t>
      </w:r>
      <w:r w:rsidRPr="00AD6EF2">
        <w:t>TMS over the 12 months following acute treatment.</w:t>
      </w:r>
    </w:p>
    <w:p w14:paraId="5950C536" w14:textId="77777777" w:rsidR="00244EC9" w:rsidRPr="008C3491" w:rsidRDefault="007832AF" w:rsidP="00404A6E">
      <w:pPr>
        <w:pStyle w:val="Heading4"/>
        <w:rPr>
          <w:lang w:val="en-US"/>
        </w:rPr>
      </w:pPr>
      <w:proofErr w:type="gramStart"/>
      <w:r w:rsidRPr="008C3491">
        <w:rPr>
          <w:lang w:val="en-US"/>
        </w:rPr>
        <w:t>rTMS</w:t>
      </w:r>
      <w:proofErr w:type="gramEnd"/>
      <w:r w:rsidRPr="008C3491">
        <w:rPr>
          <w:lang w:val="en-US"/>
        </w:rPr>
        <w:t xml:space="preserve"> vs A</w:t>
      </w:r>
      <w:r w:rsidR="008C3491">
        <w:rPr>
          <w:lang w:val="en-US"/>
        </w:rPr>
        <w:t>ntidepressant</w:t>
      </w:r>
    </w:p>
    <w:p w14:paraId="0AAA9917" w14:textId="2B81ABEC" w:rsidR="007832AF" w:rsidRPr="008110B5" w:rsidRDefault="00872DCD" w:rsidP="007832AF">
      <w:pPr>
        <w:pStyle w:val="NoSpacing"/>
        <w:spacing w:after="240"/>
        <w:jc w:val="both"/>
      </w:pPr>
      <w:r>
        <w:t>P</w:t>
      </w:r>
      <w:r w:rsidR="007832AF" w:rsidRPr="008110B5">
        <w:t xml:space="preserve">atients in the NeuroStar </w:t>
      </w:r>
      <w:r w:rsidR="00336F9C">
        <w:t>r</w:t>
      </w:r>
      <w:r w:rsidR="007832AF" w:rsidRPr="008110B5">
        <w:t>TMS registration trial had failed a prior “adequate antidepressant drug trial.” The word “adequate” has a very specific research meaning that is stricter than that often used by treating physicians. For example, an adequate drug trial is defined by the Antidepressant Treatment History Form (ATHF) (Sackeim, 2001), a rigorous and validated methodology for establishing antidepressant treatment resistance in research settings. The ATHF assigns each drug therapy an antidepressant resistance rating from 1 to 5 (1 being the lowest and 5 being the highest), based on the d</w:t>
      </w:r>
      <w:r w:rsidR="007832AF">
        <w:t xml:space="preserve">osage and length of treatment. </w:t>
      </w:r>
      <w:r w:rsidR="007832AF" w:rsidRPr="008110B5">
        <w:t>Generally, d</w:t>
      </w:r>
      <w:r w:rsidR="007832AF">
        <w:t>rug therapy must last at least four</w:t>
      </w:r>
      <w:r w:rsidR="007832AF" w:rsidRPr="008110B5">
        <w:t xml:space="preserve"> weeks in duration to be considered of an adequate duration with this methodology. An antidepressant resistance rating of 3 or greater indicates an adequate trial, in both duration and dosage. In many instances, patients receive multiple trials of drug therapy, most of which do not achieve treatment adequacy as defined by the ATHF, usually because of intolerance to adverse effects of the treatment, or general non-adherence to recommended therapy. These patients were screened out of the NeuroStar </w:t>
      </w:r>
      <w:r w:rsidR="00336F9C">
        <w:t>r</w:t>
      </w:r>
      <w:r w:rsidR="007832AF" w:rsidRPr="008110B5">
        <w:t xml:space="preserve">TMS trials because they had not received an adequate drug trial.  </w:t>
      </w:r>
    </w:p>
    <w:p w14:paraId="4DBFAD1E" w14:textId="1B32CA59" w:rsidR="00851CF6" w:rsidRDefault="00851CF6" w:rsidP="00851CF6">
      <w:pPr>
        <w:pStyle w:val="NoSpacing"/>
        <w:spacing w:after="240"/>
        <w:jc w:val="both"/>
      </w:pPr>
      <w:r w:rsidRPr="008110B5">
        <w:t xml:space="preserve">In summary, outcomes in this naturalistic study showed clinical response and adherence rates under conditions of general clinical use were similar to those reported in open-label clinical trials in research study populations. These data validate that the acute and long-term durability of effect of NeuroStar </w:t>
      </w:r>
      <w:r w:rsidR="00336F9C">
        <w:t>r</w:t>
      </w:r>
      <w:r w:rsidRPr="008110B5">
        <w:t xml:space="preserve">TMS </w:t>
      </w:r>
      <w:r>
        <w:t>T</w:t>
      </w:r>
      <w:r w:rsidRPr="008110B5">
        <w:t xml:space="preserve">herapy efficacy in real-world clinical treatment is similar to the outcomes reported in published controlled clinical trials conducted in research populations, and further support the use NeuroStar </w:t>
      </w:r>
      <w:r w:rsidR="00336F9C">
        <w:t>r</w:t>
      </w:r>
      <w:r w:rsidRPr="008110B5">
        <w:t xml:space="preserve">TMS </w:t>
      </w:r>
      <w:r>
        <w:t>T</w:t>
      </w:r>
      <w:r w:rsidRPr="008110B5">
        <w:t>herapy as an effective and well tolerated treatment for those who have failed to benefit from initial treatment with antidepressant medication.</w:t>
      </w:r>
    </w:p>
    <w:p w14:paraId="6622CB47" w14:textId="77777777" w:rsidR="00D84749" w:rsidRPr="00AD6EF2" w:rsidRDefault="00D84749" w:rsidP="00D84749">
      <w:pPr>
        <w:jc w:val="both"/>
        <w:rPr>
          <w:color w:val="000000"/>
        </w:rPr>
      </w:pPr>
      <w:r w:rsidRPr="00AD6EF2">
        <w:rPr>
          <w:color w:val="000000"/>
        </w:rPr>
        <w:t xml:space="preserve">The </w:t>
      </w:r>
      <w:r>
        <w:rPr>
          <w:color w:val="000000"/>
        </w:rPr>
        <w:t xml:space="preserve">AHRQ 2011 review </w:t>
      </w:r>
      <w:r w:rsidRPr="00AD6EF2">
        <w:rPr>
          <w:color w:val="000000"/>
        </w:rPr>
        <w:t>is a</w:t>
      </w:r>
      <w:r>
        <w:rPr>
          <w:color w:val="000000"/>
        </w:rPr>
        <w:t>n</w:t>
      </w:r>
      <w:r w:rsidRPr="00AD6EF2">
        <w:rPr>
          <w:color w:val="000000"/>
        </w:rPr>
        <w:t xml:space="preserve"> important document because of the level of rigor and independence of this review group. In particular, this report arrives at conclusions regarding the safety and effectiveness of </w:t>
      </w:r>
      <w:r>
        <w:rPr>
          <w:color w:val="000000"/>
        </w:rPr>
        <w:t>r</w:t>
      </w:r>
      <w:r w:rsidRPr="00AD6EF2">
        <w:rPr>
          <w:color w:val="000000"/>
        </w:rPr>
        <w:t>TMS that are consistent with the data reviewed in the sections above. Among the analyses included in that document was a synthesis of the available peer-reviewed clinical research literature concerning the efficac</w:t>
      </w:r>
      <w:r>
        <w:rPr>
          <w:color w:val="000000"/>
        </w:rPr>
        <w:t>y and safety of the use of rTMS t</w:t>
      </w:r>
      <w:r w:rsidRPr="00AD6EF2">
        <w:rPr>
          <w:color w:val="000000"/>
        </w:rPr>
        <w:t xml:space="preserve">herapy as an antidepressant treatment for patients with major depression who have failed to benefit from initial antidepressant </w:t>
      </w:r>
      <w:proofErr w:type="gramStart"/>
      <w:r w:rsidRPr="00AD6EF2">
        <w:rPr>
          <w:color w:val="000000"/>
        </w:rPr>
        <w:t>medication</w:t>
      </w:r>
      <w:r>
        <w:rPr>
          <w:color w:val="000000"/>
        </w:rPr>
        <w:t>s</w:t>
      </w:r>
      <w:r w:rsidRPr="00AD6EF2">
        <w:rPr>
          <w:color w:val="000000"/>
        </w:rPr>
        <w:t>.</w:t>
      </w:r>
      <w:proofErr w:type="gramEnd"/>
    </w:p>
    <w:p w14:paraId="5FDD4399" w14:textId="77777777" w:rsidR="00D84749" w:rsidRDefault="00D84749" w:rsidP="00D84749">
      <w:pPr>
        <w:spacing w:after="120"/>
        <w:jc w:val="both"/>
      </w:pPr>
      <w:r w:rsidRPr="00AD6EF2">
        <w:rPr>
          <w:i/>
          <w:iCs/>
        </w:rPr>
        <w:t xml:space="preserve">Overall, the Panel concluded that there is a substantial and well-replicated body of evidence from randomized, sham-controlled clinical trials that provide a “high strength of evidence” that TMS produces significantly greater decreases in depression severity, response rate and remission rate when compared to a </w:t>
      </w:r>
      <w:r w:rsidRPr="00AD6EF2">
        <w:rPr>
          <w:i/>
          <w:iCs/>
        </w:rPr>
        <w:lastRenderedPageBreak/>
        <w:t xml:space="preserve">sham treatment condition in the majority of peer-reviewed published clinical trials </w:t>
      </w:r>
      <w:r w:rsidRPr="00AD6EF2">
        <w:t xml:space="preserve">(for example, see </w:t>
      </w:r>
      <w:r w:rsidRPr="00216545">
        <w:t>Table A, Page ES-4 of the Executive Summary, and also Table 97 on Page 150 of the Overview of Main Findings). Of specific note is the general conclusion articulated in the Overview of Main Findings on Page 155,</w:t>
      </w:r>
      <w:r w:rsidRPr="00AD6EF2">
        <w:t xml:space="preserve"> where the Panel summarizes that in the most st</w:t>
      </w:r>
      <w:r>
        <w:t>ringent subset of studies (i.e.</w:t>
      </w:r>
      <w:r w:rsidRPr="00AD6EF2">
        <w:t xml:space="preserve"> Tier 1 studies) for the patients meeting the strict definition of treatment </w:t>
      </w:r>
      <w:r>
        <w:t>resistant depression (TRD, i.e.</w:t>
      </w:r>
      <w:r w:rsidRPr="00AD6EF2">
        <w:t xml:space="preserve"> two or more antidepressant failures of prior treatment with medications):</w:t>
      </w:r>
      <w:r>
        <w:t xml:space="preserve"> </w:t>
      </w:r>
    </w:p>
    <w:p w14:paraId="4677387F" w14:textId="77777777" w:rsidR="00D84749" w:rsidRPr="00AD6EF2" w:rsidRDefault="00D84749" w:rsidP="00D84749">
      <w:pPr>
        <w:jc w:val="both"/>
      </w:pPr>
      <w:r w:rsidRPr="00AD6EF2">
        <w:t>“Specifically, TMS averaged a decrease in depressive severity measured by the Hamilton Rating Scale for Depression (HAM-D) of more than 5 points relative to sham control, and this change meets the minimum threshold of the 3-point HAM-D difference that is considered clinically meaningful. Response rates were greater with TMS than sham (also high strength of evidence); those receiving TMS were more than three times as likely to achieve a depressive response as patients receiving sham procedure. Finally, TMS was also more likely to produce remission than the control procedure (moderate strength of evidence); patients receiving TMS were more than 6 times as likely to achieve remission as those receiving the sham…”</w:t>
      </w:r>
    </w:p>
    <w:p w14:paraId="66BF39E6" w14:textId="77777777" w:rsidR="00D84749" w:rsidRPr="00AD6EF2" w:rsidRDefault="00D84749" w:rsidP="00D84749">
      <w:pPr>
        <w:jc w:val="both"/>
        <w:rPr>
          <w:b/>
          <w:iCs/>
        </w:rPr>
      </w:pPr>
      <w:bookmarkStart w:id="235" w:name="_Toc367715555"/>
      <w:bookmarkStart w:id="236" w:name="_Toc367716620"/>
      <w:bookmarkStart w:id="237" w:name="_Toc367716688"/>
      <w:bookmarkStart w:id="238" w:name="_Toc367716756"/>
      <w:bookmarkStart w:id="239" w:name="_Toc367717662"/>
      <w:bookmarkStart w:id="240" w:name="_Toc367802002"/>
      <w:r w:rsidRPr="00AD6EF2">
        <w:rPr>
          <w:iCs/>
        </w:rPr>
        <w:t xml:space="preserve">In attempting to position the evidence for the various non-pharmacologic treatments in comparison to the outcomes expected for medication treatment as an alternative, the AHRQ report also summarizes for the reader the likelihood of patient benefit from the standard pharmacologic ‘next-step’ options. On Page </w:t>
      </w:r>
      <w:r w:rsidRPr="00D84749">
        <w:rPr>
          <w:iCs/>
        </w:rPr>
        <w:t>156, they</w:t>
      </w:r>
      <w:r w:rsidRPr="00AD6EF2">
        <w:rPr>
          <w:iCs/>
        </w:rPr>
        <w:t xml:space="preserve"> note for example, that the likelihood of achieving remission in patient with a routine pharmacologic “switch” to next best medication only averaged 22.3% (95% CI: 16.2</w:t>
      </w:r>
      <w:r>
        <w:rPr>
          <w:iCs/>
        </w:rPr>
        <w:t xml:space="preserve">, </w:t>
      </w:r>
      <w:r w:rsidRPr="00AD6EF2">
        <w:rPr>
          <w:iCs/>
        </w:rPr>
        <w:t>28.4). With augmentation, the likelihood of achieving remission was similar, averaging 27.2% (95% CI: 20.4</w:t>
      </w:r>
      <w:r>
        <w:rPr>
          <w:iCs/>
        </w:rPr>
        <w:t>,</w:t>
      </w:r>
      <w:r w:rsidRPr="00AD6EF2">
        <w:rPr>
          <w:iCs/>
        </w:rPr>
        <w:t xml:space="preserve"> 34.0). These numbers highlight the diminishing benefit with increasing levels of treatment resistance with standard pharmacologic options, and compare reasonably well with the clinician-rated remission rates observed in Neuronetics’ Outcomes Study 37.1% (95% CI: 31.9</w:t>
      </w:r>
      <w:r>
        <w:rPr>
          <w:iCs/>
        </w:rPr>
        <w:t xml:space="preserve">, </w:t>
      </w:r>
      <w:r w:rsidRPr="00AD6EF2">
        <w:rPr>
          <w:iCs/>
        </w:rPr>
        <w:t>42.7).</w:t>
      </w:r>
      <w:bookmarkEnd w:id="235"/>
      <w:bookmarkEnd w:id="236"/>
      <w:bookmarkEnd w:id="237"/>
      <w:bookmarkEnd w:id="238"/>
      <w:bookmarkEnd w:id="239"/>
      <w:bookmarkEnd w:id="240"/>
    </w:p>
    <w:p w14:paraId="511D1D9F" w14:textId="77777777" w:rsidR="00D84749" w:rsidRPr="00AD6EF2" w:rsidRDefault="00D84749" w:rsidP="00D84749">
      <w:pPr>
        <w:jc w:val="both"/>
        <w:rPr>
          <w:b/>
          <w:iCs/>
        </w:rPr>
      </w:pPr>
      <w:bookmarkStart w:id="241" w:name="_Toc367715556"/>
      <w:bookmarkStart w:id="242" w:name="_Toc367716621"/>
      <w:bookmarkStart w:id="243" w:name="_Toc367716689"/>
      <w:bookmarkStart w:id="244" w:name="_Toc367716757"/>
      <w:bookmarkStart w:id="245" w:name="_Toc367717663"/>
      <w:bookmarkStart w:id="246" w:name="_Toc367802003"/>
      <w:r w:rsidRPr="00AD6EF2">
        <w:rPr>
          <w:iCs/>
        </w:rPr>
        <w:t>These conclusions are significant for several reasons. First, they are a rigorously conducted, unbiased assessment of the available scientific evidence. Secondly, they stand in a unique and authoritative position as a statement on the favo</w:t>
      </w:r>
      <w:r>
        <w:rPr>
          <w:iCs/>
        </w:rPr>
        <w:t>u</w:t>
      </w:r>
      <w:r w:rsidRPr="00AD6EF2">
        <w:rPr>
          <w:iCs/>
        </w:rPr>
        <w:t xml:space="preserve">rable scientific and clinical conclusions that can be drawn from the peer-reviewed, published literature on the use of TMS in depression. Finally, they are consistent with the prevailing conclusions in the broader scientific literature regarding the safety and efficacy of the use of TMS in </w:t>
      </w:r>
      <w:r>
        <w:rPr>
          <w:iCs/>
        </w:rPr>
        <w:t>treatment resistant de</w:t>
      </w:r>
      <w:r w:rsidRPr="00AD6EF2">
        <w:rPr>
          <w:iCs/>
        </w:rPr>
        <w:t>pression.</w:t>
      </w:r>
      <w:bookmarkEnd w:id="241"/>
      <w:bookmarkEnd w:id="242"/>
      <w:bookmarkEnd w:id="243"/>
      <w:bookmarkEnd w:id="244"/>
      <w:bookmarkEnd w:id="245"/>
      <w:bookmarkEnd w:id="246"/>
    </w:p>
    <w:p w14:paraId="0FF5DCC2" w14:textId="77777777" w:rsidR="00D84749" w:rsidRDefault="00D84749" w:rsidP="00D22942">
      <w:pPr>
        <w:pStyle w:val="Heading3"/>
      </w:pPr>
    </w:p>
    <w:p w14:paraId="43C905AD" w14:textId="77777777" w:rsidR="003E61DB" w:rsidRPr="00C9782D" w:rsidRDefault="003E61DB" w:rsidP="00D22942">
      <w:pPr>
        <w:pStyle w:val="Heading3"/>
      </w:pPr>
      <w:bookmarkStart w:id="247" w:name="_Toc389142062"/>
      <w:r w:rsidRPr="00C9782D">
        <w:t>What are the economic considerations?</w:t>
      </w:r>
      <w:bookmarkEnd w:id="247"/>
    </w:p>
    <w:p w14:paraId="11EB8555" w14:textId="30C49E71" w:rsidR="00186811" w:rsidRDefault="006525DB" w:rsidP="005353DF">
      <w:pPr>
        <w:jc w:val="both"/>
      </w:pPr>
      <w:r>
        <w:t xml:space="preserve">Subject to the data limitations to fully inform the economic model, </w:t>
      </w:r>
      <w:r w:rsidR="00186811">
        <w:t xml:space="preserve">rTMS treatment for patients with major depression who have failed at least two adequate courses of antidepressants is cost-effective compared to </w:t>
      </w:r>
      <w:r>
        <w:t xml:space="preserve">an </w:t>
      </w:r>
      <w:r w:rsidR="00186811">
        <w:t>a</w:t>
      </w:r>
      <w:r w:rsidR="00186811" w:rsidRPr="002E463E">
        <w:t>ntidepressant</w:t>
      </w:r>
      <w:r w:rsidR="00186811">
        <w:t xml:space="preserve"> strategy</w:t>
      </w:r>
      <w:r>
        <w:t>. Compared to</w:t>
      </w:r>
      <w:r w:rsidR="00186811" w:rsidRPr="002E463E">
        <w:t xml:space="preserve"> ECT</w:t>
      </w:r>
      <w:r>
        <w:t>, rTMS has lower costs but slightly lower effectiveness in terms of QALY gains</w:t>
      </w:r>
      <w:r w:rsidR="00186811" w:rsidRPr="002E463E">
        <w:t xml:space="preserve">. </w:t>
      </w:r>
    </w:p>
    <w:p w14:paraId="1366CC4C" w14:textId="2B60EEE0" w:rsidR="00407072" w:rsidRDefault="00407072" w:rsidP="005353DF">
      <w:pPr>
        <w:jc w:val="both"/>
      </w:pPr>
      <w:r>
        <w:t xml:space="preserve">The financial cost to MBS of rTMS is </w:t>
      </w:r>
      <w:r w:rsidR="00000BA3">
        <w:t xml:space="preserve">expected to be </w:t>
      </w:r>
      <w:r>
        <w:t>around $</w:t>
      </w:r>
      <w:r w:rsidR="00310AD5">
        <w:t>13</w:t>
      </w:r>
      <w:r>
        <w:t xml:space="preserve"> million per year </w:t>
      </w:r>
      <w:r w:rsidR="00310AD5">
        <w:t>including</w:t>
      </w:r>
      <w:r>
        <w:t xml:space="preserve"> savings expected for the reduction of antidepressant costs incurred by MBS.</w:t>
      </w:r>
      <w:r w:rsidR="00000BA3">
        <w:t xml:space="preserve">  The costs to </w:t>
      </w:r>
      <w:r w:rsidR="006525DB">
        <w:t>MBS</w:t>
      </w:r>
      <w:r w:rsidR="00000BA3">
        <w:t xml:space="preserve"> will also decrease from a reduction in </w:t>
      </w:r>
      <w:r w:rsidR="006525DB">
        <w:t>ECT where some patients with non-psychotic depression will choose rTMS over ECT</w:t>
      </w:r>
      <w:r w:rsidR="00000BA3">
        <w:t>.</w:t>
      </w:r>
    </w:p>
    <w:p w14:paraId="69B83ED9" w14:textId="77777777" w:rsidR="00872DCD" w:rsidRDefault="00872DCD" w:rsidP="005353DF">
      <w:pPr>
        <w:jc w:val="both"/>
      </w:pPr>
      <w:r>
        <w:lastRenderedPageBreak/>
        <w:t xml:space="preserve">Financial estimates are highly dependent on the proportion of patients that </w:t>
      </w:r>
      <w:r w:rsidR="00000BA3">
        <w:t xml:space="preserve">will </w:t>
      </w:r>
      <w:r>
        <w:t>receive rTMS. This is uncertain in the face of limited knowledge on this estimate. Further research is required</w:t>
      </w:r>
      <w:r w:rsidR="00407072">
        <w:t xml:space="preserve"> on the uptake rate with the current machines available in Australia and the willingness of clinicians to refer clients to this option.</w:t>
      </w:r>
      <w:r w:rsidR="00FB0E22">
        <w:t xml:space="preserve"> Our assessment on the reduction of an</w:t>
      </w:r>
      <w:r w:rsidR="00000D58">
        <w:t xml:space="preserve">tidepressant-related costs </w:t>
      </w:r>
      <w:r w:rsidR="00FB0E22">
        <w:t>(including any healthcare costs for adverse events) may be conservative if the high patient and clinician acceptability is realised.</w:t>
      </w:r>
    </w:p>
    <w:p w14:paraId="5C4FF05C" w14:textId="77777777" w:rsidR="00FB0E22" w:rsidRDefault="00FB0E22" w:rsidP="00532CCA"/>
    <w:p w14:paraId="01C4D7FC" w14:textId="77777777" w:rsidR="003E61DB" w:rsidRPr="00C9782D" w:rsidRDefault="003E61DB" w:rsidP="003E61DB"/>
    <w:p w14:paraId="779E9ADC" w14:textId="77777777" w:rsidR="003E61DB" w:rsidRPr="00C9782D" w:rsidRDefault="003E61DB" w:rsidP="00AB6AD4">
      <w:pPr>
        <w:pStyle w:val="Heading2"/>
      </w:pPr>
      <w:bookmarkStart w:id="248" w:name="_Toc386093979"/>
      <w:bookmarkStart w:id="249" w:name="_Toc386094218"/>
      <w:bookmarkStart w:id="250" w:name="_Toc389142063"/>
      <w:r w:rsidRPr="00C9782D">
        <w:lastRenderedPageBreak/>
        <w:t>Conclusions</w:t>
      </w:r>
      <w:bookmarkEnd w:id="248"/>
      <w:bookmarkEnd w:id="249"/>
      <w:bookmarkEnd w:id="250"/>
      <w:r w:rsidRPr="00C9782D">
        <w:t xml:space="preserve"> </w:t>
      </w:r>
    </w:p>
    <w:p w14:paraId="1AA7F299" w14:textId="77777777" w:rsidR="00611343" w:rsidRPr="00C9782D" w:rsidRDefault="00611343" w:rsidP="00D22942">
      <w:pPr>
        <w:pStyle w:val="Heading3"/>
      </w:pPr>
      <w:bookmarkStart w:id="251" w:name="_Toc389142064"/>
      <w:bookmarkStart w:id="252" w:name="_Ref206484417"/>
      <w:r w:rsidRPr="00C9782D">
        <w:t>Safety</w:t>
      </w:r>
      <w:bookmarkEnd w:id="251"/>
      <w:r w:rsidRPr="00C9782D">
        <w:t xml:space="preserve"> </w:t>
      </w:r>
    </w:p>
    <w:p w14:paraId="381287C3" w14:textId="7EBDD303" w:rsidR="00611343" w:rsidRPr="00C9782D" w:rsidRDefault="00611343" w:rsidP="005353DF">
      <w:pPr>
        <w:jc w:val="both"/>
      </w:pPr>
      <w:proofErr w:type="gramStart"/>
      <w:r>
        <w:t>rTMS</w:t>
      </w:r>
      <w:proofErr w:type="gramEnd"/>
      <w:r>
        <w:t xml:space="preserve"> is non-systematic and non-invasive. It is widely believed to have a superior profile on safety relative to ECT and antidepressants.</w:t>
      </w:r>
      <w:r w:rsidR="00FB0E22">
        <w:t xml:space="preserve"> The most serious safety issues are pain at the site of administration which is usually mild and transient and seizures, which are extremely rare.  Post-market surveillance on rTMS shows very low levels of serious toxicitiy </w:t>
      </w:r>
      <w:r w:rsidR="00C907B9">
        <w:t xml:space="preserve">(0.1% per patient) </w:t>
      </w:r>
      <w:r w:rsidR="00FB0E22">
        <w:t>in 14,000 patients worldwide since 2008.</w:t>
      </w:r>
    </w:p>
    <w:p w14:paraId="39EF15D0" w14:textId="77777777" w:rsidR="00611343" w:rsidRPr="00C9782D" w:rsidRDefault="00611343" w:rsidP="00D22942">
      <w:pPr>
        <w:pStyle w:val="Heading3"/>
      </w:pPr>
      <w:bookmarkStart w:id="253" w:name="_Toc389142065"/>
      <w:r w:rsidRPr="00C9782D">
        <w:t>Effectiveness</w:t>
      </w:r>
      <w:bookmarkEnd w:id="253"/>
      <w:r w:rsidRPr="00C9782D">
        <w:t xml:space="preserve"> </w:t>
      </w:r>
    </w:p>
    <w:p w14:paraId="24249B77" w14:textId="77777777" w:rsidR="00611343" w:rsidRPr="00C9782D" w:rsidRDefault="00611343" w:rsidP="005353DF">
      <w:pPr>
        <w:jc w:val="both"/>
      </w:pPr>
      <w:proofErr w:type="gramStart"/>
      <w:r>
        <w:t>rTMS</w:t>
      </w:r>
      <w:proofErr w:type="gramEnd"/>
      <w:r>
        <w:t xml:space="preserve"> is superior to sham using direct RCT level I evidence.  Indirectly comparing the evidence on remission and response rates on the HAM-D instruments shows that rTMS is also </w:t>
      </w:r>
      <w:r w:rsidR="00FB0E22">
        <w:t xml:space="preserve">at least equivalent or </w:t>
      </w:r>
      <w:r>
        <w:t xml:space="preserve">more effective than antidepressants depending on the agent. </w:t>
      </w:r>
      <w:r w:rsidR="00FB0E22">
        <w:t>However, i</w:t>
      </w:r>
      <w:r w:rsidR="00681C22">
        <w:t>ndirect comparisons with ECT are</w:t>
      </w:r>
      <w:r>
        <w:t xml:space="preserve"> less consistent and evidence shows rTMS may be equivalent at best to ECT or inferior.</w:t>
      </w:r>
    </w:p>
    <w:p w14:paraId="2B6CE1F9" w14:textId="77777777" w:rsidR="00611343" w:rsidRPr="00C9782D" w:rsidRDefault="00611343" w:rsidP="00D22942">
      <w:pPr>
        <w:pStyle w:val="Heading3"/>
      </w:pPr>
      <w:bookmarkStart w:id="254" w:name="_Toc389142066"/>
      <w:r w:rsidRPr="00C9782D">
        <w:t>Economic considerations</w:t>
      </w:r>
      <w:bookmarkEnd w:id="254"/>
    </w:p>
    <w:p w14:paraId="0B25DAB6" w14:textId="77777777" w:rsidR="008C3491" w:rsidRDefault="008C3491" w:rsidP="00404A6E">
      <w:pPr>
        <w:pStyle w:val="Heading4"/>
      </w:pPr>
      <w:r>
        <w:t xml:space="preserve">Cost </w:t>
      </w:r>
      <w:r w:rsidRPr="00404A6E">
        <w:t>effectiveness</w:t>
      </w:r>
    </w:p>
    <w:p w14:paraId="46443602" w14:textId="363B1088" w:rsidR="00611343" w:rsidRPr="00C9782D" w:rsidRDefault="00310AD5" w:rsidP="005353DF">
      <w:pPr>
        <w:jc w:val="both"/>
      </w:pPr>
      <w:r>
        <w:t xml:space="preserve">The proposed use of </w:t>
      </w:r>
      <w:r w:rsidR="00611343">
        <w:t xml:space="preserve">rTMS is cost-effective compared with antidepressants producing </w:t>
      </w:r>
      <w:r w:rsidR="004003F7">
        <w:t>cost-savings</w:t>
      </w:r>
      <w:r w:rsidR="00611343">
        <w:t xml:space="preserve"> and higher QALYs (dominant). This result is </w:t>
      </w:r>
      <w:r w:rsidR="004003F7">
        <w:t xml:space="preserve">reasonably </w:t>
      </w:r>
      <w:r w:rsidR="00611343">
        <w:t xml:space="preserve">stable when </w:t>
      </w:r>
      <w:r w:rsidR="004003F7">
        <w:t xml:space="preserve">most </w:t>
      </w:r>
      <w:r w:rsidR="00611343">
        <w:t>model inputs are altered in sensitivity analyses. This result is subject to the assumptions made in the model until further evidence is availabl</w:t>
      </w:r>
      <w:r w:rsidR="004003F7">
        <w:t xml:space="preserve">e. </w:t>
      </w:r>
      <w:r w:rsidR="00611343">
        <w:t xml:space="preserve">When rTMS is compared with ECT, it </w:t>
      </w:r>
      <w:r w:rsidR="004003F7">
        <w:t>produced cost-savings but also fewer QALYs</w:t>
      </w:r>
      <w:r w:rsidR="00611343">
        <w:t xml:space="preserve"> and the incremental cost-effectiveness ratio is $</w:t>
      </w:r>
      <w:r w:rsidR="004003F7">
        <w:t>75,844</w:t>
      </w:r>
      <w:r w:rsidR="00611343">
        <w:t xml:space="preserve"> per QALY gained. The likelihood that rTMS is cost-effective compared with </w:t>
      </w:r>
      <w:r w:rsidR="004003F7">
        <w:t xml:space="preserve">antidepressants was 70.5% and for </w:t>
      </w:r>
      <w:r w:rsidR="00611343">
        <w:t xml:space="preserve">ECT </w:t>
      </w:r>
      <w:r w:rsidR="004003F7">
        <w:t>was</w:t>
      </w:r>
      <w:r w:rsidR="00611343">
        <w:t xml:space="preserve"> </w:t>
      </w:r>
      <w:r w:rsidR="004003F7">
        <w:t>38.8</w:t>
      </w:r>
      <w:r w:rsidR="00611343">
        <w:t>%</w:t>
      </w:r>
      <w:r w:rsidR="004003F7">
        <w:t xml:space="preserve"> at a willingness-to-pay threshold of $50,000 per QALY</w:t>
      </w:r>
      <w:r w:rsidR="00611343">
        <w:t>.</w:t>
      </w:r>
    </w:p>
    <w:p w14:paraId="41D8C5EA" w14:textId="77777777" w:rsidR="00611343" w:rsidRPr="00C9782D" w:rsidRDefault="008C3491" w:rsidP="00404A6E">
      <w:pPr>
        <w:pStyle w:val="Heading4"/>
      </w:pPr>
      <w:r>
        <w:t>Financial implications</w:t>
      </w:r>
    </w:p>
    <w:p w14:paraId="342D7E05" w14:textId="77777777" w:rsidR="00611343" w:rsidRPr="00C9782D" w:rsidRDefault="00611343" w:rsidP="005353DF">
      <w:pPr>
        <w:jc w:val="both"/>
      </w:pPr>
      <w:r w:rsidRPr="00C9782D">
        <w:t xml:space="preserve">The expected uptake of </w:t>
      </w:r>
      <w:r>
        <w:t>rTMS</w:t>
      </w:r>
      <w:r w:rsidRPr="00C9782D">
        <w:rPr>
          <w:i/>
        </w:rPr>
        <w:t xml:space="preserve"> </w:t>
      </w:r>
      <w:r w:rsidRPr="00C9782D">
        <w:t xml:space="preserve">is estimated at </w:t>
      </w:r>
      <w:r>
        <w:t>82</w:t>
      </w:r>
      <w:r w:rsidR="00FB0E22">
        <w:t>,</w:t>
      </w:r>
      <w:r>
        <w:t>777 separate treatments</w:t>
      </w:r>
      <w:r w:rsidRPr="00C9782D">
        <w:t xml:space="preserve"> for </w:t>
      </w:r>
      <w:r>
        <w:t>2012</w:t>
      </w:r>
      <w:r w:rsidRPr="00C9782D">
        <w:t xml:space="preserve"> patients </w:t>
      </w:r>
      <w:r>
        <w:t xml:space="preserve">in </w:t>
      </w:r>
      <w:r w:rsidR="00FB0E22">
        <w:t>Year 1</w:t>
      </w:r>
      <w:r>
        <w:t xml:space="preserve"> to 120,757 t</w:t>
      </w:r>
      <w:r w:rsidR="00FB0E22">
        <w:t>reatments for 2935 patients by Y</w:t>
      </w:r>
      <w:r>
        <w:t>ear 5</w:t>
      </w:r>
      <w:r w:rsidRPr="00C9782D">
        <w:t>.</w:t>
      </w:r>
    </w:p>
    <w:p w14:paraId="1629CEAF" w14:textId="0CAE5264" w:rsidR="00310AD5" w:rsidRDefault="00FF7CE4" w:rsidP="00FF7CE4">
      <w:pPr>
        <w:jc w:val="both"/>
      </w:pPr>
      <w:bookmarkStart w:id="255" w:name="_Toc386093980"/>
      <w:bookmarkStart w:id="256" w:name="_Toc386094219"/>
      <w:r>
        <w:t xml:space="preserve">The listing of rTMS therapy is expected to have a net cost to the MBS of approximately $13.303 million in Year 1, increasing to $19.456 million in Year 5. Over the next 5 years, rTMS treatment and psychiatrist consults would cost the MBS approximately $81.664 million, after cost-offsets are taken into account. </w:t>
      </w:r>
      <w:r w:rsidR="00310AD5">
        <w:br w:type="page"/>
      </w:r>
    </w:p>
    <w:p w14:paraId="035244B9" w14:textId="3AA990EE" w:rsidR="003E61DB" w:rsidRPr="00C9782D" w:rsidRDefault="003E61DB" w:rsidP="00AB6AD4">
      <w:pPr>
        <w:pStyle w:val="Heading2"/>
      </w:pPr>
      <w:bookmarkStart w:id="257" w:name="_Toc389142067"/>
      <w:r w:rsidRPr="00C9782D">
        <w:lastRenderedPageBreak/>
        <w:t>Appendix A</w:t>
      </w:r>
      <w:bookmarkEnd w:id="252"/>
      <w:r w:rsidRPr="00C9782D">
        <w:tab/>
        <w:t>Health Expert Standing Panel Members and Evaluators</w:t>
      </w:r>
      <w:bookmarkEnd w:id="255"/>
      <w:bookmarkEnd w:id="256"/>
      <w:bookmarkEnd w:id="257"/>
    </w:p>
    <w:p w14:paraId="19552834" w14:textId="5CEAC958" w:rsidR="00310AD5" w:rsidRDefault="00310AD5">
      <w:pPr>
        <w:spacing w:after="0"/>
        <w:ind w:left="0"/>
        <w:rPr>
          <w:rFonts w:ascii="Tahoma" w:hAnsi="Tahoma"/>
          <w:b/>
          <w:sz w:val="32"/>
        </w:rPr>
      </w:pPr>
    </w:p>
    <w:p w14:paraId="06231F90" w14:textId="252F0EBD" w:rsidR="003E61DB" w:rsidRPr="00C9782D" w:rsidRDefault="003E61DB" w:rsidP="00D22942">
      <w:pPr>
        <w:pStyle w:val="Heading3"/>
      </w:pPr>
      <w:bookmarkStart w:id="258" w:name="_Toc389142068"/>
      <w:r w:rsidRPr="00C9782D">
        <w:t>Health Expert Standing Panel Members</w:t>
      </w:r>
      <w:bookmarkEnd w:id="258"/>
    </w:p>
    <w:tbl>
      <w:tblPr>
        <w:tblW w:w="0" w:type="auto"/>
        <w:tblInd w:w="816" w:type="dxa"/>
        <w:tblLayout w:type="fixed"/>
        <w:tblLook w:val="0000" w:firstRow="0" w:lastRow="0" w:firstColumn="0" w:lastColumn="0" w:noHBand="0" w:noVBand="0"/>
      </w:tblPr>
      <w:tblGrid>
        <w:gridCol w:w="3261"/>
        <w:gridCol w:w="5103"/>
      </w:tblGrid>
      <w:tr w:rsidR="003E61DB" w:rsidRPr="00C9782D" w14:paraId="5C9C004A" w14:textId="77777777" w:rsidTr="00681C22">
        <w:trPr>
          <w:cantSplit/>
        </w:trPr>
        <w:tc>
          <w:tcPr>
            <w:tcW w:w="3261" w:type="dxa"/>
            <w:tcBorders>
              <w:top w:val="single" w:sz="4" w:space="0" w:color="auto"/>
            </w:tcBorders>
            <w:vAlign w:val="center"/>
          </w:tcPr>
          <w:p w14:paraId="0C7E8D31" w14:textId="77777777" w:rsidR="003E61DB" w:rsidRPr="00C9782D" w:rsidRDefault="003E61DB" w:rsidP="00681C22">
            <w:pPr>
              <w:autoSpaceDE w:val="0"/>
              <w:autoSpaceDN w:val="0"/>
              <w:adjustRightInd w:val="0"/>
              <w:spacing w:before="40" w:after="40"/>
              <w:ind w:left="11" w:hanging="11"/>
              <w:rPr>
                <w:b/>
                <w:sz w:val="22"/>
                <w:szCs w:val="22"/>
              </w:rPr>
            </w:pPr>
            <w:bookmarkStart w:id="259" w:name="OLE_LINK1"/>
            <w:bookmarkStart w:id="260" w:name="OLE_LINK2"/>
            <w:r w:rsidRPr="00C9782D">
              <w:rPr>
                <w:b/>
                <w:sz w:val="22"/>
                <w:szCs w:val="22"/>
              </w:rPr>
              <w:t>Member</w:t>
            </w:r>
          </w:p>
        </w:tc>
        <w:tc>
          <w:tcPr>
            <w:tcW w:w="5103" w:type="dxa"/>
            <w:tcBorders>
              <w:top w:val="single" w:sz="4" w:space="0" w:color="auto"/>
            </w:tcBorders>
            <w:vAlign w:val="center"/>
          </w:tcPr>
          <w:p w14:paraId="6DFB4BE8" w14:textId="77777777" w:rsidR="003E61DB" w:rsidRPr="00C9782D" w:rsidRDefault="003E61DB" w:rsidP="00681C22">
            <w:pPr>
              <w:autoSpaceDE w:val="0"/>
              <w:autoSpaceDN w:val="0"/>
              <w:adjustRightInd w:val="0"/>
              <w:spacing w:before="40" w:after="40"/>
              <w:ind w:left="11" w:hanging="11"/>
              <w:rPr>
                <w:b/>
                <w:sz w:val="22"/>
                <w:szCs w:val="22"/>
              </w:rPr>
            </w:pPr>
            <w:r w:rsidRPr="00C9782D">
              <w:rPr>
                <w:b/>
                <w:sz w:val="22"/>
                <w:szCs w:val="22"/>
              </w:rPr>
              <w:t>Nomination / Expertise or Affiliation</w:t>
            </w:r>
          </w:p>
        </w:tc>
      </w:tr>
      <w:bookmarkEnd w:id="259"/>
      <w:bookmarkEnd w:id="260"/>
      <w:tr w:rsidR="003E61DB" w:rsidRPr="00C9782D" w14:paraId="16A08982" w14:textId="77777777" w:rsidTr="00681C22">
        <w:trPr>
          <w:cantSplit/>
        </w:trPr>
        <w:tc>
          <w:tcPr>
            <w:tcW w:w="3261" w:type="dxa"/>
            <w:vAlign w:val="center"/>
          </w:tcPr>
          <w:p w14:paraId="67C3F750" w14:textId="77777777" w:rsidR="003E61DB" w:rsidRPr="00C9782D" w:rsidRDefault="00A26CA6" w:rsidP="00681C22">
            <w:pPr>
              <w:autoSpaceDE w:val="0"/>
              <w:autoSpaceDN w:val="0"/>
              <w:adjustRightInd w:val="0"/>
              <w:spacing w:before="40" w:after="40"/>
              <w:ind w:left="34" w:hanging="34"/>
              <w:rPr>
                <w:sz w:val="22"/>
                <w:szCs w:val="22"/>
              </w:rPr>
            </w:pPr>
            <w:r>
              <w:rPr>
                <w:sz w:val="22"/>
                <w:szCs w:val="22"/>
              </w:rPr>
              <w:t>Perminder Sachev</w:t>
            </w:r>
          </w:p>
        </w:tc>
        <w:tc>
          <w:tcPr>
            <w:tcW w:w="5103" w:type="dxa"/>
            <w:vAlign w:val="center"/>
          </w:tcPr>
          <w:p w14:paraId="63F3AF7F" w14:textId="77777777" w:rsidR="003E61DB" w:rsidRPr="00C9782D" w:rsidRDefault="00A26CA6" w:rsidP="00681C22">
            <w:pPr>
              <w:autoSpaceDE w:val="0"/>
              <w:autoSpaceDN w:val="0"/>
              <w:adjustRightInd w:val="0"/>
              <w:spacing w:before="40" w:after="40"/>
              <w:ind w:left="34" w:hanging="34"/>
              <w:rPr>
                <w:sz w:val="22"/>
                <w:szCs w:val="22"/>
              </w:rPr>
            </w:pPr>
            <w:r>
              <w:rPr>
                <w:sz w:val="22"/>
                <w:szCs w:val="22"/>
              </w:rPr>
              <w:t>Professor in Psychiatry UNSW, Psychiatrist</w:t>
            </w:r>
          </w:p>
        </w:tc>
      </w:tr>
      <w:tr w:rsidR="003E61DB" w:rsidRPr="00C9782D" w14:paraId="4C6EAC0A" w14:textId="77777777" w:rsidTr="00681C22">
        <w:trPr>
          <w:cantSplit/>
        </w:trPr>
        <w:tc>
          <w:tcPr>
            <w:tcW w:w="3261" w:type="dxa"/>
            <w:vAlign w:val="center"/>
          </w:tcPr>
          <w:p w14:paraId="27C8090F" w14:textId="77777777" w:rsidR="003E61DB" w:rsidRPr="00C9782D" w:rsidRDefault="003E61DB" w:rsidP="00681C22">
            <w:pPr>
              <w:autoSpaceDE w:val="0"/>
              <w:autoSpaceDN w:val="0"/>
              <w:adjustRightInd w:val="0"/>
              <w:spacing w:before="40" w:after="40"/>
              <w:ind w:left="34" w:hanging="34"/>
              <w:rPr>
                <w:sz w:val="22"/>
                <w:szCs w:val="22"/>
              </w:rPr>
            </w:pPr>
          </w:p>
        </w:tc>
        <w:tc>
          <w:tcPr>
            <w:tcW w:w="5103" w:type="dxa"/>
            <w:vAlign w:val="center"/>
          </w:tcPr>
          <w:p w14:paraId="40104D34" w14:textId="77777777" w:rsidR="003E61DB" w:rsidRPr="00C9782D" w:rsidRDefault="003E61DB" w:rsidP="00681C22">
            <w:pPr>
              <w:autoSpaceDE w:val="0"/>
              <w:autoSpaceDN w:val="0"/>
              <w:adjustRightInd w:val="0"/>
              <w:spacing w:before="40" w:after="40"/>
              <w:ind w:left="34" w:hanging="34"/>
              <w:rPr>
                <w:sz w:val="22"/>
                <w:szCs w:val="22"/>
              </w:rPr>
            </w:pPr>
          </w:p>
        </w:tc>
      </w:tr>
    </w:tbl>
    <w:p w14:paraId="4CCAE7E7" w14:textId="77777777" w:rsidR="003E61DB" w:rsidRPr="00C9782D" w:rsidRDefault="003E61DB" w:rsidP="003E61DB"/>
    <w:p w14:paraId="1F2F74D1" w14:textId="77777777" w:rsidR="003E61DB" w:rsidRPr="00C9782D" w:rsidRDefault="003E61DB" w:rsidP="00D22942">
      <w:pPr>
        <w:pStyle w:val="Heading3"/>
      </w:pPr>
      <w:bookmarkStart w:id="261" w:name="_Toc389142069"/>
      <w:r w:rsidRPr="00C9782D">
        <w:t>Evaluators</w:t>
      </w:r>
      <w:bookmarkEnd w:id="261"/>
    </w:p>
    <w:tbl>
      <w:tblPr>
        <w:tblW w:w="0" w:type="auto"/>
        <w:tblInd w:w="816" w:type="dxa"/>
        <w:tblLayout w:type="fixed"/>
        <w:tblLook w:val="0000" w:firstRow="0" w:lastRow="0" w:firstColumn="0" w:lastColumn="0" w:noHBand="0" w:noVBand="0"/>
      </w:tblPr>
      <w:tblGrid>
        <w:gridCol w:w="3261"/>
        <w:gridCol w:w="5103"/>
      </w:tblGrid>
      <w:tr w:rsidR="003E61DB" w:rsidRPr="00C9782D" w14:paraId="0FFF3A69" w14:textId="77777777" w:rsidTr="00681C22">
        <w:trPr>
          <w:cantSplit/>
        </w:trPr>
        <w:tc>
          <w:tcPr>
            <w:tcW w:w="3261" w:type="dxa"/>
            <w:tcBorders>
              <w:top w:val="single" w:sz="4" w:space="0" w:color="auto"/>
            </w:tcBorders>
            <w:vAlign w:val="center"/>
          </w:tcPr>
          <w:p w14:paraId="7AA13EFA" w14:textId="77777777" w:rsidR="003E61DB" w:rsidRPr="00C9782D" w:rsidRDefault="003E61DB" w:rsidP="00681C22">
            <w:pPr>
              <w:autoSpaceDE w:val="0"/>
              <w:autoSpaceDN w:val="0"/>
              <w:adjustRightInd w:val="0"/>
              <w:spacing w:before="40" w:after="40"/>
              <w:ind w:left="11" w:hanging="11"/>
              <w:rPr>
                <w:b/>
                <w:sz w:val="22"/>
                <w:szCs w:val="22"/>
              </w:rPr>
            </w:pPr>
            <w:r w:rsidRPr="00C9782D">
              <w:rPr>
                <w:b/>
                <w:sz w:val="22"/>
                <w:szCs w:val="22"/>
              </w:rPr>
              <w:t>Name</w:t>
            </w:r>
          </w:p>
        </w:tc>
        <w:tc>
          <w:tcPr>
            <w:tcW w:w="5103" w:type="dxa"/>
            <w:tcBorders>
              <w:top w:val="single" w:sz="4" w:space="0" w:color="auto"/>
            </w:tcBorders>
            <w:vAlign w:val="center"/>
          </w:tcPr>
          <w:p w14:paraId="16FA00D9" w14:textId="77777777" w:rsidR="003E61DB" w:rsidRPr="00C9782D" w:rsidRDefault="003E61DB" w:rsidP="00681C22">
            <w:pPr>
              <w:autoSpaceDE w:val="0"/>
              <w:autoSpaceDN w:val="0"/>
              <w:adjustRightInd w:val="0"/>
              <w:spacing w:before="40" w:after="40"/>
              <w:ind w:left="11" w:hanging="11"/>
              <w:rPr>
                <w:b/>
                <w:sz w:val="22"/>
                <w:szCs w:val="22"/>
              </w:rPr>
            </w:pPr>
            <w:r w:rsidRPr="00C9782D">
              <w:rPr>
                <w:b/>
                <w:sz w:val="22"/>
                <w:szCs w:val="22"/>
              </w:rPr>
              <w:t>Organisation</w:t>
            </w:r>
          </w:p>
        </w:tc>
      </w:tr>
      <w:tr w:rsidR="003E61DB" w:rsidRPr="00C9782D" w14:paraId="039CD2D3" w14:textId="77777777" w:rsidTr="00681C22">
        <w:trPr>
          <w:cantSplit/>
        </w:trPr>
        <w:tc>
          <w:tcPr>
            <w:tcW w:w="3261" w:type="dxa"/>
            <w:tcBorders>
              <w:top w:val="single" w:sz="4" w:space="0" w:color="auto"/>
              <w:bottom w:val="single" w:sz="4" w:space="0" w:color="auto"/>
            </w:tcBorders>
            <w:vAlign w:val="center"/>
          </w:tcPr>
          <w:p w14:paraId="4D707CC0" w14:textId="77777777" w:rsidR="003E61DB" w:rsidRPr="00C9782D" w:rsidRDefault="00A26CA6" w:rsidP="00681C22">
            <w:pPr>
              <w:autoSpaceDE w:val="0"/>
              <w:autoSpaceDN w:val="0"/>
              <w:adjustRightInd w:val="0"/>
              <w:spacing w:before="40" w:after="40"/>
              <w:ind w:left="34" w:hanging="34"/>
              <w:rPr>
                <w:sz w:val="22"/>
                <w:szCs w:val="22"/>
              </w:rPr>
            </w:pPr>
            <w:r>
              <w:rPr>
                <w:sz w:val="22"/>
                <w:szCs w:val="22"/>
              </w:rPr>
              <w:t>Louisa Gordon</w:t>
            </w:r>
          </w:p>
        </w:tc>
        <w:tc>
          <w:tcPr>
            <w:tcW w:w="5103" w:type="dxa"/>
            <w:tcBorders>
              <w:top w:val="single" w:sz="4" w:space="0" w:color="auto"/>
              <w:bottom w:val="single" w:sz="4" w:space="0" w:color="auto"/>
            </w:tcBorders>
            <w:vAlign w:val="center"/>
          </w:tcPr>
          <w:p w14:paraId="6F6EAAD6" w14:textId="77777777" w:rsidR="003E61DB" w:rsidRPr="00C9782D" w:rsidRDefault="00A26CA6" w:rsidP="00681C22">
            <w:pPr>
              <w:autoSpaceDE w:val="0"/>
              <w:autoSpaceDN w:val="0"/>
              <w:adjustRightInd w:val="0"/>
              <w:spacing w:before="40" w:after="40"/>
              <w:ind w:left="34" w:hanging="34"/>
              <w:rPr>
                <w:sz w:val="22"/>
                <w:szCs w:val="22"/>
              </w:rPr>
            </w:pPr>
            <w:r>
              <w:rPr>
                <w:sz w:val="22"/>
                <w:szCs w:val="22"/>
              </w:rPr>
              <w:t>Griffith University</w:t>
            </w:r>
          </w:p>
        </w:tc>
      </w:tr>
      <w:tr w:rsidR="003E61DB" w:rsidRPr="00C9782D" w14:paraId="44CFBC49" w14:textId="77777777" w:rsidTr="00681C22">
        <w:trPr>
          <w:cantSplit/>
        </w:trPr>
        <w:tc>
          <w:tcPr>
            <w:tcW w:w="3261" w:type="dxa"/>
            <w:tcBorders>
              <w:top w:val="single" w:sz="4" w:space="0" w:color="auto"/>
              <w:bottom w:val="single" w:sz="4" w:space="0" w:color="auto"/>
            </w:tcBorders>
            <w:vAlign w:val="center"/>
          </w:tcPr>
          <w:p w14:paraId="32509E87" w14:textId="77777777" w:rsidR="003E61DB" w:rsidRPr="00C9782D" w:rsidRDefault="00A26CA6" w:rsidP="00681C22">
            <w:pPr>
              <w:autoSpaceDE w:val="0"/>
              <w:autoSpaceDN w:val="0"/>
              <w:adjustRightInd w:val="0"/>
              <w:spacing w:before="40" w:after="40"/>
              <w:ind w:left="34" w:hanging="34"/>
              <w:rPr>
                <w:sz w:val="22"/>
                <w:szCs w:val="22"/>
              </w:rPr>
            </w:pPr>
            <w:r>
              <w:rPr>
                <w:sz w:val="22"/>
                <w:szCs w:val="22"/>
              </w:rPr>
              <w:t>Emilie Bettington</w:t>
            </w:r>
          </w:p>
        </w:tc>
        <w:tc>
          <w:tcPr>
            <w:tcW w:w="5103" w:type="dxa"/>
            <w:tcBorders>
              <w:top w:val="single" w:sz="4" w:space="0" w:color="auto"/>
              <w:bottom w:val="single" w:sz="4" w:space="0" w:color="auto"/>
            </w:tcBorders>
            <w:vAlign w:val="center"/>
          </w:tcPr>
          <w:p w14:paraId="59DE6B85" w14:textId="77777777" w:rsidR="003E61DB" w:rsidRPr="00C9782D" w:rsidRDefault="00A26CA6" w:rsidP="00681C22">
            <w:pPr>
              <w:autoSpaceDE w:val="0"/>
              <w:autoSpaceDN w:val="0"/>
              <w:adjustRightInd w:val="0"/>
              <w:spacing w:before="40" w:after="40"/>
              <w:ind w:left="34" w:hanging="34"/>
              <w:rPr>
                <w:sz w:val="22"/>
                <w:szCs w:val="22"/>
              </w:rPr>
            </w:pPr>
            <w:r>
              <w:rPr>
                <w:sz w:val="22"/>
                <w:szCs w:val="22"/>
              </w:rPr>
              <w:t>Griffith University</w:t>
            </w:r>
          </w:p>
        </w:tc>
      </w:tr>
      <w:tr w:rsidR="00A26CA6" w:rsidRPr="00C9782D" w14:paraId="30DB18A3" w14:textId="77777777" w:rsidTr="00681C22">
        <w:trPr>
          <w:cantSplit/>
        </w:trPr>
        <w:tc>
          <w:tcPr>
            <w:tcW w:w="3261" w:type="dxa"/>
            <w:tcBorders>
              <w:top w:val="single" w:sz="4" w:space="0" w:color="auto"/>
            </w:tcBorders>
            <w:vAlign w:val="center"/>
          </w:tcPr>
          <w:p w14:paraId="707716BB" w14:textId="77777777" w:rsidR="00A26CA6" w:rsidRDefault="00A26CA6" w:rsidP="00681C22">
            <w:pPr>
              <w:autoSpaceDE w:val="0"/>
              <w:autoSpaceDN w:val="0"/>
              <w:adjustRightInd w:val="0"/>
              <w:spacing w:before="40" w:after="40"/>
              <w:ind w:left="34" w:hanging="34"/>
              <w:rPr>
                <w:sz w:val="22"/>
                <w:szCs w:val="22"/>
              </w:rPr>
            </w:pPr>
            <w:r>
              <w:rPr>
                <w:sz w:val="22"/>
                <w:szCs w:val="22"/>
              </w:rPr>
              <w:t>Kim Nguyen</w:t>
            </w:r>
          </w:p>
        </w:tc>
        <w:tc>
          <w:tcPr>
            <w:tcW w:w="5103" w:type="dxa"/>
            <w:tcBorders>
              <w:top w:val="single" w:sz="4" w:space="0" w:color="auto"/>
            </w:tcBorders>
            <w:vAlign w:val="center"/>
          </w:tcPr>
          <w:p w14:paraId="23AFF873" w14:textId="77777777" w:rsidR="00A26CA6" w:rsidRDefault="00A26CA6" w:rsidP="00681C22">
            <w:pPr>
              <w:autoSpaceDE w:val="0"/>
              <w:autoSpaceDN w:val="0"/>
              <w:adjustRightInd w:val="0"/>
              <w:spacing w:before="40" w:after="40"/>
              <w:ind w:left="34" w:hanging="34"/>
              <w:rPr>
                <w:sz w:val="22"/>
                <w:szCs w:val="22"/>
              </w:rPr>
            </w:pPr>
            <w:r>
              <w:rPr>
                <w:sz w:val="22"/>
                <w:szCs w:val="22"/>
              </w:rPr>
              <w:t>Griffith University</w:t>
            </w:r>
          </w:p>
        </w:tc>
      </w:tr>
    </w:tbl>
    <w:p w14:paraId="604CFC48" w14:textId="77777777" w:rsidR="003E61DB" w:rsidRDefault="003E61DB" w:rsidP="003E61DB"/>
    <w:p w14:paraId="535511C0" w14:textId="04A73A67" w:rsidR="00C907B9" w:rsidRDefault="00C907B9" w:rsidP="003E61DB">
      <w:r>
        <w:t xml:space="preserve">The above evaluators completed the following sections: Background, What are the economic considerations? </w:t>
      </w:r>
      <w:proofErr w:type="gramStart"/>
      <w:r>
        <w:t>Discussion, Conclusions, Appendix A, C, D, and Executive Summary.</w:t>
      </w:r>
      <w:proofErr w:type="gramEnd"/>
    </w:p>
    <w:p w14:paraId="314987F0" w14:textId="13576833" w:rsidR="00FE7733" w:rsidRDefault="00FE7733">
      <w:pPr>
        <w:spacing w:after="0"/>
        <w:ind w:left="0"/>
      </w:pPr>
      <w:r>
        <w:br w:type="page"/>
      </w:r>
    </w:p>
    <w:p w14:paraId="6CF0DC79" w14:textId="77777777" w:rsidR="00407072" w:rsidRDefault="003E61DB" w:rsidP="00AB6AD4">
      <w:pPr>
        <w:pStyle w:val="Heading2"/>
      </w:pPr>
      <w:bookmarkStart w:id="262" w:name="_Toc386093981"/>
      <w:bookmarkStart w:id="263" w:name="_Toc386094220"/>
      <w:bookmarkStart w:id="264" w:name="_Toc389142070"/>
      <w:r w:rsidRPr="00C9782D">
        <w:lastRenderedPageBreak/>
        <w:t>Appendix B</w:t>
      </w:r>
      <w:r w:rsidRPr="00C9782D">
        <w:tab/>
        <w:t>Search strategies</w:t>
      </w:r>
      <w:bookmarkEnd w:id="262"/>
      <w:bookmarkEnd w:id="263"/>
      <w:bookmarkEnd w:id="264"/>
    </w:p>
    <w:p w14:paraId="6F470970" w14:textId="77777777" w:rsidR="00407072" w:rsidRPr="00407072" w:rsidRDefault="00407072" w:rsidP="00407072"/>
    <w:p w14:paraId="1341F4B8" w14:textId="77777777" w:rsidR="00407072" w:rsidRDefault="00407072" w:rsidP="00407072"/>
    <w:p w14:paraId="6455E107" w14:textId="4BA6CD7F" w:rsidR="003E61DB" w:rsidRDefault="00336F9C" w:rsidP="00407072">
      <w:r>
        <w:t xml:space="preserve">Searches were undertaken utilising Scopus, Pubmed and the Cochrane library. Search terms included rTMS, TMS, transcranial magnetic stimulation, ECT, </w:t>
      </w:r>
      <w:r w:rsidR="00D1614C">
        <w:t>e</w:t>
      </w:r>
      <w:r>
        <w:t xml:space="preserve">lectroconvulsive therapy, </w:t>
      </w:r>
      <w:r w:rsidR="00D1614C">
        <w:t>antidepressant, depression, mood disorder, treatment resistant.</w:t>
      </w:r>
    </w:p>
    <w:p w14:paraId="15E6A078" w14:textId="6B021DC2" w:rsidR="00D1614C" w:rsidRPr="00407072" w:rsidRDefault="00D1614C" w:rsidP="00407072">
      <w:r>
        <w:t>In addition the RANZCP group are extensively involved in Neurostimulation research and attend international conferences and meetings where the most recent rTMS data is presented.</w:t>
      </w:r>
    </w:p>
    <w:p w14:paraId="4DA6AD7F" w14:textId="77777777" w:rsidR="003E61DB" w:rsidRPr="00C9782D" w:rsidRDefault="003E61DB" w:rsidP="003E61DB">
      <w:pPr>
        <w:rPr>
          <w:vanish/>
          <w:color w:val="0000FF"/>
        </w:rPr>
      </w:pPr>
    </w:p>
    <w:p w14:paraId="0E5AC6D1" w14:textId="77777777" w:rsidR="003E61DB" w:rsidRPr="00C9782D" w:rsidRDefault="003E61DB" w:rsidP="00AB6AD4">
      <w:pPr>
        <w:pStyle w:val="Heading2"/>
        <w:sectPr w:rsidR="003E61DB" w:rsidRPr="00C9782D" w:rsidSect="00783A80">
          <w:footerReference w:type="even" r:id="rId26"/>
          <w:type w:val="continuous"/>
          <w:pgSz w:w="11906" w:h="16838"/>
          <w:pgMar w:top="1440" w:right="1440" w:bottom="1440" w:left="1440" w:header="720" w:footer="720" w:gutter="0"/>
          <w:paperSrc w:first="7" w:other="7"/>
          <w:cols w:space="720"/>
        </w:sectPr>
      </w:pPr>
      <w:bookmarkStart w:id="265" w:name="_Ref170808567"/>
      <w:bookmarkStart w:id="266" w:name="_Toc460813781"/>
      <w:bookmarkStart w:id="267" w:name="_Ref170792604"/>
    </w:p>
    <w:p w14:paraId="0E312A65" w14:textId="7E843E31" w:rsidR="00A26CA6" w:rsidRDefault="003E61DB" w:rsidP="00AB6AD4">
      <w:pPr>
        <w:pStyle w:val="Heading2"/>
      </w:pPr>
      <w:bookmarkStart w:id="268" w:name="_Toc386093983"/>
      <w:bookmarkStart w:id="269" w:name="_Toc386094222"/>
      <w:bookmarkStart w:id="270" w:name="_Toc389142071"/>
      <w:bookmarkStart w:id="271" w:name="_Ref192056948"/>
      <w:bookmarkStart w:id="272" w:name="_Ref169423889"/>
      <w:bookmarkEnd w:id="265"/>
      <w:bookmarkEnd w:id="266"/>
      <w:bookmarkEnd w:id="267"/>
      <w:r w:rsidRPr="00C9782D">
        <w:lastRenderedPageBreak/>
        <w:t xml:space="preserve">Appendix </w:t>
      </w:r>
      <w:r w:rsidR="00216545">
        <w:t>C</w:t>
      </w:r>
      <w:r w:rsidRPr="00C9782D">
        <w:tab/>
        <w:t>Existing Sys</w:t>
      </w:r>
      <w:r w:rsidR="00A26CA6">
        <w:t>tematic Reviews and HTA reports</w:t>
      </w:r>
      <w:bookmarkEnd w:id="268"/>
      <w:bookmarkEnd w:id="269"/>
      <w:bookmarkEnd w:id="270"/>
    </w:p>
    <w:p w14:paraId="2CD2FD78" w14:textId="77777777" w:rsidR="00542CF0" w:rsidRDefault="00542CF0" w:rsidP="003F17D5">
      <w:pPr>
        <w:jc w:val="both"/>
      </w:pPr>
    </w:p>
    <w:p w14:paraId="0F342A9A" w14:textId="64A381A1" w:rsidR="00A26CA6" w:rsidRDefault="00A26CA6" w:rsidP="00194AED">
      <w:r>
        <w:t xml:space="preserve">Comparative Effectiveness Review No. 33. (Prepared by RTI International-University of North Caroline (RTI-UNC) Evidence-based Practice Center under Contract No. 290-02-00161.) </w:t>
      </w:r>
      <w:proofErr w:type="gramStart"/>
      <w:r>
        <w:t>AHRQ Publication No. 11-EHC056-EF.</w:t>
      </w:r>
      <w:proofErr w:type="gramEnd"/>
      <w:r>
        <w:t xml:space="preserve"> Rockville, MD: Agency for Healthcare Research and Quality. September 2011. Available from: </w:t>
      </w:r>
      <w:hyperlink r:id="rId27" w:tooltip="Link to the website containing theComparative Effectiveness Review No. 33." w:history="1">
        <w:r w:rsidRPr="0083502A">
          <w:rPr>
            <w:rStyle w:val="Hyperlink"/>
          </w:rPr>
          <w:t>www.effectivehealthcare.ahrq.gov/reports/final.cfm</w:t>
        </w:r>
      </w:hyperlink>
    </w:p>
    <w:p w14:paraId="5F531B7A" w14:textId="77777777" w:rsidR="00407072" w:rsidRDefault="00D468ED" w:rsidP="00D468ED">
      <w:pPr>
        <w:jc w:val="both"/>
      </w:pPr>
      <w:r w:rsidRPr="003039ED">
        <w:t>McLoughlin DM, Mogg A, et al. The clinical effectiveness and cost of repetitive transcranial magnetic stimulation versus electroconvulsive therapy in severe depression: a multicentre pragmatic randomised controlled trial and economic analysis. HTA 2007 Vol 11: No.24</w:t>
      </w:r>
      <w:r>
        <w:t xml:space="preserve"> </w:t>
      </w:r>
    </w:p>
    <w:p w14:paraId="125206BE" w14:textId="77777777" w:rsidR="004003F7" w:rsidRDefault="004003F7" w:rsidP="003F17D5">
      <w:pPr>
        <w:spacing w:after="0"/>
        <w:jc w:val="both"/>
      </w:pPr>
      <w:r>
        <w:t>MSAC 1101, 2007 Assessment Report, Repetitive Transcranial Magnetic Stimulation</w:t>
      </w:r>
    </w:p>
    <w:p w14:paraId="6FD95E51" w14:textId="603B2F20" w:rsidR="004003F7" w:rsidRPr="00A26CA6" w:rsidRDefault="004C1C27" w:rsidP="003F17D5">
      <w:pPr>
        <w:jc w:val="both"/>
      </w:pPr>
      <w:hyperlink r:id="rId28" w:tooltip="Link to the Assessment Report, Repetitive Transcranial Magnetic Stimulation MSAC Application 1101" w:history="1">
        <w:r w:rsidR="004003F7" w:rsidRPr="00117314">
          <w:rPr>
            <w:rStyle w:val="Hyperlink"/>
          </w:rPr>
          <w:t>http://www.msac.gov.au/internet/msac/publishing.nsf/Content/115CC907F00447B3CA2575AD0082FD6C/$File/1101%20-%20Repetitive%20transcranial%20magnetic%20stimulation%20Report.pdf</w:t>
        </w:r>
      </w:hyperlink>
      <w:r w:rsidR="004003F7">
        <w:t xml:space="preserve"> </w:t>
      </w:r>
    </w:p>
    <w:p w14:paraId="31B69EDE" w14:textId="464BB041" w:rsidR="009E57CE" w:rsidRDefault="009E57CE" w:rsidP="00AB6AD4">
      <w:pPr>
        <w:pStyle w:val="Heading2"/>
      </w:pPr>
      <w:bookmarkStart w:id="273" w:name="_Toc385339148"/>
      <w:bookmarkStart w:id="274" w:name="_Toc386093985"/>
      <w:bookmarkStart w:id="275" w:name="_Toc386094224"/>
      <w:bookmarkStart w:id="276" w:name="_Toc389142072"/>
      <w:bookmarkEnd w:id="271"/>
      <w:bookmarkEnd w:id="272"/>
      <w:r>
        <w:lastRenderedPageBreak/>
        <w:t xml:space="preserve">Appendix </w:t>
      </w:r>
      <w:r w:rsidR="00216545">
        <w:t>D</w:t>
      </w:r>
      <w:r>
        <w:t xml:space="preserve"> Additional tables for the economic evaluation</w:t>
      </w:r>
      <w:bookmarkEnd w:id="273"/>
      <w:bookmarkEnd w:id="274"/>
      <w:bookmarkEnd w:id="275"/>
      <w:bookmarkEnd w:id="276"/>
    </w:p>
    <w:p w14:paraId="45F96EC2" w14:textId="77777777" w:rsidR="00404A6E" w:rsidRDefault="00404A6E" w:rsidP="00D22942">
      <w:pPr>
        <w:pStyle w:val="Heading3"/>
      </w:pPr>
      <w:bookmarkStart w:id="277" w:name="_Toc389142073"/>
      <w:r>
        <w:t>Structure of the economic model</w:t>
      </w:r>
      <w:bookmarkEnd w:id="277"/>
    </w:p>
    <w:p w14:paraId="0D1AE697" w14:textId="6F9B7CB8" w:rsidR="003F17D5" w:rsidRPr="00397B17" w:rsidRDefault="003F17D5" w:rsidP="00397B17">
      <w:pPr>
        <w:pStyle w:val="Heading6"/>
        <w:rPr>
          <w:rStyle w:val="Strong"/>
          <w:b/>
          <w:bCs w:val="0"/>
        </w:rPr>
      </w:pPr>
      <w:bookmarkStart w:id="278" w:name="_Ref383768997"/>
      <w:bookmarkStart w:id="279" w:name="_Toc389042772"/>
      <w:bookmarkStart w:id="280" w:name="_Toc389154656"/>
      <w:r w:rsidRPr="00397B17">
        <w:rPr>
          <w:rStyle w:val="Strong"/>
          <w:b/>
          <w:bCs w:val="0"/>
        </w:rPr>
        <w:t xml:space="preserve">Figure </w:t>
      </w:r>
      <w:bookmarkEnd w:id="278"/>
      <w:r w:rsidR="008474A0">
        <w:rPr>
          <w:rStyle w:val="Strong"/>
          <w:b/>
          <w:bCs w:val="0"/>
        </w:rPr>
        <w:t>9</w:t>
      </w:r>
      <w:r w:rsidRPr="00397B17">
        <w:rPr>
          <w:rStyle w:val="Strong"/>
          <w:b/>
          <w:bCs w:val="0"/>
        </w:rPr>
        <w:t>: Structure of the Markov model (3-year duration 1-month cycle)</w:t>
      </w:r>
      <w:bookmarkEnd w:id="279"/>
      <w:bookmarkEnd w:id="280"/>
    </w:p>
    <w:p w14:paraId="5C0CE7BA" w14:textId="77777777" w:rsidR="00681C22" w:rsidRDefault="000A1CB2" w:rsidP="000A1CB2">
      <w:pPr>
        <w:keepNext/>
        <w:spacing w:after="0"/>
        <w:ind w:left="0"/>
        <w:jc w:val="center"/>
        <w:rPr>
          <w:rFonts w:ascii="Tahoma" w:hAnsi="Tahoma"/>
          <w:b/>
          <w:sz w:val="22"/>
        </w:rPr>
      </w:pPr>
      <w:r>
        <w:rPr>
          <w:rFonts w:ascii="Tahoma" w:hAnsi="Tahoma"/>
          <w:b/>
          <w:noProof/>
          <w:sz w:val="22"/>
          <w:lang w:eastAsia="en-AU"/>
        </w:rPr>
        <w:drawing>
          <wp:inline distT="0" distB="0" distL="0" distR="0" wp14:anchorId="1EBE29C3" wp14:editId="60C4BE01">
            <wp:extent cx="5862775" cy="7073798"/>
            <wp:effectExtent l="0" t="0" r="5080" b="0"/>
            <wp:docPr id="74" name="Picture 74" title="Markov model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tif"/>
                    <pic:cNvPicPr/>
                  </pic:nvPicPr>
                  <pic:blipFill>
                    <a:blip r:embed="rId29">
                      <a:extLst>
                        <a:ext uri="{28A0092B-C50C-407E-A947-70E740481C1C}">
                          <a14:useLocalDpi xmlns:a14="http://schemas.microsoft.com/office/drawing/2010/main" val="0"/>
                        </a:ext>
                      </a:extLst>
                    </a:blip>
                    <a:stretch>
                      <a:fillRect/>
                    </a:stretch>
                  </pic:blipFill>
                  <pic:spPr>
                    <a:xfrm>
                      <a:off x="0" y="0"/>
                      <a:ext cx="5862775" cy="7073798"/>
                    </a:xfrm>
                    <a:prstGeom prst="rect">
                      <a:avLst/>
                    </a:prstGeom>
                  </pic:spPr>
                </pic:pic>
              </a:graphicData>
            </a:graphic>
          </wp:inline>
        </w:drawing>
      </w:r>
    </w:p>
    <w:p w14:paraId="76229F3C" w14:textId="77777777" w:rsidR="009E57CE" w:rsidRDefault="009E57CE" w:rsidP="009E57CE"/>
    <w:p w14:paraId="2943CABE" w14:textId="77777777" w:rsidR="009E57CE" w:rsidRDefault="009E57CE" w:rsidP="00D22942">
      <w:pPr>
        <w:pStyle w:val="Heading3"/>
      </w:pPr>
      <w:bookmarkStart w:id="281" w:name="_Toc389142074"/>
      <w:r>
        <w:lastRenderedPageBreak/>
        <w:t>Meta-analysis of the efficacy of rTMS and ECT</w:t>
      </w:r>
      <w:bookmarkEnd w:id="281"/>
      <w:r>
        <w:t xml:space="preserve"> </w:t>
      </w:r>
    </w:p>
    <w:p w14:paraId="28C59DF0" w14:textId="5EA5CFD9" w:rsidR="009E57CE" w:rsidRPr="00397B17" w:rsidRDefault="009E57CE" w:rsidP="00397B17">
      <w:pPr>
        <w:pStyle w:val="Heading6"/>
        <w:rPr>
          <w:rStyle w:val="Strong"/>
          <w:b/>
          <w:bCs w:val="0"/>
        </w:rPr>
      </w:pPr>
      <w:bookmarkStart w:id="282" w:name="_Toc389042773"/>
      <w:bookmarkStart w:id="283" w:name="_Toc389154657"/>
      <w:r w:rsidRPr="00397B17">
        <w:rPr>
          <w:rStyle w:val="Strong"/>
          <w:b/>
          <w:bCs w:val="0"/>
        </w:rPr>
        <w:t xml:space="preserve">Figure </w:t>
      </w:r>
      <w:r w:rsidR="00E45AF4" w:rsidRPr="00397B17">
        <w:rPr>
          <w:rStyle w:val="Strong"/>
          <w:b/>
          <w:bCs w:val="0"/>
        </w:rPr>
        <w:fldChar w:fldCharType="begin"/>
      </w:r>
      <w:r w:rsidR="00E45AF4" w:rsidRPr="00397B17">
        <w:rPr>
          <w:rStyle w:val="Strong"/>
          <w:b/>
          <w:bCs w:val="0"/>
        </w:rPr>
        <w:instrText xml:space="preserve"> SEQ Figure \* ARABIC </w:instrText>
      </w:r>
      <w:r w:rsidR="00E45AF4" w:rsidRPr="00397B17">
        <w:rPr>
          <w:rStyle w:val="Strong"/>
          <w:b/>
          <w:bCs w:val="0"/>
        </w:rPr>
        <w:fldChar w:fldCharType="separate"/>
      </w:r>
      <w:r w:rsidR="004C1C27">
        <w:rPr>
          <w:rStyle w:val="Strong"/>
          <w:b/>
          <w:bCs w:val="0"/>
          <w:noProof/>
        </w:rPr>
        <w:t>6</w:t>
      </w:r>
      <w:r w:rsidR="00E45AF4" w:rsidRPr="00397B17">
        <w:rPr>
          <w:rStyle w:val="Strong"/>
          <w:b/>
          <w:bCs w:val="0"/>
        </w:rPr>
        <w:fldChar w:fldCharType="end"/>
      </w:r>
      <w:r w:rsidRPr="00397B17">
        <w:rPr>
          <w:rStyle w:val="Strong"/>
          <w:b/>
          <w:bCs w:val="0"/>
        </w:rPr>
        <w:t>: Remission rate rTMS vs. Sham</w:t>
      </w:r>
      <w:bookmarkEnd w:id="282"/>
      <w:bookmarkEnd w:id="283"/>
    </w:p>
    <w:p w14:paraId="4048BB88" w14:textId="77777777" w:rsidR="009E57CE" w:rsidRDefault="000A1CB2" w:rsidP="008C4272">
      <w:r>
        <w:rPr>
          <w:noProof/>
          <w:lang w:eastAsia="en-AU"/>
        </w:rPr>
        <w:drawing>
          <wp:inline distT="0" distB="0" distL="0" distR="0" wp14:anchorId="52814FFE" wp14:editId="45E69B2A">
            <wp:extent cx="4726744" cy="4203189"/>
            <wp:effectExtent l="0" t="0" r="0" b="6985"/>
            <wp:docPr id="75" name="Picture 75" title="Remission rTMS vs. 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tiff"/>
                    <pic:cNvPicPr/>
                  </pic:nvPicPr>
                  <pic:blipFill rotWithShape="1">
                    <a:blip r:embed="rId30" cstate="print">
                      <a:extLst>
                        <a:ext uri="{28A0092B-C50C-407E-A947-70E740481C1C}">
                          <a14:useLocalDpi xmlns:a14="http://schemas.microsoft.com/office/drawing/2010/main" val="0"/>
                        </a:ext>
                      </a:extLst>
                    </a:blip>
                    <a:srcRect l="4378" t="6958" r="5085" b="4908"/>
                    <a:stretch/>
                  </pic:blipFill>
                  <pic:spPr bwMode="auto">
                    <a:xfrm>
                      <a:off x="0" y="0"/>
                      <a:ext cx="4732175" cy="4208019"/>
                    </a:xfrm>
                    <a:prstGeom prst="rect">
                      <a:avLst/>
                    </a:prstGeom>
                    <a:ln>
                      <a:noFill/>
                    </a:ln>
                    <a:extLst>
                      <a:ext uri="{53640926-AAD7-44D8-BBD7-CCE9431645EC}">
                        <a14:shadowObscured xmlns:a14="http://schemas.microsoft.com/office/drawing/2010/main"/>
                      </a:ext>
                    </a:extLst>
                  </pic:spPr>
                </pic:pic>
              </a:graphicData>
            </a:graphic>
          </wp:inline>
        </w:drawing>
      </w:r>
    </w:p>
    <w:p w14:paraId="414F24DA" w14:textId="77777777" w:rsidR="009E57CE" w:rsidRDefault="009E57CE" w:rsidP="000A1CB2">
      <w:pPr>
        <w:pStyle w:val="TableName"/>
        <w:keepNext w:val="0"/>
        <w:widowControl w:val="0"/>
        <w:jc w:val="center"/>
        <w:rPr>
          <w:b w:val="0"/>
        </w:rPr>
      </w:pPr>
    </w:p>
    <w:p w14:paraId="4B607336" w14:textId="62DA36AB" w:rsidR="009E57CE" w:rsidRPr="00397B17" w:rsidRDefault="009E57CE" w:rsidP="00397B17">
      <w:pPr>
        <w:pStyle w:val="Heading6"/>
        <w:rPr>
          <w:rStyle w:val="Strong"/>
          <w:b/>
          <w:bCs w:val="0"/>
        </w:rPr>
      </w:pPr>
      <w:bookmarkStart w:id="284" w:name="_Toc389042774"/>
      <w:bookmarkStart w:id="285" w:name="_Toc389154658"/>
      <w:r w:rsidRPr="00397B17">
        <w:rPr>
          <w:rStyle w:val="Strong"/>
          <w:b/>
          <w:bCs w:val="0"/>
        </w:rPr>
        <w:t xml:space="preserve">Figure </w:t>
      </w:r>
      <w:r w:rsidR="00E45AF4" w:rsidRPr="00397B17">
        <w:rPr>
          <w:rStyle w:val="Strong"/>
          <w:b/>
          <w:bCs w:val="0"/>
        </w:rPr>
        <w:fldChar w:fldCharType="begin"/>
      </w:r>
      <w:r w:rsidR="00E45AF4" w:rsidRPr="00397B17">
        <w:rPr>
          <w:rStyle w:val="Strong"/>
          <w:b/>
          <w:bCs w:val="0"/>
        </w:rPr>
        <w:instrText xml:space="preserve"> SEQ Figure \* ARABIC </w:instrText>
      </w:r>
      <w:r w:rsidR="00E45AF4" w:rsidRPr="00397B17">
        <w:rPr>
          <w:rStyle w:val="Strong"/>
          <w:b/>
          <w:bCs w:val="0"/>
        </w:rPr>
        <w:fldChar w:fldCharType="separate"/>
      </w:r>
      <w:r w:rsidR="004C1C27">
        <w:rPr>
          <w:rStyle w:val="Strong"/>
          <w:b/>
          <w:bCs w:val="0"/>
          <w:noProof/>
        </w:rPr>
        <w:t>7</w:t>
      </w:r>
      <w:r w:rsidR="00E45AF4" w:rsidRPr="00397B17">
        <w:rPr>
          <w:rStyle w:val="Strong"/>
          <w:b/>
          <w:bCs w:val="0"/>
        </w:rPr>
        <w:fldChar w:fldCharType="end"/>
      </w:r>
      <w:r w:rsidRPr="00397B17">
        <w:rPr>
          <w:rStyle w:val="Strong"/>
          <w:b/>
          <w:bCs w:val="0"/>
        </w:rPr>
        <w:t>: Remission rate rTMS vs. ECT</w:t>
      </w:r>
      <w:bookmarkEnd w:id="284"/>
      <w:bookmarkEnd w:id="285"/>
    </w:p>
    <w:p w14:paraId="4E30B83B" w14:textId="77777777" w:rsidR="000A1CB2" w:rsidRDefault="000A1CB2" w:rsidP="008C4272">
      <w:r>
        <w:rPr>
          <w:noProof/>
          <w:lang w:eastAsia="en-AU"/>
        </w:rPr>
        <w:drawing>
          <wp:inline distT="0" distB="0" distL="0" distR="0" wp14:anchorId="3ADB84F5" wp14:editId="128877A9">
            <wp:extent cx="4785576" cy="3031588"/>
            <wp:effectExtent l="0" t="0" r="0" b="0"/>
            <wp:docPr id="76" name="Picture 76" title="Remission rTMS vs. 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tiff"/>
                    <pic:cNvPicPr/>
                  </pic:nvPicPr>
                  <pic:blipFill rotWithShape="1">
                    <a:blip r:embed="rId31" cstate="print">
                      <a:extLst>
                        <a:ext uri="{28A0092B-C50C-407E-A947-70E740481C1C}">
                          <a14:useLocalDpi xmlns:a14="http://schemas.microsoft.com/office/drawing/2010/main" val="0"/>
                        </a:ext>
                      </a:extLst>
                    </a:blip>
                    <a:srcRect l="3087" t="10714" r="3900" b="5952"/>
                    <a:stretch/>
                  </pic:blipFill>
                  <pic:spPr bwMode="auto">
                    <a:xfrm>
                      <a:off x="0" y="0"/>
                      <a:ext cx="4794583" cy="3037294"/>
                    </a:xfrm>
                    <a:prstGeom prst="rect">
                      <a:avLst/>
                    </a:prstGeom>
                    <a:ln>
                      <a:noFill/>
                    </a:ln>
                    <a:extLst>
                      <a:ext uri="{53640926-AAD7-44D8-BBD7-CCE9431645EC}">
                        <a14:shadowObscured xmlns:a14="http://schemas.microsoft.com/office/drawing/2010/main"/>
                      </a:ext>
                    </a:extLst>
                  </pic:spPr>
                </pic:pic>
              </a:graphicData>
            </a:graphic>
          </wp:inline>
        </w:drawing>
      </w:r>
    </w:p>
    <w:p w14:paraId="3D8F731C" w14:textId="34D48AAC" w:rsidR="009E57CE" w:rsidRPr="00397B17" w:rsidRDefault="009E57CE" w:rsidP="00397B17">
      <w:pPr>
        <w:pStyle w:val="Heading6"/>
        <w:rPr>
          <w:rStyle w:val="Strong"/>
          <w:b/>
          <w:bCs w:val="0"/>
        </w:rPr>
      </w:pPr>
      <w:bookmarkStart w:id="286" w:name="_Toc389042775"/>
      <w:bookmarkStart w:id="287" w:name="_Toc389154659"/>
      <w:r w:rsidRPr="00397B17">
        <w:rPr>
          <w:rStyle w:val="Strong"/>
          <w:b/>
          <w:bCs w:val="0"/>
        </w:rPr>
        <w:lastRenderedPageBreak/>
        <w:t xml:space="preserve">Figure </w:t>
      </w:r>
      <w:r w:rsidR="00E45AF4" w:rsidRPr="00397B17">
        <w:rPr>
          <w:rStyle w:val="Strong"/>
          <w:b/>
          <w:bCs w:val="0"/>
        </w:rPr>
        <w:fldChar w:fldCharType="begin"/>
      </w:r>
      <w:r w:rsidR="00E45AF4" w:rsidRPr="00397B17">
        <w:rPr>
          <w:rStyle w:val="Strong"/>
          <w:b/>
          <w:bCs w:val="0"/>
        </w:rPr>
        <w:instrText xml:space="preserve"> SEQ Figure \* ARABIC </w:instrText>
      </w:r>
      <w:r w:rsidR="00E45AF4" w:rsidRPr="00397B17">
        <w:rPr>
          <w:rStyle w:val="Strong"/>
          <w:b/>
          <w:bCs w:val="0"/>
        </w:rPr>
        <w:fldChar w:fldCharType="separate"/>
      </w:r>
      <w:r w:rsidR="004C1C27">
        <w:rPr>
          <w:rStyle w:val="Strong"/>
          <w:b/>
          <w:bCs w:val="0"/>
          <w:noProof/>
        </w:rPr>
        <w:t>8</w:t>
      </w:r>
      <w:r w:rsidR="00E45AF4" w:rsidRPr="00397B17">
        <w:rPr>
          <w:rStyle w:val="Strong"/>
          <w:b/>
          <w:bCs w:val="0"/>
        </w:rPr>
        <w:fldChar w:fldCharType="end"/>
      </w:r>
      <w:r w:rsidRPr="00397B17">
        <w:rPr>
          <w:rStyle w:val="Strong"/>
          <w:b/>
          <w:bCs w:val="0"/>
        </w:rPr>
        <w:t>: Response rate rTMS vs. Sham</w:t>
      </w:r>
      <w:bookmarkEnd w:id="286"/>
      <w:bookmarkEnd w:id="287"/>
    </w:p>
    <w:p w14:paraId="433FDC9A" w14:textId="77777777" w:rsidR="009E57CE" w:rsidRDefault="000A1CB2" w:rsidP="008C4272">
      <w:r>
        <w:rPr>
          <w:noProof/>
          <w:lang w:eastAsia="en-AU"/>
        </w:rPr>
        <w:drawing>
          <wp:inline distT="0" distB="0" distL="0" distR="0" wp14:anchorId="18633AE8" wp14:editId="31D785B6">
            <wp:extent cx="4557933" cy="4976225"/>
            <wp:effectExtent l="0" t="0" r="0" b="0"/>
            <wp:docPr id="77" name="Picture 77" title="Response rTMS vs. 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tif"/>
                    <pic:cNvPicPr/>
                  </pic:nvPicPr>
                  <pic:blipFill rotWithShape="1">
                    <a:blip r:embed="rId32" cstate="print">
                      <a:extLst>
                        <a:ext uri="{28A0092B-C50C-407E-A947-70E740481C1C}">
                          <a14:useLocalDpi xmlns:a14="http://schemas.microsoft.com/office/drawing/2010/main" val="0"/>
                        </a:ext>
                      </a:extLst>
                    </a:blip>
                    <a:srcRect l="4444" t="5387" r="4953" b="3942"/>
                    <a:stretch/>
                  </pic:blipFill>
                  <pic:spPr bwMode="auto">
                    <a:xfrm>
                      <a:off x="0" y="0"/>
                      <a:ext cx="4560864" cy="4979425"/>
                    </a:xfrm>
                    <a:prstGeom prst="rect">
                      <a:avLst/>
                    </a:prstGeom>
                    <a:ln>
                      <a:noFill/>
                    </a:ln>
                    <a:extLst>
                      <a:ext uri="{53640926-AAD7-44D8-BBD7-CCE9431645EC}">
                        <a14:shadowObscured xmlns:a14="http://schemas.microsoft.com/office/drawing/2010/main"/>
                      </a:ext>
                    </a:extLst>
                  </pic:spPr>
                </pic:pic>
              </a:graphicData>
            </a:graphic>
          </wp:inline>
        </w:drawing>
      </w:r>
    </w:p>
    <w:p w14:paraId="632C633B" w14:textId="0AE966C4" w:rsidR="009E57CE" w:rsidRPr="00397B17" w:rsidRDefault="009E57CE" w:rsidP="00397B17">
      <w:pPr>
        <w:pStyle w:val="Heading6"/>
        <w:rPr>
          <w:rStyle w:val="Strong"/>
          <w:b/>
          <w:bCs w:val="0"/>
        </w:rPr>
      </w:pPr>
      <w:bookmarkStart w:id="288" w:name="_Toc389042776"/>
      <w:bookmarkStart w:id="289" w:name="_Toc389154660"/>
      <w:r w:rsidRPr="00397B17">
        <w:rPr>
          <w:rStyle w:val="Strong"/>
          <w:b/>
          <w:bCs w:val="0"/>
        </w:rPr>
        <w:t xml:space="preserve">Figure </w:t>
      </w:r>
      <w:r w:rsidR="00E45AF4" w:rsidRPr="00397B17">
        <w:rPr>
          <w:rStyle w:val="Strong"/>
          <w:b/>
          <w:bCs w:val="0"/>
        </w:rPr>
        <w:fldChar w:fldCharType="begin"/>
      </w:r>
      <w:r w:rsidR="00E45AF4" w:rsidRPr="00397B17">
        <w:rPr>
          <w:rStyle w:val="Strong"/>
          <w:b/>
          <w:bCs w:val="0"/>
        </w:rPr>
        <w:instrText xml:space="preserve"> SEQ Figure \* ARABIC </w:instrText>
      </w:r>
      <w:r w:rsidR="00E45AF4" w:rsidRPr="00397B17">
        <w:rPr>
          <w:rStyle w:val="Strong"/>
          <w:b/>
          <w:bCs w:val="0"/>
        </w:rPr>
        <w:fldChar w:fldCharType="separate"/>
      </w:r>
      <w:r w:rsidR="004C1C27">
        <w:rPr>
          <w:rStyle w:val="Strong"/>
          <w:b/>
          <w:bCs w:val="0"/>
          <w:noProof/>
        </w:rPr>
        <w:t>9</w:t>
      </w:r>
      <w:r w:rsidR="00E45AF4" w:rsidRPr="00397B17">
        <w:rPr>
          <w:rStyle w:val="Strong"/>
          <w:b/>
          <w:bCs w:val="0"/>
        </w:rPr>
        <w:fldChar w:fldCharType="end"/>
      </w:r>
      <w:r w:rsidRPr="00397B17">
        <w:rPr>
          <w:rStyle w:val="Strong"/>
          <w:b/>
          <w:bCs w:val="0"/>
        </w:rPr>
        <w:t>: Response rate rTMS vs. ECT</w:t>
      </w:r>
      <w:bookmarkEnd w:id="288"/>
      <w:bookmarkEnd w:id="289"/>
    </w:p>
    <w:p w14:paraId="38E7CC9D" w14:textId="77777777" w:rsidR="009E57CE" w:rsidRDefault="000A1CB2" w:rsidP="008C4272">
      <w:r>
        <w:rPr>
          <w:noProof/>
          <w:lang w:eastAsia="en-AU"/>
        </w:rPr>
        <w:drawing>
          <wp:inline distT="0" distB="0" distL="0" distR="0" wp14:anchorId="34317022" wp14:editId="72877483">
            <wp:extent cx="4513478" cy="2971076"/>
            <wp:effectExtent l="0" t="0" r="1905" b="1270"/>
            <wp:docPr id="78" name="Picture 78" title="Reponse rTMS vs. 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tif"/>
                    <pic:cNvPicPr/>
                  </pic:nvPicPr>
                  <pic:blipFill rotWithShape="1">
                    <a:blip r:embed="rId33" cstate="print">
                      <a:extLst>
                        <a:ext uri="{28A0092B-C50C-407E-A947-70E740481C1C}">
                          <a14:useLocalDpi xmlns:a14="http://schemas.microsoft.com/office/drawing/2010/main" val="0"/>
                        </a:ext>
                      </a:extLst>
                    </a:blip>
                    <a:srcRect l="3200" t="10200" r="4442" b="6201"/>
                    <a:stretch/>
                  </pic:blipFill>
                  <pic:spPr bwMode="auto">
                    <a:xfrm>
                      <a:off x="0" y="0"/>
                      <a:ext cx="4535862" cy="2985810"/>
                    </a:xfrm>
                    <a:prstGeom prst="rect">
                      <a:avLst/>
                    </a:prstGeom>
                    <a:ln>
                      <a:noFill/>
                    </a:ln>
                    <a:extLst>
                      <a:ext uri="{53640926-AAD7-44D8-BBD7-CCE9431645EC}">
                        <a14:shadowObscured xmlns:a14="http://schemas.microsoft.com/office/drawing/2010/main"/>
                      </a:ext>
                    </a:extLst>
                  </pic:spPr>
                </pic:pic>
              </a:graphicData>
            </a:graphic>
          </wp:inline>
        </w:drawing>
      </w:r>
    </w:p>
    <w:p w14:paraId="2FA17861" w14:textId="77777777" w:rsidR="000A1CB2" w:rsidRDefault="000A1CB2" w:rsidP="000A1CB2">
      <w:pPr>
        <w:widowControl w:val="0"/>
        <w:ind w:left="709"/>
        <w:jc w:val="center"/>
      </w:pPr>
    </w:p>
    <w:p w14:paraId="6093F6CE" w14:textId="77777777" w:rsidR="009E57CE" w:rsidRPr="00846DFB" w:rsidRDefault="009E57CE" w:rsidP="00D22942">
      <w:pPr>
        <w:pStyle w:val="Heading3"/>
      </w:pPr>
      <w:bookmarkStart w:id="290" w:name="_Toc389142075"/>
      <w:r w:rsidRPr="00846DFB">
        <w:t>Quality of life measurement</w:t>
      </w:r>
      <w:bookmarkEnd w:id="290"/>
      <w:r w:rsidRPr="00846DFB">
        <w:t xml:space="preserve"> </w:t>
      </w:r>
    </w:p>
    <w:p w14:paraId="27702750" w14:textId="77777777" w:rsidR="009E57CE" w:rsidRDefault="009E57CE" w:rsidP="003F17D5">
      <w:pPr>
        <w:jc w:val="both"/>
      </w:pPr>
      <w:r>
        <w:t xml:space="preserve">A systematic literature review was conducted in February-March 2014 to review the utility values relevant for the economic model where patients with MDD are treated with antidepressants, ECT and rTMS. </w:t>
      </w:r>
      <w:r w:rsidRPr="00A2222A">
        <w:t>The search databases include PubMed/MEDLINE, EMBASE and the CEA registry.</w:t>
      </w:r>
      <w:r>
        <w:t xml:space="preserve"> </w:t>
      </w:r>
    </w:p>
    <w:p w14:paraId="14A0DFD0" w14:textId="77777777" w:rsidR="009E57CE" w:rsidRDefault="009E57CE" w:rsidP="003F17D5">
      <w:pPr>
        <w:jc w:val="both"/>
      </w:pPr>
      <w:r>
        <w:t>The choice of utilities is influenced by the health states defined in the economic model. Quality of life estimated from research undertaken within the past ten years is likely to represent current patient profiles and medical practice. Therefore, the search was limited to publications after January 2000.</w:t>
      </w:r>
    </w:p>
    <w:p w14:paraId="7AB6E76E" w14:textId="77777777" w:rsidR="009E57CE" w:rsidRDefault="009E57CE" w:rsidP="003F17D5">
      <w:pPr>
        <w:jc w:val="both"/>
      </w:pPr>
      <w:r>
        <w:t xml:space="preserve">All publications found were screened and duplicates were removed. Only full-text publications in English language were included. Abstracts, followed by full-texts of potentially relevant papers, were screened for inclusion. All studies that measured quality of life in patients with MDD were included.  Qualitative studies or studies that established the correlation between different QoL measurements were not included. </w:t>
      </w:r>
    </w:p>
    <w:p w14:paraId="55D961FE" w14:textId="77777777" w:rsidR="009E57CE" w:rsidRDefault="009E57CE" w:rsidP="003F17D5">
      <w:pPr>
        <w:jc w:val="both"/>
      </w:pPr>
      <w:r>
        <w:t xml:space="preserve">All cost-effectiveness and cost-utility studies that included patient with MDD were reviewed, regardless of treatment therapies. This includes health technology assessments, systematic reviews, and individual studies. This process results into 14 studies, one systematic review (Zimovetz et al 2012) and one quality of life (EQ-5D) study (Sapin </w:t>
      </w:r>
      <w:r w:rsidRPr="00D353FF">
        <w:rPr>
          <w:i/>
        </w:rPr>
        <w:t>et al.</w:t>
      </w:r>
      <w:r>
        <w:t xml:space="preserve"> 2004) that provide relevant utility measures. The reported utilities are summarised in </w:t>
      </w:r>
      <w:r>
        <w:fldChar w:fldCharType="begin"/>
      </w:r>
      <w:r>
        <w:instrText xml:space="preserve"> REF _Ref383696287 \h  \* MERGEFORMAT </w:instrText>
      </w:r>
      <w:r>
        <w:fldChar w:fldCharType="separate"/>
      </w:r>
      <w:r w:rsidR="004C1C27" w:rsidRPr="00CB5295">
        <w:t xml:space="preserve">Table </w:t>
      </w:r>
      <w:r w:rsidR="004C1C27">
        <w:t>14</w:t>
      </w:r>
      <w:r>
        <w:fldChar w:fldCharType="end"/>
      </w:r>
      <w:r>
        <w:t xml:space="preserve"> below. </w:t>
      </w:r>
    </w:p>
    <w:p w14:paraId="0F913102" w14:textId="77777777" w:rsidR="009E57CE" w:rsidRDefault="009E57CE" w:rsidP="005353DF">
      <w:pPr>
        <w:pStyle w:val="TableName"/>
        <w:jc w:val="both"/>
        <w:rPr>
          <w:b w:val="0"/>
        </w:rPr>
      </w:pPr>
      <w:bookmarkStart w:id="291" w:name="_Ref383696287"/>
      <w:bookmarkStart w:id="292" w:name="_Toc386017842"/>
      <w:bookmarkStart w:id="293" w:name="_Toc389140557"/>
      <w:bookmarkStart w:id="294" w:name="_Toc389142176"/>
      <w:bookmarkStart w:id="295" w:name="_Toc389143611"/>
      <w:r w:rsidRPr="00CB5295">
        <w:t xml:space="preserve">Table </w:t>
      </w:r>
      <w:r w:rsidR="004C1C27">
        <w:fldChar w:fldCharType="begin"/>
      </w:r>
      <w:r w:rsidR="004C1C27">
        <w:instrText xml:space="preserve"> SEQ Table \* ARABIC </w:instrText>
      </w:r>
      <w:r w:rsidR="004C1C27">
        <w:fldChar w:fldCharType="separate"/>
      </w:r>
      <w:r w:rsidR="004C1C27">
        <w:rPr>
          <w:noProof/>
        </w:rPr>
        <w:t>14</w:t>
      </w:r>
      <w:r w:rsidR="004C1C27">
        <w:rPr>
          <w:noProof/>
        </w:rPr>
        <w:fldChar w:fldCharType="end"/>
      </w:r>
      <w:bookmarkEnd w:id="291"/>
      <w:r>
        <w:t>: Utility weights for MDD reported in the literature</w:t>
      </w:r>
      <w:bookmarkEnd w:id="292"/>
      <w:bookmarkEnd w:id="293"/>
      <w:bookmarkEnd w:id="294"/>
      <w:bookmarkEnd w:id="295"/>
      <w:r>
        <w:t xml:space="preserve"> </w:t>
      </w:r>
    </w:p>
    <w:tbl>
      <w:tblPr>
        <w:tblW w:w="8363"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Utility weights for MDD reported in the literature"/>
      </w:tblPr>
      <w:tblGrid>
        <w:gridCol w:w="3119"/>
        <w:gridCol w:w="1275"/>
        <w:gridCol w:w="3969"/>
      </w:tblGrid>
      <w:tr w:rsidR="009E57CE" w:rsidRPr="00C7221A" w14:paraId="51A0F515" w14:textId="77777777" w:rsidTr="005353DF">
        <w:trPr>
          <w:cantSplit/>
          <w:trHeight w:val="290"/>
          <w:tblHeader/>
        </w:trPr>
        <w:tc>
          <w:tcPr>
            <w:tcW w:w="3119" w:type="dxa"/>
            <w:tcMar>
              <w:left w:w="28" w:type="dxa"/>
              <w:right w:w="28" w:type="dxa"/>
            </w:tcMar>
            <w:vAlign w:val="center"/>
          </w:tcPr>
          <w:p w14:paraId="5011C423" w14:textId="77777777" w:rsidR="009E57CE" w:rsidRPr="00C7221A" w:rsidRDefault="009E57CE" w:rsidP="005353DF">
            <w:pPr>
              <w:keepNext/>
              <w:autoSpaceDE w:val="0"/>
              <w:autoSpaceDN w:val="0"/>
              <w:adjustRightInd w:val="0"/>
              <w:spacing w:before="40" w:after="40"/>
              <w:ind w:left="0"/>
              <w:rPr>
                <w:rFonts w:ascii="Arial Narrow" w:eastAsiaTheme="minorHAnsi" w:hAnsi="Arial Narrow" w:cs="Calibri"/>
                <w:b/>
                <w:bCs/>
                <w:color w:val="000000"/>
                <w:sz w:val="18"/>
                <w:szCs w:val="18"/>
              </w:rPr>
            </w:pPr>
            <w:r w:rsidRPr="00C7221A">
              <w:rPr>
                <w:rFonts w:ascii="Arial Narrow" w:eastAsiaTheme="minorHAnsi" w:hAnsi="Arial Narrow" w:cs="Calibri"/>
                <w:b/>
                <w:bCs/>
                <w:color w:val="000000"/>
                <w:sz w:val="18"/>
                <w:szCs w:val="18"/>
              </w:rPr>
              <w:t>Health states</w:t>
            </w:r>
          </w:p>
        </w:tc>
        <w:tc>
          <w:tcPr>
            <w:tcW w:w="1275" w:type="dxa"/>
            <w:tcMar>
              <w:left w:w="28" w:type="dxa"/>
              <w:right w:w="28" w:type="dxa"/>
            </w:tcMar>
            <w:vAlign w:val="center"/>
          </w:tcPr>
          <w:p w14:paraId="549E4536" w14:textId="77777777" w:rsidR="009E57CE" w:rsidRPr="00C7221A" w:rsidRDefault="009E57CE" w:rsidP="005353DF">
            <w:pPr>
              <w:keepNext/>
              <w:autoSpaceDE w:val="0"/>
              <w:autoSpaceDN w:val="0"/>
              <w:adjustRightInd w:val="0"/>
              <w:spacing w:before="40" w:after="40"/>
              <w:ind w:left="0"/>
              <w:jc w:val="center"/>
              <w:rPr>
                <w:rFonts w:ascii="Arial Narrow" w:eastAsiaTheme="minorHAnsi" w:hAnsi="Arial Narrow" w:cs="Calibri"/>
                <w:b/>
                <w:bCs/>
                <w:color w:val="000000"/>
                <w:sz w:val="18"/>
                <w:szCs w:val="18"/>
              </w:rPr>
            </w:pPr>
            <w:r w:rsidRPr="00C7221A">
              <w:rPr>
                <w:rFonts w:ascii="Arial Narrow" w:eastAsiaTheme="minorHAnsi" w:hAnsi="Arial Narrow" w:cs="Calibri"/>
                <w:b/>
                <w:bCs/>
                <w:color w:val="000000"/>
                <w:sz w:val="18"/>
                <w:szCs w:val="18"/>
              </w:rPr>
              <w:t>Utilities</w:t>
            </w:r>
          </w:p>
        </w:tc>
        <w:tc>
          <w:tcPr>
            <w:tcW w:w="3969" w:type="dxa"/>
            <w:tcMar>
              <w:left w:w="28" w:type="dxa"/>
              <w:right w:w="28" w:type="dxa"/>
            </w:tcMar>
            <w:vAlign w:val="center"/>
          </w:tcPr>
          <w:p w14:paraId="56D201EE" w14:textId="77777777" w:rsidR="009E57CE" w:rsidRPr="00C7221A" w:rsidRDefault="009E57CE" w:rsidP="005353DF">
            <w:pPr>
              <w:keepNext/>
              <w:autoSpaceDE w:val="0"/>
              <w:autoSpaceDN w:val="0"/>
              <w:adjustRightInd w:val="0"/>
              <w:spacing w:before="40" w:after="40"/>
              <w:ind w:left="0"/>
              <w:jc w:val="center"/>
              <w:rPr>
                <w:rFonts w:ascii="Arial Narrow" w:eastAsiaTheme="minorHAnsi" w:hAnsi="Arial Narrow" w:cs="Calibri"/>
                <w:b/>
                <w:bCs/>
                <w:color w:val="000000"/>
                <w:sz w:val="18"/>
                <w:szCs w:val="18"/>
              </w:rPr>
            </w:pPr>
            <w:r w:rsidRPr="00C7221A">
              <w:rPr>
                <w:rFonts w:ascii="Arial Narrow" w:eastAsiaTheme="minorHAnsi" w:hAnsi="Arial Narrow" w:cs="Calibri"/>
                <w:b/>
                <w:bCs/>
                <w:color w:val="000000"/>
                <w:sz w:val="18"/>
                <w:szCs w:val="18"/>
              </w:rPr>
              <w:t>Sources</w:t>
            </w:r>
          </w:p>
        </w:tc>
      </w:tr>
      <w:tr w:rsidR="009E57CE" w:rsidRPr="00C7221A" w14:paraId="058B7E78" w14:textId="77777777" w:rsidTr="005353DF">
        <w:trPr>
          <w:cantSplit/>
          <w:trHeight w:val="290"/>
        </w:trPr>
        <w:tc>
          <w:tcPr>
            <w:tcW w:w="8363" w:type="dxa"/>
            <w:gridSpan w:val="3"/>
            <w:tcMar>
              <w:left w:w="28" w:type="dxa"/>
              <w:right w:w="28" w:type="dxa"/>
            </w:tcMar>
            <w:vAlign w:val="center"/>
          </w:tcPr>
          <w:p w14:paraId="26E6F681" w14:textId="77777777" w:rsidR="009E57CE" w:rsidRPr="00DD64FB" w:rsidRDefault="009E57CE" w:rsidP="005353DF">
            <w:pPr>
              <w:keepNext/>
              <w:autoSpaceDE w:val="0"/>
              <w:autoSpaceDN w:val="0"/>
              <w:adjustRightInd w:val="0"/>
              <w:spacing w:before="40" w:after="40"/>
              <w:ind w:left="0"/>
              <w:rPr>
                <w:rFonts w:ascii="Arial Narrow" w:eastAsiaTheme="minorHAnsi" w:hAnsi="Arial Narrow" w:cs="Calibri"/>
                <w:b/>
                <w:color w:val="000000"/>
                <w:sz w:val="18"/>
                <w:szCs w:val="18"/>
              </w:rPr>
            </w:pPr>
            <w:r w:rsidRPr="00DD64FB">
              <w:rPr>
                <w:rFonts w:ascii="Arial Narrow" w:eastAsiaTheme="minorHAnsi" w:hAnsi="Arial Narrow" w:cs="Calibri"/>
                <w:b/>
                <w:color w:val="000000"/>
                <w:sz w:val="18"/>
                <w:szCs w:val="18"/>
              </w:rPr>
              <w:t xml:space="preserve">Well / in remission </w:t>
            </w:r>
          </w:p>
        </w:tc>
      </w:tr>
      <w:tr w:rsidR="009E57CE" w:rsidRPr="00C7221A" w14:paraId="31FEC18B" w14:textId="77777777" w:rsidTr="005353DF">
        <w:trPr>
          <w:cantSplit/>
          <w:trHeight w:val="290"/>
        </w:trPr>
        <w:tc>
          <w:tcPr>
            <w:tcW w:w="3119" w:type="dxa"/>
            <w:tcMar>
              <w:left w:w="28" w:type="dxa"/>
              <w:right w:w="28" w:type="dxa"/>
            </w:tcMar>
            <w:vAlign w:val="center"/>
          </w:tcPr>
          <w:p w14:paraId="537F7FA2" w14:textId="77777777" w:rsidR="009E57CE" w:rsidRPr="00C7221A" w:rsidRDefault="009E57CE" w:rsidP="005353DF">
            <w:pPr>
              <w:keepNext/>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Well - in antidepressant</w:t>
            </w:r>
          </w:p>
        </w:tc>
        <w:tc>
          <w:tcPr>
            <w:tcW w:w="1275" w:type="dxa"/>
            <w:tcMar>
              <w:left w:w="28" w:type="dxa"/>
              <w:right w:w="28" w:type="dxa"/>
            </w:tcMar>
            <w:vAlign w:val="center"/>
          </w:tcPr>
          <w:p w14:paraId="5D5052F9" w14:textId="77777777" w:rsidR="009E57CE" w:rsidRPr="00C7221A" w:rsidRDefault="009E57CE" w:rsidP="005353DF">
            <w:pPr>
              <w:keepNext/>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0.750</w:t>
            </w:r>
          </w:p>
        </w:tc>
        <w:tc>
          <w:tcPr>
            <w:tcW w:w="3969" w:type="dxa"/>
            <w:tcMar>
              <w:left w:w="28" w:type="dxa"/>
              <w:right w:w="28" w:type="dxa"/>
            </w:tcMar>
            <w:vAlign w:val="center"/>
          </w:tcPr>
          <w:p w14:paraId="6D8C1496" w14:textId="77777777" w:rsidR="009E57CE" w:rsidRPr="00C7221A" w:rsidRDefault="009E57CE" w:rsidP="005353DF">
            <w:pPr>
              <w:keepNext/>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Aziz 2005</w:t>
            </w:r>
          </w:p>
        </w:tc>
      </w:tr>
      <w:tr w:rsidR="009E57CE" w:rsidRPr="00C7221A" w14:paraId="4E73E43E" w14:textId="77777777" w:rsidTr="005353DF">
        <w:trPr>
          <w:cantSplit/>
          <w:trHeight w:val="290"/>
        </w:trPr>
        <w:tc>
          <w:tcPr>
            <w:tcW w:w="3119" w:type="dxa"/>
            <w:tcMar>
              <w:left w:w="28" w:type="dxa"/>
              <w:right w:w="28" w:type="dxa"/>
            </w:tcMar>
            <w:vAlign w:val="center"/>
          </w:tcPr>
          <w:p w14:paraId="1553BF80"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Well - after ECT</w:t>
            </w:r>
          </w:p>
        </w:tc>
        <w:tc>
          <w:tcPr>
            <w:tcW w:w="1275" w:type="dxa"/>
            <w:tcMar>
              <w:left w:w="28" w:type="dxa"/>
              <w:right w:w="28" w:type="dxa"/>
            </w:tcMar>
            <w:vAlign w:val="center"/>
          </w:tcPr>
          <w:p w14:paraId="48E64859"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0.900</w:t>
            </w:r>
          </w:p>
        </w:tc>
        <w:tc>
          <w:tcPr>
            <w:tcW w:w="3969" w:type="dxa"/>
            <w:tcMar>
              <w:left w:w="28" w:type="dxa"/>
              <w:right w:w="28" w:type="dxa"/>
            </w:tcMar>
            <w:vAlign w:val="center"/>
          </w:tcPr>
          <w:p w14:paraId="457256AC"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Aziz 2005</w:t>
            </w:r>
          </w:p>
        </w:tc>
      </w:tr>
      <w:tr w:rsidR="009E57CE" w:rsidRPr="00C7221A" w14:paraId="12E2AB9D" w14:textId="77777777" w:rsidTr="005353DF">
        <w:trPr>
          <w:cantSplit/>
          <w:trHeight w:val="290"/>
        </w:trPr>
        <w:tc>
          <w:tcPr>
            <w:tcW w:w="3119" w:type="dxa"/>
            <w:tcMar>
              <w:left w:w="28" w:type="dxa"/>
              <w:right w:w="28" w:type="dxa"/>
            </w:tcMar>
            <w:vAlign w:val="center"/>
          </w:tcPr>
          <w:p w14:paraId="4F07FD9B"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Well</w:t>
            </w:r>
          </w:p>
        </w:tc>
        <w:tc>
          <w:tcPr>
            <w:tcW w:w="1275" w:type="dxa"/>
            <w:tcMar>
              <w:left w:w="28" w:type="dxa"/>
              <w:right w:w="28" w:type="dxa"/>
            </w:tcMar>
            <w:vAlign w:val="center"/>
          </w:tcPr>
          <w:p w14:paraId="00991069"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0.860</w:t>
            </w:r>
          </w:p>
        </w:tc>
        <w:tc>
          <w:tcPr>
            <w:tcW w:w="3969" w:type="dxa"/>
            <w:tcMar>
              <w:left w:w="28" w:type="dxa"/>
              <w:right w:w="28" w:type="dxa"/>
            </w:tcMar>
            <w:vAlign w:val="center"/>
          </w:tcPr>
          <w:p w14:paraId="0B172B3E"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Sobocki 2008</w:t>
            </w:r>
          </w:p>
        </w:tc>
      </w:tr>
      <w:tr w:rsidR="009E57CE" w:rsidRPr="00C7221A" w14:paraId="1F479FC7" w14:textId="77777777" w:rsidTr="005353DF">
        <w:trPr>
          <w:cantSplit/>
          <w:trHeight w:val="290"/>
        </w:trPr>
        <w:tc>
          <w:tcPr>
            <w:tcW w:w="3119" w:type="dxa"/>
            <w:tcMar>
              <w:left w:w="28" w:type="dxa"/>
              <w:right w:w="28" w:type="dxa"/>
            </w:tcMar>
            <w:vAlign w:val="center"/>
          </w:tcPr>
          <w:p w14:paraId="1CDE6CF5"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Well - remission </w:t>
            </w:r>
          </w:p>
        </w:tc>
        <w:tc>
          <w:tcPr>
            <w:tcW w:w="1275" w:type="dxa"/>
            <w:tcMar>
              <w:left w:w="28" w:type="dxa"/>
              <w:right w:w="28" w:type="dxa"/>
            </w:tcMar>
            <w:vAlign w:val="center"/>
          </w:tcPr>
          <w:p w14:paraId="1C06B6B4"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0.860</w:t>
            </w:r>
          </w:p>
        </w:tc>
        <w:tc>
          <w:tcPr>
            <w:tcW w:w="3969" w:type="dxa"/>
            <w:tcMar>
              <w:left w:w="28" w:type="dxa"/>
              <w:right w:w="28" w:type="dxa"/>
            </w:tcMar>
            <w:vAlign w:val="center"/>
          </w:tcPr>
          <w:p w14:paraId="489BE25B"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Hawthorne 2009</w:t>
            </w:r>
          </w:p>
        </w:tc>
      </w:tr>
      <w:tr w:rsidR="009E57CE" w:rsidRPr="00C7221A" w14:paraId="270A9399" w14:textId="77777777" w:rsidTr="005353DF">
        <w:trPr>
          <w:cantSplit/>
          <w:trHeight w:val="290"/>
        </w:trPr>
        <w:tc>
          <w:tcPr>
            <w:tcW w:w="3119" w:type="dxa"/>
            <w:tcMar>
              <w:left w:w="28" w:type="dxa"/>
              <w:right w:w="28" w:type="dxa"/>
            </w:tcMar>
            <w:vAlign w:val="center"/>
          </w:tcPr>
          <w:p w14:paraId="19C967DE"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No depression (MARDS 0)</w:t>
            </w:r>
          </w:p>
        </w:tc>
        <w:tc>
          <w:tcPr>
            <w:tcW w:w="1275" w:type="dxa"/>
            <w:tcMar>
              <w:left w:w="28" w:type="dxa"/>
              <w:right w:w="28" w:type="dxa"/>
            </w:tcMar>
            <w:vAlign w:val="center"/>
          </w:tcPr>
          <w:p w14:paraId="5EA26991"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0.830</w:t>
            </w:r>
          </w:p>
        </w:tc>
        <w:tc>
          <w:tcPr>
            <w:tcW w:w="3969" w:type="dxa"/>
            <w:tcMar>
              <w:left w:w="28" w:type="dxa"/>
              <w:right w:w="28" w:type="dxa"/>
            </w:tcMar>
            <w:vAlign w:val="center"/>
          </w:tcPr>
          <w:p w14:paraId="17B8C92D"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Simpson 2009</w:t>
            </w:r>
          </w:p>
        </w:tc>
      </w:tr>
      <w:tr w:rsidR="009E57CE" w:rsidRPr="00C7221A" w14:paraId="32D143A8" w14:textId="77777777" w:rsidTr="005353DF">
        <w:trPr>
          <w:cantSplit/>
          <w:trHeight w:val="290"/>
        </w:trPr>
        <w:tc>
          <w:tcPr>
            <w:tcW w:w="3119" w:type="dxa"/>
            <w:tcMar>
              <w:left w:w="28" w:type="dxa"/>
              <w:right w:w="28" w:type="dxa"/>
            </w:tcMar>
            <w:vAlign w:val="center"/>
          </w:tcPr>
          <w:p w14:paraId="5BCD1CA9"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Remitted depression </w:t>
            </w:r>
          </w:p>
        </w:tc>
        <w:tc>
          <w:tcPr>
            <w:tcW w:w="1275" w:type="dxa"/>
            <w:tcMar>
              <w:left w:w="28" w:type="dxa"/>
              <w:right w:w="28" w:type="dxa"/>
            </w:tcMar>
            <w:vAlign w:val="center"/>
          </w:tcPr>
          <w:p w14:paraId="66D1758E"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0.890</w:t>
            </w:r>
          </w:p>
        </w:tc>
        <w:tc>
          <w:tcPr>
            <w:tcW w:w="3969" w:type="dxa"/>
            <w:tcMar>
              <w:left w:w="28" w:type="dxa"/>
              <w:right w:w="28" w:type="dxa"/>
            </w:tcMar>
            <w:vAlign w:val="center"/>
          </w:tcPr>
          <w:p w14:paraId="0C97B396"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Valenstein 2001</w:t>
            </w:r>
          </w:p>
        </w:tc>
      </w:tr>
      <w:tr w:rsidR="009E57CE" w:rsidRPr="00C7221A" w14:paraId="3795397E" w14:textId="77777777" w:rsidTr="005353DF">
        <w:trPr>
          <w:cantSplit/>
          <w:trHeight w:val="290"/>
        </w:trPr>
        <w:tc>
          <w:tcPr>
            <w:tcW w:w="3119" w:type="dxa"/>
            <w:tcMar>
              <w:left w:w="28" w:type="dxa"/>
              <w:right w:w="28" w:type="dxa"/>
            </w:tcMar>
            <w:vAlign w:val="center"/>
          </w:tcPr>
          <w:p w14:paraId="211D466C"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Remitted depression </w:t>
            </w:r>
          </w:p>
        </w:tc>
        <w:tc>
          <w:tcPr>
            <w:tcW w:w="1275" w:type="dxa"/>
            <w:tcMar>
              <w:left w:w="28" w:type="dxa"/>
              <w:right w:w="28" w:type="dxa"/>
            </w:tcMar>
            <w:vAlign w:val="center"/>
          </w:tcPr>
          <w:p w14:paraId="7B234E29"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0.880</w:t>
            </w:r>
          </w:p>
        </w:tc>
        <w:tc>
          <w:tcPr>
            <w:tcW w:w="3969" w:type="dxa"/>
            <w:tcMar>
              <w:left w:w="28" w:type="dxa"/>
              <w:right w:w="28" w:type="dxa"/>
            </w:tcMar>
            <w:vAlign w:val="center"/>
          </w:tcPr>
          <w:p w14:paraId="147A6C30"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Olgiati 2012</w:t>
            </w:r>
          </w:p>
        </w:tc>
      </w:tr>
      <w:tr w:rsidR="009E57CE" w:rsidRPr="00C7221A" w14:paraId="01A924B8" w14:textId="77777777" w:rsidTr="005353DF">
        <w:trPr>
          <w:cantSplit/>
          <w:trHeight w:val="290"/>
        </w:trPr>
        <w:tc>
          <w:tcPr>
            <w:tcW w:w="3119" w:type="dxa"/>
            <w:tcMar>
              <w:left w:w="28" w:type="dxa"/>
              <w:right w:w="28" w:type="dxa"/>
            </w:tcMar>
            <w:vAlign w:val="center"/>
          </w:tcPr>
          <w:p w14:paraId="72CB5842"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Remission </w:t>
            </w:r>
          </w:p>
        </w:tc>
        <w:tc>
          <w:tcPr>
            <w:tcW w:w="1275" w:type="dxa"/>
            <w:tcMar>
              <w:left w:w="28" w:type="dxa"/>
              <w:right w:w="28" w:type="dxa"/>
            </w:tcMar>
            <w:vAlign w:val="center"/>
          </w:tcPr>
          <w:p w14:paraId="7E05D2BC"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0.810</w:t>
            </w:r>
          </w:p>
        </w:tc>
        <w:tc>
          <w:tcPr>
            <w:tcW w:w="3969" w:type="dxa"/>
            <w:tcMar>
              <w:left w:w="28" w:type="dxa"/>
              <w:right w:w="28" w:type="dxa"/>
            </w:tcMar>
            <w:vAlign w:val="center"/>
          </w:tcPr>
          <w:p w14:paraId="407272C1"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Sobocki 2008</w:t>
            </w:r>
          </w:p>
        </w:tc>
      </w:tr>
      <w:tr w:rsidR="009E57CE" w:rsidRPr="00C7221A" w14:paraId="05B93BD8" w14:textId="77777777" w:rsidTr="005353DF">
        <w:trPr>
          <w:cantSplit/>
          <w:trHeight w:val="290"/>
        </w:trPr>
        <w:tc>
          <w:tcPr>
            <w:tcW w:w="3119" w:type="dxa"/>
            <w:tcMar>
              <w:left w:w="28" w:type="dxa"/>
              <w:right w:w="28" w:type="dxa"/>
            </w:tcMar>
            <w:vAlign w:val="center"/>
          </w:tcPr>
          <w:p w14:paraId="50F248B6"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Remitters</w:t>
            </w:r>
          </w:p>
        </w:tc>
        <w:tc>
          <w:tcPr>
            <w:tcW w:w="1275" w:type="dxa"/>
            <w:tcMar>
              <w:left w:w="28" w:type="dxa"/>
              <w:right w:w="28" w:type="dxa"/>
            </w:tcMar>
            <w:vAlign w:val="center"/>
          </w:tcPr>
          <w:p w14:paraId="79DC4BDA"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0.790</w:t>
            </w:r>
          </w:p>
        </w:tc>
        <w:tc>
          <w:tcPr>
            <w:tcW w:w="3969" w:type="dxa"/>
            <w:tcMar>
              <w:left w:w="28" w:type="dxa"/>
              <w:right w:w="28" w:type="dxa"/>
            </w:tcMar>
            <w:vAlign w:val="center"/>
          </w:tcPr>
          <w:p w14:paraId="1356D86B"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Benedict 2010</w:t>
            </w:r>
          </w:p>
        </w:tc>
      </w:tr>
      <w:tr w:rsidR="009E57CE" w:rsidRPr="00C7221A" w14:paraId="770BFB41" w14:textId="77777777" w:rsidTr="005353DF">
        <w:trPr>
          <w:cantSplit/>
          <w:trHeight w:val="290"/>
        </w:trPr>
        <w:tc>
          <w:tcPr>
            <w:tcW w:w="3119" w:type="dxa"/>
            <w:tcMar>
              <w:left w:w="28" w:type="dxa"/>
              <w:right w:w="28" w:type="dxa"/>
            </w:tcMar>
            <w:vAlign w:val="center"/>
          </w:tcPr>
          <w:p w14:paraId="2E397F13"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Staying in remission </w:t>
            </w:r>
          </w:p>
        </w:tc>
        <w:tc>
          <w:tcPr>
            <w:tcW w:w="1275" w:type="dxa"/>
            <w:tcMar>
              <w:left w:w="28" w:type="dxa"/>
              <w:right w:w="28" w:type="dxa"/>
            </w:tcMar>
            <w:vAlign w:val="center"/>
          </w:tcPr>
          <w:p w14:paraId="6ECCB8D1"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0.860</w:t>
            </w:r>
          </w:p>
        </w:tc>
        <w:tc>
          <w:tcPr>
            <w:tcW w:w="3969" w:type="dxa"/>
            <w:tcMar>
              <w:left w:w="28" w:type="dxa"/>
              <w:right w:w="28" w:type="dxa"/>
            </w:tcMar>
            <w:vAlign w:val="center"/>
          </w:tcPr>
          <w:p w14:paraId="3EDB1D9E"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Benedict 2010</w:t>
            </w:r>
          </w:p>
        </w:tc>
      </w:tr>
      <w:tr w:rsidR="009E57CE" w:rsidRPr="00C7221A" w14:paraId="26775FF7" w14:textId="77777777" w:rsidTr="005353DF">
        <w:trPr>
          <w:cantSplit/>
          <w:trHeight w:val="290"/>
        </w:trPr>
        <w:tc>
          <w:tcPr>
            <w:tcW w:w="3119" w:type="dxa"/>
            <w:tcMar>
              <w:left w:w="28" w:type="dxa"/>
              <w:right w:w="28" w:type="dxa"/>
            </w:tcMar>
            <w:vAlign w:val="center"/>
          </w:tcPr>
          <w:p w14:paraId="21B2EA0C"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Treated depression </w:t>
            </w:r>
          </w:p>
        </w:tc>
        <w:tc>
          <w:tcPr>
            <w:tcW w:w="1275" w:type="dxa"/>
            <w:tcMar>
              <w:left w:w="28" w:type="dxa"/>
              <w:right w:w="28" w:type="dxa"/>
            </w:tcMar>
            <w:vAlign w:val="center"/>
          </w:tcPr>
          <w:p w14:paraId="67C98488"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0.848</w:t>
            </w:r>
          </w:p>
        </w:tc>
        <w:tc>
          <w:tcPr>
            <w:tcW w:w="3969" w:type="dxa"/>
            <w:tcMar>
              <w:left w:w="28" w:type="dxa"/>
              <w:right w:w="28" w:type="dxa"/>
            </w:tcMar>
            <w:vAlign w:val="center"/>
          </w:tcPr>
          <w:p w14:paraId="38EE3BC2"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Sullivan 2004; Amstrong 2008</w:t>
            </w:r>
          </w:p>
        </w:tc>
      </w:tr>
      <w:tr w:rsidR="009E57CE" w:rsidRPr="00C7221A" w14:paraId="53179BB4" w14:textId="77777777" w:rsidTr="005353DF">
        <w:trPr>
          <w:cantSplit/>
          <w:trHeight w:val="290"/>
        </w:trPr>
        <w:tc>
          <w:tcPr>
            <w:tcW w:w="3119" w:type="dxa"/>
            <w:tcMar>
              <w:left w:w="28" w:type="dxa"/>
              <w:right w:w="28" w:type="dxa"/>
            </w:tcMar>
            <w:vAlign w:val="center"/>
          </w:tcPr>
          <w:p w14:paraId="4CA93C14"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In remission with trea</w:t>
            </w:r>
            <w:r w:rsidRPr="00DD64FB">
              <w:rPr>
                <w:rFonts w:ascii="Arial Narrow" w:eastAsiaTheme="minorHAnsi" w:hAnsi="Arial Narrow" w:cs="Calibri"/>
                <w:color w:val="000000"/>
                <w:sz w:val="18"/>
                <w:szCs w:val="18"/>
              </w:rPr>
              <w:t>t</w:t>
            </w:r>
            <w:r w:rsidRPr="00C7221A">
              <w:rPr>
                <w:rFonts w:ascii="Arial Narrow" w:eastAsiaTheme="minorHAnsi" w:hAnsi="Arial Narrow" w:cs="Calibri"/>
                <w:color w:val="000000"/>
                <w:sz w:val="18"/>
                <w:szCs w:val="18"/>
              </w:rPr>
              <w:t>ment SSRI</w:t>
            </w:r>
          </w:p>
        </w:tc>
        <w:tc>
          <w:tcPr>
            <w:tcW w:w="1275" w:type="dxa"/>
            <w:tcMar>
              <w:left w:w="28" w:type="dxa"/>
              <w:right w:w="28" w:type="dxa"/>
            </w:tcMar>
            <w:vAlign w:val="center"/>
          </w:tcPr>
          <w:p w14:paraId="1372B1B2"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0.800</w:t>
            </w:r>
          </w:p>
        </w:tc>
        <w:tc>
          <w:tcPr>
            <w:tcW w:w="3969" w:type="dxa"/>
            <w:tcMar>
              <w:left w:w="28" w:type="dxa"/>
              <w:right w:w="28" w:type="dxa"/>
            </w:tcMar>
            <w:vAlign w:val="center"/>
          </w:tcPr>
          <w:p w14:paraId="3217B8C1"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Nuijten 2001; Sado 2008; Simon 2006</w:t>
            </w:r>
          </w:p>
        </w:tc>
      </w:tr>
      <w:tr w:rsidR="009E57CE" w:rsidRPr="00C7221A" w14:paraId="48D031D5" w14:textId="77777777" w:rsidTr="005353DF">
        <w:trPr>
          <w:cantSplit/>
          <w:trHeight w:val="290"/>
        </w:trPr>
        <w:tc>
          <w:tcPr>
            <w:tcW w:w="3119" w:type="dxa"/>
            <w:tcMar>
              <w:left w:w="28" w:type="dxa"/>
              <w:right w:w="28" w:type="dxa"/>
            </w:tcMar>
            <w:vAlign w:val="center"/>
          </w:tcPr>
          <w:p w14:paraId="4BBD2F31"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In remission with trea</w:t>
            </w:r>
            <w:r w:rsidRPr="00DD64FB">
              <w:rPr>
                <w:rFonts w:ascii="Arial Narrow" w:eastAsiaTheme="minorHAnsi" w:hAnsi="Arial Narrow" w:cs="Calibri"/>
                <w:color w:val="000000"/>
                <w:sz w:val="18"/>
                <w:szCs w:val="18"/>
              </w:rPr>
              <w:t>t</w:t>
            </w:r>
            <w:r w:rsidRPr="00C7221A">
              <w:rPr>
                <w:rFonts w:ascii="Arial Narrow" w:eastAsiaTheme="minorHAnsi" w:hAnsi="Arial Narrow" w:cs="Calibri"/>
                <w:color w:val="000000"/>
                <w:sz w:val="18"/>
                <w:szCs w:val="18"/>
              </w:rPr>
              <w:t>ment TCA</w:t>
            </w:r>
          </w:p>
        </w:tc>
        <w:tc>
          <w:tcPr>
            <w:tcW w:w="1275" w:type="dxa"/>
            <w:tcMar>
              <w:left w:w="28" w:type="dxa"/>
              <w:right w:w="28" w:type="dxa"/>
            </w:tcMar>
            <w:vAlign w:val="center"/>
          </w:tcPr>
          <w:p w14:paraId="33C84CBC"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0.720</w:t>
            </w:r>
          </w:p>
        </w:tc>
        <w:tc>
          <w:tcPr>
            <w:tcW w:w="3969" w:type="dxa"/>
            <w:tcMar>
              <w:left w:w="28" w:type="dxa"/>
              <w:right w:w="28" w:type="dxa"/>
            </w:tcMar>
            <w:vAlign w:val="center"/>
          </w:tcPr>
          <w:p w14:paraId="26348B49"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Nuijten 2001</w:t>
            </w:r>
          </w:p>
        </w:tc>
      </w:tr>
      <w:tr w:rsidR="009E57CE" w:rsidRPr="00C7221A" w14:paraId="381EECD0" w14:textId="77777777" w:rsidTr="005353DF">
        <w:trPr>
          <w:cantSplit/>
          <w:trHeight w:val="290"/>
        </w:trPr>
        <w:tc>
          <w:tcPr>
            <w:tcW w:w="3119" w:type="dxa"/>
            <w:tcMar>
              <w:left w:w="28" w:type="dxa"/>
              <w:right w:w="28" w:type="dxa"/>
            </w:tcMar>
            <w:vAlign w:val="center"/>
          </w:tcPr>
          <w:p w14:paraId="761488B3"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In remission off treatment</w:t>
            </w:r>
          </w:p>
        </w:tc>
        <w:tc>
          <w:tcPr>
            <w:tcW w:w="1275" w:type="dxa"/>
            <w:tcMar>
              <w:left w:w="28" w:type="dxa"/>
              <w:right w:w="28" w:type="dxa"/>
            </w:tcMar>
            <w:vAlign w:val="center"/>
          </w:tcPr>
          <w:p w14:paraId="0CCD3072"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0.860</w:t>
            </w:r>
          </w:p>
        </w:tc>
        <w:tc>
          <w:tcPr>
            <w:tcW w:w="3969" w:type="dxa"/>
            <w:tcMar>
              <w:left w:w="28" w:type="dxa"/>
              <w:right w:w="28" w:type="dxa"/>
            </w:tcMar>
            <w:vAlign w:val="center"/>
          </w:tcPr>
          <w:p w14:paraId="36C82ACE"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Nuijten 2001; Sado 2008; Simon 2006</w:t>
            </w:r>
          </w:p>
        </w:tc>
      </w:tr>
      <w:tr w:rsidR="009E57CE" w:rsidRPr="00C7221A" w14:paraId="025EEDC0" w14:textId="77777777" w:rsidTr="005353DF">
        <w:trPr>
          <w:cantSplit/>
          <w:trHeight w:val="290"/>
        </w:trPr>
        <w:tc>
          <w:tcPr>
            <w:tcW w:w="3119" w:type="dxa"/>
            <w:tcMar>
              <w:left w:w="28" w:type="dxa"/>
              <w:right w:w="28" w:type="dxa"/>
            </w:tcMar>
            <w:vAlign w:val="center"/>
          </w:tcPr>
          <w:p w14:paraId="156FC873"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Pr>
                <w:rFonts w:ascii="Arial Narrow" w:eastAsiaTheme="minorHAnsi" w:hAnsi="Arial Narrow" w:cs="Calibri"/>
                <w:color w:val="000000"/>
                <w:sz w:val="18"/>
                <w:szCs w:val="18"/>
              </w:rPr>
              <w:t>Responder - remitter</w:t>
            </w:r>
          </w:p>
        </w:tc>
        <w:tc>
          <w:tcPr>
            <w:tcW w:w="1275" w:type="dxa"/>
            <w:tcMar>
              <w:left w:w="28" w:type="dxa"/>
              <w:right w:w="28" w:type="dxa"/>
            </w:tcMar>
            <w:vAlign w:val="center"/>
          </w:tcPr>
          <w:p w14:paraId="7C6991EE"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Pr>
                <w:rFonts w:ascii="Arial Narrow" w:eastAsiaTheme="minorHAnsi" w:hAnsi="Arial Narrow" w:cs="Calibri"/>
                <w:color w:val="000000"/>
                <w:sz w:val="18"/>
                <w:szCs w:val="18"/>
              </w:rPr>
              <w:t>0.850</w:t>
            </w:r>
          </w:p>
        </w:tc>
        <w:tc>
          <w:tcPr>
            <w:tcW w:w="3969" w:type="dxa"/>
            <w:tcMar>
              <w:left w:w="28" w:type="dxa"/>
              <w:right w:w="28" w:type="dxa"/>
            </w:tcMar>
            <w:vAlign w:val="center"/>
          </w:tcPr>
          <w:p w14:paraId="79105377"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Pr>
                <w:rFonts w:ascii="Arial Narrow" w:eastAsiaTheme="minorHAnsi" w:hAnsi="Arial Narrow" w:cs="Calibri"/>
                <w:color w:val="000000"/>
                <w:sz w:val="18"/>
                <w:szCs w:val="18"/>
              </w:rPr>
              <w:t>Sapin 2004</w:t>
            </w:r>
          </w:p>
        </w:tc>
      </w:tr>
      <w:tr w:rsidR="009E57CE" w:rsidRPr="00C7221A" w14:paraId="686AF27E" w14:textId="77777777" w:rsidTr="005353DF">
        <w:trPr>
          <w:cantSplit/>
          <w:trHeight w:val="290"/>
        </w:trPr>
        <w:tc>
          <w:tcPr>
            <w:tcW w:w="3119" w:type="dxa"/>
            <w:tcMar>
              <w:left w:w="28" w:type="dxa"/>
              <w:right w:w="28" w:type="dxa"/>
            </w:tcMar>
            <w:vAlign w:val="center"/>
          </w:tcPr>
          <w:p w14:paraId="0ED3996C"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Responder</w:t>
            </w:r>
          </w:p>
        </w:tc>
        <w:tc>
          <w:tcPr>
            <w:tcW w:w="1275" w:type="dxa"/>
            <w:tcMar>
              <w:left w:w="28" w:type="dxa"/>
              <w:right w:w="28" w:type="dxa"/>
            </w:tcMar>
            <w:vAlign w:val="center"/>
          </w:tcPr>
          <w:p w14:paraId="66B18054"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0.680</w:t>
            </w:r>
          </w:p>
        </w:tc>
        <w:tc>
          <w:tcPr>
            <w:tcW w:w="3969" w:type="dxa"/>
            <w:tcMar>
              <w:left w:w="28" w:type="dxa"/>
              <w:right w:w="28" w:type="dxa"/>
            </w:tcMar>
            <w:vAlign w:val="center"/>
          </w:tcPr>
          <w:p w14:paraId="4294FAEB"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Benedict 2010</w:t>
            </w:r>
          </w:p>
        </w:tc>
      </w:tr>
      <w:tr w:rsidR="009E57CE" w:rsidRPr="00C7221A" w14:paraId="3AEE270F" w14:textId="77777777" w:rsidTr="005353DF">
        <w:trPr>
          <w:cantSplit/>
          <w:trHeight w:val="290"/>
        </w:trPr>
        <w:tc>
          <w:tcPr>
            <w:tcW w:w="3119" w:type="dxa"/>
            <w:tcMar>
              <w:left w:w="28" w:type="dxa"/>
              <w:right w:w="28" w:type="dxa"/>
            </w:tcMar>
            <w:vAlign w:val="center"/>
          </w:tcPr>
          <w:p w14:paraId="69E5C5E8"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Pr>
                <w:rFonts w:ascii="Arial Narrow" w:eastAsiaTheme="minorHAnsi" w:hAnsi="Arial Narrow" w:cs="Calibri"/>
                <w:color w:val="000000"/>
                <w:sz w:val="18"/>
                <w:szCs w:val="18"/>
              </w:rPr>
              <w:t xml:space="preserve">Responder – non remitter </w:t>
            </w:r>
          </w:p>
        </w:tc>
        <w:tc>
          <w:tcPr>
            <w:tcW w:w="1275" w:type="dxa"/>
            <w:tcMar>
              <w:left w:w="28" w:type="dxa"/>
              <w:right w:w="28" w:type="dxa"/>
            </w:tcMar>
            <w:vAlign w:val="center"/>
          </w:tcPr>
          <w:p w14:paraId="2EE631F8"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Pr>
                <w:rFonts w:ascii="Arial Narrow" w:eastAsiaTheme="minorHAnsi" w:hAnsi="Arial Narrow" w:cs="Calibri"/>
                <w:color w:val="000000"/>
                <w:sz w:val="18"/>
                <w:szCs w:val="18"/>
              </w:rPr>
              <w:t>0.720</w:t>
            </w:r>
          </w:p>
        </w:tc>
        <w:tc>
          <w:tcPr>
            <w:tcW w:w="3969" w:type="dxa"/>
            <w:tcMar>
              <w:left w:w="28" w:type="dxa"/>
              <w:right w:w="28" w:type="dxa"/>
            </w:tcMar>
            <w:vAlign w:val="center"/>
          </w:tcPr>
          <w:p w14:paraId="5017C505"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Pr>
                <w:rFonts w:ascii="Arial Narrow" w:eastAsiaTheme="minorHAnsi" w:hAnsi="Arial Narrow" w:cs="Calibri"/>
                <w:color w:val="000000"/>
                <w:sz w:val="18"/>
                <w:szCs w:val="18"/>
              </w:rPr>
              <w:t>Sapin 2004</w:t>
            </w:r>
          </w:p>
        </w:tc>
      </w:tr>
      <w:tr w:rsidR="009E57CE" w:rsidRPr="00C7221A" w14:paraId="3AC65825" w14:textId="77777777" w:rsidTr="005353DF">
        <w:trPr>
          <w:cantSplit/>
          <w:trHeight w:val="290"/>
        </w:trPr>
        <w:tc>
          <w:tcPr>
            <w:tcW w:w="3119" w:type="dxa"/>
            <w:tcMar>
              <w:left w:w="28" w:type="dxa"/>
              <w:right w:w="28" w:type="dxa"/>
            </w:tcMar>
            <w:vAlign w:val="center"/>
          </w:tcPr>
          <w:p w14:paraId="5D5D46E9"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Recovered - not on treatment </w:t>
            </w:r>
          </w:p>
        </w:tc>
        <w:tc>
          <w:tcPr>
            <w:tcW w:w="1275" w:type="dxa"/>
            <w:tcMar>
              <w:left w:w="28" w:type="dxa"/>
              <w:right w:w="28" w:type="dxa"/>
            </w:tcMar>
            <w:vAlign w:val="center"/>
          </w:tcPr>
          <w:p w14:paraId="5E763807"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0.880</w:t>
            </w:r>
          </w:p>
        </w:tc>
        <w:tc>
          <w:tcPr>
            <w:tcW w:w="3969" w:type="dxa"/>
            <w:tcMar>
              <w:left w:w="28" w:type="dxa"/>
              <w:right w:w="28" w:type="dxa"/>
            </w:tcMar>
            <w:vAlign w:val="center"/>
          </w:tcPr>
          <w:p w14:paraId="78504725"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Perlis 2009</w:t>
            </w:r>
          </w:p>
        </w:tc>
      </w:tr>
      <w:tr w:rsidR="009E57CE" w:rsidRPr="00C7221A" w14:paraId="101A91FE" w14:textId="77777777" w:rsidTr="005353DF">
        <w:trPr>
          <w:cantSplit/>
          <w:trHeight w:val="290"/>
        </w:trPr>
        <w:tc>
          <w:tcPr>
            <w:tcW w:w="3119" w:type="dxa"/>
            <w:tcMar>
              <w:left w:w="28" w:type="dxa"/>
              <w:right w:w="28" w:type="dxa"/>
            </w:tcMar>
            <w:vAlign w:val="center"/>
          </w:tcPr>
          <w:p w14:paraId="6630471A"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Recovered - on treatment </w:t>
            </w:r>
          </w:p>
        </w:tc>
        <w:tc>
          <w:tcPr>
            <w:tcW w:w="1275" w:type="dxa"/>
            <w:tcMar>
              <w:left w:w="28" w:type="dxa"/>
              <w:right w:w="28" w:type="dxa"/>
            </w:tcMar>
            <w:vAlign w:val="center"/>
          </w:tcPr>
          <w:p w14:paraId="65248B1B"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0.840</w:t>
            </w:r>
          </w:p>
        </w:tc>
        <w:tc>
          <w:tcPr>
            <w:tcW w:w="3969" w:type="dxa"/>
            <w:tcMar>
              <w:left w:w="28" w:type="dxa"/>
              <w:right w:w="28" w:type="dxa"/>
            </w:tcMar>
            <w:vAlign w:val="center"/>
          </w:tcPr>
          <w:p w14:paraId="45F982C5"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Perlis 2009</w:t>
            </w:r>
          </w:p>
        </w:tc>
      </w:tr>
      <w:tr w:rsidR="009E57CE" w:rsidRPr="00DD64FB" w14:paraId="7555D45A" w14:textId="77777777" w:rsidTr="005353DF">
        <w:trPr>
          <w:cantSplit/>
          <w:trHeight w:val="290"/>
        </w:trPr>
        <w:tc>
          <w:tcPr>
            <w:tcW w:w="8363" w:type="dxa"/>
            <w:gridSpan w:val="3"/>
            <w:tcMar>
              <w:left w:w="28" w:type="dxa"/>
              <w:right w:w="28" w:type="dxa"/>
            </w:tcMar>
            <w:vAlign w:val="center"/>
          </w:tcPr>
          <w:p w14:paraId="665F6941" w14:textId="77777777" w:rsidR="009E57CE" w:rsidRPr="00DD64FB" w:rsidRDefault="009E57CE" w:rsidP="005353DF">
            <w:pPr>
              <w:widowControl w:val="0"/>
              <w:autoSpaceDE w:val="0"/>
              <w:autoSpaceDN w:val="0"/>
              <w:adjustRightInd w:val="0"/>
              <w:spacing w:before="40" w:after="40"/>
              <w:ind w:left="0"/>
              <w:rPr>
                <w:rFonts w:ascii="Arial Narrow" w:eastAsiaTheme="minorHAnsi" w:hAnsi="Arial Narrow" w:cs="Calibri"/>
                <w:color w:val="000000"/>
                <w:sz w:val="18"/>
                <w:szCs w:val="18"/>
              </w:rPr>
            </w:pPr>
            <w:r w:rsidRPr="00DD64FB">
              <w:rPr>
                <w:rFonts w:ascii="Arial Narrow" w:eastAsiaTheme="minorHAnsi" w:hAnsi="Arial Narrow" w:cs="Calibri"/>
                <w:color w:val="000000"/>
                <w:sz w:val="18"/>
                <w:szCs w:val="18"/>
              </w:rPr>
              <w:lastRenderedPageBreak/>
              <w:t xml:space="preserve">In depression </w:t>
            </w:r>
          </w:p>
        </w:tc>
      </w:tr>
      <w:tr w:rsidR="009E57CE" w:rsidRPr="00C7221A" w14:paraId="435B7DDF" w14:textId="77777777" w:rsidTr="005353DF">
        <w:trPr>
          <w:cantSplit/>
          <w:trHeight w:val="290"/>
        </w:trPr>
        <w:tc>
          <w:tcPr>
            <w:tcW w:w="3119" w:type="dxa"/>
            <w:tcMar>
              <w:left w:w="28" w:type="dxa"/>
              <w:right w:w="28" w:type="dxa"/>
            </w:tcMar>
            <w:vAlign w:val="center"/>
          </w:tcPr>
          <w:p w14:paraId="78C0768E"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Minor depression</w:t>
            </w:r>
          </w:p>
        </w:tc>
        <w:tc>
          <w:tcPr>
            <w:tcW w:w="1275" w:type="dxa"/>
            <w:tcMar>
              <w:left w:w="28" w:type="dxa"/>
              <w:right w:w="28" w:type="dxa"/>
            </w:tcMar>
            <w:vAlign w:val="center"/>
          </w:tcPr>
          <w:p w14:paraId="0A911B27"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DD64FB">
              <w:rPr>
                <w:rFonts w:ascii="Arial Narrow" w:eastAsiaTheme="minorHAnsi" w:hAnsi="Arial Narrow" w:cs="Calibri"/>
                <w:color w:val="000000"/>
                <w:sz w:val="18"/>
                <w:szCs w:val="18"/>
              </w:rPr>
              <w:t>0.71</w:t>
            </w:r>
            <w:r w:rsidRPr="00C7221A">
              <w:rPr>
                <w:rFonts w:ascii="Arial Narrow" w:eastAsiaTheme="minorHAnsi" w:hAnsi="Arial Narrow" w:cs="Calibri"/>
                <w:color w:val="000000"/>
                <w:sz w:val="18"/>
                <w:szCs w:val="18"/>
              </w:rPr>
              <w:t>0</w:t>
            </w:r>
          </w:p>
        </w:tc>
        <w:tc>
          <w:tcPr>
            <w:tcW w:w="3969" w:type="dxa"/>
            <w:tcMar>
              <w:left w:w="28" w:type="dxa"/>
              <w:right w:w="28" w:type="dxa"/>
            </w:tcMar>
            <w:vAlign w:val="center"/>
          </w:tcPr>
          <w:p w14:paraId="7BCB5A7E"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Hawthorne 2009</w:t>
            </w:r>
          </w:p>
        </w:tc>
      </w:tr>
      <w:tr w:rsidR="009E57CE" w:rsidRPr="00C7221A" w14:paraId="3F8985F2" w14:textId="77777777" w:rsidTr="005353DF">
        <w:trPr>
          <w:cantSplit/>
          <w:trHeight w:val="290"/>
        </w:trPr>
        <w:tc>
          <w:tcPr>
            <w:tcW w:w="3119" w:type="dxa"/>
            <w:tcMar>
              <w:left w:w="28" w:type="dxa"/>
              <w:right w:w="28" w:type="dxa"/>
            </w:tcMar>
            <w:vAlign w:val="center"/>
          </w:tcPr>
          <w:p w14:paraId="27F8B5A5"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Non-responders</w:t>
            </w:r>
          </w:p>
        </w:tc>
        <w:tc>
          <w:tcPr>
            <w:tcW w:w="1275" w:type="dxa"/>
            <w:tcMar>
              <w:left w:w="28" w:type="dxa"/>
              <w:right w:w="28" w:type="dxa"/>
            </w:tcMar>
            <w:vAlign w:val="center"/>
          </w:tcPr>
          <w:p w14:paraId="0B5D486C"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0.550</w:t>
            </w:r>
          </w:p>
        </w:tc>
        <w:tc>
          <w:tcPr>
            <w:tcW w:w="3969" w:type="dxa"/>
            <w:tcMar>
              <w:left w:w="28" w:type="dxa"/>
              <w:right w:w="28" w:type="dxa"/>
            </w:tcMar>
            <w:vAlign w:val="center"/>
          </w:tcPr>
          <w:p w14:paraId="14B003AB"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Benedict 2010</w:t>
            </w:r>
          </w:p>
        </w:tc>
      </w:tr>
      <w:tr w:rsidR="009E57CE" w:rsidRPr="00C7221A" w14:paraId="345AF65E" w14:textId="77777777" w:rsidTr="005353DF">
        <w:trPr>
          <w:cantSplit/>
          <w:trHeight w:val="290"/>
        </w:trPr>
        <w:tc>
          <w:tcPr>
            <w:tcW w:w="3119" w:type="dxa"/>
            <w:tcMar>
              <w:left w:w="28" w:type="dxa"/>
              <w:right w:w="28" w:type="dxa"/>
            </w:tcMar>
            <w:vAlign w:val="center"/>
          </w:tcPr>
          <w:p w14:paraId="19E4720D"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Pr>
                <w:rFonts w:ascii="Arial Narrow" w:eastAsiaTheme="minorHAnsi" w:hAnsi="Arial Narrow" w:cs="Calibri"/>
                <w:color w:val="000000"/>
                <w:sz w:val="18"/>
                <w:szCs w:val="18"/>
              </w:rPr>
              <w:t>Non-responder</w:t>
            </w:r>
          </w:p>
        </w:tc>
        <w:tc>
          <w:tcPr>
            <w:tcW w:w="1275" w:type="dxa"/>
            <w:tcMar>
              <w:left w:w="28" w:type="dxa"/>
              <w:right w:w="28" w:type="dxa"/>
            </w:tcMar>
            <w:vAlign w:val="center"/>
          </w:tcPr>
          <w:p w14:paraId="6BF82E18"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Pr>
                <w:rFonts w:ascii="Arial Narrow" w:eastAsiaTheme="minorHAnsi" w:hAnsi="Arial Narrow" w:cs="Calibri"/>
                <w:color w:val="000000"/>
                <w:sz w:val="18"/>
                <w:szCs w:val="18"/>
              </w:rPr>
              <w:t>0.580</w:t>
            </w:r>
          </w:p>
        </w:tc>
        <w:tc>
          <w:tcPr>
            <w:tcW w:w="3969" w:type="dxa"/>
            <w:tcMar>
              <w:left w:w="28" w:type="dxa"/>
              <w:right w:w="28" w:type="dxa"/>
            </w:tcMar>
            <w:vAlign w:val="center"/>
          </w:tcPr>
          <w:p w14:paraId="2B0D329A"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Pr>
                <w:rFonts w:ascii="Arial Narrow" w:eastAsiaTheme="minorHAnsi" w:hAnsi="Arial Narrow" w:cs="Calibri"/>
                <w:color w:val="000000"/>
                <w:sz w:val="18"/>
                <w:szCs w:val="18"/>
              </w:rPr>
              <w:t>Sapin 2004</w:t>
            </w:r>
          </w:p>
        </w:tc>
      </w:tr>
      <w:tr w:rsidR="009E57CE" w:rsidRPr="00C7221A" w14:paraId="2EAD623A" w14:textId="77777777" w:rsidTr="005353DF">
        <w:trPr>
          <w:cantSplit/>
          <w:trHeight w:val="290"/>
        </w:trPr>
        <w:tc>
          <w:tcPr>
            <w:tcW w:w="3119" w:type="dxa"/>
            <w:tcMar>
              <w:left w:w="28" w:type="dxa"/>
              <w:right w:w="28" w:type="dxa"/>
            </w:tcMar>
            <w:vAlign w:val="center"/>
          </w:tcPr>
          <w:p w14:paraId="20AA455F"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Partial depression - treated with antidepressant</w:t>
            </w:r>
          </w:p>
        </w:tc>
        <w:tc>
          <w:tcPr>
            <w:tcW w:w="1275" w:type="dxa"/>
            <w:tcMar>
              <w:left w:w="28" w:type="dxa"/>
              <w:right w:w="28" w:type="dxa"/>
            </w:tcMar>
            <w:vAlign w:val="center"/>
          </w:tcPr>
          <w:p w14:paraId="3F342374"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0.550</w:t>
            </w:r>
          </w:p>
        </w:tc>
        <w:tc>
          <w:tcPr>
            <w:tcW w:w="3969" w:type="dxa"/>
            <w:tcMar>
              <w:left w:w="28" w:type="dxa"/>
              <w:right w:w="28" w:type="dxa"/>
            </w:tcMar>
            <w:vAlign w:val="center"/>
          </w:tcPr>
          <w:p w14:paraId="4E410017"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Aziz 2005</w:t>
            </w:r>
          </w:p>
        </w:tc>
      </w:tr>
      <w:tr w:rsidR="009E57CE" w:rsidRPr="00C7221A" w14:paraId="616EF800" w14:textId="77777777" w:rsidTr="005353DF">
        <w:trPr>
          <w:cantSplit/>
          <w:trHeight w:val="290"/>
        </w:trPr>
        <w:tc>
          <w:tcPr>
            <w:tcW w:w="3119" w:type="dxa"/>
            <w:tcMar>
              <w:left w:w="28" w:type="dxa"/>
              <w:right w:w="28" w:type="dxa"/>
            </w:tcMar>
            <w:vAlign w:val="center"/>
          </w:tcPr>
          <w:p w14:paraId="4C9E05D0"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Partial depression - treated with ECT</w:t>
            </w:r>
          </w:p>
        </w:tc>
        <w:tc>
          <w:tcPr>
            <w:tcW w:w="1275" w:type="dxa"/>
            <w:tcMar>
              <w:left w:w="28" w:type="dxa"/>
              <w:right w:w="28" w:type="dxa"/>
            </w:tcMar>
            <w:vAlign w:val="center"/>
          </w:tcPr>
          <w:p w14:paraId="6551E5FC"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0.660</w:t>
            </w:r>
          </w:p>
        </w:tc>
        <w:tc>
          <w:tcPr>
            <w:tcW w:w="3969" w:type="dxa"/>
            <w:tcMar>
              <w:left w:w="28" w:type="dxa"/>
              <w:right w:w="28" w:type="dxa"/>
            </w:tcMar>
            <w:vAlign w:val="center"/>
          </w:tcPr>
          <w:p w14:paraId="11F0E431"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Aziz 2005</w:t>
            </w:r>
          </w:p>
        </w:tc>
      </w:tr>
      <w:tr w:rsidR="009E57CE" w:rsidRPr="00C7221A" w14:paraId="0766A84E" w14:textId="77777777" w:rsidTr="005353DF">
        <w:trPr>
          <w:cantSplit/>
          <w:trHeight w:val="290"/>
        </w:trPr>
        <w:tc>
          <w:tcPr>
            <w:tcW w:w="3119" w:type="dxa"/>
            <w:tcMar>
              <w:left w:w="28" w:type="dxa"/>
              <w:right w:w="28" w:type="dxa"/>
            </w:tcMar>
            <w:vAlign w:val="center"/>
          </w:tcPr>
          <w:p w14:paraId="792D0DC9"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Depression on treatment SSRI </w:t>
            </w:r>
          </w:p>
        </w:tc>
        <w:tc>
          <w:tcPr>
            <w:tcW w:w="1275" w:type="dxa"/>
            <w:tcMar>
              <w:left w:w="28" w:type="dxa"/>
              <w:right w:w="28" w:type="dxa"/>
            </w:tcMar>
            <w:vAlign w:val="center"/>
          </w:tcPr>
          <w:p w14:paraId="5076C68A"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0.700</w:t>
            </w:r>
          </w:p>
        </w:tc>
        <w:tc>
          <w:tcPr>
            <w:tcW w:w="3969" w:type="dxa"/>
            <w:tcMar>
              <w:left w:w="28" w:type="dxa"/>
              <w:right w:w="28" w:type="dxa"/>
            </w:tcMar>
            <w:vAlign w:val="center"/>
          </w:tcPr>
          <w:p w14:paraId="77AB72F9"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Nuijten 2001</w:t>
            </w:r>
          </w:p>
        </w:tc>
      </w:tr>
      <w:tr w:rsidR="009E57CE" w:rsidRPr="00C7221A" w14:paraId="309734AC" w14:textId="77777777" w:rsidTr="005353DF">
        <w:trPr>
          <w:cantSplit/>
          <w:trHeight w:val="290"/>
        </w:trPr>
        <w:tc>
          <w:tcPr>
            <w:tcW w:w="3119" w:type="dxa"/>
            <w:tcMar>
              <w:left w:w="28" w:type="dxa"/>
              <w:right w:w="28" w:type="dxa"/>
            </w:tcMar>
            <w:vAlign w:val="center"/>
          </w:tcPr>
          <w:p w14:paraId="085376E8"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Depression on treatment TCA</w:t>
            </w:r>
          </w:p>
        </w:tc>
        <w:tc>
          <w:tcPr>
            <w:tcW w:w="1275" w:type="dxa"/>
            <w:tcMar>
              <w:left w:w="28" w:type="dxa"/>
              <w:right w:w="28" w:type="dxa"/>
            </w:tcMar>
            <w:vAlign w:val="center"/>
          </w:tcPr>
          <w:p w14:paraId="05054919"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0.670</w:t>
            </w:r>
          </w:p>
        </w:tc>
        <w:tc>
          <w:tcPr>
            <w:tcW w:w="3969" w:type="dxa"/>
            <w:tcMar>
              <w:left w:w="28" w:type="dxa"/>
              <w:right w:w="28" w:type="dxa"/>
            </w:tcMar>
            <w:vAlign w:val="center"/>
          </w:tcPr>
          <w:p w14:paraId="36D1FB01"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Nuijten 2001</w:t>
            </w:r>
          </w:p>
        </w:tc>
      </w:tr>
      <w:tr w:rsidR="009E57CE" w:rsidRPr="00C7221A" w14:paraId="641D2E16" w14:textId="77777777" w:rsidTr="005353DF">
        <w:trPr>
          <w:cantSplit/>
          <w:trHeight w:val="290"/>
        </w:trPr>
        <w:tc>
          <w:tcPr>
            <w:tcW w:w="3119" w:type="dxa"/>
            <w:tcMar>
              <w:left w:w="28" w:type="dxa"/>
              <w:right w:w="28" w:type="dxa"/>
            </w:tcMar>
            <w:vAlign w:val="center"/>
          </w:tcPr>
          <w:p w14:paraId="33CC861F"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Depression - treated with antidepressant</w:t>
            </w:r>
          </w:p>
        </w:tc>
        <w:tc>
          <w:tcPr>
            <w:tcW w:w="1275" w:type="dxa"/>
            <w:tcMar>
              <w:left w:w="28" w:type="dxa"/>
              <w:right w:w="28" w:type="dxa"/>
            </w:tcMar>
            <w:vAlign w:val="center"/>
          </w:tcPr>
          <w:p w14:paraId="484232B8"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0.430</w:t>
            </w:r>
          </w:p>
        </w:tc>
        <w:tc>
          <w:tcPr>
            <w:tcW w:w="3969" w:type="dxa"/>
            <w:tcMar>
              <w:left w:w="28" w:type="dxa"/>
              <w:right w:w="28" w:type="dxa"/>
            </w:tcMar>
            <w:vAlign w:val="center"/>
          </w:tcPr>
          <w:p w14:paraId="2EA0A66B"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Aziz 2005</w:t>
            </w:r>
          </w:p>
        </w:tc>
      </w:tr>
      <w:tr w:rsidR="009E57CE" w:rsidRPr="00C7221A" w14:paraId="3484DB5F" w14:textId="77777777" w:rsidTr="005353DF">
        <w:trPr>
          <w:cantSplit/>
          <w:trHeight w:val="290"/>
        </w:trPr>
        <w:tc>
          <w:tcPr>
            <w:tcW w:w="3119" w:type="dxa"/>
            <w:tcMar>
              <w:left w:w="28" w:type="dxa"/>
              <w:right w:w="28" w:type="dxa"/>
            </w:tcMar>
            <w:vAlign w:val="center"/>
          </w:tcPr>
          <w:p w14:paraId="4E7DEC51"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Depression - treated with ECT </w:t>
            </w:r>
          </w:p>
        </w:tc>
        <w:tc>
          <w:tcPr>
            <w:tcW w:w="1275" w:type="dxa"/>
            <w:tcMar>
              <w:left w:w="28" w:type="dxa"/>
              <w:right w:w="28" w:type="dxa"/>
            </w:tcMar>
            <w:vAlign w:val="center"/>
          </w:tcPr>
          <w:p w14:paraId="4FDFAF99"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0.520</w:t>
            </w:r>
          </w:p>
        </w:tc>
        <w:tc>
          <w:tcPr>
            <w:tcW w:w="3969" w:type="dxa"/>
            <w:tcMar>
              <w:left w:w="28" w:type="dxa"/>
              <w:right w:w="28" w:type="dxa"/>
            </w:tcMar>
            <w:vAlign w:val="center"/>
          </w:tcPr>
          <w:p w14:paraId="5360680F"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Aziz 2005</w:t>
            </w:r>
          </w:p>
        </w:tc>
      </w:tr>
      <w:tr w:rsidR="009E57CE" w:rsidRPr="00C7221A" w14:paraId="2A128BF6" w14:textId="77777777" w:rsidTr="005353DF">
        <w:trPr>
          <w:cantSplit/>
          <w:trHeight w:val="290"/>
        </w:trPr>
        <w:tc>
          <w:tcPr>
            <w:tcW w:w="3119" w:type="dxa"/>
            <w:tcMar>
              <w:left w:w="28" w:type="dxa"/>
              <w:right w:w="28" w:type="dxa"/>
            </w:tcMar>
            <w:vAlign w:val="center"/>
          </w:tcPr>
          <w:p w14:paraId="67E08FC5"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Depressed - on treatment </w:t>
            </w:r>
          </w:p>
        </w:tc>
        <w:tc>
          <w:tcPr>
            <w:tcW w:w="1275" w:type="dxa"/>
            <w:tcMar>
              <w:left w:w="28" w:type="dxa"/>
              <w:right w:w="28" w:type="dxa"/>
            </w:tcMar>
            <w:vAlign w:val="center"/>
          </w:tcPr>
          <w:p w14:paraId="2CF8649D"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0.590</w:t>
            </w:r>
          </w:p>
        </w:tc>
        <w:tc>
          <w:tcPr>
            <w:tcW w:w="3969" w:type="dxa"/>
            <w:tcMar>
              <w:left w:w="28" w:type="dxa"/>
              <w:right w:w="28" w:type="dxa"/>
            </w:tcMar>
            <w:vAlign w:val="center"/>
          </w:tcPr>
          <w:p w14:paraId="5038B207"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Perlis 2009</w:t>
            </w:r>
          </w:p>
        </w:tc>
      </w:tr>
      <w:tr w:rsidR="009E57CE" w:rsidRPr="00C7221A" w14:paraId="57C1F9EF" w14:textId="77777777" w:rsidTr="005353DF">
        <w:trPr>
          <w:cantSplit/>
          <w:trHeight w:val="290"/>
        </w:trPr>
        <w:tc>
          <w:tcPr>
            <w:tcW w:w="3119" w:type="dxa"/>
            <w:tcMar>
              <w:left w:w="28" w:type="dxa"/>
              <w:right w:w="28" w:type="dxa"/>
            </w:tcMar>
            <w:vAlign w:val="center"/>
          </w:tcPr>
          <w:p w14:paraId="249038E8"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Depressed - not on treatment </w:t>
            </w:r>
          </w:p>
        </w:tc>
        <w:tc>
          <w:tcPr>
            <w:tcW w:w="1275" w:type="dxa"/>
            <w:tcMar>
              <w:left w:w="28" w:type="dxa"/>
              <w:right w:w="28" w:type="dxa"/>
            </w:tcMar>
            <w:vAlign w:val="center"/>
          </w:tcPr>
          <w:p w14:paraId="4BE3DC45"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0.630</w:t>
            </w:r>
          </w:p>
        </w:tc>
        <w:tc>
          <w:tcPr>
            <w:tcW w:w="3969" w:type="dxa"/>
            <w:tcMar>
              <w:left w:w="28" w:type="dxa"/>
              <w:right w:w="28" w:type="dxa"/>
            </w:tcMar>
            <w:vAlign w:val="center"/>
          </w:tcPr>
          <w:p w14:paraId="7F86218C"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Perlis 2009</w:t>
            </w:r>
          </w:p>
        </w:tc>
      </w:tr>
      <w:tr w:rsidR="009E57CE" w:rsidRPr="00C7221A" w14:paraId="00334BFD" w14:textId="77777777" w:rsidTr="005353DF">
        <w:trPr>
          <w:cantSplit/>
          <w:trHeight w:val="290"/>
        </w:trPr>
        <w:tc>
          <w:tcPr>
            <w:tcW w:w="3119" w:type="dxa"/>
            <w:tcMar>
              <w:left w:w="28" w:type="dxa"/>
              <w:right w:w="28" w:type="dxa"/>
            </w:tcMar>
            <w:vAlign w:val="center"/>
          </w:tcPr>
          <w:p w14:paraId="479E2C40"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Untreated depression </w:t>
            </w:r>
          </w:p>
        </w:tc>
        <w:tc>
          <w:tcPr>
            <w:tcW w:w="1275" w:type="dxa"/>
            <w:tcMar>
              <w:left w:w="28" w:type="dxa"/>
              <w:right w:w="28" w:type="dxa"/>
            </w:tcMar>
            <w:vAlign w:val="center"/>
          </w:tcPr>
          <w:p w14:paraId="1A1478B5"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0.580</w:t>
            </w:r>
          </w:p>
        </w:tc>
        <w:tc>
          <w:tcPr>
            <w:tcW w:w="3969" w:type="dxa"/>
            <w:tcMar>
              <w:left w:w="28" w:type="dxa"/>
              <w:right w:w="28" w:type="dxa"/>
            </w:tcMar>
            <w:vAlign w:val="center"/>
          </w:tcPr>
          <w:p w14:paraId="1E6768FC"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Sullivan 2004; Amstrong 2008</w:t>
            </w:r>
          </w:p>
        </w:tc>
      </w:tr>
      <w:tr w:rsidR="009E57CE" w:rsidRPr="00C7221A" w14:paraId="591F9EAD" w14:textId="77777777" w:rsidTr="005353DF">
        <w:trPr>
          <w:cantSplit/>
          <w:trHeight w:val="290"/>
        </w:trPr>
        <w:tc>
          <w:tcPr>
            <w:tcW w:w="3119" w:type="dxa"/>
            <w:tcMar>
              <w:left w:w="28" w:type="dxa"/>
              <w:right w:w="28" w:type="dxa"/>
            </w:tcMar>
            <w:vAlign w:val="center"/>
          </w:tcPr>
          <w:p w14:paraId="4AF6E47A"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Moderate depression (MARDS 2)</w:t>
            </w:r>
          </w:p>
        </w:tc>
        <w:tc>
          <w:tcPr>
            <w:tcW w:w="1275" w:type="dxa"/>
            <w:tcMar>
              <w:left w:w="28" w:type="dxa"/>
              <w:right w:w="28" w:type="dxa"/>
            </w:tcMar>
            <w:vAlign w:val="center"/>
          </w:tcPr>
          <w:p w14:paraId="7CA805AB"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0.630</w:t>
            </w:r>
          </w:p>
        </w:tc>
        <w:tc>
          <w:tcPr>
            <w:tcW w:w="3969" w:type="dxa"/>
            <w:tcMar>
              <w:left w:w="28" w:type="dxa"/>
              <w:right w:w="28" w:type="dxa"/>
            </w:tcMar>
            <w:vAlign w:val="center"/>
          </w:tcPr>
          <w:p w14:paraId="54EE682E"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Simpson 2009; Sado 2008, Simon 2006</w:t>
            </w:r>
          </w:p>
        </w:tc>
      </w:tr>
      <w:tr w:rsidR="009E57CE" w:rsidRPr="00C7221A" w14:paraId="38A2C7C7" w14:textId="77777777" w:rsidTr="005353DF">
        <w:trPr>
          <w:cantSplit/>
          <w:trHeight w:val="290"/>
        </w:trPr>
        <w:tc>
          <w:tcPr>
            <w:tcW w:w="3119" w:type="dxa"/>
            <w:tcMar>
              <w:left w:w="28" w:type="dxa"/>
              <w:right w:w="28" w:type="dxa"/>
            </w:tcMar>
            <w:vAlign w:val="center"/>
          </w:tcPr>
          <w:p w14:paraId="2D173741"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Depressive episode</w:t>
            </w:r>
          </w:p>
        </w:tc>
        <w:tc>
          <w:tcPr>
            <w:tcW w:w="1275" w:type="dxa"/>
            <w:tcMar>
              <w:left w:w="28" w:type="dxa"/>
              <w:right w:w="28" w:type="dxa"/>
            </w:tcMar>
            <w:vAlign w:val="center"/>
          </w:tcPr>
          <w:p w14:paraId="6EAF7B5F"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0.570</w:t>
            </w:r>
          </w:p>
        </w:tc>
        <w:tc>
          <w:tcPr>
            <w:tcW w:w="3969" w:type="dxa"/>
            <w:tcMar>
              <w:left w:w="28" w:type="dxa"/>
              <w:right w:w="28" w:type="dxa"/>
            </w:tcMar>
            <w:vAlign w:val="center"/>
          </w:tcPr>
          <w:p w14:paraId="5D1CE5A5"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Sobocki 2008</w:t>
            </w:r>
          </w:p>
        </w:tc>
      </w:tr>
      <w:tr w:rsidR="009E57CE" w:rsidRPr="00C7221A" w14:paraId="208514BE" w14:textId="77777777" w:rsidTr="005353DF">
        <w:trPr>
          <w:cantSplit/>
          <w:trHeight w:val="290"/>
        </w:trPr>
        <w:tc>
          <w:tcPr>
            <w:tcW w:w="3119" w:type="dxa"/>
            <w:tcMar>
              <w:left w:w="28" w:type="dxa"/>
              <w:right w:w="28" w:type="dxa"/>
            </w:tcMar>
            <w:vAlign w:val="center"/>
          </w:tcPr>
          <w:p w14:paraId="57D6F927"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Significant depressive symptoms</w:t>
            </w:r>
          </w:p>
        </w:tc>
        <w:tc>
          <w:tcPr>
            <w:tcW w:w="1275" w:type="dxa"/>
            <w:tcMar>
              <w:left w:w="28" w:type="dxa"/>
              <w:right w:w="28" w:type="dxa"/>
            </w:tcMar>
            <w:vAlign w:val="center"/>
          </w:tcPr>
          <w:p w14:paraId="6D214187"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0.700</w:t>
            </w:r>
          </w:p>
        </w:tc>
        <w:tc>
          <w:tcPr>
            <w:tcW w:w="3969" w:type="dxa"/>
            <w:tcMar>
              <w:left w:w="28" w:type="dxa"/>
              <w:right w:w="28" w:type="dxa"/>
            </w:tcMar>
            <w:vAlign w:val="center"/>
          </w:tcPr>
          <w:p w14:paraId="2FDBDB9E"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Valenstein 2001</w:t>
            </w:r>
          </w:p>
        </w:tc>
      </w:tr>
      <w:tr w:rsidR="009E57CE" w:rsidRPr="00C7221A" w14:paraId="527D2E1E" w14:textId="77777777" w:rsidTr="005353DF">
        <w:trPr>
          <w:cantSplit/>
          <w:trHeight w:val="290"/>
        </w:trPr>
        <w:tc>
          <w:tcPr>
            <w:tcW w:w="3119" w:type="dxa"/>
            <w:tcMar>
              <w:left w:w="28" w:type="dxa"/>
              <w:right w:w="28" w:type="dxa"/>
            </w:tcMar>
            <w:vAlign w:val="center"/>
          </w:tcPr>
          <w:p w14:paraId="2C79766C"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Severe depression (MARDS 3) </w:t>
            </w:r>
          </w:p>
        </w:tc>
        <w:tc>
          <w:tcPr>
            <w:tcW w:w="1275" w:type="dxa"/>
            <w:tcMar>
              <w:left w:w="28" w:type="dxa"/>
              <w:right w:w="28" w:type="dxa"/>
            </w:tcMar>
            <w:vAlign w:val="center"/>
          </w:tcPr>
          <w:p w14:paraId="4AC0C5F4"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0.300</w:t>
            </w:r>
          </w:p>
        </w:tc>
        <w:tc>
          <w:tcPr>
            <w:tcW w:w="3969" w:type="dxa"/>
            <w:tcMar>
              <w:left w:w="28" w:type="dxa"/>
              <w:right w:w="28" w:type="dxa"/>
            </w:tcMar>
            <w:vAlign w:val="center"/>
          </w:tcPr>
          <w:p w14:paraId="60770EBC"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Simpson 2009; Sado 2008, Simon 2006; Nuijten 2001</w:t>
            </w:r>
          </w:p>
        </w:tc>
      </w:tr>
      <w:tr w:rsidR="009E57CE" w:rsidRPr="00C7221A" w14:paraId="637444D4" w14:textId="77777777" w:rsidTr="005353DF">
        <w:trPr>
          <w:cantSplit/>
          <w:trHeight w:val="290"/>
        </w:trPr>
        <w:tc>
          <w:tcPr>
            <w:tcW w:w="3119" w:type="dxa"/>
            <w:tcMar>
              <w:left w:w="28" w:type="dxa"/>
              <w:right w:w="28" w:type="dxa"/>
            </w:tcMar>
            <w:vAlign w:val="center"/>
          </w:tcPr>
          <w:p w14:paraId="275F1D5A"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Non-remission or acute</w:t>
            </w:r>
          </w:p>
        </w:tc>
        <w:tc>
          <w:tcPr>
            <w:tcW w:w="1275" w:type="dxa"/>
            <w:tcMar>
              <w:left w:w="28" w:type="dxa"/>
              <w:right w:w="28" w:type="dxa"/>
            </w:tcMar>
            <w:vAlign w:val="center"/>
          </w:tcPr>
          <w:p w14:paraId="06F5C11E"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0.400</w:t>
            </w:r>
          </w:p>
        </w:tc>
        <w:tc>
          <w:tcPr>
            <w:tcW w:w="3969" w:type="dxa"/>
            <w:tcMar>
              <w:left w:w="28" w:type="dxa"/>
              <w:right w:w="28" w:type="dxa"/>
            </w:tcMar>
            <w:vAlign w:val="center"/>
          </w:tcPr>
          <w:p w14:paraId="1CFE50F3"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Olgiati 2012</w:t>
            </w:r>
          </w:p>
        </w:tc>
      </w:tr>
      <w:tr w:rsidR="009E57CE" w:rsidRPr="00C7221A" w14:paraId="3ABC4DC9" w14:textId="77777777" w:rsidTr="005353DF">
        <w:trPr>
          <w:cantSplit/>
          <w:trHeight w:val="290"/>
        </w:trPr>
        <w:tc>
          <w:tcPr>
            <w:tcW w:w="3119" w:type="dxa"/>
            <w:tcMar>
              <w:left w:w="28" w:type="dxa"/>
              <w:right w:w="28" w:type="dxa"/>
            </w:tcMar>
            <w:vAlign w:val="center"/>
          </w:tcPr>
          <w:p w14:paraId="7E816EF3"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Major depression </w:t>
            </w:r>
          </w:p>
        </w:tc>
        <w:tc>
          <w:tcPr>
            <w:tcW w:w="1275" w:type="dxa"/>
            <w:tcMar>
              <w:left w:w="28" w:type="dxa"/>
              <w:right w:w="28" w:type="dxa"/>
            </w:tcMar>
            <w:vAlign w:val="center"/>
          </w:tcPr>
          <w:p w14:paraId="468A5CBC"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0.630</w:t>
            </w:r>
          </w:p>
        </w:tc>
        <w:tc>
          <w:tcPr>
            <w:tcW w:w="3969" w:type="dxa"/>
            <w:tcMar>
              <w:left w:w="28" w:type="dxa"/>
              <w:right w:w="28" w:type="dxa"/>
            </w:tcMar>
            <w:vAlign w:val="center"/>
          </w:tcPr>
          <w:p w14:paraId="451466E6"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Valenstein 2001</w:t>
            </w:r>
          </w:p>
        </w:tc>
      </w:tr>
      <w:tr w:rsidR="009E57CE" w:rsidRPr="00C7221A" w14:paraId="5FFA1F84" w14:textId="77777777" w:rsidTr="005353DF">
        <w:trPr>
          <w:cantSplit/>
          <w:trHeight w:val="290"/>
        </w:trPr>
        <w:tc>
          <w:tcPr>
            <w:tcW w:w="3119" w:type="dxa"/>
            <w:tcMar>
              <w:left w:w="28" w:type="dxa"/>
              <w:right w:w="28" w:type="dxa"/>
            </w:tcMar>
            <w:vAlign w:val="center"/>
          </w:tcPr>
          <w:p w14:paraId="6500F5C1"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Major depression </w:t>
            </w:r>
          </w:p>
        </w:tc>
        <w:tc>
          <w:tcPr>
            <w:tcW w:w="1275" w:type="dxa"/>
            <w:tcMar>
              <w:left w:w="28" w:type="dxa"/>
              <w:right w:w="28" w:type="dxa"/>
            </w:tcMar>
            <w:vAlign w:val="center"/>
          </w:tcPr>
          <w:p w14:paraId="70E0CFDE"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DD64FB">
              <w:rPr>
                <w:rFonts w:ascii="Arial Narrow" w:eastAsiaTheme="minorHAnsi" w:hAnsi="Arial Narrow" w:cs="Calibri"/>
                <w:color w:val="000000"/>
                <w:sz w:val="18"/>
                <w:szCs w:val="18"/>
              </w:rPr>
              <w:t>0.54</w:t>
            </w:r>
            <w:r w:rsidRPr="00C7221A">
              <w:rPr>
                <w:rFonts w:ascii="Arial Narrow" w:eastAsiaTheme="minorHAnsi" w:hAnsi="Arial Narrow" w:cs="Calibri"/>
                <w:color w:val="000000"/>
                <w:sz w:val="18"/>
                <w:szCs w:val="18"/>
              </w:rPr>
              <w:t>0</w:t>
            </w:r>
          </w:p>
        </w:tc>
        <w:tc>
          <w:tcPr>
            <w:tcW w:w="3969" w:type="dxa"/>
            <w:tcMar>
              <w:left w:w="28" w:type="dxa"/>
              <w:right w:w="28" w:type="dxa"/>
            </w:tcMar>
            <w:vAlign w:val="center"/>
          </w:tcPr>
          <w:p w14:paraId="7B9360EB"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Hawthorne 2009</w:t>
            </w:r>
          </w:p>
        </w:tc>
      </w:tr>
      <w:tr w:rsidR="009E57CE" w:rsidRPr="00C7221A" w14:paraId="60C33019" w14:textId="77777777" w:rsidTr="005353DF">
        <w:trPr>
          <w:cantSplit/>
          <w:trHeight w:val="290"/>
        </w:trPr>
        <w:tc>
          <w:tcPr>
            <w:tcW w:w="3119" w:type="dxa"/>
            <w:tcMar>
              <w:left w:w="28" w:type="dxa"/>
              <w:right w:w="28" w:type="dxa"/>
            </w:tcMar>
            <w:vAlign w:val="center"/>
          </w:tcPr>
          <w:p w14:paraId="1997E671" w14:textId="77777777" w:rsidR="009E57CE" w:rsidRPr="00C7221A" w:rsidRDefault="009E57CE" w:rsidP="005353DF">
            <w:pPr>
              <w:widowControl w:val="0"/>
              <w:autoSpaceDE w:val="0"/>
              <w:autoSpaceDN w:val="0"/>
              <w:adjustRightInd w:val="0"/>
              <w:spacing w:before="40" w:after="40"/>
              <w:ind w:left="256"/>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 xml:space="preserve">Hospitalisation </w:t>
            </w:r>
          </w:p>
        </w:tc>
        <w:tc>
          <w:tcPr>
            <w:tcW w:w="1275" w:type="dxa"/>
            <w:tcMar>
              <w:left w:w="28" w:type="dxa"/>
              <w:right w:w="28" w:type="dxa"/>
            </w:tcMar>
            <w:vAlign w:val="center"/>
          </w:tcPr>
          <w:p w14:paraId="73704E92"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0.090</w:t>
            </w:r>
          </w:p>
        </w:tc>
        <w:tc>
          <w:tcPr>
            <w:tcW w:w="3969" w:type="dxa"/>
            <w:tcMar>
              <w:left w:w="28" w:type="dxa"/>
              <w:right w:w="28" w:type="dxa"/>
            </w:tcMar>
            <w:vAlign w:val="center"/>
          </w:tcPr>
          <w:p w14:paraId="368328DB" w14:textId="77777777" w:rsidR="009E57CE" w:rsidRPr="00C7221A" w:rsidRDefault="009E57CE" w:rsidP="005353DF">
            <w:pPr>
              <w:widowControl w:val="0"/>
              <w:autoSpaceDE w:val="0"/>
              <w:autoSpaceDN w:val="0"/>
              <w:adjustRightInd w:val="0"/>
              <w:spacing w:before="40" w:after="40"/>
              <w:ind w:left="0"/>
              <w:jc w:val="center"/>
              <w:rPr>
                <w:rFonts w:ascii="Arial Narrow" w:eastAsiaTheme="minorHAnsi" w:hAnsi="Arial Narrow" w:cs="Calibri"/>
                <w:color w:val="000000"/>
                <w:sz w:val="18"/>
                <w:szCs w:val="18"/>
              </w:rPr>
            </w:pPr>
            <w:r w:rsidRPr="00C7221A">
              <w:rPr>
                <w:rFonts w:ascii="Arial Narrow" w:eastAsiaTheme="minorHAnsi" w:hAnsi="Arial Narrow" w:cs="Calibri"/>
                <w:color w:val="000000"/>
                <w:sz w:val="18"/>
                <w:szCs w:val="18"/>
              </w:rPr>
              <w:t>Simpson 2009</w:t>
            </w:r>
          </w:p>
        </w:tc>
      </w:tr>
    </w:tbl>
    <w:p w14:paraId="3B19276B" w14:textId="77777777" w:rsidR="009E57CE" w:rsidRDefault="009E57CE" w:rsidP="005353DF">
      <w:pPr>
        <w:pStyle w:val="TableName"/>
        <w:keepNext w:val="0"/>
        <w:widowControl w:val="0"/>
        <w:jc w:val="both"/>
        <w:rPr>
          <w:b w:val="0"/>
        </w:rPr>
      </w:pPr>
    </w:p>
    <w:p w14:paraId="4F0A02C5" w14:textId="77777777" w:rsidR="009E57CE" w:rsidRPr="009E6742" w:rsidRDefault="009E57CE" w:rsidP="003F17D5">
      <w:pPr>
        <w:jc w:val="both"/>
      </w:pPr>
      <w:r>
        <w:t xml:space="preserve">Of these studies, </w:t>
      </w:r>
      <w:r w:rsidRPr="00BD0DF1">
        <w:t xml:space="preserve">Hawthorne </w:t>
      </w:r>
      <w:r>
        <w:t>et al (</w:t>
      </w:r>
      <w:r w:rsidRPr="00BD0DF1">
        <w:t>2009</w:t>
      </w:r>
      <w:r>
        <w:t>) estimated the utility weights for Australia (using AQoL) in a costing study for South Australia. These utility values fall within the range reported in the literature. These values are used in the economic model.</w:t>
      </w:r>
    </w:p>
    <w:p w14:paraId="4E1923AC" w14:textId="4B3C887F" w:rsidR="009E57CE" w:rsidRDefault="009E57CE" w:rsidP="003F17D5">
      <w:pPr>
        <w:jc w:val="both"/>
      </w:pPr>
      <w:r>
        <w:t>There is limited information on disutility of the adverse events associated with each treatment. The most relevant study for this topic is Sullivan et al (2004) on the cost effectiveness of s</w:t>
      </w:r>
      <w:r w:rsidRPr="00C96F35">
        <w:t>erotonin reuptake inhibitors</w:t>
      </w:r>
      <w:r>
        <w:t xml:space="preserve"> (S</w:t>
      </w:r>
      <w:r w:rsidR="00D1614C">
        <w:t>S</w:t>
      </w:r>
      <w:r>
        <w:t xml:space="preserve">RIs) and associated adverse drug reactions in the US. Censored least absolute deviations (CLAD) regression analysis was used to obtain utility </w:t>
      </w:r>
      <w:r w:rsidRPr="00C96F35">
        <w:t xml:space="preserve">estimates for </w:t>
      </w:r>
      <w:r>
        <w:t xml:space="preserve">relevant adverse events. Utility is derived from the EuroQol EQ-5D scores for 14,888 adults in 2000 Medical Expenditure Panel Survey (MEPS). </w:t>
      </w:r>
    </w:p>
    <w:p w14:paraId="357A4ABD" w14:textId="77777777" w:rsidR="009E57CE" w:rsidRDefault="009E57CE" w:rsidP="003F17D5">
      <w:pPr>
        <w:jc w:val="both"/>
      </w:pPr>
      <w:r>
        <w:t xml:space="preserve">In this assessment report, the disulilities (and costs) associated with treatment adverse events are calculated as the weighted average of the disutilities (and costs) of adverse events relevant to each treatment (see </w:t>
      </w:r>
      <w:r>
        <w:fldChar w:fldCharType="begin"/>
      </w:r>
      <w:r>
        <w:instrText xml:space="preserve"> REF _Ref383696287 \h  \* MERGEFORMAT </w:instrText>
      </w:r>
      <w:r>
        <w:fldChar w:fldCharType="separate"/>
      </w:r>
      <w:r w:rsidR="004C1C27" w:rsidRPr="00CB5295">
        <w:t xml:space="preserve">Table </w:t>
      </w:r>
      <w:r w:rsidR="004C1C27">
        <w:t>14</w:t>
      </w:r>
      <w:r>
        <w:fldChar w:fldCharType="end"/>
      </w:r>
      <w:r>
        <w:t xml:space="preserve">). The utility values are taken directly from Sullivan et al (2004) and the weights are the probabilities of getting each adverse event. The individual adverse event costs were sourced from cost of medication and health resource using the PBS and MBS. </w:t>
      </w:r>
    </w:p>
    <w:p w14:paraId="2F91F28D" w14:textId="77777777" w:rsidR="009E57CE" w:rsidRPr="003F17D5" w:rsidRDefault="009E57CE" w:rsidP="005353DF">
      <w:pPr>
        <w:pStyle w:val="TableName"/>
        <w:jc w:val="both"/>
      </w:pPr>
      <w:bookmarkStart w:id="296" w:name="_Ref383780640"/>
      <w:bookmarkStart w:id="297" w:name="_Toc386017843"/>
      <w:bookmarkStart w:id="298" w:name="_Toc389140558"/>
      <w:bookmarkStart w:id="299" w:name="_Toc389142177"/>
      <w:bookmarkStart w:id="300" w:name="_Toc389143612"/>
      <w:r w:rsidRPr="003F17D5">
        <w:t xml:space="preserve">Table </w:t>
      </w:r>
      <w:r w:rsidR="004C1C27">
        <w:fldChar w:fldCharType="begin"/>
      </w:r>
      <w:r w:rsidR="004C1C27">
        <w:instrText xml:space="preserve"> SEQ Table \* ARABIC </w:instrText>
      </w:r>
      <w:r w:rsidR="004C1C27">
        <w:fldChar w:fldCharType="separate"/>
      </w:r>
      <w:r w:rsidR="004C1C27">
        <w:rPr>
          <w:noProof/>
        </w:rPr>
        <w:t>15</w:t>
      </w:r>
      <w:r w:rsidR="004C1C27">
        <w:rPr>
          <w:noProof/>
        </w:rPr>
        <w:fldChar w:fldCharType="end"/>
      </w:r>
      <w:bookmarkEnd w:id="296"/>
      <w:r w:rsidRPr="003F17D5">
        <w:t>: Disutility and cost associated with adverse events</w:t>
      </w:r>
      <w:bookmarkEnd w:id="297"/>
      <w:bookmarkEnd w:id="298"/>
      <w:bookmarkEnd w:id="299"/>
      <w:bookmarkEnd w:id="300"/>
    </w:p>
    <w:tbl>
      <w:tblPr>
        <w:tblW w:w="8363"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isutility and costs associated with adverse events"/>
      </w:tblPr>
      <w:tblGrid>
        <w:gridCol w:w="1985"/>
        <w:gridCol w:w="1275"/>
        <w:gridCol w:w="1276"/>
        <w:gridCol w:w="1275"/>
        <w:gridCol w:w="1441"/>
        <w:gridCol w:w="1111"/>
      </w:tblGrid>
      <w:tr w:rsidR="009E57CE" w:rsidRPr="009E6742" w14:paraId="358DE997" w14:textId="77777777" w:rsidTr="005353DF">
        <w:trPr>
          <w:cantSplit/>
          <w:trHeight w:val="284"/>
          <w:tblHeader/>
        </w:trPr>
        <w:tc>
          <w:tcPr>
            <w:tcW w:w="1985" w:type="dxa"/>
            <w:shd w:val="clear" w:color="auto" w:fill="auto"/>
            <w:noWrap/>
            <w:tcMar>
              <w:left w:w="28" w:type="dxa"/>
              <w:right w:w="28" w:type="dxa"/>
            </w:tcMar>
            <w:vAlign w:val="center"/>
            <w:hideMark/>
          </w:tcPr>
          <w:p w14:paraId="0D12E66A" w14:textId="77777777" w:rsidR="009E57CE" w:rsidRPr="000123BE" w:rsidRDefault="009E57CE" w:rsidP="005353DF">
            <w:pPr>
              <w:keepNext/>
              <w:spacing w:before="40" w:after="40"/>
              <w:ind w:left="0"/>
              <w:rPr>
                <w:rFonts w:ascii="Arial Narrow" w:hAnsi="Arial Narrow"/>
                <w:b/>
                <w:sz w:val="18"/>
                <w:szCs w:val="18"/>
              </w:rPr>
            </w:pPr>
            <w:r w:rsidRPr="000123BE">
              <w:rPr>
                <w:rFonts w:ascii="Arial Narrow" w:hAnsi="Arial Narrow"/>
                <w:b/>
                <w:sz w:val="18"/>
                <w:szCs w:val="18"/>
              </w:rPr>
              <w:t>Adverse events</w:t>
            </w:r>
          </w:p>
        </w:tc>
        <w:tc>
          <w:tcPr>
            <w:tcW w:w="1275" w:type="dxa"/>
            <w:shd w:val="clear" w:color="auto" w:fill="auto"/>
            <w:noWrap/>
            <w:tcMar>
              <w:left w:w="28" w:type="dxa"/>
              <w:right w:w="28" w:type="dxa"/>
            </w:tcMar>
            <w:vAlign w:val="center"/>
            <w:hideMark/>
          </w:tcPr>
          <w:p w14:paraId="291E2628" w14:textId="77777777" w:rsidR="009E57CE" w:rsidRPr="000123BE" w:rsidRDefault="009E57CE" w:rsidP="005353DF">
            <w:pPr>
              <w:keepNext/>
              <w:spacing w:before="40" w:after="40"/>
              <w:ind w:left="0"/>
              <w:jc w:val="center"/>
              <w:rPr>
                <w:rFonts w:ascii="Arial Narrow" w:hAnsi="Arial Narrow"/>
                <w:b/>
                <w:bCs/>
                <w:sz w:val="18"/>
                <w:szCs w:val="18"/>
              </w:rPr>
            </w:pPr>
            <w:r w:rsidRPr="000123BE">
              <w:rPr>
                <w:rFonts w:ascii="Arial Narrow" w:hAnsi="Arial Narrow"/>
                <w:b/>
                <w:bCs/>
                <w:sz w:val="18"/>
                <w:szCs w:val="18"/>
              </w:rPr>
              <w:t xml:space="preserve">Disutility </w:t>
            </w:r>
            <w:r w:rsidRPr="000123BE">
              <w:rPr>
                <w:rFonts w:ascii="Arial Narrow" w:hAnsi="Arial Narrow"/>
                <w:b/>
                <w:bCs/>
                <w:sz w:val="18"/>
                <w:szCs w:val="18"/>
                <w:vertAlign w:val="superscript"/>
              </w:rPr>
              <w:t>a</w:t>
            </w:r>
          </w:p>
        </w:tc>
        <w:tc>
          <w:tcPr>
            <w:tcW w:w="1276" w:type="dxa"/>
            <w:tcMar>
              <w:left w:w="28" w:type="dxa"/>
              <w:right w:w="28" w:type="dxa"/>
            </w:tcMar>
            <w:vAlign w:val="center"/>
          </w:tcPr>
          <w:p w14:paraId="04AAA879" w14:textId="77777777" w:rsidR="009E57CE" w:rsidRPr="000123BE" w:rsidRDefault="009E57CE" w:rsidP="005353DF">
            <w:pPr>
              <w:keepNext/>
              <w:spacing w:before="40" w:after="40"/>
              <w:ind w:left="0"/>
              <w:jc w:val="center"/>
              <w:rPr>
                <w:rFonts w:ascii="Arial Narrow" w:hAnsi="Arial Narrow"/>
                <w:b/>
                <w:bCs/>
                <w:sz w:val="18"/>
                <w:szCs w:val="18"/>
              </w:rPr>
            </w:pPr>
            <w:r w:rsidRPr="000123BE">
              <w:rPr>
                <w:rFonts w:ascii="Arial Narrow" w:hAnsi="Arial Narrow"/>
                <w:b/>
                <w:bCs/>
                <w:sz w:val="18"/>
                <w:szCs w:val="18"/>
              </w:rPr>
              <w:t xml:space="preserve">Cost </w:t>
            </w:r>
            <w:r w:rsidRPr="00D26370">
              <w:rPr>
                <w:rFonts w:ascii="Arial Narrow" w:hAnsi="Arial Narrow"/>
                <w:b/>
                <w:bCs/>
                <w:sz w:val="18"/>
                <w:szCs w:val="18"/>
                <w:vertAlign w:val="superscript"/>
              </w:rPr>
              <w:t>b</w:t>
            </w:r>
          </w:p>
        </w:tc>
        <w:tc>
          <w:tcPr>
            <w:tcW w:w="1275" w:type="dxa"/>
            <w:shd w:val="clear" w:color="auto" w:fill="auto"/>
            <w:noWrap/>
            <w:tcMar>
              <w:left w:w="28" w:type="dxa"/>
              <w:right w:w="28" w:type="dxa"/>
            </w:tcMar>
            <w:vAlign w:val="center"/>
            <w:hideMark/>
          </w:tcPr>
          <w:p w14:paraId="220DD891" w14:textId="77777777" w:rsidR="009E57CE" w:rsidRPr="000123BE" w:rsidRDefault="009E57CE" w:rsidP="005353DF">
            <w:pPr>
              <w:keepNext/>
              <w:spacing w:before="40" w:after="40"/>
              <w:ind w:left="0"/>
              <w:jc w:val="center"/>
              <w:rPr>
                <w:rFonts w:ascii="Arial Narrow" w:hAnsi="Arial Narrow"/>
                <w:b/>
                <w:bCs/>
                <w:sz w:val="18"/>
                <w:szCs w:val="18"/>
              </w:rPr>
            </w:pPr>
            <w:r w:rsidRPr="000123BE">
              <w:rPr>
                <w:rFonts w:ascii="Arial Narrow" w:hAnsi="Arial Narrow"/>
                <w:b/>
                <w:bCs/>
                <w:sz w:val="18"/>
                <w:szCs w:val="18"/>
              </w:rPr>
              <w:t xml:space="preserve">rTMS </w:t>
            </w:r>
            <w:r w:rsidRPr="000123BE">
              <w:rPr>
                <w:rFonts w:ascii="Arial Narrow" w:hAnsi="Arial Narrow"/>
                <w:b/>
                <w:bCs/>
                <w:sz w:val="18"/>
                <w:szCs w:val="18"/>
                <w:vertAlign w:val="superscript"/>
              </w:rPr>
              <w:t>c</w:t>
            </w:r>
          </w:p>
        </w:tc>
        <w:tc>
          <w:tcPr>
            <w:tcW w:w="1441" w:type="dxa"/>
            <w:shd w:val="clear" w:color="auto" w:fill="auto"/>
            <w:noWrap/>
            <w:tcMar>
              <w:left w:w="28" w:type="dxa"/>
              <w:right w:w="28" w:type="dxa"/>
            </w:tcMar>
            <w:vAlign w:val="center"/>
            <w:hideMark/>
          </w:tcPr>
          <w:p w14:paraId="0839E568" w14:textId="77777777" w:rsidR="009E57CE" w:rsidRPr="000123BE" w:rsidRDefault="009E57CE" w:rsidP="005353DF">
            <w:pPr>
              <w:keepNext/>
              <w:spacing w:before="40" w:after="40"/>
              <w:ind w:left="0"/>
              <w:jc w:val="center"/>
              <w:rPr>
                <w:rFonts w:ascii="Arial Narrow" w:hAnsi="Arial Narrow"/>
                <w:b/>
                <w:bCs/>
                <w:sz w:val="18"/>
                <w:szCs w:val="18"/>
              </w:rPr>
            </w:pPr>
            <w:r w:rsidRPr="000123BE">
              <w:rPr>
                <w:rFonts w:ascii="Arial Narrow" w:hAnsi="Arial Narrow"/>
                <w:b/>
                <w:bCs/>
                <w:sz w:val="18"/>
                <w:szCs w:val="18"/>
              </w:rPr>
              <w:t xml:space="preserve">Antidepressants </w:t>
            </w:r>
            <w:r w:rsidRPr="000123BE">
              <w:rPr>
                <w:rFonts w:ascii="Arial Narrow" w:hAnsi="Arial Narrow"/>
                <w:b/>
                <w:bCs/>
                <w:sz w:val="18"/>
                <w:szCs w:val="18"/>
                <w:vertAlign w:val="superscript"/>
              </w:rPr>
              <w:t>d</w:t>
            </w:r>
          </w:p>
        </w:tc>
        <w:tc>
          <w:tcPr>
            <w:tcW w:w="1111" w:type="dxa"/>
            <w:shd w:val="clear" w:color="auto" w:fill="auto"/>
            <w:noWrap/>
            <w:tcMar>
              <w:left w:w="28" w:type="dxa"/>
              <w:right w:w="28" w:type="dxa"/>
            </w:tcMar>
            <w:vAlign w:val="center"/>
            <w:hideMark/>
          </w:tcPr>
          <w:p w14:paraId="30227922" w14:textId="77777777" w:rsidR="009E57CE" w:rsidRPr="000123BE" w:rsidRDefault="009E57CE" w:rsidP="005353DF">
            <w:pPr>
              <w:keepNext/>
              <w:spacing w:before="40" w:after="40"/>
              <w:ind w:left="0"/>
              <w:jc w:val="center"/>
              <w:rPr>
                <w:rFonts w:ascii="Arial Narrow" w:hAnsi="Arial Narrow"/>
                <w:b/>
                <w:bCs/>
                <w:sz w:val="18"/>
                <w:szCs w:val="18"/>
              </w:rPr>
            </w:pPr>
            <w:r w:rsidRPr="000123BE">
              <w:rPr>
                <w:rFonts w:ascii="Arial Narrow" w:hAnsi="Arial Narrow"/>
                <w:b/>
                <w:bCs/>
                <w:sz w:val="18"/>
                <w:szCs w:val="18"/>
              </w:rPr>
              <w:t xml:space="preserve">ECT </w:t>
            </w:r>
            <w:r w:rsidRPr="000123BE">
              <w:rPr>
                <w:rFonts w:ascii="Arial Narrow" w:hAnsi="Arial Narrow"/>
                <w:b/>
                <w:bCs/>
                <w:sz w:val="18"/>
                <w:szCs w:val="18"/>
                <w:vertAlign w:val="superscript"/>
              </w:rPr>
              <w:t>e</w:t>
            </w:r>
          </w:p>
        </w:tc>
      </w:tr>
      <w:tr w:rsidR="009E57CE" w:rsidRPr="009E6742" w14:paraId="5E19AD2D" w14:textId="77777777" w:rsidTr="005353DF">
        <w:trPr>
          <w:cantSplit/>
          <w:trHeight w:val="284"/>
        </w:trPr>
        <w:tc>
          <w:tcPr>
            <w:tcW w:w="1985" w:type="dxa"/>
            <w:shd w:val="clear" w:color="auto" w:fill="auto"/>
            <w:noWrap/>
            <w:tcMar>
              <w:left w:w="28" w:type="dxa"/>
              <w:right w:w="28" w:type="dxa"/>
            </w:tcMar>
            <w:vAlign w:val="center"/>
            <w:hideMark/>
          </w:tcPr>
          <w:p w14:paraId="20471056" w14:textId="77777777" w:rsidR="009E57CE" w:rsidRPr="000123BE" w:rsidRDefault="009E57CE" w:rsidP="005353DF">
            <w:pPr>
              <w:keepNext/>
              <w:spacing w:before="40" w:after="40"/>
              <w:ind w:left="0"/>
              <w:rPr>
                <w:rFonts w:ascii="Arial Narrow" w:hAnsi="Arial Narrow"/>
                <w:sz w:val="18"/>
                <w:szCs w:val="18"/>
              </w:rPr>
            </w:pPr>
            <w:r w:rsidRPr="000123BE">
              <w:rPr>
                <w:rFonts w:ascii="Arial Narrow" w:hAnsi="Arial Narrow"/>
                <w:sz w:val="18"/>
                <w:szCs w:val="18"/>
              </w:rPr>
              <w:t>Excitation</w:t>
            </w:r>
          </w:p>
        </w:tc>
        <w:tc>
          <w:tcPr>
            <w:tcW w:w="1275" w:type="dxa"/>
            <w:shd w:val="clear" w:color="auto" w:fill="auto"/>
            <w:noWrap/>
            <w:tcMar>
              <w:left w:w="28" w:type="dxa"/>
              <w:right w:w="28" w:type="dxa"/>
            </w:tcMar>
            <w:vAlign w:val="center"/>
            <w:hideMark/>
          </w:tcPr>
          <w:p w14:paraId="614A7BD9" w14:textId="77777777" w:rsidR="009E57CE" w:rsidRPr="000123BE" w:rsidRDefault="009E57CE" w:rsidP="005353DF">
            <w:pPr>
              <w:keepNext/>
              <w:spacing w:before="40" w:after="40"/>
              <w:ind w:left="0"/>
              <w:jc w:val="center"/>
              <w:rPr>
                <w:rFonts w:ascii="Arial Narrow" w:hAnsi="Arial Narrow"/>
                <w:sz w:val="18"/>
                <w:szCs w:val="18"/>
              </w:rPr>
            </w:pPr>
            <w:r w:rsidRPr="000123BE">
              <w:rPr>
                <w:rFonts w:ascii="Arial Narrow" w:hAnsi="Arial Narrow"/>
                <w:sz w:val="18"/>
                <w:szCs w:val="18"/>
              </w:rPr>
              <w:t>-0.012</w:t>
            </w:r>
          </w:p>
        </w:tc>
        <w:tc>
          <w:tcPr>
            <w:tcW w:w="1276" w:type="dxa"/>
            <w:tcMar>
              <w:left w:w="28" w:type="dxa"/>
              <w:right w:w="28" w:type="dxa"/>
            </w:tcMar>
            <w:vAlign w:val="center"/>
          </w:tcPr>
          <w:p w14:paraId="017E0E0D" w14:textId="77777777" w:rsidR="009E57CE" w:rsidRPr="00D26370" w:rsidRDefault="009E57CE" w:rsidP="005353DF">
            <w:pPr>
              <w:keepNext/>
              <w:spacing w:before="40" w:after="40"/>
              <w:ind w:left="0"/>
              <w:jc w:val="center"/>
              <w:rPr>
                <w:rFonts w:ascii="Arial Narrow" w:hAnsi="Arial Narrow"/>
                <w:sz w:val="18"/>
                <w:szCs w:val="18"/>
              </w:rPr>
            </w:pPr>
            <w:r w:rsidRPr="00D26370">
              <w:rPr>
                <w:rFonts w:ascii="Arial Narrow" w:hAnsi="Arial Narrow"/>
                <w:sz w:val="18"/>
                <w:szCs w:val="18"/>
              </w:rPr>
              <w:t xml:space="preserve"> $65 </w:t>
            </w:r>
          </w:p>
        </w:tc>
        <w:tc>
          <w:tcPr>
            <w:tcW w:w="1275" w:type="dxa"/>
            <w:shd w:val="clear" w:color="auto" w:fill="auto"/>
            <w:noWrap/>
            <w:tcMar>
              <w:left w:w="28" w:type="dxa"/>
              <w:right w:w="28" w:type="dxa"/>
            </w:tcMar>
            <w:vAlign w:val="center"/>
            <w:hideMark/>
          </w:tcPr>
          <w:p w14:paraId="5BEDB082" w14:textId="77777777" w:rsidR="009E57CE" w:rsidRPr="000123BE" w:rsidRDefault="009E57CE" w:rsidP="005353DF">
            <w:pPr>
              <w:keepNext/>
              <w:spacing w:before="40" w:after="40"/>
              <w:ind w:left="0"/>
              <w:jc w:val="center"/>
              <w:rPr>
                <w:rFonts w:ascii="Arial Narrow" w:hAnsi="Arial Narrow"/>
                <w:sz w:val="18"/>
                <w:szCs w:val="18"/>
              </w:rPr>
            </w:pPr>
            <w:r w:rsidRPr="000123BE">
              <w:rPr>
                <w:rFonts w:ascii="Arial Narrow" w:hAnsi="Arial Narrow"/>
                <w:sz w:val="18"/>
                <w:szCs w:val="18"/>
              </w:rPr>
              <w:t> </w:t>
            </w:r>
          </w:p>
        </w:tc>
        <w:tc>
          <w:tcPr>
            <w:tcW w:w="1441" w:type="dxa"/>
            <w:shd w:val="clear" w:color="auto" w:fill="auto"/>
            <w:noWrap/>
            <w:tcMar>
              <w:left w:w="28" w:type="dxa"/>
              <w:right w:w="28" w:type="dxa"/>
            </w:tcMar>
            <w:vAlign w:val="center"/>
            <w:hideMark/>
          </w:tcPr>
          <w:p w14:paraId="48995660" w14:textId="77777777" w:rsidR="009E57CE" w:rsidRPr="000123BE" w:rsidRDefault="009E57CE" w:rsidP="005353DF">
            <w:pPr>
              <w:keepNext/>
              <w:spacing w:before="40" w:after="40"/>
              <w:ind w:left="0"/>
              <w:jc w:val="center"/>
              <w:rPr>
                <w:rFonts w:ascii="Arial Narrow" w:hAnsi="Arial Narrow"/>
                <w:sz w:val="18"/>
                <w:szCs w:val="18"/>
              </w:rPr>
            </w:pPr>
            <w:r w:rsidRPr="000123BE">
              <w:rPr>
                <w:rFonts w:ascii="Arial Narrow" w:hAnsi="Arial Narrow"/>
                <w:sz w:val="18"/>
                <w:szCs w:val="18"/>
              </w:rPr>
              <w:t>16.4</w:t>
            </w:r>
          </w:p>
        </w:tc>
        <w:tc>
          <w:tcPr>
            <w:tcW w:w="1111" w:type="dxa"/>
            <w:shd w:val="clear" w:color="auto" w:fill="auto"/>
            <w:noWrap/>
            <w:tcMar>
              <w:left w:w="28" w:type="dxa"/>
              <w:right w:w="28" w:type="dxa"/>
            </w:tcMar>
            <w:vAlign w:val="center"/>
            <w:hideMark/>
          </w:tcPr>
          <w:p w14:paraId="3D937C70" w14:textId="77777777" w:rsidR="009E57CE" w:rsidRPr="000123BE" w:rsidRDefault="009E57CE" w:rsidP="005353DF">
            <w:pPr>
              <w:keepNext/>
              <w:spacing w:before="40" w:after="40"/>
              <w:ind w:left="0"/>
              <w:jc w:val="center"/>
              <w:rPr>
                <w:rFonts w:ascii="Arial Narrow" w:hAnsi="Arial Narrow"/>
                <w:sz w:val="18"/>
                <w:szCs w:val="18"/>
              </w:rPr>
            </w:pPr>
            <w:r w:rsidRPr="000123BE">
              <w:rPr>
                <w:rFonts w:ascii="Arial Narrow" w:hAnsi="Arial Narrow"/>
                <w:sz w:val="18"/>
                <w:szCs w:val="18"/>
              </w:rPr>
              <w:t> </w:t>
            </w:r>
          </w:p>
        </w:tc>
      </w:tr>
      <w:tr w:rsidR="009E57CE" w:rsidRPr="009E6742" w14:paraId="1A4CFEDE" w14:textId="77777777" w:rsidTr="005353DF">
        <w:trPr>
          <w:cantSplit/>
          <w:trHeight w:val="284"/>
        </w:trPr>
        <w:tc>
          <w:tcPr>
            <w:tcW w:w="1985" w:type="dxa"/>
            <w:shd w:val="clear" w:color="auto" w:fill="auto"/>
            <w:noWrap/>
            <w:tcMar>
              <w:left w:w="28" w:type="dxa"/>
              <w:right w:w="28" w:type="dxa"/>
            </w:tcMar>
            <w:vAlign w:val="center"/>
            <w:hideMark/>
          </w:tcPr>
          <w:p w14:paraId="1A15850C" w14:textId="77777777" w:rsidR="009E57CE" w:rsidRPr="000123BE" w:rsidRDefault="009E57CE" w:rsidP="005353DF">
            <w:pPr>
              <w:widowControl w:val="0"/>
              <w:spacing w:before="40" w:after="40"/>
              <w:ind w:left="0"/>
              <w:rPr>
                <w:rFonts w:ascii="Arial Narrow" w:hAnsi="Arial Narrow"/>
                <w:sz w:val="18"/>
                <w:szCs w:val="18"/>
              </w:rPr>
            </w:pPr>
            <w:r w:rsidRPr="000123BE">
              <w:rPr>
                <w:rFonts w:ascii="Arial Narrow" w:hAnsi="Arial Narrow"/>
                <w:sz w:val="18"/>
                <w:szCs w:val="18"/>
              </w:rPr>
              <w:t>Gastrointestinal disorder</w:t>
            </w:r>
          </w:p>
        </w:tc>
        <w:tc>
          <w:tcPr>
            <w:tcW w:w="1275" w:type="dxa"/>
            <w:shd w:val="clear" w:color="auto" w:fill="auto"/>
            <w:noWrap/>
            <w:tcMar>
              <w:left w:w="28" w:type="dxa"/>
              <w:right w:w="28" w:type="dxa"/>
            </w:tcMar>
            <w:vAlign w:val="center"/>
            <w:hideMark/>
          </w:tcPr>
          <w:p w14:paraId="469DCDD7"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-0.065</w:t>
            </w:r>
          </w:p>
        </w:tc>
        <w:tc>
          <w:tcPr>
            <w:tcW w:w="1276" w:type="dxa"/>
            <w:tcMar>
              <w:left w:w="28" w:type="dxa"/>
              <w:right w:w="28" w:type="dxa"/>
            </w:tcMar>
            <w:vAlign w:val="center"/>
          </w:tcPr>
          <w:p w14:paraId="2EEE7897" w14:textId="77777777" w:rsidR="009E57CE" w:rsidRPr="00D26370" w:rsidRDefault="009E57CE" w:rsidP="005353DF">
            <w:pPr>
              <w:widowControl w:val="0"/>
              <w:spacing w:before="40" w:after="40"/>
              <w:ind w:left="0"/>
              <w:jc w:val="center"/>
              <w:rPr>
                <w:rFonts w:ascii="Arial Narrow" w:hAnsi="Arial Narrow"/>
                <w:sz w:val="18"/>
                <w:szCs w:val="18"/>
              </w:rPr>
            </w:pPr>
            <w:r w:rsidRPr="00D26370">
              <w:rPr>
                <w:rFonts w:ascii="Arial Narrow" w:hAnsi="Arial Narrow"/>
                <w:sz w:val="18"/>
                <w:szCs w:val="18"/>
              </w:rPr>
              <w:t xml:space="preserve"> $78 </w:t>
            </w:r>
          </w:p>
        </w:tc>
        <w:tc>
          <w:tcPr>
            <w:tcW w:w="1275" w:type="dxa"/>
            <w:shd w:val="clear" w:color="auto" w:fill="auto"/>
            <w:noWrap/>
            <w:tcMar>
              <w:left w:w="28" w:type="dxa"/>
              <w:right w:w="28" w:type="dxa"/>
            </w:tcMar>
            <w:vAlign w:val="center"/>
            <w:hideMark/>
          </w:tcPr>
          <w:p w14:paraId="0D94F746"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c>
          <w:tcPr>
            <w:tcW w:w="1441" w:type="dxa"/>
            <w:shd w:val="clear" w:color="auto" w:fill="auto"/>
            <w:noWrap/>
            <w:tcMar>
              <w:left w:w="28" w:type="dxa"/>
              <w:right w:w="28" w:type="dxa"/>
            </w:tcMar>
            <w:vAlign w:val="center"/>
            <w:hideMark/>
          </w:tcPr>
          <w:p w14:paraId="26DEF7AC"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24.1</w:t>
            </w:r>
          </w:p>
        </w:tc>
        <w:tc>
          <w:tcPr>
            <w:tcW w:w="1111" w:type="dxa"/>
            <w:shd w:val="clear" w:color="auto" w:fill="auto"/>
            <w:noWrap/>
            <w:tcMar>
              <w:left w:w="28" w:type="dxa"/>
              <w:right w:w="28" w:type="dxa"/>
            </w:tcMar>
            <w:vAlign w:val="center"/>
            <w:hideMark/>
          </w:tcPr>
          <w:p w14:paraId="52D040A6"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r>
      <w:tr w:rsidR="009E57CE" w:rsidRPr="009E6742" w14:paraId="3BCDC2AD" w14:textId="77777777" w:rsidTr="005353DF">
        <w:trPr>
          <w:cantSplit/>
          <w:trHeight w:val="284"/>
        </w:trPr>
        <w:tc>
          <w:tcPr>
            <w:tcW w:w="1985" w:type="dxa"/>
            <w:shd w:val="clear" w:color="auto" w:fill="auto"/>
            <w:noWrap/>
            <w:tcMar>
              <w:left w:w="28" w:type="dxa"/>
              <w:right w:w="28" w:type="dxa"/>
            </w:tcMar>
            <w:vAlign w:val="center"/>
            <w:hideMark/>
          </w:tcPr>
          <w:p w14:paraId="16DA46F8" w14:textId="77777777" w:rsidR="009E57CE" w:rsidRPr="000123BE" w:rsidRDefault="009E57CE" w:rsidP="005353DF">
            <w:pPr>
              <w:widowControl w:val="0"/>
              <w:spacing w:before="40" w:after="40"/>
              <w:ind w:left="0"/>
              <w:rPr>
                <w:rFonts w:ascii="Arial Narrow" w:hAnsi="Arial Narrow"/>
                <w:sz w:val="18"/>
                <w:szCs w:val="18"/>
              </w:rPr>
            </w:pPr>
            <w:r w:rsidRPr="000123BE">
              <w:rPr>
                <w:rFonts w:ascii="Arial Narrow" w:hAnsi="Arial Narrow"/>
                <w:sz w:val="18"/>
                <w:szCs w:val="18"/>
              </w:rPr>
              <w:t>Headache</w:t>
            </w:r>
          </w:p>
        </w:tc>
        <w:tc>
          <w:tcPr>
            <w:tcW w:w="1275" w:type="dxa"/>
            <w:shd w:val="clear" w:color="auto" w:fill="auto"/>
            <w:noWrap/>
            <w:tcMar>
              <w:left w:w="28" w:type="dxa"/>
              <w:right w:w="28" w:type="dxa"/>
            </w:tcMar>
            <w:vAlign w:val="center"/>
            <w:hideMark/>
          </w:tcPr>
          <w:p w14:paraId="4EE15409"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-0.115</w:t>
            </w:r>
          </w:p>
        </w:tc>
        <w:tc>
          <w:tcPr>
            <w:tcW w:w="1276" w:type="dxa"/>
            <w:tcMar>
              <w:left w:w="28" w:type="dxa"/>
              <w:right w:w="28" w:type="dxa"/>
            </w:tcMar>
            <w:vAlign w:val="center"/>
          </w:tcPr>
          <w:p w14:paraId="3561C319" w14:textId="77777777" w:rsidR="009E57CE" w:rsidRPr="00D26370" w:rsidRDefault="009E57CE" w:rsidP="005353DF">
            <w:pPr>
              <w:widowControl w:val="0"/>
              <w:spacing w:before="40" w:after="40"/>
              <w:ind w:left="0"/>
              <w:jc w:val="center"/>
              <w:rPr>
                <w:rFonts w:ascii="Arial Narrow" w:hAnsi="Arial Narrow"/>
                <w:sz w:val="18"/>
                <w:szCs w:val="18"/>
              </w:rPr>
            </w:pPr>
            <w:r w:rsidRPr="00D26370">
              <w:rPr>
                <w:rFonts w:ascii="Arial Narrow" w:hAnsi="Arial Narrow"/>
                <w:sz w:val="18"/>
                <w:szCs w:val="18"/>
              </w:rPr>
              <w:t xml:space="preserve"> $114 </w:t>
            </w:r>
          </w:p>
        </w:tc>
        <w:tc>
          <w:tcPr>
            <w:tcW w:w="1275" w:type="dxa"/>
            <w:shd w:val="clear" w:color="auto" w:fill="auto"/>
            <w:noWrap/>
            <w:tcMar>
              <w:left w:w="28" w:type="dxa"/>
              <w:right w:w="28" w:type="dxa"/>
            </w:tcMar>
            <w:vAlign w:val="center"/>
            <w:hideMark/>
          </w:tcPr>
          <w:p w14:paraId="02866A28"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48.4%</w:t>
            </w:r>
          </w:p>
        </w:tc>
        <w:tc>
          <w:tcPr>
            <w:tcW w:w="1441" w:type="dxa"/>
            <w:shd w:val="clear" w:color="auto" w:fill="auto"/>
            <w:noWrap/>
            <w:tcMar>
              <w:left w:w="28" w:type="dxa"/>
              <w:right w:w="28" w:type="dxa"/>
            </w:tcMar>
            <w:vAlign w:val="center"/>
            <w:hideMark/>
          </w:tcPr>
          <w:p w14:paraId="79A32C5C"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5.3</w:t>
            </w:r>
          </w:p>
        </w:tc>
        <w:tc>
          <w:tcPr>
            <w:tcW w:w="1111" w:type="dxa"/>
            <w:shd w:val="clear" w:color="auto" w:fill="auto"/>
            <w:noWrap/>
            <w:tcMar>
              <w:left w:w="28" w:type="dxa"/>
              <w:right w:w="28" w:type="dxa"/>
            </w:tcMar>
            <w:vAlign w:val="center"/>
            <w:hideMark/>
          </w:tcPr>
          <w:p w14:paraId="03E9CF99" w14:textId="77777777" w:rsidR="009E57CE" w:rsidRPr="000123BE" w:rsidRDefault="009E57CE" w:rsidP="005353DF">
            <w:pPr>
              <w:widowControl w:val="0"/>
              <w:spacing w:before="40" w:after="40"/>
              <w:ind w:left="0"/>
              <w:jc w:val="center"/>
              <w:rPr>
                <w:rFonts w:ascii="Arial Narrow" w:hAnsi="Arial Narrow"/>
                <w:sz w:val="18"/>
                <w:szCs w:val="18"/>
              </w:rPr>
            </w:pPr>
            <w:r>
              <w:rPr>
                <w:rFonts w:ascii="Arial Narrow" w:hAnsi="Arial Narrow"/>
                <w:sz w:val="18"/>
                <w:szCs w:val="18"/>
              </w:rPr>
              <w:t>18</w:t>
            </w:r>
            <w:r w:rsidRPr="000123BE">
              <w:rPr>
                <w:rFonts w:ascii="Arial Narrow" w:hAnsi="Arial Narrow"/>
                <w:sz w:val="18"/>
                <w:szCs w:val="18"/>
              </w:rPr>
              <w:t>%</w:t>
            </w:r>
          </w:p>
        </w:tc>
      </w:tr>
      <w:tr w:rsidR="009E57CE" w:rsidRPr="009E6742" w14:paraId="2E8E7D7A" w14:textId="77777777" w:rsidTr="005353DF">
        <w:trPr>
          <w:cantSplit/>
          <w:trHeight w:val="284"/>
        </w:trPr>
        <w:tc>
          <w:tcPr>
            <w:tcW w:w="1985" w:type="dxa"/>
            <w:shd w:val="clear" w:color="auto" w:fill="auto"/>
            <w:noWrap/>
            <w:tcMar>
              <w:left w:w="28" w:type="dxa"/>
              <w:right w:w="28" w:type="dxa"/>
            </w:tcMar>
            <w:vAlign w:val="center"/>
            <w:hideMark/>
          </w:tcPr>
          <w:p w14:paraId="5FB23320" w14:textId="77777777" w:rsidR="009E57CE" w:rsidRPr="000123BE" w:rsidRDefault="009E57CE" w:rsidP="005353DF">
            <w:pPr>
              <w:widowControl w:val="0"/>
              <w:spacing w:before="40" w:after="40"/>
              <w:ind w:left="0"/>
              <w:rPr>
                <w:rFonts w:ascii="Arial Narrow" w:hAnsi="Arial Narrow"/>
                <w:sz w:val="18"/>
                <w:szCs w:val="18"/>
              </w:rPr>
            </w:pPr>
            <w:r w:rsidRPr="000123BE">
              <w:rPr>
                <w:rFonts w:ascii="Arial Narrow" w:hAnsi="Arial Narrow"/>
                <w:sz w:val="18"/>
                <w:szCs w:val="18"/>
              </w:rPr>
              <w:t>Sedation/drowsiness</w:t>
            </w:r>
          </w:p>
        </w:tc>
        <w:tc>
          <w:tcPr>
            <w:tcW w:w="1275" w:type="dxa"/>
            <w:shd w:val="clear" w:color="auto" w:fill="auto"/>
            <w:noWrap/>
            <w:tcMar>
              <w:left w:w="28" w:type="dxa"/>
              <w:right w:w="28" w:type="dxa"/>
            </w:tcMar>
            <w:vAlign w:val="center"/>
            <w:hideMark/>
          </w:tcPr>
          <w:p w14:paraId="52602904"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-0.085</w:t>
            </w:r>
          </w:p>
        </w:tc>
        <w:tc>
          <w:tcPr>
            <w:tcW w:w="1276" w:type="dxa"/>
            <w:tcMar>
              <w:left w:w="28" w:type="dxa"/>
              <w:right w:w="28" w:type="dxa"/>
            </w:tcMar>
            <w:vAlign w:val="center"/>
          </w:tcPr>
          <w:p w14:paraId="4E1268DA" w14:textId="77777777" w:rsidR="009E57CE" w:rsidRPr="00D26370" w:rsidRDefault="009E57CE" w:rsidP="005353DF">
            <w:pPr>
              <w:widowControl w:val="0"/>
              <w:spacing w:before="40" w:after="40"/>
              <w:ind w:left="0"/>
              <w:jc w:val="center"/>
              <w:rPr>
                <w:rFonts w:ascii="Arial Narrow" w:hAnsi="Arial Narrow"/>
                <w:sz w:val="18"/>
                <w:szCs w:val="18"/>
              </w:rPr>
            </w:pPr>
            <w:r w:rsidRPr="00D26370">
              <w:rPr>
                <w:rFonts w:ascii="Arial Narrow" w:hAnsi="Arial Narrow"/>
                <w:sz w:val="18"/>
                <w:szCs w:val="18"/>
              </w:rPr>
              <w:t xml:space="preserve"> $</w:t>
            </w:r>
            <w:r>
              <w:rPr>
                <w:rFonts w:ascii="Arial Narrow" w:hAnsi="Arial Narrow"/>
                <w:sz w:val="18"/>
                <w:szCs w:val="18"/>
              </w:rPr>
              <w:t>0</w:t>
            </w:r>
            <w:r w:rsidRPr="00D26370">
              <w:rPr>
                <w:rFonts w:ascii="Arial Narrow" w:hAnsi="Arial Narrow"/>
                <w:sz w:val="18"/>
                <w:szCs w:val="18"/>
              </w:rPr>
              <w:t xml:space="preserve">   </w:t>
            </w:r>
          </w:p>
        </w:tc>
        <w:tc>
          <w:tcPr>
            <w:tcW w:w="1275" w:type="dxa"/>
            <w:shd w:val="clear" w:color="auto" w:fill="auto"/>
            <w:noWrap/>
            <w:tcMar>
              <w:left w:w="28" w:type="dxa"/>
              <w:right w:w="28" w:type="dxa"/>
            </w:tcMar>
            <w:vAlign w:val="center"/>
            <w:hideMark/>
          </w:tcPr>
          <w:p w14:paraId="334D4A57"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c>
          <w:tcPr>
            <w:tcW w:w="1441" w:type="dxa"/>
            <w:shd w:val="clear" w:color="auto" w:fill="auto"/>
            <w:noWrap/>
            <w:tcMar>
              <w:left w:w="28" w:type="dxa"/>
              <w:right w:w="28" w:type="dxa"/>
            </w:tcMar>
            <w:vAlign w:val="center"/>
            <w:hideMark/>
          </w:tcPr>
          <w:p w14:paraId="3729A899"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9.5</w:t>
            </w:r>
          </w:p>
        </w:tc>
        <w:tc>
          <w:tcPr>
            <w:tcW w:w="1111" w:type="dxa"/>
            <w:shd w:val="clear" w:color="auto" w:fill="auto"/>
            <w:noWrap/>
            <w:tcMar>
              <w:left w:w="28" w:type="dxa"/>
              <w:right w:w="28" w:type="dxa"/>
            </w:tcMar>
            <w:vAlign w:val="center"/>
            <w:hideMark/>
          </w:tcPr>
          <w:p w14:paraId="5435C9E0" w14:textId="77777777" w:rsidR="009E57CE" w:rsidRPr="000123BE" w:rsidRDefault="009E57CE" w:rsidP="005353DF">
            <w:pPr>
              <w:widowControl w:val="0"/>
              <w:spacing w:before="40" w:after="40"/>
              <w:ind w:left="0"/>
              <w:jc w:val="center"/>
              <w:rPr>
                <w:rFonts w:ascii="Arial Narrow" w:hAnsi="Arial Narrow"/>
                <w:sz w:val="18"/>
                <w:szCs w:val="18"/>
              </w:rPr>
            </w:pPr>
            <w:r>
              <w:rPr>
                <w:rFonts w:ascii="Arial Narrow" w:hAnsi="Arial Narrow"/>
                <w:sz w:val="18"/>
                <w:szCs w:val="18"/>
              </w:rPr>
              <w:t>18</w:t>
            </w:r>
            <w:r w:rsidRPr="000123BE">
              <w:rPr>
                <w:rFonts w:ascii="Arial Narrow" w:hAnsi="Arial Narrow"/>
                <w:sz w:val="18"/>
                <w:szCs w:val="18"/>
              </w:rPr>
              <w:t>%</w:t>
            </w:r>
          </w:p>
        </w:tc>
      </w:tr>
      <w:tr w:rsidR="009E57CE" w:rsidRPr="009E6742" w14:paraId="7096EA4E" w14:textId="77777777" w:rsidTr="005353DF">
        <w:trPr>
          <w:cantSplit/>
          <w:trHeight w:val="284"/>
        </w:trPr>
        <w:tc>
          <w:tcPr>
            <w:tcW w:w="1985" w:type="dxa"/>
            <w:shd w:val="clear" w:color="auto" w:fill="auto"/>
            <w:noWrap/>
            <w:tcMar>
              <w:left w:w="28" w:type="dxa"/>
              <w:right w:w="28" w:type="dxa"/>
            </w:tcMar>
            <w:vAlign w:val="center"/>
            <w:hideMark/>
          </w:tcPr>
          <w:p w14:paraId="2B7088C3" w14:textId="77777777" w:rsidR="009E57CE" w:rsidRPr="000123BE" w:rsidRDefault="009E57CE" w:rsidP="005353DF">
            <w:pPr>
              <w:widowControl w:val="0"/>
              <w:spacing w:before="40" w:after="40"/>
              <w:ind w:left="0"/>
              <w:rPr>
                <w:rFonts w:ascii="Arial Narrow" w:hAnsi="Arial Narrow"/>
                <w:sz w:val="18"/>
                <w:szCs w:val="18"/>
              </w:rPr>
            </w:pPr>
            <w:r w:rsidRPr="000123BE">
              <w:rPr>
                <w:rFonts w:ascii="Arial Narrow" w:hAnsi="Arial Narrow"/>
                <w:sz w:val="18"/>
                <w:szCs w:val="18"/>
              </w:rPr>
              <w:lastRenderedPageBreak/>
              <w:t>Sexual dysfunctional</w:t>
            </w:r>
          </w:p>
        </w:tc>
        <w:tc>
          <w:tcPr>
            <w:tcW w:w="1275" w:type="dxa"/>
            <w:shd w:val="clear" w:color="auto" w:fill="auto"/>
            <w:noWrap/>
            <w:tcMar>
              <w:left w:w="28" w:type="dxa"/>
              <w:right w:w="28" w:type="dxa"/>
            </w:tcMar>
            <w:vAlign w:val="center"/>
            <w:hideMark/>
          </w:tcPr>
          <w:p w14:paraId="173B79B5"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-0.049</w:t>
            </w:r>
          </w:p>
        </w:tc>
        <w:tc>
          <w:tcPr>
            <w:tcW w:w="1276" w:type="dxa"/>
            <w:tcMar>
              <w:left w:w="28" w:type="dxa"/>
              <w:right w:w="28" w:type="dxa"/>
            </w:tcMar>
            <w:vAlign w:val="center"/>
          </w:tcPr>
          <w:p w14:paraId="5FB8D890" w14:textId="77777777" w:rsidR="009E57CE" w:rsidRPr="00D26370" w:rsidRDefault="009E57CE" w:rsidP="005353DF">
            <w:pPr>
              <w:widowControl w:val="0"/>
              <w:spacing w:before="40" w:after="40"/>
              <w:ind w:left="0"/>
              <w:jc w:val="center"/>
              <w:rPr>
                <w:rFonts w:ascii="Arial Narrow" w:hAnsi="Arial Narrow"/>
                <w:sz w:val="18"/>
                <w:szCs w:val="18"/>
              </w:rPr>
            </w:pPr>
            <w:r w:rsidRPr="00D26370">
              <w:rPr>
                <w:rFonts w:ascii="Arial Narrow" w:hAnsi="Arial Narrow"/>
                <w:sz w:val="18"/>
                <w:szCs w:val="18"/>
              </w:rPr>
              <w:t xml:space="preserve"> $107 </w:t>
            </w:r>
          </w:p>
        </w:tc>
        <w:tc>
          <w:tcPr>
            <w:tcW w:w="1275" w:type="dxa"/>
            <w:shd w:val="clear" w:color="auto" w:fill="auto"/>
            <w:noWrap/>
            <w:tcMar>
              <w:left w:w="28" w:type="dxa"/>
              <w:right w:w="28" w:type="dxa"/>
            </w:tcMar>
            <w:vAlign w:val="center"/>
            <w:hideMark/>
          </w:tcPr>
          <w:p w14:paraId="5158F4E9"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c>
          <w:tcPr>
            <w:tcW w:w="1441" w:type="dxa"/>
            <w:shd w:val="clear" w:color="auto" w:fill="auto"/>
            <w:noWrap/>
            <w:tcMar>
              <w:left w:w="28" w:type="dxa"/>
              <w:right w:w="28" w:type="dxa"/>
            </w:tcMar>
            <w:vAlign w:val="center"/>
            <w:hideMark/>
          </w:tcPr>
          <w:p w14:paraId="5CB87E5C"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11.2</w:t>
            </w:r>
          </w:p>
        </w:tc>
        <w:tc>
          <w:tcPr>
            <w:tcW w:w="1111" w:type="dxa"/>
            <w:shd w:val="clear" w:color="auto" w:fill="auto"/>
            <w:noWrap/>
            <w:tcMar>
              <w:left w:w="28" w:type="dxa"/>
              <w:right w:w="28" w:type="dxa"/>
            </w:tcMar>
            <w:vAlign w:val="center"/>
            <w:hideMark/>
          </w:tcPr>
          <w:p w14:paraId="2CD488F5"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r>
      <w:tr w:rsidR="009E57CE" w:rsidRPr="009E6742" w14:paraId="0DAD307B" w14:textId="77777777" w:rsidTr="005353DF">
        <w:trPr>
          <w:cantSplit/>
          <w:trHeight w:val="284"/>
        </w:trPr>
        <w:tc>
          <w:tcPr>
            <w:tcW w:w="1985" w:type="dxa"/>
            <w:shd w:val="clear" w:color="auto" w:fill="auto"/>
            <w:noWrap/>
            <w:tcMar>
              <w:left w:w="28" w:type="dxa"/>
              <w:right w:w="28" w:type="dxa"/>
            </w:tcMar>
            <w:vAlign w:val="center"/>
            <w:hideMark/>
          </w:tcPr>
          <w:p w14:paraId="68A7A13A" w14:textId="77777777" w:rsidR="009E57CE" w:rsidRPr="000123BE" w:rsidRDefault="009E57CE" w:rsidP="005353DF">
            <w:pPr>
              <w:widowControl w:val="0"/>
              <w:spacing w:before="40" w:after="40"/>
              <w:ind w:left="0"/>
              <w:rPr>
                <w:rFonts w:ascii="Arial Narrow" w:hAnsi="Arial Narrow"/>
                <w:sz w:val="18"/>
                <w:szCs w:val="18"/>
              </w:rPr>
            </w:pPr>
            <w:r w:rsidRPr="000123BE">
              <w:rPr>
                <w:rFonts w:ascii="Arial Narrow" w:hAnsi="Arial Narrow"/>
                <w:sz w:val="18"/>
                <w:szCs w:val="18"/>
              </w:rPr>
              <w:t>Others</w:t>
            </w:r>
          </w:p>
        </w:tc>
        <w:tc>
          <w:tcPr>
            <w:tcW w:w="1275" w:type="dxa"/>
            <w:shd w:val="clear" w:color="auto" w:fill="auto"/>
            <w:noWrap/>
            <w:tcMar>
              <w:left w:w="28" w:type="dxa"/>
              <w:right w:w="28" w:type="dxa"/>
            </w:tcMar>
            <w:vAlign w:val="center"/>
            <w:hideMark/>
          </w:tcPr>
          <w:p w14:paraId="01E127AF"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-0.085</w:t>
            </w:r>
          </w:p>
        </w:tc>
        <w:tc>
          <w:tcPr>
            <w:tcW w:w="1276" w:type="dxa"/>
            <w:tcMar>
              <w:left w:w="28" w:type="dxa"/>
              <w:right w:w="28" w:type="dxa"/>
            </w:tcMar>
            <w:vAlign w:val="center"/>
          </w:tcPr>
          <w:p w14:paraId="35BC107C" w14:textId="77777777" w:rsidR="009E57CE" w:rsidRPr="00D26370" w:rsidRDefault="009E57CE" w:rsidP="005353DF">
            <w:pPr>
              <w:widowControl w:val="0"/>
              <w:spacing w:before="40" w:after="40"/>
              <w:ind w:left="0"/>
              <w:jc w:val="center"/>
              <w:rPr>
                <w:rFonts w:ascii="Arial Narrow" w:hAnsi="Arial Narrow"/>
                <w:sz w:val="18"/>
                <w:szCs w:val="18"/>
              </w:rPr>
            </w:pPr>
            <w:r w:rsidRPr="00D26370">
              <w:rPr>
                <w:rFonts w:ascii="Arial Narrow" w:hAnsi="Arial Narrow"/>
                <w:sz w:val="18"/>
                <w:szCs w:val="18"/>
              </w:rPr>
              <w:t xml:space="preserve"> $100 </w:t>
            </w:r>
          </w:p>
        </w:tc>
        <w:tc>
          <w:tcPr>
            <w:tcW w:w="1275" w:type="dxa"/>
            <w:shd w:val="clear" w:color="auto" w:fill="auto"/>
            <w:noWrap/>
            <w:tcMar>
              <w:left w:w="28" w:type="dxa"/>
              <w:right w:w="28" w:type="dxa"/>
            </w:tcMar>
            <w:vAlign w:val="center"/>
            <w:hideMark/>
          </w:tcPr>
          <w:p w14:paraId="0AD12976"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24.4%</w:t>
            </w:r>
          </w:p>
        </w:tc>
        <w:tc>
          <w:tcPr>
            <w:tcW w:w="1441" w:type="dxa"/>
            <w:shd w:val="clear" w:color="auto" w:fill="auto"/>
            <w:noWrap/>
            <w:tcMar>
              <w:left w:w="28" w:type="dxa"/>
              <w:right w:w="28" w:type="dxa"/>
            </w:tcMar>
            <w:vAlign w:val="center"/>
            <w:hideMark/>
          </w:tcPr>
          <w:p w14:paraId="15305821"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33.5</w:t>
            </w:r>
          </w:p>
        </w:tc>
        <w:tc>
          <w:tcPr>
            <w:tcW w:w="1111" w:type="dxa"/>
            <w:shd w:val="clear" w:color="auto" w:fill="auto"/>
            <w:noWrap/>
            <w:tcMar>
              <w:left w:w="28" w:type="dxa"/>
              <w:right w:w="28" w:type="dxa"/>
            </w:tcMar>
            <w:vAlign w:val="center"/>
            <w:hideMark/>
          </w:tcPr>
          <w:p w14:paraId="7AB1AFAB"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r>
      <w:tr w:rsidR="009E57CE" w:rsidRPr="009E6742" w14:paraId="3A896592" w14:textId="77777777" w:rsidTr="005353DF">
        <w:trPr>
          <w:cantSplit/>
          <w:trHeight w:val="284"/>
        </w:trPr>
        <w:tc>
          <w:tcPr>
            <w:tcW w:w="1985" w:type="dxa"/>
            <w:shd w:val="clear" w:color="auto" w:fill="auto"/>
            <w:noWrap/>
            <w:tcMar>
              <w:left w:w="28" w:type="dxa"/>
              <w:right w:w="28" w:type="dxa"/>
            </w:tcMar>
            <w:vAlign w:val="center"/>
            <w:hideMark/>
          </w:tcPr>
          <w:p w14:paraId="48298DD0" w14:textId="77777777" w:rsidR="009E57CE" w:rsidRPr="000123BE" w:rsidRDefault="009E57CE" w:rsidP="005353DF">
            <w:pPr>
              <w:widowControl w:val="0"/>
              <w:spacing w:before="40" w:after="40"/>
              <w:ind w:left="0"/>
              <w:rPr>
                <w:rFonts w:ascii="Arial Narrow" w:hAnsi="Arial Narrow"/>
                <w:sz w:val="18"/>
                <w:szCs w:val="18"/>
              </w:rPr>
            </w:pPr>
            <w:r w:rsidRPr="000123BE">
              <w:rPr>
                <w:rFonts w:ascii="Arial Narrow" w:hAnsi="Arial Narrow"/>
                <w:sz w:val="18"/>
                <w:szCs w:val="18"/>
              </w:rPr>
              <w:t xml:space="preserve">Mild pain </w:t>
            </w:r>
          </w:p>
        </w:tc>
        <w:tc>
          <w:tcPr>
            <w:tcW w:w="1275" w:type="dxa"/>
            <w:shd w:val="clear" w:color="auto" w:fill="auto"/>
            <w:noWrap/>
            <w:tcMar>
              <w:left w:w="28" w:type="dxa"/>
              <w:right w:w="28" w:type="dxa"/>
            </w:tcMar>
            <w:vAlign w:val="center"/>
            <w:hideMark/>
          </w:tcPr>
          <w:p w14:paraId="7D324810"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-0.085</w:t>
            </w:r>
          </w:p>
        </w:tc>
        <w:tc>
          <w:tcPr>
            <w:tcW w:w="1276" w:type="dxa"/>
            <w:tcMar>
              <w:left w:w="28" w:type="dxa"/>
              <w:right w:w="28" w:type="dxa"/>
            </w:tcMar>
            <w:vAlign w:val="center"/>
          </w:tcPr>
          <w:p w14:paraId="0D039669" w14:textId="77777777" w:rsidR="009E57CE" w:rsidRPr="00D26370" w:rsidRDefault="009E57CE" w:rsidP="005353DF">
            <w:pPr>
              <w:widowControl w:val="0"/>
              <w:spacing w:before="40" w:after="40"/>
              <w:ind w:left="0"/>
              <w:jc w:val="center"/>
              <w:rPr>
                <w:rFonts w:ascii="Arial Narrow" w:hAnsi="Arial Narrow"/>
                <w:sz w:val="18"/>
                <w:szCs w:val="18"/>
              </w:rPr>
            </w:pPr>
            <w:r w:rsidRPr="00D26370">
              <w:rPr>
                <w:rFonts w:ascii="Arial Narrow" w:hAnsi="Arial Narrow"/>
                <w:sz w:val="18"/>
                <w:szCs w:val="18"/>
              </w:rPr>
              <w:t xml:space="preserve"> $10 </w:t>
            </w:r>
          </w:p>
        </w:tc>
        <w:tc>
          <w:tcPr>
            <w:tcW w:w="1275" w:type="dxa"/>
            <w:shd w:val="clear" w:color="auto" w:fill="auto"/>
            <w:noWrap/>
            <w:tcMar>
              <w:left w:w="28" w:type="dxa"/>
              <w:right w:w="28" w:type="dxa"/>
            </w:tcMar>
            <w:vAlign w:val="center"/>
            <w:hideMark/>
          </w:tcPr>
          <w:p w14:paraId="5DADF2B7"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23.6%</w:t>
            </w:r>
          </w:p>
        </w:tc>
        <w:tc>
          <w:tcPr>
            <w:tcW w:w="1441" w:type="dxa"/>
            <w:shd w:val="clear" w:color="auto" w:fill="auto"/>
            <w:noWrap/>
            <w:tcMar>
              <w:left w:w="28" w:type="dxa"/>
              <w:right w:w="28" w:type="dxa"/>
            </w:tcMar>
            <w:vAlign w:val="center"/>
            <w:hideMark/>
          </w:tcPr>
          <w:p w14:paraId="754535A3"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c>
          <w:tcPr>
            <w:tcW w:w="1111" w:type="dxa"/>
            <w:shd w:val="clear" w:color="auto" w:fill="auto"/>
            <w:noWrap/>
            <w:tcMar>
              <w:left w:w="28" w:type="dxa"/>
              <w:right w:w="28" w:type="dxa"/>
            </w:tcMar>
            <w:vAlign w:val="center"/>
            <w:hideMark/>
          </w:tcPr>
          <w:p w14:paraId="7B27A247" w14:textId="77777777" w:rsidR="009E57CE" w:rsidRPr="000123BE" w:rsidRDefault="009E57CE" w:rsidP="005353DF">
            <w:pPr>
              <w:widowControl w:val="0"/>
              <w:spacing w:before="40" w:after="40"/>
              <w:ind w:left="0"/>
              <w:jc w:val="center"/>
              <w:rPr>
                <w:rFonts w:ascii="Arial Narrow" w:hAnsi="Arial Narrow"/>
                <w:sz w:val="18"/>
                <w:szCs w:val="18"/>
              </w:rPr>
            </w:pPr>
            <w:r>
              <w:rPr>
                <w:rFonts w:ascii="Arial Narrow" w:hAnsi="Arial Narrow"/>
                <w:sz w:val="18"/>
                <w:szCs w:val="18"/>
              </w:rPr>
              <w:t>18</w:t>
            </w:r>
            <w:r w:rsidRPr="000123BE">
              <w:rPr>
                <w:rFonts w:ascii="Arial Narrow" w:hAnsi="Arial Narrow"/>
                <w:sz w:val="18"/>
                <w:szCs w:val="18"/>
              </w:rPr>
              <w:t>%</w:t>
            </w:r>
          </w:p>
        </w:tc>
      </w:tr>
      <w:tr w:rsidR="009E57CE" w:rsidRPr="009E6742" w14:paraId="2D477333" w14:textId="77777777" w:rsidTr="005353DF">
        <w:trPr>
          <w:cantSplit/>
          <w:trHeight w:val="284"/>
        </w:trPr>
        <w:tc>
          <w:tcPr>
            <w:tcW w:w="1985" w:type="dxa"/>
            <w:shd w:val="clear" w:color="auto" w:fill="auto"/>
            <w:noWrap/>
            <w:tcMar>
              <w:left w:w="28" w:type="dxa"/>
              <w:right w:w="28" w:type="dxa"/>
            </w:tcMar>
            <w:vAlign w:val="center"/>
            <w:hideMark/>
          </w:tcPr>
          <w:p w14:paraId="440A5B8B" w14:textId="77777777" w:rsidR="009E57CE" w:rsidRPr="000123BE" w:rsidRDefault="009E57CE" w:rsidP="005353DF">
            <w:pPr>
              <w:widowControl w:val="0"/>
              <w:spacing w:before="40" w:after="40"/>
              <w:ind w:left="0"/>
              <w:rPr>
                <w:rFonts w:ascii="Arial Narrow" w:hAnsi="Arial Narrow"/>
                <w:sz w:val="18"/>
                <w:szCs w:val="18"/>
              </w:rPr>
            </w:pPr>
            <w:r w:rsidRPr="000123BE">
              <w:rPr>
                <w:rFonts w:ascii="Arial Narrow" w:hAnsi="Arial Narrow"/>
                <w:sz w:val="18"/>
                <w:szCs w:val="18"/>
              </w:rPr>
              <w:t>Mania</w:t>
            </w:r>
          </w:p>
        </w:tc>
        <w:tc>
          <w:tcPr>
            <w:tcW w:w="1275" w:type="dxa"/>
            <w:shd w:val="clear" w:color="auto" w:fill="auto"/>
            <w:noWrap/>
            <w:tcMar>
              <w:left w:w="28" w:type="dxa"/>
              <w:right w:w="28" w:type="dxa"/>
            </w:tcMar>
            <w:vAlign w:val="center"/>
            <w:hideMark/>
          </w:tcPr>
          <w:p w14:paraId="5C66C49A"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-0.115</w:t>
            </w:r>
          </w:p>
        </w:tc>
        <w:tc>
          <w:tcPr>
            <w:tcW w:w="1276" w:type="dxa"/>
            <w:tcMar>
              <w:left w:w="28" w:type="dxa"/>
              <w:right w:w="28" w:type="dxa"/>
            </w:tcMar>
            <w:vAlign w:val="center"/>
          </w:tcPr>
          <w:p w14:paraId="6D91315E" w14:textId="77777777" w:rsidR="009E57CE" w:rsidRPr="00D26370" w:rsidRDefault="009E57CE" w:rsidP="005353DF">
            <w:pPr>
              <w:widowControl w:val="0"/>
              <w:spacing w:before="40" w:after="40"/>
              <w:ind w:left="0"/>
              <w:jc w:val="center"/>
              <w:rPr>
                <w:rFonts w:ascii="Arial Narrow" w:hAnsi="Arial Narrow"/>
                <w:sz w:val="18"/>
                <w:szCs w:val="18"/>
              </w:rPr>
            </w:pPr>
            <w:r w:rsidRPr="00D26370">
              <w:rPr>
                <w:rFonts w:ascii="Arial Narrow" w:hAnsi="Arial Narrow"/>
                <w:sz w:val="18"/>
                <w:szCs w:val="18"/>
              </w:rPr>
              <w:t xml:space="preserve"> $</w:t>
            </w:r>
            <w:r>
              <w:rPr>
                <w:rFonts w:ascii="Arial Narrow" w:hAnsi="Arial Narrow"/>
                <w:sz w:val="18"/>
                <w:szCs w:val="18"/>
              </w:rPr>
              <w:t>0</w:t>
            </w:r>
            <w:r w:rsidRPr="00D26370">
              <w:rPr>
                <w:rFonts w:ascii="Arial Narrow" w:hAnsi="Arial Narrow"/>
                <w:sz w:val="18"/>
                <w:szCs w:val="18"/>
              </w:rPr>
              <w:t xml:space="preserve">   </w:t>
            </w:r>
          </w:p>
        </w:tc>
        <w:tc>
          <w:tcPr>
            <w:tcW w:w="1275" w:type="dxa"/>
            <w:shd w:val="clear" w:color="auto" w:fill="auto"/>
            <w:noWrap/>
            <w:tcMar>
              <w:left w:w="28" w:type="dxa"/>
              <w:right w:w="28" w:type="dxa"/>
            </w:tcMar>
            <w:vAlign w:val="center"/>
            <w:hideMark/>
          </w:tcPr>
          <w:p w14:paraId="761FD2CA"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4.3%</w:t>
            </w:r>
          </w:p>
        </w:tc>
        <w:tc>
          <w:tcPr>
            <w:tcW w:w="1441" w:type="dxa"/>
            <w:shd w:val="clear" w:color="auto" w:fill="auto"/>
            <w:noWrap/>
            <w:tcMar>
              <w:left w:w="28" w:type="dxa"/>
              <w:right w:w="28" w:type="dxa"/>
            </w:tcMar>
            <w:vAlign w:val="center"/>
            <w:hideMark/>
          </w:tcPr>
          <w:p w14:paraId="3DE68219"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c>
          <w:tcPr>
            <w:tcW w:w="1111" w:type="dxa"/>
            <w:shd w:val="clear" w:color="auto" w:fill="auto"/>
            <w:noWrap/>
            <w:tcMar>
              <w:left w:w="28" w:type="dxa"/>
              <w:right w:w="28" w:type="dxa"/>
            </w:tcMar>
            <w:vAlign w:val="center"/>
            <w:hideMark/>
          </w:tcPr>
          <w:p w14:paraId="4F19D684"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r>
      <w:tr w:rsidR="009E57CE" w:rsidRPr="009E6742" w14:paraId="70B6A124" w14:textId="77777777" w:rsidTr="005353DF">
        <w:trPr>
          <w:cantSplit/>
          <w:trHeight w:val="284"/>
        </w:trPr>
        <w:tc>
          <w:tcPr>
            <w:tcW w:w="1985" w:type="dxa"/>
            <w:shd w:val="clear" w:color="auto" w:fill="auto"/>
            <w:noWrap/>
            <w:tcMar>
              <w:left w:w="28" w:type="dxa"/>
              <w:right w:w="28" w:type="dxa"/>
            </w:tcMar>
            <w:vAlign w:val="center"/>
            <w:hideMark/>
          </w:tcPr>
          <w:p w14:paraId="291B3EED" w14:textId="77777777" w:rsidR="009E57CE" w:rsidRPr="000123BE" w:rsidRDefault="009E57CE" w:rsidP="005353DF">
            <w:pPr>
              <w:widowControl w:val="0"/>
              <w:spacing w:before="40" w:after="40"/>
              <w:ind w:left="0"/>
              <w:rPr>
                <w:rFonts w:ascii="Arial Narrow" w:hAnsi="Arial Narrow"/>
                <w:sz w:val="18"/>
                <w:szCs w:val="18"/>
              </w:rPr>
            </w:pPr>
            <w:r w:rsidRPr="000123BE">
              <w:rPr>
                <w:rFonts w:ascii="Arial Narrow" w:hAnsi="Arial Narrow"/>
                <w:sz w:val="18"/>
                <w:szCs w:val="18"/>
              </w:rPr>
              <w:t>Memory loss</w:t>
            </w:r>
          </w:p>
        </w:tc>
        <w:tc>
          <w:tcPr>
            <w:tcW w:w="1275" w:type="dxa"/>
            <w:shd w:val="clear" w:color="auto" w:fill="auto"/>
            <w:noWrap/>
            <w:tcMar>
              <w:left w:w="28" w:type="dxa"/>
              <w:right w:w="28" w:type="dxa"/>
            </w:tcMar>
            <w:vAlign w:val="center"/>
            <w:hideMark/>
          </w:tcPr>
          <w:p w14:paraId="1549C3F2"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-0.115</w:t>
            </w:r>
          </w:p>
        </w:tc>
        <w:tc>
          <w:tcPr>
            <w:tcW w:w="1276" w:type="dxa"/>
            <w:tcMar>
              <w:left w:w="28" w:type="dxa"/>
              <w:right w:w="28" w:type="dxa"/>
            </w:tcMar>
            <w:vAlign w:val="center"/>
          </w:tcPr>
          <w:p w14:paraId="49EED715" w14:textId="77777777" w:rsidR="009E57CE" w:rsidRPr="00D26370" w:rsidRDefault="009E57CE" w:rsidP="005353DF">
            <w:pPr>
              <w:widowControl w:val="0"/>
              <w:spacing w:before="40" w:after="40"/>
              <w:ind w:left="0"/>
              <w:jc w:val="center"/>
              <w:rPr>
                <w:rFonts w:ascii="Arial Narrow" w:hAnsi="Arial Narrow"/>
                <w:sz w:val="18"/>
                <w:szCs w:val="18"/>
              </w:rPr>
            </w:pPr>
            <w:r w:rsidRPr="00D26370">
              <w:rPr>
                <w:rFonts w:ascii="Arial Narrow" w:hAnsi="Arial Narrow"/>
                <w:sz w:val="18"/>
                <w:szCs w:val="18"/>
              </w:rPr>
              <w:t xml:space="preserve"> $109 </w:t>
            </w:r>
          </w:p>
        </w:tc>
        <w:tc>
          <w:tcPr>
            <w:tcW w:w="1275" w:type="dxa"/>
            <w:shd w:val="clear" w:color="auto" w:fill="auto"/>
            <w:noWrap/>
            <w:tcMar>
              <w:left w:w="28" w:type="dxa"/>
              <w:right w:w="28" w:type="dxa"/>
            </w:tcMar>
            <w:vAlign w:val="center"/>
            <w:hideMark/>
          </w:tcPr>
          <w:p w14:paraId="6ABE14FF"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c>
          <w:tcPr>
            <w:tcW w:w="1441" w:type="dxa"/>
            <w:shd w:val="clear" w:color="auto" w:fill="auto"/>
            <w:noWrap/>
            <w:tcMar>
              <w:left w:w="28" w:type="dxa"/>
              <w:right w:w="28" w:type="dxa"/>
            </w:tcMar>
            <w:vAlign w:val="center"/>
            <w:hideMark/>
          </w:tcPr>
          <w:p w14:paraId="193868B6" w14:textId="77777777" w:rsidR="009E57CE" w:rsidRPr="000123BE" w:rsidRDefault="009E57CE" w:rsidP="005353DF">
            <w:pPr>
              <w:widowControl w:val="0"/>
              <w:spacing w:before="40" w:after="40"/>
              <w:ind w:left="0"/>
              <w:jc w:val="center"/>
              <w:rPr>
                <w:rFonts w:ascii="Arial Narrow" w:hAnsi="Arial Narrow"/>
                <w:sz w:val="18"/>
                <w:szCs w:val="18"/>
              </w:rPr>
            </w:pPr>
            <w:r w:rsidRPr="000123BE">
              <w:rPr>
                <w:rFonts w:ascii="Arial Narrow" w:hAnsi="Arial Narrow"/>
                <w:sz w:val="18"/>
                <w:szCs w:val="18"/>
              </w:rPr>
              <w:t> </w:t>
            </w:r>
          </w:p>
        </w:tc>
        <w:tc>
          <w:tcPr>
            <w:tcW w:w="1111" w:type="dxa"/>
            <w:shd w:val="clear" w:color="auto" w:fill="auto"/>
            <w:noWrap/>
            <w:tcMar>
              <w:left w:w="28" w:type="dxa"/>
              <w:right w:w="28" w:type="dxa"/>
            </w:tcMar>
            <w:vAlign w:val="center"/>
            <w:hideMark/>
          </w:tcPr>
          <w:p w14:paraId="2415BB14" w14:textId="77777777" w:rsidR="009E57CE" w:rsidRPr="000123BE" w:rsidRDefault="009E57CE" w:rsidP="005353DF">
            <w:pPr>
              <w:widowControl w:val="0"/>
              <w:spacing w:before="40" w:after="40"/>
              <w:ind w:left="0"/>
              <w:jc w:val="center"/>
              <w:rPr>
                <w:rFonts w:ascii="Arial Narrow" w:hAnsi="Arial Narrow"/>
                <w:sz w:val="18"/>
                <w:szCs w:val="18"/>
              </w:rPr>
            </w:pPr>
            <w:r>
              <w:rPr>
                <w:rFonts w:ascii="Arial Narrow" w:hAnsi="Arial Narrow"/>
                <w:sz w:val="18"/>
                <w:szCs w:val="18"/>
              </w:rPr>
              <w:t>46</w:t>
            </w:r>
            <w:r w:rsidRPr="000123BE">
              <w:rPr>
                <w:rFonts w:ascii="Arial Narrow" w:hAnsi="Arial Narrow"/>
                <w:sz w:val="18"/>
                <w:szCs w:val="18"/>
              </w:rPr>
              <w:t>%</w:t>
            </w:r>
          </w:p>
        </w:tc>
      </w:tr>
      <w:tr w:rsidR="009E57CE" w:rsidRPr="009E6742" w14:paraId="7A24326B" w14:textId="77777777" w:rsidTr="005353DF">
        <w:trPr>
          <w:cantSplit/>
          <w:trHeight w:val="284"/>
        </w:trPr>
        <w:tc>
          <w:tcPr>
            <w:tcW w:w="1985" w:type="dxa"/>
            <w:shd w:val="clear" w:color="auto" w:fill="auto"/>
            <w:noWrap/>
            <w:tcMar>
              <w:left w:w="28" w:type="dxa"/>
              <w:right w:w="28" w:type="dxa"/>
            </w:tcMar>
            <w:vAlign w:val="center"/>
            <w:hideMark/>
          </w:tcPr>
          <w:p w14:paraId="2950C8BB" w14:textId="77777777" w:rsidR="009E57CE" w:rsidRPr="000123BE" w:rsidRDefault="009E57CE" w:rsidP="005353DF">
            <w:pPr>
              <w:widowControl w:val="0"/>
              <w:spacing w:before="40" w:after="40"/>
              <w:ind w:left="0"/>
              <w:rPr>
                <w:rFonts w:ascii="Arial Narrow" w:hAnsi="Arial Narrow"/>
                <w:b/>
                <w:bCs/>
                <w:sz w:val="18"/>
                <w:szCs w:val="18"/>
              </w:rPr>
            </w:pPr>
            <w:r w:rsidRPr="000123BE">
              <w:rPr>
                <w:rFonts w:ascii="Arial Narrow" w:hAnsi="Arial Narrow"/>
                <w:b/>
                <w:bCs/>
                <w:sz w:val="18"/>
                <w:szCs w:val="18"/>
              </w:rPr>
              <w:t xml:space="preserve">Weighted disutility </w:t>
            </w:r>
          </w:p>
        </w:tc>
        <w:tc>
          <w:tcPr>
            <w:tcW w:w="1275" w:type="dxa"/>
            <w:shd w:val="clear" w:color="auto" w:fill="auto"/>
            <w:noWrap/>
            <w:tcMar>
              <w:left w:w="28" w:type="dxa"/>
              <w:right w:w="28" w:type="dxa"/>
            </w:tcMar>
            <w:vAlign w:val="center"/>
            <w:hideMark/>
          </w:tcPr>
          <w:p w14:paraId="1B318215" w14:textId="77777777" w:rsidR="009E57CE" w:rsidRPr="000123BE" w:rsidRDefault="009E57CE" w:rsidP="005353DF">
            <w:pPr>
              <w:widowControl w:val="0"/>
              <w:spacing w:before="40" w:after="40"/>
              <w:ind w:left="0"/>
              <w:rPr>
                <w:rFonts w:ascii="Arial Narrow" w:hAnsi="Arial Narrow"/>
                <w:sz w:val="18"/>
                <w:szCs w:val="18"/>
              </w:rPr>
            </w:pPr>
            <w:r w:rsidRPr="000123BE">
              <w:rPr>
                <w:rFonts w:ascii="Arial Narrow" w:hAnsi="Arial Narrow"/>
                <w:sz w:val="18"/>
                <w:szCs w:val="18"/>
              </w:rPr>
              <w:t> </w:t>
            </w:r>
          </w:p>
        </w:tc>
        <w:tc>
          <w:tcPr>
            <w:tcW w:w="1276" w:type="dxa"/>
            <w:tcMar>
              <w:left w:w="28" w:type="dxa"/>
              <w:right w:w="28" w:type="dxa"/>
            </w:tcMar>
            <w:vAlign w:val="center"/>
          </w:tcPr>
          <w:p w14:paraId="5558126E" w14:textId="77777777" w:rsidR="009E57CE" w:rsidRPr="00D26370" w:rsidRDefault="009E57CE" w:rsidP="005353DF">
            <w:pPr>
              <w:widowControl w:val="0"/>
              <w:spacing w:before="40" w:after="40"/>
              <w:ind w:left="0"/>
              <w:jc w:val="center"/>
              <w:rPr>
                <w:rFonts w:ascii="Arial Narrow" w:hAnsi="Arial Narrow"/>
                <w:b/>
                <w:bCs/>
                <w:sz w:val="18"/>
                <w:szCs w:val="18"/>
              </w:rPr>
            </w:pPr>
          </w:p>
        </w:tc>
        <w:tc>
          <w:tcPr>
            <w:tcW w:w="1275" w:type="dxa"/>
            <w:shd w:val="clear" w:color="auto" w:fill="auto"/>
            <w:noWrap/>
            <w:tcMar>
              <w:left w:w="28" w:type="dxa"/>
              <w:right w:w="28" w:type="dxa"/>
            </w:tcMar>
            <w:vAlign w:val="center"/>
            <w:hideMark/>
          </w:tcPr>
          <w:p w14:paraId="2EC7E5A5" w14:textId="77777777" w:rsidR="009E57CE" w:rsidRPr="000123BE" w:rsidRDefault="009E57CE" w:rsidP="005353DF">
            <w:pPr>
              <w:widowControl w:val="0"/>
              <w:spacing w:before="40" w:after="40"/>
              <w:ind w:left="0"/>
              <w:jc w:val="center"/>
              <w:rPr>
                <w:rFonts w:ascii="Arial Narrow" w:hAnsi="Arial Narrow"/>
                <w:b/>
                <w:bCs/>
                <w:sz w:val="18"/>
                <w:szCs w:val="18"/>
              </w:rPr>
            </w:pPr>
            <w:r w:rsidRPr="000123BE">
              <w:rPr>
                <w:rFonts w:ascii="Arial Narrow" w:hAnsi="Arial Narrow"/>
                <w:b/>
                <w:bCs/>
                <w:sz w:val="18"/>
                <w:szCs w:val="18"/>
              </w:rPr>
              <w:t>-0.101</w:t>
            </w:r>
          </w:p>
        </w:tc>
        <w:tc>
          <w:tcPr>
            <w:tcW w:w="1441" w:type="dxa"/>
            <w:shd w:val="clear" w:color="auto" w:fill="auto"/>
            <w:noWrap/>
            <w:tcMar>
              <w:left w:w="28" w:type="dxa"/>
              <w:right w:w="28" w:type="dxa"/>
            </w:tcMar>
            <w:vAlign w:val="center"/>
            <w:hideMark/>
          </w:tcPr>
          <w:p w14:paraId="45C1C30F" w14:textId="77777777" w:rsidR="009E57CE" w:rsidRPr="000123BE" w:rsidRDefault="009E57CE" w:rsidP="005353DF">
            <w:pPr>
              <w:widowControl w:val="0"/>
              <w:spacing w:before="40" w:after="40"/>
              <w:ind w:left="0"/>
              <w:jc w:val="center"/>
              <w:rPr>
                <w:rFonts w:ascii="Arial Narrow" w:hAnsi="Arial Narrow"/>
                <w:b/>
                <w:bCs/>
                <w:sz w:val="18"/>
                <w:szCs w:val="18"/>
              </w:rPr>
            </w:pPr>
            <w:r w:rsidRPr="000123BE">
              <w:rPr>
                <w:rFonts w:ascii="Arial Narrow" w:hAnsi="Arial Narrow"/>
                <w:b/>
                <w:bCs/>
                <w:sz w:val="18"/>
                <w:szCs w:val="18"/>
              </w:rPr>
              <w:t>-0.066</w:t>
            </w:r>
          </w:p>
        </w:tc>
        <w:tc>
          <w:tcPr>
            <w:tcW w:w="1111" w:type="dxa"/>
            <w:shd w:val="clear" w:color="auto" w:fill="auto"/>
            <w:noWrap/>
            <w:tcMar>
              <w:left w:w="28" w:type="dxa"/>
              <w:right w:w="28" w:type="dxa"/>
            </w:tcMar>
            <w:vAlign w:val="center"/>
            <w:hideMark/>
          </w:tcPr>
          <w:p w14:paraId="3564E14E" w14:textId="77777777" w:rsidR="009E57CE" w:rsidRPr="000123BE" w:rsidRDefault="009E57CE" w:rsidP="005353DF">
            <w:pPr>
              <w:widowControl w:val="0"/>
              <w:spacing w:before="40" w:after="40"/>
              <w:ind w:left="0"/>
              <w:jc w:val="center"/>
              <w:rPr>
                <w:rFonts w:ascii="Arial Narrow" w:hAnsi="Arial Narrow"/>
                <w:b/>
                <w:bCs/>
                <w:sz w:val="18"/>
                <w:szCs w:val="18"/>
              </w:rPr>
            </w:pPr>
            <w:r w:rsidRPr="000123BE">
              <w:rPr>
                <w:rFonts w:ascii="Arial Narrow" w:hAnsi="Arial Narrow"/>
                <w:b/>
                <w:bCs/>
                <w:sz w:val="18"/>
                <w:szCs w:val="18"/>
              </w:rPr>
              <w:t>-0.100</w:t>
            </w:r>
          </w:p>
        </w:tc>
      </w:tr>
      <w:tr w:rsidR="009E57CE" w:rsidRPr="009E6742" w14:paraId="6CD10E4D" w14:textId="77777777" w:rsidTr="005353DF">
        <w:trPr>
          <w:cantSplit/>
          <w:trHeight w:val="284"/>
        </w:trPr>
        <w:tc>
          <w:tcPr>
            <w:tcW w:w="1985" w:type="dxa"/>
            <w:shd w:val="clear" w:color="auto" w:fill="auto"/>
            <w:noWrap/>
            <w:tcMar>
              <w:left w:w="28" w:type="dxa"/>
              <w:right w:w="28" w:type="dxa"/>
            </w:tcMar>
            <w:vAlign w:val="center"/>
            <w:hideMark/>
          </w:tcPr>
          <w:p w14:paraId="59AF1ED7" w14:textId="77777777" w:rsidR="009E57CE" w:rsidRPr="009E6742" w:rsidRDefault="009E57CE" w:rsidP="005353DF">
            <w:pPr>
              <w:keepNext/>
              <w:spacing w:before="40" w:after="40"/>
              <w:ind w:left="0"/>
              <w:rPr>
                <w:rFonts w:ascii="Arial Narrow" w:hAnsi="Arial Narrow"/>
                <w:b/>
                <w:bCs/>
                <w:color w:val="000000"/>
                <w:sz w:val="18"/>
                <w:szCs w:val="18"/>
              </w:rPr>
            </w:pPr>
            <w:r>
              <w:rPr>
                <w:rFonts w:ascii="Arial Narrow" w:hAnsi="Arial Narrow"/>
                <w:b/>
                <w:bCs/>
                <w:color w:val="000000"/>
                <w:sz w:val="18"/>
                <w:szCs w:val="18"/>
              </w:rPr>
              <w:t xml:space="preserve">Weighted </w:t>
            </w:r>
            <w:r w:rsidRPr="009E6742">
              <w:rPr>
                <w:rFonts w:ascii="Arial Narrow" w:hAnsi="Arial Narrow"/>
                <w:b/>
                <w:bCs/>
                <w:color w:val="000000"/>
                <w:sz w:val="18"/>
                <w:szCs w:val="18"/>
              </w:rPr>
              <w:t>cost</w:t>
            </w:r>
          </w:p>
        </w:tc>
        <w:tc>
          <w:tcPr>
            <w:tcW w:w="1275" w:type="dxa"/>
            <w:shd w:val="clear" w:color="auto" w:fill="auto"/>
            <w:noWrap/>
            <w:tcMar>
              <w:left w:w="28" w:type="dxa"/>
              <w:right w:w="28" w:type="dxa"/>
            </w:tcMar>
            <w:vAlign w:val="center"/>
            <w:hideMark/>
          </w:tcPr>
          <w:p w14:paraId="2E3F1492" w14:textId="77777777" w:rsidR="009E57CE" w:rsidRPr="009E6742" w:rsidRDefault="009E57CE" w:rsidP="005353DF">
            <w:pPr>
              <w:keepNext/>
              <w:spacing w:before="40" w:after="40"/>
              <w:ind w:left="0"/>
              <w:jc w:val="center"/>
              <w:rPr>
                <w:rFonts w:ascii="Arial Narrow" w:hAnsi="Arial Narrow"/>
                <w:color w:val="000000"/>
                <w:sz w:val="18"/>
                <w:szCs w:val="18"/>
              </w:rPr>
            </w:pPr>
            <w:r w:rsidRPr="009E6742">
              <w:rPr>
                <w:rFonts w:ascii="Arial Narrow" w:hAnsi="Arial Narrow"/>
                <w:color w:val="000000"/>
                <w:sz w:val="18"/>
                <w:szCs w:val="18"/>
              </w:rPr>
              <w:t> </w:t>
            </w:r>
          </w:p>
        </w:tc>
        <w:tc>
          <w:tcPr>
            <w:tcW w:w="1276" w:type="dxa"/>
            <w:tcMar>
              <w:left w:w="28" w:type="dxa"/>
              <w:right w:w="28" w:type="dxa"/>
            </w:tcMar>
            <w:vAlign w:val="center"/>
          </w:tcPr>
          <w:p w14:paraId="4504DF2F" w14:textId="77777777" w:rsidR="009E57CE" w:rsidRPr="00D26370" w:rsidRDefault="009E57CE" w:rsidP="005353DF">
            <w:pPr>
              <w:keepNext/>
              <w:spacing w:before="40" w:after="40"/>
              <w:ind w:left="0"/>
              <w:jc w:val="center"/>
              <w:rPr>
                <w:rFonts w:ascii="Arial Narrow" w:hAnsi="Arial Narrow"/>
                <w:b/>
                <w:bCs/>
                <w:sz w:val="18"/>
                <w:szCs w:val="18"/>
              </w:rPr>
            </w:pPr>
            <w:r w:rsidRPr="00D26370">
              <w:rPr>
                <w:rFonts w:ascii="Arial Narrow" w:hAnsi="Arial Narrow"/>
                <w:b/>
                <w:bCs/>
                <w:sz w:val="18"/>
                <w:szCs w:val="18"/>
              </w:rPr>
              <w:t> </w:t>
            </w:r>
          </w:p>
        </w:tc>
        <w:tc>
          <w:tcPr>
            <w:tcW w:w="1275" w:type="dxa"/>
            <w:shd w:val="clear" w:color="auto" w:fill="auto"/>
            <w:noWrap/>
            <w:tcMar>
              <w:left w:w="28" w:type="dxa"/>
              <w:right w:w="28" w:type="dxa"/>
            </w:tcMar>
            <w:vAlign w:val="center"/>
            <w:hideMark/>
          </w:tcPr>
          <w:p w14:paraId="66F2E61D" w14:textId="77777777" w:rsidR="009E57CE" w:rsidRPr="009E6742" w:rsidRDefault="009E57CE" w:rsidP="005353DF">
            <w:pPr>
              <w:keepNext/>
              <w:spacing w:before="40" w:after="40"/>
              <w:ind w:left="0"/>
              <w:jc w:val="center"/>
              <w:rPr>
                <w:rFonts w:ascii="Arial Narrow" w:hAnsi="Arial Narrow"/>
                <w:b/>
                <w:bCs/>
                <w:color w:val="000000"/>
                <w:sz w:val="18"/>
                <w:szCs w:val="18"/>
              </w:rPr>
            </w:pPr>
            <w:r w:rsidRPr="009E6742">
              <w:rPr>
                <w:rFonts w:ascii="Arial Narrow" w:hAnsi="Arial Narrow"/>
                <w:b/>
                <w:bCs/>
                <w:color w:val="000000"/>
                <w:sz w:val="18"/>
                <w:szCs w:val="18"/>
              </w:rPr>
              <w:t xml:space="preserve"> $</w:t>
            </w:r>
            <w:r>
              <w:rPr>
                <w:rFonts w:ascii="Arial Narrow" w:hAnsi="Arial Narrow"/>
                <w:b/>
                <w:bCs/>
                <w:color w:val="000000"/>
                <w:sz w:val="18"/>
                <w:szCs w:val="18"/>
              </w:rPr>
              <w:t>81</w:t>
            </w:r>
            <w:r w:rsidRPr="009E6742">
              <w:rPr>
                <w:rFonts w:ascii="Arial Narrow" w:hAnsi="Arial Narrow"/>
                <w:b/>
                <w:bCs/>
                <w:color w:val="000000"/>
                <w:sz w:val="18"/>
                <w:szCs w:val="18"/>
              </w:rPr>
              <w:t>.</w:t>
            </w:r>
            <w:r>
              <w:rPr>
                <w:rFonts w:ascii="Arial Narrow" w:hAnsi="Arial Narrow"/>
                <w:b/>
                <w:bCs/>
                <w:color w:val="000000"/>
                <w:sz w:val="18"/>
                <w:szCs w:val="18"/>
              </w:rPr>
              <w:t>79</w:t>
            </w:r>
            <w:r w:rsidRPr="009E6742">
              <w:rPr>
                <w:rFonts w:ascii="Arial Narrow" w:hAnsi="Arial Narrow"/>
                <w:b/>
                <w:bCs/>
                <w:color w:val="000000"/>
                <w:sz w:val="18"/>
                <w:szCs w:val="18"/>
              </w:rPr>
              <w:t xml:space="preserve"> </w:t>
            </w:r>
          </w:p>
        </w:tc>
        <w:tc>
          <w:tcPr>
            <w:tcW w:w="1441" w:type="dxa"/>
            <w:shd w:val="clear" w:color="auto" w:fill="auto"/>
            <w:noWrap/>
            <w:tcMar>
              <w:left w:w="28" w:type="dxa"/>
              <w:right w:w="28" w:type="dxa"/>
            </w:tcMar>
            <w:vAlign w:val="center"/>
            <w:hideMark/>
          </w:tcPr>
          <w:p w14:paraId="0F72D0C9" w14:textId="77777777" w:rsidR="009E57CE" w:rsidRPr="009E6742" w:rsidRDefault="009E57CE" w:rsidP="005353DF">
            <w:pPr>
              <w:keepNext/>
              <w:spacing w:before="40" w:after="40"/>
              <w:ind w:left="0"/>
              <w:jc w:val="center"/>
              <w:rPr>
                <w:rFonts w:ascii="Arial Narrow" w:hAnsi="Arial Narrow"/>
                <w:b/>
                <w:bCs/>
                <w:color w:val="000000"/>
                <w:sz w:val="18"/>
                <w:szCs w:val="18"/>
              </w:rPr>
            </w:pPr>
            <w:r w:rsidRPr="009E6742">
              <w:rPr>
                <w:rFonts w:ascii="Arial Narrow" w:hAnsi="Arial Narrow"/>
                <w:b/>
                <w:bCs/>
                <w:color w:val="000000"/>
                <w:sz w:val="18"/>
                <w:szCs w:val="18"/>
              </w:rPr>
              <w:t xml:space="preserve"> $</w:t>
            </w:r>
            <w:r>
              <w:rPr>
                <w:rFonts w:ascii="Arial Narrow" w:hAnsi="Arial Narrow"/>
                <w:b/>
                <w:bCs/>
                <w:color w:val="000000"/>
                <w:sz w:val="18"/>
                <w:szCs w:val="18"/>
              </w:rPr>
              <w:t>80.95</w:t>
            </w:r>
            <w:r w:rsidRPr="009E6742">
              <w:rPr>
                <w:rFonts w:ascii="Arial Narrow" w:hAnsi="Arial Narrow"/>
                <w:b/>
                <w:bCs/>
                <w:color w:val="000000"/>
                <w:sz w:val="18"/>
                <w:szCs w:val="18"/>
              </w:rPr>
              <w:t xml:space="preserve"> </w:t>
            </w:r>
          </w:p>
        </w:tc>
        <w:tc>
          <w:tcPr>
            <w:tcW w:w="1111" w:type="dxa"/>
            <w:shd w:val="clear" w:color="auto" w:fill="auto"/>
            <w:noWrap/>
            <w:tcMar>
              <w:left w:w="28" w:type="dxa"/>
              <w:right w:w="28" w:type="dxa"/>
            </w:tcMar>
            <w:vAlign w:val="center"/>
            <w:hideMark/>
          </w:tcPr>
          <w:p w14:paraId="42C0783A" w14:textId="77777777" w:rsidR="009E57CE" w:rsidRPr="009E6742" w:rsidRDefault="009E57CE" w:rsidP="005353DF">
            <w:pPr>
              <w:keepNext/>
              <w:spacing w:before="40" w:after="40"/>
              <w:ind w:left="0"/>
              <w:jc w:val="center"/>
              <w:rPr>
                <w:rFonts w:ascii="Arial Narrow" w:hAnsi="Arial Narrow"/>
                <w:b/>
                <w:bCs/>
                <w:color w:val="000000"/>
                <w:sz w:val="18"/>
                <w:szCs w:val="18"/>
              </w:rPr>
            </w:pPr>
            <w:r>
              <w:rPr>
                <w:rFonts w:ascii="Arial Narrow" w:hAnsi="Arial Narrow"/>
                <w:b/>
                <w:bCs/>
                <w:color w:val="000000"/>
                <w:sz w:val="18"/>
                <w:szCs w:val="18"/>
              </w:rPr>
              <w:t>$72.53</w:t>
            </w:r>
          </w:p>
        </w:tc>
      </w:tr>
    </w:tbl>
    <w:p w14:paraId="2B1E99E2" w14:textId="77777777" w:rsidR="009E57CE" w:rsidRDefault="009E57CE" w:rsidP="005353DF">
      <w:pPr>
        <w:keepNext/>
        <w:spacing w:before="40" w:after="40"/>
        <w:ind w:left="709"/>
        <w:jc w:val="both"/>
        <w:rPr>
          <w:rFonts w:ascii="Arial Narrow" w:hAnsi="Arial Narrow"/>
          <w:sz w:val="18"/>
          <w:szCs w:val="18"/>
        </w:rPr>
      </w:pPr>
      <w:proofErr w:type="gramStart"/>
      <w:r w:rsidRPr="009E6742">
        <w:rPr>
          <w:rFonts w:ascii="Arial Narrow" w:hAnsi="Arial Narrow"/>
          <w:sz w:val="18"/>
          <w:szCs w:val="18"/>
        </w:rPr>
        <w:t>a</w:t>
      </w:r>
      <w:proofErr w:type="gramEnd"/>
      <w:r w:rsidRPr="009E6742">
        <w:rPr>
          <w:rFonts w:ascii="Arial Narrow" w:hAnsi="Arial Narrow"/>
          <w:sz w:val="18"/>
          <w:szCs w:val="18"/>
        </w:rPr>
        <w:t xml:space="preserve"> </w:t>
      </w:r>
      <w:r>
        <w:rPr>
          <w:rFonts w:ascii="Arial Narrow" w:hAnsi="Arial Narrow"/>
          <w:sz w:val="18"/>
          <w:szCs w:val="18"/>
        </w:rPr>
        <w:t xml:space="preserve">Disutility values are sourced from Sullivan et al 2004 </w:t>
      </w:r>
    </w:p>
    <w:p w14:paraId="50023AF5" w14:textId="77777777" w:rsidR="009E57CE" w:rsidRDefault="009E57CE" w:rsidP="005353DF">
      <w:pPr>
        <w:keepNext/>
        <w:spacing w:before="40" w:after="40"/>
        <w:ind w:left="709"/>
        <w:jc w:val="both"/>
        <w:rPr>
          <w:rFonts w:ascii="Arial Narrow" w:hAnsi="Arial Narrow"/>
          <w:sz w:val="18"/>
          <w:szCs w:val="18"/>
        </w:rPr>
      </w:pPr>
      <w:proofErr w:type="gramStart"/>
      <w:r>
        <w:rPr>
          <w:rFonts w:ascii="Arial Narrow" w:hAnsi="Arial Narrow"/>
          <w:sz w:val="18"/>
          <w:szCs w:val="18"/>
        </w:rPr>
        <w:t>b</w:t>
      </w:r>
      <w:proofErr w:type="gramEnd"/>
      <w:r>
        <w:rPr>
          <w:rFonts w:ascii="Arial Narrow" w:hAnsi="Arial Narrow"/>
          <w:sz w:val="18"/>
          <w:szCs w:val="18"/>
        </w:rPr>
        <w:t xml:space="preserve"> Costs are sourced from Sullivan et al 2004, PBS and MBS online  </w:t>
      </w:r>
    </w:p>
    <w:p w14:paraId="009CAA44" w14:textId="77777777" w:rsidR="009E57CE" w:rsidRDefault="009E57CE" w:rsidP="005353DF">
      <w:pPr>
        <w:keepNext/>
        <w:spacing w:before="40" w:after="40"/>
        <w:ind w:left="709"/>
        <w:jc w:val="both"/>
        <w:rPr>
          <w:rFonts w:ascii="Arial Narrow" w:hAnsi="Arial Narrow"/>
          <w:sz w:val="18"/>
          <w:szCs w:val="18"/>
        </w:rPr>
      </w:pPr>
      <w:proofErr w:type="gramStart"/>
      <w:r>
        <w:rPr>
          <w:rFonts w:ascii="Arial Narrow" w:hAnsi="Arial Narrow"/>
          <w:sz w:val="18"/>
          <w:szCs w:val="18"/>
        </w:rPr>
        <w:t>c</w:t>
      </w:r>
      <w:proofErr w:type="gramEnd"/>
      <w:r>
        <w:rPr>
          <w:rFonts w:ascii="Arial Narrow" w:hAnsi="Arial Narrow"/>
          <w:sz w:val="18"/>
          <w:szCs w:val="18"/>
        </w:rPr>
        <w:t xml:space="preserve"> Adverse event rates associated with rTMS are sourced from </w:t>
      </w:r>
    </w:p>
    <w:p w14:paraId="153C9D57" w14:textId="77777777" w:rsidR="009E57CE" w:rsidRDefault="009E57CE" w:rsidP="005353DF">
      <w:pPr>
        <w:keepNext/>
        <w:spacing w:before="40" w:after="40"/>
        <w:ind w:left="709"/>
        <w:jc w:val="both"/>
        <w:rPr>
          <w:rFonts w:ascii="Arial Narrow" w:hAnsi="Arial Narrow"/>
          <w:sz w:val="18"/>
          <w:szCs w:val="18"/>
        </w:rPr>
      </w:pPr>
      <w:proofErr w:type="gramStart"/>
      <w:r>
        <w:rPr>
          <w:rFonts w:ascii="Arial Narrow" w:hAnsi="Arial Narrow"/>
          <w:sz w:val="18"/>
          <w:szCs w:val="18"/>
        </w:rPr>
        <w:t>d</w:t>
      </w:r>
      <w:proofErr w:type="gramEnd"/>
      <w:r w:rsidRPr="009E6742">
        <w:rPr>
          <w:rFonts w:ascii="Arial Narrow" w:hAnsi="Arial Narrow"/>
          <w:sz w:val="18"/>
          <w:szCs w:val="18"/>
        </w:rPr>
        <w:t xml:space="preserve"> </w:t>
      </w:r>
      <w:r>
        <w:rPr>
          <w:rFonts w:ascii="Arial Narrow" w:hAnsi="Arial Narrow"/>
          <w:sz w:val="18"/>
          <w:szCs w:val="18"/>
        </w:rPr>
        <w:t xml:space="preserve">Adverse event rates associated with antidepressant are sourced from </w:t>
      </w:r>
    </w:p>
    <w:p w14:paraId="516CD3A5" w14:textId="77777777" w:rsidR="009E57CE" w:rsidRDefault="009E57CE" w:rsidP="005353DF">
      <w:pPr>
        <w:keepNext/>
        <w:spacing w:before="40" w:after="40"/>
        <w:ind w:left="709"/>
        <w:jc w:val="both"/>
        <w:rPr>
          <w:rFonts w:ascii="Arial Narrow" w:hAnsi="Arial Narrow"/>
          <w:sz w:val="18"/>
          <w:szCs w:val="18"/>
        </w:rPr>
      </w:pPr>
      <w:proofErr w:type="gramStart"/>
      <w:r>
        <w:rPr>
          <w:rFonts w:ascii="Arial Narrow" w:hAnsi="Arial Narrow"/>
          <w:sz w:val="18"/>
          <w:szCs w:val="18"/>
        </w:rPr>
        <w:t>e</w:t>
      </w:r>
      <w:proofErr w:type="gramEnd"/>
      <w:r>
        <w:rPr>
          <w:rFonts w:ascii="Arial Narrow" w:hAnsi="Arial Narrow"/>
          <w:sz w:val="18"/>
          <w:szCs w:val="18"/>
        </w:rPr>
        <w:t xml:space="preserve"> There is no quantitative information on adverse event rates with ECT. Most trials reported no adverse event while observational studies discuss side effects without reporting rates. Here, the adverse event rates are assumed. </w:t>
      </w:r>
    </w:p>
    <w:p w14:paraId="57003965" w14:textId="77777777" w:rsidR="009E57CE" w:rsidRDefault="009E57CE" w:rsidP="009E57CE">
      <w:pPr>
        <w:spacing w:after="0"/>
        <w:ind w:left="0"/>
        <w:rPr>
          <w:rFonts w:ascii="Arial Narrow" w:hAnsi="Arial Narrow"/>
          <w:b/>
          <w:bCs/>
          <w:color w:val="000000"/>
          <w:sz w:val="18"/>
          <w:szCs w:val="18"/>
        </w:rPr>
      </w:pPr>
    </w:p>
    <w:p w14:paraId="3EA6AEC2" w14:textId="77777777" w:rsidR="009E57CE" w:rsidRPr="00CB5295" w:rsidRDefault="009E57CE" w:rsidP="005353DF">
      <w:pPr>
        <w:pStyle w:val="TableName"/>
        <w:jc w:val="both"/>
        <w:rPr>
          <w:b w:val="0"/>
        </w:rPr>
      </w:pPr>
      <w:bookmarkStart w:id="301" w:name="_Ref383698195"/>
      <w:bookmarkStart w:id="302" w:name="_Toc386017844"/>
      <w:bookmarkStart w:id="303" w:name="_Toc389140559"/>
      <w:bookmarkStart w:id="304" w:name="_Toc389142178"/>
      <w:bookmarkStart w:id="305" w:name="_Toc389143613"/>
      <w:r w:rsidRPr="00CB5295">
        <w:t xml:space="preserve">Table </w:t>
      </w:r>
      <w:r w:rsidR="004C1C27">
        <w:fldChar w:fldCharType="begin"/>
      </w:r>
      <w:r w:rsidR="004C1C27">
        <w:instrText xml:space="preserve"> SEQ Table \* ARABIC </w:instrText>
      </w:r>
      <w:r w:rsidR="004C1C27">
        <w:fldChar w:fldCharType="separate"/>
      </w:r>
      <w:r w:rsidR="004C1C27">
        <w:rPr>
          <w:noProof/>
        </w:rPr>
        <w:t>16</w:t>
      </w:r>
      <w:r w:rsidR="004C1C27">
        <w:rPr>
          <w:noProof/>
        </w:rPr>
        <w:fldChar w:fldCharType="end"/>
      </w:r>
      <w:bookmarkEnd w:id="301"/>
      <w:r>
        <w:t>: Summary of utility weights used in the economic model</w:t>
      </w:r>
      <w:bookmarkEnd w:id="302"/>
      <w:bookmarkEnd w:id="303"/>
      <w:bookmarkEnd w:id="304"/>
      <w:bookmarkEnd w:id="305"/>
      <w:r>
        <w:t xml:space="preserve"> </w:t>
      </w:r>
    </w:p>
    <w:tbl>
      <w:tblPr>
        <w:tblW w:w="8341"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Utility weights used in the economic model"/>
      </w:tblPr>
      <w:tblGrid>
        <w:gridCol w:w="2552"/>
        <w:gridCol w:w="2835"/>
        <w:gridCol w:w="850"/>
        <w:gridCol w:w="2104"/>
      </w:tblGrid>
      <w:tr w:rsidR="009E57CE" w:rsidRPr="008D2E70" w14:paraId="03B68461" w14:textId="77777777" w:rsidTr="005353DF">
        <w:trPr>
          <w:cantSplit/>
          <w:trHeight w:val="300"/>
          <w:tblHeader/>
        </w:trPr>
        <w:tc>
          <w:tcPr>
            <w:tcW w:w="2552" w:type="dxa"/>
            <w:shd w:val="clear" w:color="auto" w:fill="auto"/>
            <w:noWrap/>
            <w:tcMar>
              <w:left w:w="28" w:type="dxa"/>
              <w:right w:w="28" w:type="dxa"/>
            </w:tcMar>
            <w:vAlign w:val="center"/>
            <w:hideMark/>
          </w:tcPr>
          <w:p w14:paraId="1B8B24DE" w14:textId="77777777" w:rsidR="009E57CE" w:rsidRPr="008D2E70" w:rsidRDefault="009E57CE" w:rsidP="005353DF">
            <w:pPr>
              <w:keepNext/>
              <w:spacing w:before="40" w:after="40"/>
              <w:ind w:left="0"/>
              <w:jc w:val="both"/>
              <w:rPr>
                <w:rFonts w:ascii="Arial Narrow" w:hAnsi="Arial Narrow"/>
                <w:b/>
                <w:sz w:val="18"/>
                <w:szCs w:val="18"/>
              </w:rPr>
            </w:pPr>
            <w:r w:rsidRPr="008D2E70">
              <w:rPr>
                <w:rFonts w:ascii="Arial Narrow" w:hAnsi="Arial Narrow"/>
                <w:b/>
                <w:sz w:val="18"/>
                <w:szCs w:val="18"/>
              </w:rPr>
              <w:t>Health states</w:t>
            </w:r>
          </w:p>
        </w:tc>
        <w:tc>
          <w:tcPr>
            <w:tcW w:w="2835" w:type="dxa"/>
            <w:shd w:val="clear" w:color="auto" w:fill="auto"/>
            <w:noWrap/>
            <w:tcMar>
              <w:left w:w="28" w:type="dxa"/>
              <w:right w:w="28" w:type="dxa"/>
            </w:tcMar>
            <w:vAlign w:val="center"/>
            <w:hideMark/>
          </w:tcPr>
          <w:p w14:paraId="44120AB3" w14:textId="77777777" w:rsidR="009E57CE" w:rsidRPr="008D2E70" w:rsidRDefault="009E57CE" w:rsidP="005353DF">
            <w:pPr>
              <w:keepNext/>
              <w:spacing w:before="40" w:after="40"/>
              <w:ind w:left="0"/>
              <w:jc w:val="both"/>
              <w:rPr>
                <w:rFonts w:ascii="Arial Narrow" w:hAnsi="Arial Narrow"/>
                <w:b/>
                <w:sz w:val="18"/>
                <w:szCs w:val="18"/>
              </w:rPr>
            </w:pPr>
            <w:r w:rsidRPr="008D2E70">
              <w:rPr>
                <w:rFonts w:ascii="Arial Narrow" w:hAnsi="Arial Narrow"/>
                <w:b/>
                <w:sz w:val="18"/>
                <w:szCs w:val="18"/>
              </w:rPr>
              <w:t xml:space="preserve">Description </w:t>
            </w:r>
          </w:p>
        </w:tc>
        <w:tc>
          <w:tcPr>
            <w:tcW w:w="850" w:type="dxa"/>
            <w:shd w:val="clear" w:color="auto" w:fill="auto"/>
            <w:noWrap/>
            <w:tcMar>
              <w:left w:w="28" w:type="dxa"/>
              <w:right w:w="28" w:type="dxa"/>
            </w:tcMar>
            <w:vAlign w:val="center"/>
            <w:hideMark/>
          </w:tcPr>
          <w:p w14:paraId="03315BC2" w14:textId="77777777" w:rsidR="009E57CE" w:rsidRPr="008D2E70" w:rsidRDefault="009E57CE" w:rsidP="005353DF">
            <w:pPr>
              <w:keepNext/>
              <w:spacing w:before="40" w:after="40"/>
              <w:ind w:left="0"/>
              <w:jc w:val="center"/>
              <w:rPr>
                <w:rFonts w:ascii="Arial Narrow" w:hAnsi="Arial Narrow"/>
                <w:b/>
                <w:sz w:val="18"/>
                <w:szCs w:val="18"/>
              </w:rPr>
            </w:pPr>
            <w:r w:rsidRPr="008D2E70">
              <w:rPr>
                <w:rFonts w:ascii="Arial Narrow" w:hAnsi="Arial Narrow"/>
                <w:b/>
                <w:sz w:val="18"/>
                <w:szCs w:val="18"/>
              </w:rPr>
              <w:t>Utility</w:t>
            </w:r>
          </w:p>
        </w:tc>
        <w:tc>
          <w:tcPr>
            <w:tcW w:w="2104" w:type="dxa"/>
            <w:shd w:val="clear" w:color="auto" w:fill="auto"/>
            <w:tcMar>
              <w:left w:w="28" w:type="dxa"/>
              <w:right w:w="28" w:type="dxa"/>
            </w:tcMar>
            <w:vAlign w:val="center"/>
            <w:hideMark/>
          </w:tcPr>
          <w:p w14:paraId="1799D614" w14:textId="77777777" w:rsidR="009E57CE" w:rsidRPr="008D2E70" w:rsidRDefault="009E57CE" w:rsidP="005353DF">
            <w:pPr>
              <w:keepNext/>
              <w:spacing w:before="40" w:after="40"/>
              <w:ind w:left="0"/>
              <w:jc w:val="center"/>
              <w:rPr>
                <w:rFonts w:ascii="Arial Narrow" w:hAnsi="Arial Narrow"/>
                <w:b/>
                <w:sz w:val="18"/>
                <w:szCs w:val="18"/>
              </w:rPr>
            </w:pPr>
            <w:r w:rsidRPr="008D2E70">
              <w:rPr>
                <w:rFonts w:ascii="Arial Narrow" w:hAnsi="Arial Narrow"/>
                <w:b/>
                <w:sz w:val="18"/>
                <w:szCs w:val="18"/>
              </w:rPr>
              <w:t>Value ranges in the literature</w:t>
            </w:r>
          </w:p>
        </w:tc>
      </w:tr>
      <w:tr w:rsidR="009E57CE" w:rsidRPr="008D2E70" w14:paraId="32BC9CAC" w14:textId="77777777" w:rsidTr="005353DF">
        <w:trPr>
          <w:cantSplit/>
          <w:trHeight w:val="300"/>
        </w:trPr>
        <w:tc>
          <w:tcPr>
            <w:tcW w:w="2552" w:type="dxa"/>
            <w:shd w:val="clear" w:color="auto" w:fill="auto"/>
            <w:noWrap/>
            <w:tcMar>
              <w:left w:w="28" w:type="dxa"/>
              <w:right w:w="28" w:type="dxa"/>
            </w:tcMar>
            <w:vAlign w:val="center"/>
            <w:hideMark/>
          </w:tcPr>
          <w:p w14:paraId="0C012FD2" w14:textId="77777777" w:rsidR="009E57CE" w:rsidRPr="008D2E70" w:rsidRDefault="009E57CE" w:rsidP="005353DF">
            <w:pPr>
              <w:keepNext/>
              <w:spacing w:before="40" w:after="40"/>
              <w:ind w:left="0"/>
              <w:jc w:val="both"/>
              <w:rPr>
                <w:rFonts w:ascii="Arial Narrow" w:hAnsi="Arial Narrow"/>
                <w:sz w:val="18"/>
                <w:szCs w:val="18"/>
              </w:rPr>
            </w:pPr>
            <w:r w:rsidRPr="008D2E70">
              <w:rPr>
                <w:rFonts w:ascii="Arial Narrow" w:hAnsi="Arial Narrow"/>
                <w:sz w:val="18"/>
                <w:szCs w:val="18"/>
              </w:rPr>
              <w:t xml:space="preserve">Remission </w:t>
            </w:r>
          </w:p>
        </w:tc>
        <w:tc>
          <w:tcPr>
            <w:tcW w:w="2835" w:type="dxa"/>
            <w:shd w:val="clear" w:color="auto" w:fill="auto"/>
            <w:noWrap/>
            <w:tcMar>
              <w:left w:w="28" w:type="dxa"/>
              <w:right w:w="28" w:type="dxa"/>
            </w:tcMar>
            <w:vAlign w:val="center"/>
            <w:hideMark/>
          </w:tcPr>
          <w:p w14:paraId="24942FB5" w14:textId="77777777" w:rsidR="009E57CE" w:rsidRPr="008D2E70" w:rsidRDefault="009E57CE" w:rsidP="005353DF">
            <w:pPr>
              <w:keepNext/>
              <w:spacing w:before="40" w:after="40"/>
              <w:ind w:left="0"/>
              <w:rPr>
                <w:rFonts w:ascii="Arial Narrow" w:hAnsi="Arial Narrow"/>
                <w:sz w:val="18"/>
                <w:szCs w:val="18"/>
              </w:rPr>
            </w:pPr>
            <w:r w:rsidRPr="008D2E70">
              <w:rPr>
                <w:rFonts w:ascii="Arial Narrow" w:hAnsi="Arial Narrow"/>
                <w:sz w:val="18"/>
                <w:szCs w:val="18"/>
              </w:rPr>
              <w:t>HAMD 17 &lt; 8</w:t>
            </w:r>
          </w:p>
        </w:tc>
        <w:tc>
          <w:tcPr>
            <w:tcW w:w="850" w:type="dxa"/>
            <w:shd w:val="clear" w:color="auto" w:fill="auto"/>
            <w:noWrap/>
            <w:tcMar>
              <w:left w:w="28" w:type="dxa"/>
              <w:right w:w="28" w:type="dxa"/>
            </w:tcMar>
            <w:vAlign w:val="center"/>
            <w:hideMark/>
          </w:tcPr>
          <w:p w14:paraId="63F6F0DE" w14:textId="77777777" w:rsidR="009E57CE" w:rsidRPr="008D2E70" w:rsidRDefault="009E57CE" w:rsidP="005353DF">
            <w:pPr>
              <w:keepNext/>
              <w:spacing w:before="40" w:after="40"/>
              <w:ind w:left="0"/>
              <w:jc w:val="center"/>
              <w:rPr>
                <w:rFonts w:ascii="Arial Narrow" w:hAnsi="Arial Narrow"/>
                <w:sz w:val="18"/>
                <w:szCs w:val="18"/>
              </w:rPr>
            </w:pPr>
            <w:r w:rsidRPr="008D2E70">
              <w:rPr>
                <w:rFonts w:ascii="Arial Narrow" w:hAnsi="Arial Narrow"/>
                <w:sz w:val="18"/>
                <w:szCs w:val="18"/>
              </w:rPr>
              <w:t>0.860</w:t>
            </w:r>
          </w:p>
        </w:tc>
        <w:tc>
          <w:tcPr>
            <w:tcW w:w="2104" w:type="dxa"/>
            <w:shd w:val="clear" w:color="auto" w:fill="auto"/>
            <w:tcMar>
              <w:left w:w="28" w:type="dxa"/>
              <w:right w:w="28" w:type="dxa"/>
            </w:tcMar>
            <w:vAlign w:val="center"/>
            <w:hideMark/>
          </w:tcPr>
          <w:p w14:paraId="138364BF" w14:textId="77777777" w:rsidR="009E57CE" w:rsidRPr="008D2E70" w:rsidRDefault="009E57CE" w:rsidP="005353DF">
            <w:pPr>
              <w:keepNext/>
              <w:spacing w:before="40" w:after="40"/>
              <w:ind w:left="0"/>
              <w:jc w:val="center"/>
              <w:rPr>
                <w:rFonts w:ascii="Arial Narrow" w:hAnsi="Arial Narrow"/>
                <w:sz w:val="18"/>
                <w:szCs w:val="18"/>
              </w:rPr>
            </w:pPr>
            <w:r w:rsidRPr="008D2E70">
              <w:rPr>
                <w:rFonts w:ascii="Arial Narrow" w:hAnsi="Arial Narrow"/>
                <w:sz w:val="18"/>
                <w:szCs w:val="18"/>
              </w:rPr>
              <w:t xml:space="preserve">0.75 </w:t>
            </w:r>
            <w:r>
              <w:rPr>
                <w:rFonts w:ascii="Arial Narrow" w:hAnsi="Arial Narrow"/>
                <w:sz w:val="18"/>
                <w:szCs w:val="18"/>
              </w:rPr>
              <w:t>– 0.90</w:t>
            </w:r>
          </w:p>
        </w:tc>
      </w:tr>
      <w:tr w:rsidR="009E57CE" w:rsidRPr="008D2E70" w14:paraId="716F3053" w14:textId="77777777" w:rsidTr="005353DF">
        <w:trPr>
          <w:cantSplit/>
          <w:trHeight w:val="300"/>
        </w:trPr>
        <w:tc>
          <w:tcPr>
            <w:tcW w:w="2552" w:type="dxa"/>
            <w:shd w:val="clear" w:color="auto" w:fill="auto"/>
            <w:noWrap/>
            <w:tcMar>
              <w:left w:w="28" w:type="dxa"/>
              <w:right w:w="28" w:type="dxa"/>
            </w:tcMar>
            <w:vAlign w:val="center"/>
            <w:hideMark/>
          </w:tcPr>
          <w:p w14:paraId="08D34F8D" w14:textId="77777777" w:rsidR="009E57CE" w:rsidRPr="008D2E70" w:rsidRDefault="009E57CE" w:rsidP="005353DF">
            <w:pPr>
              <w:widowControl w:val="0"/>
              <w:spacing w:before="40" w:after="40"/>
              <w:ind w:left="0"/>
              <w:jc w:val="both"/>
              <w:rPr>
                <w:rFonts w:ascii="Arial Narrow" w:hAnsi="Arial Narrow"/>
                <w:sz w:val="18"/>
                <w:szCs w:val="18"/>
              </w:rPr>
            </w:pPr>
            <w:r w:rsidRPr="008D2E70">
              <w:rPr>
                <w:rFonts w:ascii="Arial Narrow" w:hAnsi="Arial Narrow"/>
                <w:sz w:val="18"/>
                <w:szCs w:val="18"/>
              </w:rPr>
              <w:t>Partial remission</w:t>
            </w:r>
          </w:p>
        </w:tc>
        <w:tc>
          <w:tcPr>
            <w:tcW w:w="2835" w:type="dxa"/>
            <w:shd w:val="clear" w:color="auto" w:fill="auto"/>
            <w:noWrap/>
            <w:tcMar>
              <w:left w:w="28" w:type="dxa"/>
              <w:right w:w="28" w:type="dxa"/>
            </w:tcMar>
            <w:vAlign w:val="center"/>
            <w:hideMark/>
          </w:tcPr>
          <w:p w14:paraId="2D9F7844" w14:textId="77777777" w:rsidR="009E57CE" w:rsidRPr="008D2E70" w:rsidRDefault="009E57CE" w:rsidP="005353DF">
            <w:pPr>
              <w:widowControl w:val="0"/>
              <w:spacing w:before="40" w:after="40"/>
              <w:ind w:left="0"/>
              <w:rPr>
                <w:rFonts w:ascii="Arial Narrow" w:hAnsi="Arial Narrow"/>
                <w:sz w:val="18"/>
                <w:szCs w:val="18"/>
              </w:rPr>
            </w:pPr>
            <w:r w:rsidRPr="008D2E70">
              <w:rPr>
                <w:rFonts w:ascii="Arial Narrow" w:hAnsi="Arial Narrow"/>
                <w:sz w:val="18"/>
                <w:szCs w:val="18"/>
              </w:rPr>
              <w:t>HAMD 17 &gt;=8 &amp; &lt;20 (mild/moderate)</w:t>
            </w:r>
          </w:p>
        </w:tc>
        <w:tc>
          <w:tcPr>
            <w:tcW w:w="850" w:type="dxa"/>
            <w:shd w:val="clear" w:color="auto" w:fill="auto"/>
            <w:noWrap/>
            <w:tcMar>
              <w:left w:w="28" w:type="dxa"/>
              <w:right w:w="28" w:type="dxa"/>
            </w:tcMar>
            <w:vAlign w:val="center"/>
            <w:hideMark/>
          </w:tcPr>
          <w:p w14:paraId="59D58A57" w14:textId="77777777" w:rsidR="009E57CE" w:rsidRPr="008D2E70" w:rsidRDefault="009E57CE" w:rsidP="005353DF">
            <w:pPr>
              <w:widowControl w:val="0"/>
              <w:spacing w:before="40" w:after="40"/>
              <w:ind w:left="0"/>
              <w:jc w:val="center"/>
              <w:rPr>
                <w:rFonts w:ascii="Arial Narrow" w:hAnsi="Arial Narrow"/>
                <w:sz w:val="18"/>
                <w:szCs w:val="18"/>
              </w:rPr>
            </w:pPr>
            <w:r w:rsidRPr="008D2E70">
              <w:rPr>
                <w:rFonts w:ascii="Arial Narrow" w:hAnsi="Arial Narrow"/>
                <w:sz w:val="18"/>
                <w:szCs w:val="18"/>
              </w:rPr>
              <w:t>0.7</w:t>
            </w:r>
            <w:r>
              <w:rPr>
                <w:rFonts w:ascii="Arial Narrow" w:hAnsi="Arial Narrow"/>
                <w:sz w:val="18"/>
                <w:szCs w:val="18"/>
              </w:rPr>
              <w:t>1</w:t>
            </w:r>
            <w:r w:rsidRPr="008D2E70">
              <w:rPr>
                <w:rFonts w:ascii="Arial Narrow" w:hAnsi="Arial Narrow"/>
                <w:sz w:val="18"/>
                <w:szCs w:val="18"/>
              </w:rPr>
              <w:t>0</w:t>
            </w:r>
          </w:p>
        </w:tc>
        <w:tc>
          <w:tcPr>
            <w:tcW w:w="2104" w:type="dxa"/>
            <w:shd w:val="clear" w:color="auto" w:fill="auto"/>
            <w:tcMar>
              <w:left w:w="28" w:type="dxa"/>
              <w:right w:w="28" w:type="dxa"/>
            </w:tcMar>
            <w:vAlign w:val="center"/>
            <w:hideMark/>
          </w:tcPr>
          <w:p w14:paraId="702909F0" w14:textId="77777777" w:rsidR="009E57CE" w:rsidRPr="008D2E70" w:rsidRDefault="009E57CE" w:rsidP="005353DF">
            <w:pPr>
              <w:widowControl w:val="0"/>
              <w:spacing w:before="40" w:after="40"/>
              <w:ind w:left="0"/>
              <w:jc w:val="center"/>
              <w:rPr>
                <w:rFonts w:ascii="Arial Narrow" w:hAnsi="Arial Narrow"/>
                <w:sz w:val="18"/>
                <w:szCs w:val="18"/>
              </w:rPr>
            </w:pPr>
            <w:r w:rsidRPr="008D2E70">
              <w:rPr>
                <w:rFonts w:ascii="Arial Narrow" w:hAnsi="Arial Narrow"/>
                <w:sz w:val="18"/>
                <w:szCs w:val="18"/>
              </w:rPr>
              <w:t xml:space="preserve">0.65 </w:t>
            </w:r>
            <w:r>
              <w:rPr>
                <w:rFonts w:ascii="Arial Narrow" w:hAnsi="Arial Narrow"/>
                <w:sz w:val="18"/>
                <w:szCs w:val="18"/>
              </w:rPr>
              <w:t>–</w:t>
            </w:r>
            <w:r w:rsidRPr="008D2E70">
              <w:rPr>
                <w:rFonts w:ascii="Arial Narrow" w:hAnsi="Arial Narrow"/>
                <w:sz w:val="18"/>
                <w:szCs w:val="18"/>
              </w:rPr>
              <w:t xml:space="preserve"> 0.82</w:t>
            </w:r>
          </w:p>
        </w:tc>
      </w:tr>
      <w:tr w:rsidR="009E57CE" w:rsidRPr="008D2E70" w14:paraId="09E63897" w14:textId="77777777" w:rsidTr="005353DF">
        <w:trPr>
          <w:cantSplit/>
          <w:trHeight w:val="300"/>
        </w:trPr>
        <w:tc>
          <w:tcPr>
            <w:tcW w:w="2552" w:type="dxa"/>
            <w:shd w:val="clear" w:color="auto" w:fill="auto"/>
            <w:noWrap/>
            <w:tcMar>
              <w:left w:w="28" w:type="dxa"/>
              <w:right w:w="28" w:type="dxa"/>
            </w:tcMar>
            <w:vAlign w:val="center"/>
            <w:hideMark/>
          </w:tcPr>
          <w:p w14:paraId="519DCEF8" w14:textId="77777777" w:rsidR="009E57CE" w:rsidRPr="008D2E70" w:rsidRDefault="009E57CE" w:rsidP="005353DF">
            <w:pPr>
              <w:widowControl w:val="0"/>
              <w:spacing w:before="40" w:after="40"/>
              <w:ind w:left="0"/>
              <w:jc w:val="both"/>
              <w:rPr>
                <w:rFonts w:ascii="Arial Narrow" w:hAnsi="Arial Narrow"/>
                <w:sz w:val="18"/>
                <w:szCs w:val="18"/>
              </w:rPr>
            </w:pPr>
            <w:r w:rsidRPr="008D2E70">
              <w:rPr>
                <w:rFonts w:ascii="Arial Narrow" w:hAnsi="Arial Narrow"/>
                <w:sz w:val="18"/>
                <w:szCs w:val="18"/>
              </w:rPr>
              <w:t>No response</w:t>
            </w:r>
          </w:p>
        </w:tc>
        <w:tc>
          <w:tcPr>
            <w:tcW w:w="2835" w:type="dxa"/>
            <w:shd w:val="clear" w:color="auto" w:fill="auto"/>
            <w:noWrap/>
            <w:tcMar>
              <w:left w:w="28" w:type="dxa"/>
              <w:right w:w="28" w:type="dxa"/>
            </w:tcMar>
            <w:vAlign w:val="center"/>
            <w:hideMark/>
          </w:tcPr>
          <w:p w14:paraId="2E19F2CF" w14:textId="77777777" w:rsidR="009E57CE" w:rsidRPr="008D2E70" w:rsidRDefault="009E57CE" w:rsidP="005353DF">
            <w:pPr>
              <w:widowControl w:val="0"/>
              <w:spacing w:before="40" w:after="40"/>
              <w:ind w:left="0"/>
              <w:rPr>
                <w:rFonts w:ascii="Arial Narrow" w:hAnsi="Arial Narrow"/>
                <w:sz w:val="18"/>
                <w:szCs w:val="18"/>
              </w:rPr>
            </w:pPr>
            <w:r w:rsidRPr="008D2E70">
              <w:rPr>
                <w:rFonts w:ascii="Arial Narrow" w:hAnsi="Arial Narrow"/>
                <w:sz w:val="18"/>
                <w:szCs w:val="18"/>
              </w:rPr>
              <w:t>HAMD 17 &gt;</w:t>
            </w:r>
            <w:r>
              <w:rPr>
                <w:rFonts w:ascii="Arial Narrow" w:hAnsi="Arial Narrow"/>
                <w:sz w:val="18"/>
                <w:szCs w:val="18"/>
              </w:rPr>
              <w:t>=20 (severe/very severe</w:t>
            </w:r>
            <w:r w:rsidRPr="008D2E70">
              <w:rPr>
                <w:rFonts w:ascii="Arial Narrow" w:hAnsi="Arial Narrow"/>
                <w:sz w:val="18"/>
                <w:szCs w:val="18"/>
              </w:rPr>
              <w:t xml:space="preserve">) </w:t>
            </w:r>
          </w:p>
        </w:tc>
        <w:tc>
          <w:tcPr>
            <w:tcW w:w="850" w:type="dxa"/>
            <w:shd w:val="clear" w:color="auto" w:fill="auto"/>
            <w:noWrap/>
            <w:tcMar>
              <w:left w:w="28" w:type="dxa"/>
              <w:right w:w="28" w:type="dxa"/>
            </w:tcMar>
            <w:vAlign w:val="center"/>
            <w:hideMark/>
          </w:tcPr>
          <w:p w14:paraId="3484CC90" w14:textId="77777777" w:rsidR="009E57CE" w:rsidRPr="008D2E70" w:rsidRDefault="009E57CE" w:rsidP="005353DF">
            <w:pPr>
              <w:widowControl w:val="0"/>
              <w:spacing w:before="40" w:after="40"/>
              <w:ind w:left="0"/>
              <w:jc w:val="center"/>
              <w:rPr>
                <w:rFonts w:ascii="Arial Narrow" w:hAnsi="Arial Narrow"/>
                <w:sz w:val="18"/>
                <w:szCs w:val="18"/>
              </w:rPr>
            </w:pPr>
            <w:r w:rsidRPr="008D2E70">
              <w:rPr>
                <w:rFonts w:ascii="Arial Narrow" w:hAnsi="Arial Narrow"/>
                <w:sz w:val="18"/>
                <w:szCs w:val="18"/>
              </w:rPr>
              <w:t>0.5</w:t>
            </w:r>
            <w:r>
              <w:rPr>
                <w:rFonts w:ascii="Arial Narrow" w:hAnsi="Arial Narrow"/>
                <w:sz w:val="18"/>
                <w:szCs w:val="18"/>
              </w:rPr>
              <w:t>2</w:t>
            </w:r>
            <w:r w:rsidRPr="008D2E70">
              <w:rPr>
                <w:rFonts w:ascii="Arial Narrow" w:hAnsi="Arial Narrow"/>
                <w:sz w:val="18"/>
                <w:szCs w:val="18"/>
              </w:rPr>
              <w:t>0</w:t>
            </w:r>
          </w:p>
        </w:tc>
        <w:tc>
          <w:tcPr>
            <w:tcW w:w="2104" w:type="dxa"/>
            <w:shd w:val="clear" w:color="auto" w:fill="auto"/>
            <w:tcMar>
              <w:left w:w="28" w:type="dxa"/>
              <w:right w:w="28" w:type="dxa"/>
            </w:tcMar>
            <w:vAlign w:val="center"/>
            <w:hideMark/>
          </w:tcPr>
          <w:p w14:paraId="65A87039" w14:textId="77777777" w:rsidR="009E57CE" w:rsidRPr="008D2E70" w:rsidRDefault="009E57CE" w:rsidP="005353DF">
            <w:pPr>
              <w:widowControl w:val="0"/>
              <w:spacing w:before="40" w:after="40"/>
              <w:ind w:left="0"/>
              <w:jc w:val="center"/>
              <w:rPr>
                <w:rFonts w:ascii="Arial Narrow" w:hAnsi="Arial Narrow"/>
                <w:sz w:val="18"/>
                <w:szCs w:val="18"/>
              </w:rPr>
            </w:pPr>
            <w:r w:rsidRPr="008D2E70">
              <w:rPr>
                <w:rFonts w:ascii="Arial Narrow" w:hAnsi="Arial Narrow"/>
                <w:sz w:val="18"/>
                <w:szCs w:val="18"/>
              </w:rPr>
              <w:t xml:space="preserve">0.25 </w:t>
            </w:r>
            <w:r>
              <w:rPr>
                <w:rFonts w:ascii="Arial Narrow" w:hAnsi="Arial Narrow"/>
                <w:sz w:val="18"/>
                <w:szCs w:val="18"/>
              </w:rPr>
              <w:t>–</w:t>
            </w:r>
            <w:r w:rsidRPr="008D2E70">
              <w:rPr>
                <w:rFonts w:ascii="Arial Narrow" w:hAnsi="Arial Narrow"/>
                <w:sz w:val="18"/>
                <w:szCs w:val="18"/>
              </w:rPr>
              <w:t xml:space="preserve"> 0.58</w:t>
            </w:r>
          </w:p>
        </w:tc>
      </w:tr>
      <w:tr w:rsidR="009E57CE" w:rsidRPr="008D2E70" w14:paraId="09BF809E" w14:textId="77777777" w:rsidTr="005353DF">
        <w:trPr>
          <w:cantSplit/>
          <w:trHeight w:val="300"/>
        </w:trPr>
        <w:tc>
          <w:tcPr>
            <w:tcW w:w="2552" w:type="dxa"/>
            <w:shd w:val="clear" w:color="auto" w:fill="auto"/>
            <w:noWrap/>
            <w:tcMar>
              <w:left w:w="28" w:type="dxa"/>
              <w:right w:w="28" w:type="dxa"/>
            </w:tcMar>
            <w:vAlign w:val="center"/>
            <w:hideMark/>
          </w:tcPr>
          <w:p w14:paraId="6015B253" w14:textId="77777777" w:rsidR="009E57CE" w:rsidRPr="008D2E70" w:rsidRDefault="009E57CE" w:rsidP="005353DF">
            <w:pPr>
              <w:widowControl w:val="0"/>
              <w:spacing w:before="40" w:after="40"/>
              <w:ind w:left="0"/>
              <w:jc w:val="both"/>
              <w:rPr>
                <w:rFonts w:ascii="Arial Narrow" w:hAnsi="Arial Narrow"/>
                <w:sz w:val="18"/>
                <w:szCs w:val="18"/>
              </w:rPr>
            </w:pPr>
            <w:r w:rsidRPr="008D2E70">
              <w:rPr>
                <w:rFonts w:ascii="Arial Narrow" w:hAnsi="Arial Narrow"/>
                <w:sz w:val="18"/>
                <w:szCs w:val="18"/>
              </w:rPr>
              <w:t>Treatment AntiDep</w:t>
            </w:r>
          </w:p>
        </w:tc>
        <w:tc>
          <w:tcPr>
            <w:tcW w:w="2835" w:type="dxa"/>
            <w:shd w:val="clear" w:color="auto" w:fill="auto"/>
            <w:noWrap/>
            <w:tcMar>
              <w:left w:w="28" w:type="dxa"/>
              <w:right w:w="28" w:type="dxa"/>
            </w:tcMar>
            <w:vAlign w:val="center"/>
            <w:hideMark/>
          </w:tcPr>
          <w:p w14:paraId="3B670035" w14:textId="77777777" w:rsidR="009E57CE" w:rsidRPr="008D2E70" w:rsidRDefault="009E57CE" w:rsidP="005353DF">
            <w:pPr>
              <w:widowControl w:val="0"/>
              <w:spacing w:before="40" w:after="40"/>
              <w:ind w:left="0"/>
              <w:rPr>
                <w:rFonts w:ascii="Arial Narrow" w:hAnsi="Arial Narrow"/>
                <w:sz w:val="18"/>
                <w:szCs w:val="18"/>
              </w:rPr>
            </w:pPr>
            <w:r w:rsidRPr="008D2E70">
              <w:rPr>
                <w:rFonts w:ascii="Arial Narrow" w:hAnsi="Arial Narrow"/>
                <w:sz w:val="18"/>
                <w:szCs w:val="18"/>
              </w:rPr>
              <w:t xml:space="preserve">Dis-utility: weighted average </w:t>
            </w:r>
          </w:p>
        </w:tc>
        <w:tc>
          <w:tcPr>
            <w:tcW w:w="850" w:type="dxa"/>
            <w:shd w:val="clear" w:color="auto" w:fill="auto"/>
            <w:noWrap/>
            <w:tcMar>
              <w:left w:w="28" w:type="dxa"/>
              <w:right w:w="28" w:type="dxa"/>
            </w:tcMar>
            <w:vAlign w:val="center"/>
            <w:hideMark/>
          </w:tcPr>
          <w:p w14:paraId="797FB3DD" w14:textId="77777777" w:rsidR="009E57CE" w:rsidRPr="008D2E70" w:rsidRDefault="009E57CE" w:rsidP="005353DF">
            <w:pPr>
              <w:widowControl w:val="0"/>
              <w:spacing w:before="40" w:after="40"/>
              <w:ind w:left="0"/>
              <w:jc w:val="center"/>
              <w:rPr>
                <w:rFonts w:ascii="Arial Narrow" w:hAnsi="Arial Narrow"/>
                <w:sz w:val="18"/>
                <w:szCs w:val="18"/>
              </w:rPr>
            </w:pPr>
            <w:r w:rsidRPr="008D2E70">
              <w:rPr>
                <w:rFonts w:ascii="Arial Narrow" w:hAnsi="Arial Narrow"/>
                <w:sz w:val="18"/>
                <w:szCs w:val="18"/>
              </w:rPr>
              <w:t>-0.066</w:t>
            </w:r>
          </w:p>
        </w:tc>
        <w:tc>
          <w:tcPr>
            <w:tcW w:w="2104" w:type="dxa"/>
            <w:shd w:val="clear" w:color="auto" w:fill="auto"/>
            <w:tcMar>
              <w:left w:w="28" w:type="dxa"/>
              <w:right w:w="28" w:type="dxa"/>
            </w:tcMar>
            <w:vAlign w:val="center"/>
            <w:hideMark/>
          </w:tcPr>
          <w:p w14:paraId="3324117C" w14:textId="77777777" w:rsidR="009E57CE" w:rsidRPr="008D2E70" w:rsidRDefault="009E57CE" w:rsidP="005353DF">
            <w:pPr>
              <w:widowControl w:val="0"/>
              <w:spacing w:before="40" w:after="40"/>
              <w:ind w:left="0"/>
              <w:jc w:val="center"/>
              <w:rPr>
                <w:rFonts w:ascii="Arial Narrow" w:hAnsi="Arial Narrow"/>
                <w:sz w:val="18"/>
                <w:szCs w:val="18"/>
              </w:rPr>
            </w:pPr>
            <w:r>
              <w:rPr>
                <w:rFonts w:ascii="Arial Narrow" w:hAnsi="Arial Narrow"/>
                <w:sz w:val="18"/>
                <w:szCs w:val="18"/>
              </w:rPr>
              <w:t>-0.04 – -0.10</w:t>
            </w:r>
          </w:p>
        </w:tc>
      </w:tr>
      <w:tr w:rsidR="009E57CE" w:rsidRPr="008D2E70" w14:paraId="401CD836" w14:textId="77777777" w:rsidTr="005353DF">
        <w:trPr>
          <w:cantSplit/>
          <w:trHeight w:val="300"/>
        </w:trPr>
        <w:tc>
          <w:tcPr>
            <w:tcW w:w="2552" w:type="dxa"/>
            <w:shd w:val="clear" w:color="auto" w:fill="auto"/>
            <w:noWrap/>
            <w:tcMar>
              <w:left w:w="28" w:type="dxa"/>
              <w:right w:w="28" w:type="dxa"/>
            </w:tcMar>
            <w:vAlign w:val="center"/>
            <w:hideMark/>
          </w:tcPr>
          <w:p w14:paraId="12B5D437" w14:textId="77777777" w:rsidR="009E57CE" w:rsidRPr="008D2E70" w:rsidRDefault="009E57CE" w:rsidP="005353DF">
            <w:pPr>
              <w:widowControl w:val="0"/>
              <w:spacing w:before="40" w:after="40"/>
              <w:ind w:left="0"/>
              <w:jc w:val="both"/>
              <w:rPr>
                <w:rFonts w:ascii="Arial Narrow" w:hAnsi="Arial Narrow"/>
                <w:sz w:val="18"/>
                <w:szCs w:val="18"/>
              </w:rPr>
            </w:pPr>
            <w:r w:rsidRPr="008D2E70">
              <w:rPr>
                <w:rFonts w:ascii="Arial Narrow" w:hAnsi="Arial Narrow"/>
                <w:sz w:val="18"/>
                <w:szCs w:val="18"/>
              </w:rPr>
              <w:t xml:space="preserve">Treatment rTMS </w:t>
            </w:r>
          </w:p>
        </w:tc>
        <w:tc>
          <w:tcPr>
            <w:tcW w:w="2835" w:type="dxa"/>
            <w:shd w:val="clear" w:color="auto" w:fill="auto"/>
            <w:noWrap/>
            <w:tcMar>
              <w:left w:w="28" w:type="dxa"/>
              <w:right w:w="28" w:type="dxa"/>
            </w:tcMar>
            <w:vAlign w:val="center"/>
            <w:hideMark/>
          </w:tcPr>
          <w:p w14:paraId="649AF8E7" w14:textId="77777777" w:rsidR="009E57CE" w:rsidRPr="008D2E70" w:rsidRDefault="009E57CE" w:rsidP="005353DF">
            <w:pPr>
              <w:widowControl w:val="0"/>
              <w:spacing w:before="40" w:after="40"/>
              <w:ind w:left="0"/>
              <w:rPr>
                <w:rFonts w:ascii="Arial Narrow" w:hAnsi="Arial Narrow"/>
                <w:sz w:val="18"/>
                <w:szCs w:val="18"/>
              </w:rPr>
            </w:pPr>
            <w:r w:rsidRPr="008D2E70">
              <w:rPr>
                <w:rFonts w:ascii="Arial Narrow" w:hAnsi="Arial Narrow"/>
                <w:sz w:val="18"/>
                <w:szCs w:val="18"/>
              </w:rPr>
              <w:t xml:space="preserve">Dis-utility: weighted average </w:t>
            </w:r>
          </w:p>
        </w:tc>
        <w:tc>
          <w:tcPr>
            <w:tcW w:w="850" w:type="dxa"/>
            <w:shd w:val="clear" w:color="auto" w:fill="auto"/>
            <w:noWrap/>
            <w:tcMar>
              <w:left w:w="28" w:type="dxa"/>
              <w:right w:w="28" w:type="dxa"/>
            </w:tcMar>
            <w:vAlign w:val="center"/>
            <w:hideMark/>
          </w:tcPr>
          <w:p w14:paraId="284B953B" w14:textId="77777777" w:rsidR="009E57CE" w:rsidRPr="008D2E70" w:rsidRDefault="009E57CE" w:rsidP="005353DF">
            <w:pPr>
              <w:widowControl w:val="0"/>
              <w:spacing w:before="40" w:after="40"/>
              <w:ind w:left="0"/>
              <w:jc w:val="center"/>
              <w:rPr>
                <w:rFonts w:ascii="Arial Narrow" w:hAnsi="Arial Narrow"/>
                <w:sz w:val="18"/>
                <w:szCs w:val="18"/>
              </w:rPr>
            </w:pPr>
            <w:r w:rsidRPr="008D2E70">
              <w:rPr>
                <w:rFonts w:ascii="Arial Narrow" w:hAnsi="Arial Narrow"/>
                <w:sz w:val="18"/>
                <w:szCs w:val="18"/>
              </w:rPr>
              <w:t>-0.101</w:t>
            </w:r>
          </w:p>
        </w:tc>
        <w:tc>
          <w:tcPr>
            <w:tcW w:w="2104" w:type="dxa"/>
            <w:shd w:val="clear" w:color="auto" w:fill="auto"/>
            <w:tcMar>
              <w:left w:w="28" w:type="dxa"/>
              <w:right w:w="28" w:type="dxa"/>
            </w:tcMar>
            <w:vAlign w:val="center"/>
            <w:hideMark/>
          </w:tcPr>
          <w:p w14:paraId="76A8ADB4" w14:textId="77777777" w:rsidR="009E57CE" w:rsidRPr="008D2E70" w:rsidRDefault="009E57CE" w:rsidP="005353DF">
            <w:pPr>
              <w:widowControl w:val="0"/>
              <w:spacing w:before="40" w:after="40"/>
              <w:ind w:left="0"/>
              <w:jc w:val="center"/>
              <w:rPr>
                <w:rFonts w:ascii="Arial Narrow" w:hAnsi="Arial Narrow"/>
                <w:sz w:val="18"/>
                <w:szCs w:val="18"/>
              </w:rPr>
            </w:pPr>
            <w:r>
              <w:rPr>
                <w:rFonts w:ascii="Arial Narrow" w:hAnsi="Arial Narrow"/>
                <w:sz w:val="18"/>
                <w:szCs w:val="18"/>
              </w:rPr>
              <w:t>Not available</w:t>
            </w:r>
          </w:p>
        </w:tc>
      </w:tr>
      <w:tr w:rsidR="009E57CE" w:rsidRPr="008D2E70" w14:paraId="6139D471" w14:textId="77777777" w:rsidTr="005353DF">
        <w:trPr>
          <w:cantSplit/>
          <w:trHeight w:val="300"/>
        </w:trPr>
        <w:tc>
          <w:tcPr>
            <w:tcW w:w="2552" w:type="dxa"/>
            <w:shd w:val="clear" w:color="auto" w:fill="auto"/>
            <w:noWrap/>
            <w:tcMar>
              <w:left w:w="28" w:type="dxa"/>
              <w:right w:w="28" w:type="dxa"/>
            </w:tcMar>
            <w:vAlign w:val="center"/>
            <w:hideMark/>
          </w:tcPr>
          <w:p w14:paraId="2D9F7958" w14:textId="77777777" w:rsidR="009E57CE" w:rsidRPr="008D2E70" w:rsidRDefault="009E57CE" w:rsidP="005353DF">
            <w:pPr>
              <w:widowControl w:val="0"/>
              <w:spacing w:before="40" w:after="40"/>
              <w:ind w:left="0"/>
              <w:jc w:val="both"/>
              <w:rPr>
                <w:rFonts w:ascii="Arial Narrow" w:hAnsi="Arial Narrow"/>
                <w:sz w:val="18"/>
                <w:szCs w:val="18"/>
              </w:rPr>
            </w:pPr>
            <w:r w:rsidRPr="008D2E70">
              <w:rPr>
                <w:rFonts w:ascii="Arial Narrow" w:hAnsi="Arial Narrow"/>
                <w:sz w:val="18"/>
                <w:szCs w:val="18"/>
              </w:rPr>
              <w:t>Treatment ECT</w:t>
            </w:r>
          </w:p>
        </w:tc>
        <w:tc>
          <w:tcPr>
            <w:tcW w:w="2835" w:type="dxa"/>
            <w:shd w:val="clear" w:color="auto" w:fill="auto"/>
            <w:noWrap/>
            <w:tcMar>
              <w:left w:w="28" w:type="dxa"/>
              <w:right w:w="28" w:type="dxa"/>
            </w:tcMar>
            <w:vAlign w:val="center"/>
            <w:hideMark/>
          </w:tcPr>
          <w:p w14:paraId="59FEE3C2" w14:textId="77777777" w:rsidR="009E57CE" w:rsidRPr="008D2E70" w:rsidRDefault="009E57CE" w:rsidP="005353DF">
            <w:pPr>
              <w:widowControl w:val="0"/>
              <w:spacing w:before="40" w:after="40"/>
              <w:ind w:left="0"/>
              <w:rPr>
                <w:rFonts w:ascii="Arial Narrow" w:hAnsi="Arial Narrow"/>
                <w:sz w:val="18"/>
                <w:szCs w:val="18"/>
              </w:rPr>
            </w:pPr>
            <w:r w:rsidRPr="008D2E70">
              <w:rPr>
                <w:rFonts w:ascii="Arial Narrow" w:hAnsi="Arial Narrow"/>
                <w:sz w:val="18"/>
                <w:szCs w:val="18"/>
              </w:rPr>
              <w:t xml:space="preserve">Dis-utility: weighted average </w:t>
            </w:r>
          </w:p>
        </w:tc>
        <w:tc>
          <w:tcPr>
            <w:tcW w:w="850" w:type="dxa"/>
            <w:shd w:val="clear" w:color="auto" w:fill="auto"/>
            <w:noWrap/>
            <w:tcMar>
              <w:left w:w="28" w:type="dxa"/>
              <w:right w:w="28" w:type="dxa"/>
            </w:tcMar>
            <w:vAlign w:val="center"/>
            <w:hideMark/>
          </w:tcPr>
          <w:p w14:paraId="22746B8F" w14:textId="77777777" w:rsidR="009E57CE" w:rsidRPr="008D2E70" w:rsidRDefault="009E57CE" w:rsidP="005353DF">
            <w:pPr>
              <w:widowControl w:val="0"/>
              <w:spacing w:before="40" w:after="40"/>
              <w:ind w:left="0"/>
              <w:jc w:val="center"/>
              <w:rPr>
                <w:rFonts w:ascii="Arial Narrow" w:hAnsi="Arial Narrow"/>
                <w:sz w:val="18"/>
                <w:szCs w:val="18"/>
              </w:rPr>
            </w:pPr>
            <w:r w:rsidRPr="008D2E70">
              <w:rPr>
                <w:rFonts w:ascii="Arial Narrow" w:hAnsi="Arial Narrow"/>
                <w:sz w:val="18"/>
                <w:szCs w:val="18"/>
              </w:rPr>
              <w:t>-0.10</w:t>
            </w:r>
            <w:r>
              <w:rPr>
                <w:rFonts w:ascii="Arial Narrow" w:hAnsi="Arial Narrow"/>
                <w:sz w:val="18"/>
                <w:szCs w:val="18"/>
              </w:rPr>
              <w:t>4</w:t>
            </w:r>
          </w:p>
        </w:tc>
        <w:tc>
          <w:tcPr>
            <w:tcW w:w="2104" w:type="dxa"/>
            <w:shd w:val="clear" w:color="auto" w:fill="auto"/>
            <w:tcMar>
              <w:left w:w="28" w:type="dxa"/>
              <w:right w:w="28" w:type="dxa"/>
            </w:tcMar>
            <w:vAlign w:val="center"/>
            <w:hideMark/>
          </w:tcPr>
          <w:p w14:paraId="674F1DDF" w14:textId="77777777" w:rsidR="009E57CE" w:rsidRPr="008D2E70" w:rsidRDefault="009E57CE" w:rsidP="005353DF">
            <w:pPr>
              <w:widowControl w:val="0"/>
              <w:spacing w:before="40" w:after="40"/>
              <w:ind w:left="0"/>
              <w:jc w:val="center"/>
              <w:rPr>
                <w:rFonts w:ascii="Arial Narrow" w:hAnsi="Arial Narrow"/>
                <w:sz w:val="18"/>
                <w:szCs w:val="18"/>
              </w:rPr>
            </w:pPr>
            <w:r>
              <w:rPr>
                <w:rFonts w:ascii="Arial Narrow" w:hAnsi="Arial Narrow"/>
                <w:sz w:val="18"/>
                <w:szCs w:val="18"/>
              </w:rPr>
              <w:t>Not available</w:t>
            </w:r>
          </w:p>
        </w:tc>
      </w:tr>
      <w:tr w:rsidR="009E57CE" w:rsidRPr="008D2E70" w14:paraId="7DD117E3" w14:textId="77777777" w:rsidTr="005353DF">
        <w:trPr>
          <w:cantSplit/>
          <w:trHeight w:val="300"/>
        </w:trPr>
        <w:tc>
          <w:tcPr>
            <w:tcW w:w="2552" w:type="dxa"/>
            <w:shd w:val="clear" w:color="auto" w:fill="auto"/>
            <w:noWrap/>
            <w:tcMar>
              <w:left w:w="28" w:type="dxa"/>
              <w:right w:w="28" w:type="dxa"/>
            </w:tcMar>
            <w:vAlign w:val="center"/>
            <w:hideMark/>
          </w:tcPr>
          <w:p w14:paraId="0297EA7E" w14:textId="77777777" w:rsidR="009E57CE" w:rsidRPr="008D2E70" w:rsidRDefault="009E57CE" w:rsidP="005353DF">
            <w:pPr>
              <w:keepNext/>
              <w:spacing w:before="40" w:after="40"/>
              <w:ind w:left="0"/>
              <w:jc w:val="both"/>
              <w:rPr>
                <w:rFonts w:ascii="Arial Narrow" w:hAnsi="Arial Narrow"/>
                <w:sz w:val="18"/>
                <w:szCs w:val="18"/>
              </w:rPr>
            </w:pPr>
            <w:r w:rsidRPr="008D2E70">
              <w:rPr>
                <w:rFonts w:ascii="Arial Narrow" w:hAnsi="Arial Narrow"/>
                <w:sz w:val="18"/>
                <w:szCs w:val="18"/>
              </w:rPr>
              <w:t xml:space="preserve">Hospitalisation </w:t>
            </w:r>
          </w:p>
        </w:tc>
        <w:tc>
          <w:tcPr>
            <w:tcW w:w="2835" w:type="dxa"/>
            <w:shd w:val="clear" w:color="auto" w:fill="auto"/>
            <w:noWrap/>
            <w:tcMar>
              <w:left w:w="28" w:type="dxa"/>
              <w:right w:w="28" w:type="dxa"/>
            </w:tcMar>
            <w:vAlign w:val="center"/>
            <w:hideMark/>
          </w:tcPr>
          <w:p w14:paraId="190B856B" w14:textId="77777777" w:rsidR="009E57CE" w:rsidRPr="008D2E70" w:rsidRDefault="009E57CE" w:rsidP="005353DF">
            <w:pPr>
              <w:keepNext/>
              <w:spacing w:before="40" w:after="40"/>
              <w:ind w:left="0"/>
              <w:rPr>
                <w:rFonts w:ascii="Arial Narrow" w:hAnsi="Arial Narrow"/>
                <w:sz w:val="18"/>
                <w:szCs w:val="18"/>
              </w:rPr>
            </w:pPr>
            <w:r w:rsidRPr="008D2E70">
              <w:rPr>
                <w:rFonts w:ascii="Arial Narrow" w:hAnsi="Arial Narrow"/>
                <w:sz w:val="18"/>
                <w:szCs w:val="18"/>
              </w:rPr>
              <w:t xml:space="preserve">HAMD 17&gt;=20 with treat of suicide? </w:t>
            </w:r>
          </w:p>
        </w:tc>
        <w:tc>
          <w:tcPr>
            <w:tcW w:w="850" w:type="dxa"/>
            <w:shd w:val="clear" w:color="auto" w:fill="auto"/>
            <w:noWrap/>
            <w:tcMar>
              <w:left w:w="28" w:type="dxa"/>
              <w:right w:w="28" w:type="dxa"/>
            </w:tcMar>
            <w:vAlign w:val="center"/>
            <w:hideMark/>
          </w:tcPr>
          <w:p w14:paraId="6A0A22B4" w14:textId="77777777" w:rsidR="009E57CE" w:rsidRPr="008D2E70" w:rsidRDefault="009E57CE" w:rsidP="005353DF">
            <w:pPr>
              <w:keepNext/>
              <w:spacing w:before="40" w:after="40"/>
              <w:ind w:left="0"/>
              <w:jc w:val="center"/>
              <w:rPr>
                <w:rFonts w:ascii="Arial Narrow" w:hAnsi="Arial Narrow"/>
                <w:sz w:val="18"/>
                <w:szCs w:val="18"/>
              </w:rPr>
            </w:pPr>
            <w:r w:rsidRPr="008D2E70">
              <w:rPr>
                <w:rFonts w:ascii="Arial Narrow" w:hAnsi="Arial Narrow"/>
                <w:sz w:val="18"/>
                <w:szCs w:val="18"/>
              </w:rPr>
              <w:t>0.300</w:t>
            </w:r>
          </w:p>
        </w:tc>
        <w:tc>
          <w:tcPr>
            <w:tcW w:w="2104" w:type="dxa"/>
            <w:shd w:val="clear" w:color="auto" w:fill="auto"/>
            <w:tcMar>
              <w:left w:w="28" w:type="dxa"/>
              <w:right w:w="28" w:type="dxa"/>
            </w:tcMar>
            <w:vAlign w:val="center"/>
            <w:hideMark/>
          </w:tcPr>
          <w:p w14:paraId="21E23327" w14:textId="77777777" w:rsidR="009E57CE" w:rsidRPr="008D2E70" w:rsidRDefault="009E57CE" w:rsidP="005353DF">
            <w:pPr>
              <w:keepNext/>
              <w:spacing w:before="40" w:after="40"/>
              <w:ind w:left="0"/>
              <w:jc w:val="center"/>
              <w:rPr>
                <w:rFonts w:ascii="Arial Narrow" w:hAnsi="Arial Narrow"/>
                <w:sz w:val="18"/>
                <w:szCs w:val="18"/>
              </w:rPr>
            </w:pPr>
            <w:r w:rsidRPr="008D2E70">
              <w:rPr>
                <w:rFonts w:ascii="Arial Narrow" w:hAnsi="Arial Narrow"/>
                <w:sz w:val="18"/>
                <w:szCs w:val="18"/>
              </w:rPr>
              <w:t xml:space="preserve">0.09 </w:t>
            </w:r>
            <w:r>
              <w:rPr>
                <w:rFonts w:ascii="Arial Narrow" w:hAnsi="Arial Narrow"/>
                <w:sz w:val="18"/>
                <w:szCs w:val="18"/>
              </w:rPr>
              <w:t>–</w:t>
            </w:r>
            <w:r w:rsidRPr="008D2E70">
              <w:rPr>
                <w:rFonts w:ascii="Arial Narrow" w:hAnsi="Arial Narrow"/>
                <w:sz w:val="18"/>
                <w:szCs w:val="18"/>
              </w:rPr>
              <w:t xml:space="preserve"> 0.4</w:t>
            </w:r>
          </w:p>
        </w:tc>
      </w:tr>
    </w:tbl>
    <w:p w14:paraId="598E4C8F" w14:textId="77777777" w:rsidR="009E57CE" w:rsidRDefault="009E57CE" w:rsidP="005353DF">
      <w:pPr>
        <w:keepNext/>
        <w:spacing w:before="40" w:after="40"/>
        <w:ind w:left="709"/>
        <w:jc w:val="both"/>
        <w:rPr>
          <w:rFonts w:ascii="Arial Narrow" w:hAnsi="Arial Narrow"/>
          <w:sz w:val="18"/>
          <w:szCs w:val="18"/>
        </w:rPr>
      </w:pPr>
      <w:r w:rsidRPr="00AB0B95">
        <w:rPr>
          <w:rFonts w:ascii="Arial Narrow" w:hAnsi="Arial Narrow"/>
          <w:sz w:val="18"/>
          <w:szCs w:val="18"/>
        </w:rPr>
        <w:t xml:space="preserve">Source: </w:t>
      </w:r>
      <w:r>
        <w:rPr>
          <w:rFonts w:ascii="Arial Narrow" w:hAnsi="Arial Narrow"/>
          <w:sz w:val="18"/>
          <w:szCs w:val="18"/>
        </w:rPr>
        <w:fldChar w:fldCharType="begin"/>
      </w:r>
      <w:r>
        <w:rPr>
          <w:rFonts w:ascii="Arial Narrow" w:hAnsi="Arial Narrow"/>
          <w:sz w:val="18"/>
          <w:szCs w:val="18"/>
        </w:rPr>
        <w:instrText xml:space="preserve"> REF _Ref383696287 \h  \* MERGEFORMAT </w:instrText>
      </w:r>
      <w:r>
        <w:rPr>
          <w:rFonts w:ascii="Arial Narrow" w:hAnsi="Arial Narrow"/>
          <w:sz w:val="18"/>
          <w:szCs w:val="18"/>
        </w:rPr>
      </w:r>
      <w:r>
        <w:rPr>
          <w:rFonts w:ascii="Arial Narrow" w:hAnsi="Arial Narrow"/>
          <w:sz w:val="18"/>
          <w:szCs w:val="18"/>
        </w:rPr>
        <w:fldChar w:fldCharType="separate"/>
      </w:r>
      <w:r w:rsidR="004C1C27" w:rsidRPr="004C1C27">
        <w:rPr>
          <w:rFonts w:ascii="Arial Narrow" w:hAnsi="Arial Narrow"/>
          <w:sz w:val="18"/>
          <w:szCs w:val="18"/>
        </w:rPr>
        <w:t>Table 14</w:t>
      </w:r>
      <w:r>
        <w:rPr>
          <w:rFonts w:ascii="Arial Narrow" w:hAnsi="Arial Narrow"/>
          <w:sz w:val="18"/>
          <w:szCs w:val="18"/>
        </w:rPr>
        <w:fldChar w:fldCharType="end"/>
      </w:r>
      <w:r>
        <w:rPr>
          <w:rFonts w:ascii="Arial Narrow" w:hAnsi="Arial Narrow"/>
          <w:sz w:val="18"/>
          <w:szCs w:val="18"/>
        </w:rPr>
        <w:t xml:space="preserve"> and </w:t>
      </w:r>
      <w:r>
        <w:rPr>
          <w:rFonts w:ascii="Arial Narrow" w:hAnsi="Arial Narrow"/>
          <w:sz w:val="18"/>
          <w:szCs w:val="18"/>
        </w:rPr>
        <w:fldChar w:fldCharType="begin"/>
      </w:r>
      <w:r>
        <w:rPr>
          <w:rFonts w:ascii="Arial Narrow" w:hAnsi="Arial Narrow"/>
          <w:sz w:val="18"/>
          <w:szCs w:val="18"/>
        </w:rPr>
        <w:instrText xml:space="preserve"> REF _Ref383780640 \h  \* MERGEFORMAT </w:instrText>
      </w:r>
      <w:r>
        <w:rPr>
          <w:rFonts w:ascii="Arial Narrow" w:hAnsi="Arial Narrow"/>
          <w:sz w:val="18"/>
          <w:szCs w:val="18"/>
        </w:rPr>
      </w:r>
      <w:r>
        <w:rPr>
          <w:rFonts w:ascii="Arial Narrow" w:hAnsi="Arial Narrow"/>
          <w:sz w:val="18"/>
          <w:szCs w:val="18"/>
        </w:rPr>
        <w:fldChar w:fldCharType="separate"/>
      </w:r>
      <w:r w:rsidR="004C1C27" w:rsidRPr="004C1C27">
        <w:rPr>
          <w:rFonts w:ascii="Arial Narrow" w:hAnsi="Arial Narrow"/>
          <w:sz w:val="18"/>
          <w:szCs w:val="18"/>
        </w:rPr>
        <w:t>Table 15</w:t>
      </w:r>
      <w:r>
        <w:rPr>
          <w:rFonts w:ascii="Arial Narrow" w:hAnsi="Arial Narrow"/>
          <w:sz w:val="18"/>
          <w:szCs w:val="18"/>
        </w:rPr>
        <w:fldChar w:fldCharType="end"/>
      </w:r>
      <w:r>
        <w:rPr>
          <w:rFonts w:ascii="Arial Narrow" w:hAnsi="Arial Narrow"/>
          <w:sz w:val="18"/>
          <w:szCs w:val="18"/>
        </w:rPr>
        <w:t xml:space="preserve"> </w:t>
      </w:r>
    </w:p>
    <w:p w14:paraId="431BF5C5" w14:textId="77777777" w:rsidR="003E61DB" w:rsidRPr="00C9782D" w:rsidRDefault="003E61DB" w:rsidP="00AB6AD4">
      <w:pPr>
        <w:pStyle w:val="Heading2"/>
      </w:pPr>
      <w:bookmarkStart w:id="306" w:name="_Toc386093986"/>
      <w:bookmarkStart w:id="307" w:name="_Toc386094225"/>
      <w:bookmarkStart w:id="308" w:name="_Toc389142076"/>
      <w:r w:rsidRPr="00C9782D">
        <w:lastRenderedPageBreak/>
        <w:t>Glossary and abbreviations</w:t>
      </w:r>
      <w:bookmarkEnd w:id="306"/>
      <w:bookmarkEnd w:id="307"/>
      <w:bookmarkEnd w:id="308"/>
      <w:r w:rsidRPr="00C9782D">
        <w:t xml:space="preserve"> </w:t>
      </w:r>
    </w:p>
    <w:p w14:paraId="22B06F05"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AHRQ</w:t>
      </w:r>
      <w:r w:rsidRPr="003F17D5">
        <w:rPr>
          <w:color w:val="000000"/>
          <w:szCs w:val="24"/>
        </w:rPr>
        <w:tab/>
        <w:t>Agency for Healthcare Research and Quality</w:t>
      </w:r>
    </w:p>
    <w:p w14:paraId="659FCE3C"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AIHW </w:t>
      </w:r>
      <w:r w:rsidRPr="003F17D5">
        <w:rPr>
          <w:color w:val="000000"/>
          <w:szCs w:val="24"/>
        </w:rPr>
        <w:tab/>
        <w:t>Australian Institute of Health and Welfare</w:t>
      </w:r>
    </w:p>
    <w:p w14:paraId="3EB7AF36"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ARTG </w:t>
      </w:r>
      <w:r w:rsidRPr="003F17D5">
        <w:rPr>
          <w:color w:val="000000"/>
          <w:szCs w:val="24"/>
        </w:rPr>
        <w:tab/>
        <w:t>Australian Register of Therapeutic Goods</w:t>
      </w:r>
    </w:p>
    <w:p w14:paraId="27C9752C"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ATHF</w:t>
      </w:r>
      <w:r w:rsidRPr="003F17D5">
        <w:rPr>
          <w:color w:val="000000"/>
          <w:szCs w:val="24"/>
        </w:rPr>
        <w:tab/>
        <w:t>Antidepressant Treatment History Form</w:t>
      </w:r>
    </w:p>
    <w:p w14:paraId="76A0E88E"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CBT</w:t>
      </w:r>
      <w:r w:rsidRPr="003F17D5">
        <w:rPr>
          <w:color w:val="000000"/>
          <w:szCs w:val="24"/>
        </w:rPr>
        <w:tab/>
        <w:t>Cognitive Behavioural Therapy</w:t>
      </w:r>
    </w:p>
    <w:p w14:paraId="16068C0B"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CEPAC</w:t>
      </w:r>
      <w:r w:rsidRPr="003F17D5">
        <w:rPr>
          <w:color w:val="000000"/>
          <w:szCs w:val="24"/>
        </w:rPr>
        <w:tab/>
        <w:t>Comparative Effectiveness and Public Advisory Council</w:t>
      </w:r>
    </w:p>
    <w:p w14:paraId="14375099" w14:textId="77777777" w:rsidR="00FA0B4D" w:rsidRPr="003F17D5" w:rsidRDefault="00FA0B4D" w:rsidP="00FA0B4D">
      <w:pPr>
        <w:tabs>
          <w:tab w:val="left" w:pos="2977"/>
        </w:tabs>
        <w:spacing w:after="0"/>
        <w:ind w:left="0"/>
        <w:rPr>
          <w:color w:val="000000"/>
          <w:szCs w:val="24"/>
        </w:rPr>
      </w:pPr>
      <w:r w:rsidRPr="003F17D5">
        <w:rPr>
          <w:color w:val="000000"/>
          <w:szCs w:val="24"/>
        </w:rPr>
        <w:t>CGI-S</w:t>
      </w:r>
      <w:r w:rsidRPr="003F17D5">
        <w:rPr>
          <w:color w:val="000000"/>
          <w:szCs w:val="24"/>
        </w:rPr>
        <w:tab/>
        <w:t xml:space="preserve">Clinical Global Impression – Severity scale; </w:t>
      </w:r>
    </w:p>
    <w:p w14:paraId="291BC5D1"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CI</w:t>
      </w:r>
      <w:r w:rsidRPr="003F17D5">
        <w:rPr>
          <w:color w:val="000000"/>
          <w:szCs w:val="24"/>
        </w:rPr>
        <w:tab/>
        <w:t>confidence interval</w:t>
      </w:r>
    </w:p>
    <w:p w14:paraId="29809A4D" w14:textId="77777777" w:rsidR="006C5B7C" w:rsidRPr="003F17D5" w:rsidRDefault="006C5B7C" w:rsidP="006C5B7C">
      <w:pPr>
        <w:tabs>
          <w:tab w:val="left" w:pos="2977"/>
        </w:tabs>
        <w:autoSpaceDE w:val="0"/>
        <w:autoSpaceDN w:val="0"/>
        <w:adjustRightInd w:val="0"/>
        <w:spacing w:after="0"/>
        <w:ind w:left="0"/>
      </w:pPr>
      <w:r w:rsidRPr="003F17D5">
        <w:rPr>
          <w:color w:val="000000"/>
          <w:szCs w:val="24"/>
        </w:rPr>
        <w:t>DSM-IV</w:t>
      </w:r>
      <w:r w:rsidRPr="003F17D5">
        <w:rPr>
          <w:color w:val="000000"/>
          <w:szCs w:val="24"/>
        </w:rPr>
        <w:tab/>
      </w:r>
      <w:r w:rsidR="00A26CA6" w:rsidRPr="003F17D5">
        <w:rPr>
          <w:shd w:val="clear" w:color="auto" w:fill="FFFFFF"/>
        </w:rPr>
        <w:t>Diagnostic and Statistical Manual of Mental Disorders, 4th Ed</w:t>
      </w:r>
    </w:p>
    <w:p w14:paraId="45AC385D"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HAM-D</w:t>
      </w:r>
      <w:r w:rsidRPr="003F17D5">
        <w:rPr>
          <w:color w:val="000000"/>
          <w:szCs w:val="24"/>
        </w:rPr>
        <w:tab/>
        <w:t>Hamilton Depression Scale</w:t>
      </w:r>
    </w:p>
    <w:p w14:paraId="7AFB310E"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HESP </w:t>
      </w:r>
      <w:r w:rsidRPr="003F17D5">
        <w:rPr>
          <w:color w:val="000000"/>
          <w:szCs w:val="24"/>
        </w:rPr>
        <w:tab/>
        <w:t xml:space="preserve">Health Expert Standing </w:t>
      </w:r>
    </w:p>
    <w:p w14:paraId="1195EE29"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HRQoL </w:t>
      </w:r>
      <w:r w:rsidRPr="003F17D5">
        <w:rPr>
          <w:color w:val="000000"/>
          <w:szCs w:val="24"/>
        </w:rPr>
        <w:tab/>
        <w:t>health-related quality of life</w:t>
      </w:r>
    </w:p>
    <w:p w14:paraId="3FDE48FA"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HTA </w:t>
      </w:r>
      <w:r w:rsidRPr="003F17D5">
        <w:rPr>
          <w:color w:val="000000"/>
          <w:szCs w:val="24"/>
        </w:rPr>
        <w:tab/>
        <w:t>health technology assessment</w:t>
      </w:r>
    </w:p>
    <w:p w14:paraId="4DA26D7F"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ICER </w:t>
      </w:r>
      <w:r w:rsidRPr="003F17D5">
        <w:rPr>
          <w:color w:val="000000"/>
          <w:szCs w:val="24"/>
        </w:rPr>
        <w:tab/>
        <w:t>incremental cost-effectiveness ratio</w:t>
      </w:r>
    </w:p>
    <w:p w14:paraId="6B4F7055" w14:textId="77777777" w:rsidR="00FA0B4D" w:rsidRPr="003F17D5" w:rsidRDefault="00FA0B4D" w:rsidP="00FA0B4D">
      <w:pPr>
        <w:tabs>
          <w:tab w:val="left" w:pos="2977"/>
        </w:tabs>
        <w:spacing w:after="0"/>
        <w:ind w:left="0"/>
        <w:rPr>
          <w:color w:val="000000"/>
          <w:szCs w:val="24"/>
        </w:rPr>
      </w:pPr>
      <w:r w:rsidRPr="003F17D5">
        <w:rPr>
          <w:color w:val="000000"/>
          <w:szCs w:val="24"/>
        </w:rPr>
        <w:t xml:space="preserve">IDS-SR </w:t>
      </w:r>
      <w:r w:rsidRPr="003F17D5">
        <w:rPr>
          <w:color w:val="000000"/>
          <w:szCs w:val="24"/>
        </w:rPr>
        <w:tab/>
        <w:t xml:space="preserve">Inventory of Depressive Symptomatology – self-report; </w:t>
      </w:r>
    </w:p>
    <w:p w14:paraId="61956CDB" w14:textId="77777777" w:rsidR="00FA0B4D" w:rsidRPr="003F17D5" w:rsidRDefault="00FA0B4D" w:rsidP="00FA0B4D">
      <w:pPr>
        <w:tabs>
          <w:tab w:val="left" w:pos="2977"/>
        </w:tabs>
        <w:spacing w:after="0"/>
        <w:ind w:left="0"/>
        <w:rPr>
          <w:color w:val="000000"/>
          <w:szCs w:val="24"/>
        </w:rPr>
      </w:pPr>
      <w:r w:rsidRPr="003F17D5">
        <w:rPr>
          <w:color w:val="000000"/>
          <w:szCs w:val="24"/>
        </w:rPr>
        <w:t xml:space="preserve">MADRS </w:t>
      </w:r>
      <w:r w:rsidRPr="003F17D5">
        <w:rPr>
          <w:color w:val="000000"/>
          <w:szCs w:val="24"/>
        </w:rPr>
        <w:tab/>
        <w:t xml:space="preserve">Montgomery-Asberg depression rating scale; </w:t>
      </w:r>
    </w:p>
    <w:p w14:paraId="3C7DF0B0"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MBS </w:t>
      </w:r>
      <w:r w:rsidRPr="003F17D5">
        <w:rPr>
          <w:color w:val="000000"/>
          <w:szCs w:val="24"/>
        </w:rPr>
        <w:tab/>
        <w:t>Medical Benefits Schedule</w:t>
      </w:r>
    </w:p>
    <w:p w14:paraId="468775B1"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MD </w:t>
      </w:r>
      <w:r w:rsidRPr="003F17D5">
        <w:rPr>
          <w:color w:val="000000"/>
          <w:szCs w:val="24"/>
        </w:rPr>
        <w:tab/>
        <w:t>mean difference</w:t>
      </w:r>
    </w:p>
    <w:p w14:paraId="55BAD467"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MDD</w:t>
      </w:r>
      <w:r w:rsidRPr="003F17D5">
        <w:rPr>
          <w:color w:val="000000"/>
          <w:szCs w:val="24"/>
        </w:rPr>
        <w:tab/>
        <w:t>major depressive disorder</w:t>
      </w:r>
    </w:p>
    <w:p w14:paraId="7B7349BB"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MRI</w:t>
      </w:r>
      <w:r w:rsidRPr="003F17D5">
        <w:rPr>
          <w:color w:val="000000"/>
          <w:szCs w:val="24"/>
        </w:rPr>
        <w:tab/>
        <w:t>magnetic resonance imaging</w:t>
      </w:r>
    </w:p>
    <w:p w14:paraId="10E094BB"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MSAC </w:t>
      </w:r>
      <w:r w:rsidRPr="003F17D5">
        <w:rPr>
          <w:color w:val="000000"/>
          <w:szCs w:val="24"/>
        </w:rPr>
        <w:tab/>
        <w:t>Medical Services Advisory Committee</w:t>
      </w:r>
    </w:p>
    <w:p w14:paraId="12B67EE9"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NHMRC </w:t>
      </w:r>
      <w:r w:rsidRPr="003F17D5">
        <w:rPr>
          <w:color w:val="000000"/>
          <w:szCs w:val="24"/>
        </w:rPr>
        <w:tab/>
        <w:t>National Health and Medical Research Council</w:t>
      </w:r>
    </w:p>
    <w:p w14:paraId="7E2F743A" w14:textId="77777777" w:rsidR="003E61DB" w:rsidRPr="003F17D5" w:rsidRDefault="003E61DB" w:rsidP="006C5B7C">
      <w:pPr>
        <w:tabs>
          <w:tab w:val="left" w:pos="2977"/>
        </w:tabs>
        <w:autoSpaceDE w:val="0"/>
        <w:autoSpaceDN w:val="0"/>
        <w:adjustRightInd w:val="0"/>
        <w:spacing w:after="0"/>
        <w:ind w:left="0"/>
        <w:rPr>
          <w:color w:val="000000"/>
          <w:szCs w:val="24"/>
        </w:rPr>
      </w:pPr>
      <w:r w:rsidRPr="003F17D5">
        <w:rPr>
          <w:color w:val="000000"/>
          <w:szCs w:val="24"/>
        </w:rPr>
        <w:t xml:space="preserve">NHS </w:t>
      </w:r>
      <w:r w:rsidRPr="003F17D5">
        <w:rPr>
          <w:color w:val="000000"/>
          <w:szCs w:val="24"/>
        </w:rPr>
        <w:tab/>
        <w:t>National Health Service</w:t>
      </w:r>
    </w:p>
    <w:p w14:paraId="7D8ACF20" w14:textId="77777777" w:rsidR="00FA0B4D" w:rsidRPr="003F17D5" w:rsidRDefault="00FA0B4D" w:rsidP="00FA0B4D">
      <w:pPr>
        <w:tabs>
          <w:tab w:val="left" w:pos="2977"/>
        </w:tabs>
        <w:spacing w:after="0"/>
        <w:ind w:left="0"/>
        <w:rPr>
          <w:color w:val="000000"/>
          <w:szCs w:val="24"/>
        </w:rPr>
      </w:pPr>
      <w:r w:rsidRPr="003F17D5">
        <w:rPr>
          <w:color w:val="000000"/>
          <w:szCs w:val="24"/>
        </w:rPr>
        <w:t>NIH</w:t>
      </w:r>
      <w:r w:rsidRPr="003F17D5">
        <w:rPr>
          <w:color w:val="000000"/>
          <w:szCs w:val="24"/>
        </w:rPr>
        <w:tab/>
        <w:t xml:space="preserve">National Institutes of Health; </w:t>
      </w:r>
    </w:p>
    <w:p w14:paraId="5138FAC8"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NIMH</w:t>
      </w:r>
      <w:r w:rsidRPr="003F17D5">
        <w:rPr>
          <w:color w:val="000000"/>
          <w:szCs w:val="24"/>
        </w:rPr>
        <w:tab/>
        <w:t>National Institute of Mental Health</w:t>
      </w:r>
    </w:p>
    <w:p w14:paraId="11F9A3C0" w14:textId="77777777" w:rsidR="00FA0B4D" w:rsidRPr="003F17D5" w:rsidRDefault="00FA0B4D" w:rsidP="00FA0B4D">
      <w:pPr>
        <w:tabs>
          <w:tab w:val="left" w:pos="2977"/>
        </w:tabs>
        <w:spacing w:after="0"/>
        <w:ind w:left="0"/>
        <w:rPr>
          <w:color w:val="000000"/>
          <w:szCs w:val="24"/>
        </w:rPr>
      </w:pPr>
      <w:r w:rsidRPr="003F17D5">
        <w:rPr>
          <w:color w:val="000000"/>
          <w:szCs w:val="24"/>
        </w:rPr>
        <w:t>PHQ-9</w:t>
      </w:r>
      <w:r w:rsidRPr="003F17D5">
        <w:rPr>
          <w:color w:val="000000"/>
          <w:szCs w:val="24"/>
        </w:rPr>
        <w:tab/>
        <w:t xml:space="preserve">patient health questionnaire; </w:t>
      </w:r>
    </w:p>
    <w:p w14:paraId="310BAF1A" w14:textId="77777777" w:rsidR="00FA0B4D" w:rsidRPr="003F17D5" w:rsidRDefault="00FA0B4D" w:rsidP="00FA0B4D">
      <w:pPr>
        <w:tabs>
          <w:tab w:val="left" w:pos="2977"/>
        </w:tabs>
        <w:spacing w:after="0"/>
        <w:ind w:left="0"/>
        <w:rPr>
          <w:color w:val="000000"/>
          <w:szCs w:val="24"/>
        </w:rPr>
      </w:pPr>
      <w:r w:rsidRPr="003F17D5">
        <w:rPr>
          <w:color w:val="000000"/>
          <w:szCs w:val="24"/>
        </w:rPr>
        <w:t>QOL</w:t>
      </w:r>
      <w:r w:rsidRPr="003F17D5">
        <w:rPr>
          <w:color w:val="000000"/>
          <w:szCs w:val="24"/>
        </w:rPr>
        <w:tab/>
        <w:t xml:space="preserve">quality of life; </w:t>
      </w:r>
    </w:p>
    <w:p w14:paraId="284954AF"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RANZCP</w:t>
      </w:r>
      <w:r w:rsidRPr="003F17D5">
        <w:rPr>
          <w:color w:val="000000"/>
          <w:szCs w:val="24"/>
        </w:rPr>
        <w:tab/>
        <w:t>Royal Australian and New Zealand College of Practitioners</w:t>
      </w:r>
    </w:p>
    <w:p w14:paraId="2042880E"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RAPiD</w:t>
      </w:r>
      <w:r w:rsidRPr="003F17D5">
        <w:rPr>
          <w:color w:val="000000"/>
          <w:szCs w:val="24"/>
        </w:rPr>
        <w:tab/>
        <w:t>Regional Adaptation for Payer Policy Decisions</w:t>
      </w:r>
    </w:p>
    <w:p w14:paraId="336A49B1" w14:textId="77777777" w:rsidR="00FA0B4D" w:rsidRPr="003F17D5" w:rsidRDefault="00FA0B4D" w:rsidP="00FA0B4D">
      <w:pPr>
        <w:tabs>
          <w:tab w:val="left" w:pos="2977"/>
        </w:tabs>
        <w:spacing w:after="0"/>
        <w:ind w:left="0"/>
        <w:rPr>
          <w:color w:val="000000"/>
          <w:szCs w:val="24"/>
        </w:rPr>
      </w:pPr>
      <w:r w:rsidRPr="003F17D5">
        <w:rPr>
          <w:color w:val="000000"/>
          <w:szCs w:val="24"/>
        </w:rPr>
        <w:t>RCT</w:t>
      </w:r>
      <w:r w:rsidRPr="003F17D5">
        <w:rPr>
          <w:color w:val="000000"/>
          <w:szCs w:val="24"/>
        </w:rPr>
        <w:tab/>
        <w:t xml:space="preserve">randomised controlled trial; </w:t>
      </w:r>
    </w:p>
    <w:p w14:paraId="0F99E585" w14:textId="77777777" w:rsidR="006C5B7C" w:rsidRPr="003F17D5" w:rsidRDefault="006C5B7C" w:rsidP="006C5B7C">
      <w:pPr>
        <w:tabs>
          <w:tab w:val="left" w:pos="2977"/>
        </w:tabs>
        <w:autoSpaceDE w:val="0"/>
        <w:autoSpaceDN w:val="0"/>
        <w:adjustRightInd w:val="0"/>
        <w:spacing w:after="0"/>
        <w:ind w:left="0"/>
        <w:rPr>
          <w:color w:val="000000"/>
          <w:szCs w:val="24"/>
        </w:rPr>
      </w:pPr>
      <w:proofErr w:type="gramStart"/>
      <w:r w:rsidRPr="003F17D5">
        <w:rPr>
          <w:color w:val="000000"/>
          <w:szCs w:val="24"/>
        </w:rPr>
        <w:t>rTMS</w:t>
      </w:r>
      <w:proofErr w:type="gramEnd"/>
      <w:r w:rsidRPr="003F17D5">
        <w:rPr>
          <w:color w:val="000000"/>
          <w:szCs w:val="24"/>
        </w:rPr>
        <w:tab/>
        <w:t>repetitive transcranial magnetic stimulation</w:t>
      </w:r>
    </w:p>
    <w:p w14:paraId="1E06C71B"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STAR*D</w:t>
      </w:r>
      <w:r w:rsidRPr="003F17D5">
        <w:rPr>
          <w:color w:val="000000"/>
          <w:szCs w:val="24"/>
        </w:rPr>
        <w:tab/>
        <w:t>Sequenced Treatment Alternative to Reduce Depression</w:t>
      </w:r>
    </w:p>
    <w:p w14:paraId="05111B99" w14:textId="77777777" w:rsidR="006C5B7C" w:rsidRPr="003F17D5" w:rsidRDefault="006C5B7C" w:rsidP="006C5B7C">
      <w:pPr>
        <w:tabs>
          <w:tab w:val="left" w:pos="2977"/>
        </w:tabs>
        <w:autoSpaceDE w:val="0"/>
        <w:autoSpaceDN w:val="0"/>
        <w:adjustRightInd w:val="0"/>
        <w:spacing w:after="0"/>
        <w:ind w:left="0"/>
        <w:rPr>
          <w:color w:val="000000"/>
          <w:szCs w:val="24"/>
        </w:rPr>
      </w:pPr>
      <w:r w:rsidRPr="003F17D5">
        <w:rPr>
          <w:color w:val="000000"/>
          <w:szCs w:val="24"/>
        </w:rPr>
        <w:t>TRD</w:t>
      </w:r>
      <w:r w:rsidRPr="003F17D5">
        <w:rPr>
          <w:color w:val="000000"/>
          <w:szCs w:val="24"/>
        </w:rPr>
        <w:tab/>
        <w:t>treatment resistant depression</w:t>
      </w:r>
    </w:p>
    <w:p w14:paraId="7C5C6650" w14:textId="77777777" w:rsidR="00A439B7" w:rsidRPr="003F17D5" w:rsidRDefault="00A439B7" w:rsidP="00FA0B4D">
      <w:pPr>
        <w:tabs>
          <w:tab w:val="left" w:pos="2977"/>
        </w:tabs>
        <w:spacing w:after="0"/>
        <w:ind w:left="0"/>
        <w:rPr>
          <w:color w:val="000000"/>
          <w:szCs w:val="24"/>
        </w:rPr>
      </w:pPr>
      <w:r w:rsidRPr="003F17D5">
        <w:rPr>
          <w:color w:val="000000"/>
          <w:szCs w:val="24"/>
        </w:rPr>
        <w:t>VAS</w:t>
      </w:r>
      <w:r w:rsidR="00FA0B4D" w:rsidRPr="003F17D5">
        <w:rPr>
          <w:color w:val="000000"/>
          <w:szCs w:val="24"/>
        </w:rPr>
        <w:tab/>
      </w:r>
      <w:r w:rsidRPr="003F17D5">
        <w:rPr>
          <w:color w:val="000000"/>
          <w:szCs w:val="24"/>
        </w:rPr>
        <w:t>visual analogue scale</w:t>
      </w:r>
    </w:p>
    <w:p w14:paraId="7FCE11EE" w14:textId="77777777" w:rsidR="00A439B7" w:rsidRDefault="00A439B7" w:rsidP="006C5B7C">
      <w:pPr>
        <w:tabs>
          <w:tab w:val="left" w:pos="2977"/>
        </w:tabs>
        <w:autoSpaceDE w:val="0"/>
        <w:autoSpaceDN w:val="0"/>
        <w:adjustRightInd w:val="0"/>
        <w:spacing w:after="0"/>
        <w:ind w:left="0"/>
        <w:rPr>
          <w:rFonts w:ascii="Times New Roman" w:hAnsi="Times New Roman"/>
          <w:color w:val="000000"/>
          <w:szCs w:val="24"/>
        </w:rPr>
      </w:pPr>
    </w:p>
    <w:p w14:paraId="1F92D5DE" w14:textId="77777777" w:rsidR="003E61DB" w:rsidRPr="00C9782D" w:rsidRDefault="003E61DB" w:rsidP="00AB6AD4">
      <w:pPr>
        <w:pStyle w:val="Heading2"/>
      </w:pPr>
      <w:bookmarkStart w:id="309" w:name="_Toc386093987"/>
      <w:bookmarkStart w:id="310" w:name="_Toc386094226"/>
      <w:bookmarkStart w:id="311" w:name="_Toc389142077"/>
      <w:r w:rsidRPr="00C9782D">
        <w:lastRenderedPageBreak/>
        <w:t>References</w:t>
      </w:r>
      <w:bookmarkEnd w:id="309"/>
      <w:bookmarkEnd w:id="310"/>
      <w:bookmarkEnd w:id="311"/>
      <w:r w:rsidRPr="00C9782D">
        <w:t xml:space="preserve"> </w:t>
      </w:r>
    </w:p>
    <w:p w14:paraId="226942B6" w14:textId="77777777" w:rsidR="002726B8" w:rsidRDefault="002726B8" w:rsidP="00D468ED">
      <w:pPr>
        <w:pStyle w:val="References"/>
        <w:ind w:left="709" w:firstLine="11"/>
      </w:pPr>
    </w:p>
    <w:p w14:paraId="5F23699B" w14:textId="77777777" w:rsidR="00FB0D00" w:rsidRDefault="00FB0D00" w:rsidP="00D468ED">
      <w:pPr>
        <w:pStyle w:val="References"/>
        <w:ind w:left="709" w:firstLine="11"/>
      </w:pPr>
      <w:proofErr w:type="gramStart"/>
      <w:r w:rsidRPr="003039ED">
        <w:t>Aspen Pharmacare Australia.</w:t>
      </w:r>
      <w:proofErr w:type="gramEnd"/>
      <w:r w:rsidRPr="003039ED">
        <w:t xml:space="preserve"> </w:t>
      </w:r>
      <w:proofErr w:type="gramStart"/>
      <w:r w:rsidRPr="003039ED">
        <w:t>Lithicarb® product information.</w:t>
      </w:r>
      <w:proofErr w:type="gramEnd"/>
      <w:r w:rsidRPr="003039ED">
        <w:t xml:space="preserve"> Last updated 3 Feb 2012. Available from: www.ebs.tga.gov.au/ebs/picmi/picmirepository.nsf/PICMI?OpenForm&amp;t=&amp;q=lithium%20carbonate</w:t>
      </w:r>
    </w:p>
    <w:p w14:paraId="6C9755D8" w14:textId="075F9B64" w:rsidR="00DF3EE7" w:rsidRDefault="00DF3EE7" w:rsidP="00D468ED">
      <w:pPr>
        <w:pStyle w:val="References"/>
        <w:ind w:left="709" w:firstLine="11"/>
      </w:pPr>
      <w:proofErr w:type="gramStart"/>
      <w:r>
        <w:t>Australian Bureau of Statistics.</w:t>
      </w:r>
      <w:proofErr w:type="gramEnd"/>
      <w:r>
        <w:t xml:space="preserve"> 3222.0 - Population projections, Australia, 2012 (base) to 2101. Table B9: Population projections, by age and sex, Australia – series B. Updated 26/11/2013. Available from:</w:t>
      </w:r>
      <w:r w:rsidR="004371DF">
        <w:t xml:space="preserve"> </w:t>
      </w:r>
      <w:hyperlink r:id="rId34" w:tooltip="Link to Australian Bureau of Statistics. 3222.0 - Population projections, Australia, 2012 (base) to 2101. Table B9" w:history="1">
        <w:r w:rsidR="004371DF" w:rsidRPr="001F3A3C">
          <w:rPr>
            <w:rStyle w:val="Hyperlink"/>
          </w:rPr>
          <w:t>www.abs.gov.au/AUSSTATS/abs@.nsf/DetailsPage/3222.02012%20(base)%20to%202101?OpenDocument</w:t>
        </w:r>
      </w:hyperlink>
    </w:p>
    <w:p w14:paraId="04C526F3" w14:textId="1CD1C49E" w:rsidR="00B303D6" w:rsidRDefault="00B303D6" w:rsidP="00D468ED">
      <w:pPr>
        <w:pStyle w:val="References"/>
        <w:ind w:left="709" w:firstLine="11"/>
      </w:pPr>
      <w:proofErr w:type="gramStart"/>
      <w:r>
        <w:t>Australian Bureau of Statistics.</w:t>
      </w:r>
      <w:proofErr w:type="gramEnd"/>
      <w:r>
        <w:t xml:space="preserve"> National survey of mental health and wellbeing: summary of results #4326.0. </w:t>
      </w:r>
      <w:r w:rsidR="004371DF">
        <w:t xml:space="preserve">Canberra: </w:t>
      </w:r>
      <w:r>
        <w:t xml:space="preserve">2007. Available from: </w:t>
      </w:r>
      <w:hyperlink r:id="rId35" w:tooltip="Link to the Australian Bureau of Statistics. National survey of mental health and wellbeing: summary of results #4326.0. Canberra: 2007" w:history="1">
        <w:r w:rsidRPr="00DC2908">
          <w:rPr>
            <w:rStyle w:val="Hyperlink"/>
          </w:rPr>
          <w:t>www.abs.gov.au/AUSSTATS/abs@.nsf/DetailsPage/4326.02007?OpenDocument</w:t>
        </w:r>
      </w:hyperlink>
    </w:p>
    <w:p w14:paraId="1A73E5E9" w14:textId="77777777" w:rsidR="00D9113F" w:rsidRDefault="00D9113F" w:rsidP="00D468ED">
      <w:pPr>
        <w:pStyle w:val="References"/>
        <w:ind w:left="709" w:firstLine="11"/>
      </w:pPr>
      <w:r>
        <w:t xml:space="preserve">Carpenter LL, Janicak PG, Aaronson ST, et al. Transcranial magnetic stimulation (TMS) for major depression: a multisite, naturalistic, observational study of acute treatment outcomes in clinical practice. </w:t>
      </w:r>
      <w:proofErr w:type="gramStart"/>
      <w:r>
        <w:t>Depression and Anxiety.</w:t>
      </w:r>
      <w:proofErr w:type="gramEnd"/>
      <w:r>
        <w:t xml:space="preserve"> 2012</w:t>
      </w:r>
      <w:proofErr w:type="gramStart"/>
      <w:r>
        <w:t>;29:587</w:t>
      </w:r>
      <w:proofErr w:type="gramEnd"/>
      <w:r>
        <w:t>-596.</w:t>
      </w:r>
    </w:p>
    <w:p w14:paraId="6B47E6DF" w14:textId="6E6201A5" w:rsidR="003C0433" w:rsidRDefault="00E45AF4" w:rsidP="00D468ED">
      <w:pPr>
        <w:pStyle w:val="References"/>
        <w:ind w:left="709" w:firstLine="11"/>
      </w:pPr>
      <w:r>
        <w:t>Protocol</w:t>
      </w:r>
      <w:r w:rsidR="003C0433">
        <w:t xml:space="preserve"> – 1196 Final decision analytic protocol (</w:t>
      </w:r>
      <w:r>
        <w:t>Protocol</w:t>
      </w:r>
      <w:r w:rsidR="003C0433">
        <w:t>) to guide the assessment of repetitive Transcranial Magnetic Stimulation as a treatment for major depression. January 2013.</w:t>
      </w:r>
    </w:p>
    <w:p w14:paraId="4070E0F0" w14:textId="77777777" w:rsidR="00EA4C06" w:rsidRDefault="00EA4C06" w:rsidP="00D468ED">
      <w:pPr>
        <w:pStyle w:val="References"/>
        <w:ind w:left="709" w:firstLine="11"/>
      </w:pPr>
      <w:proofErr w:type="gramStart"/>
      <w:r>
        <w:t>Malhl GS, Tanlous M, Bargh D, et al. Safe and effective use of lithium.</w:t>
      </w:r>
      <w:proofErr w:type="gramEnd"/>
      <w:r>
        <w:t xml:space="preserve"> </w:t>
      </w:r>
      <w:proofErr w:type="gramStart"/>
      <w:r>
        <w:t>Australian Prescriber.</w:t>
      </w:r>
      <w:proofErr w:type="gramEnd"/>
      <w:r>
        <w:t xml:space="preserve"> 2013</w:t>
      </w:r>
      <w:proofErr w:type="gramStart"/>
      <w:r>
        <w:t>;36</w:t>
      </w:r>
      <w:proofErr w:type="gramEnd"/>
      <w:r>
        <w:t>(1):18-21.</w:t>
      </w:r>
    </w:p>
    <w:p w14:paraId="45722EA1" w14:textId="77777777" w:rsidR="003109BB" w:rsidRDefault="003109BB" w:rsidP="00D468ED">
      <w:pPr>
        <w:pStyle w:val="References"/>
        <w:ind w:left="709" w:firstLine="11"/>
      </w:pPr>
      <w:r>
        <w:t xml:space="preserve">Mathys M, Mitchell BG. Targeting treatment-resistant depression. </w:t>
      </w:r>
      <w:proofErr w:type="gramStart"/>
      <w:r>
        <w:t>Journal of Pharmacy Practice.</w:t>
      </w:r>
      <w:proofErr w:type="gramEnd"/>
      <w:r>
        <w:t xml:space="preserve"> 2011</w:t>
      </w:r>
      <w:proofErr w:type="gramStart"/>
      <w:r>
        <w:t>;24</w:t>
      </w:r>
      <w:proofErr w:type="gramEnd"/>
      <w:r>
        <w:t>(6):520-533.</w:t>
      </w:r>
    </w:p>
    <w:p w14:paraId="4873AF5A" w14:textId="32EBF12D" w:rsidR="00B303D6" w:rsidRDefault="00B303D6" w:rsidP="00D468ED">
      <w:pPr>
        <w:pStyle w:val="References"/>
        <w:ind w:left="709" w:firstLine="11"/>
      </w:pPr>
      <w:proofErr w:type="gramStart"/>
      <w:r>
        <w:t>Medicare Australia Statistics.</w:t>
      </w:r>
      <w:proofErr w:type="gramEnd"/>
      <w:r>
        <w:t xml:space="preserve"> </w:t>
      </w:r>
      <w:proofErr w:type="gramStart"/>
      <w:r>
        <w:t>Medicare item reports.</w:t>
      </w:r>
      <w:proofErr w:type="gramEnd"/>
      <w:r>
        <w:t xml:space="preserve"> Available from: </w:t>
      </w:r>
      <w:hyperlink r:id="rId36" w:tooltip="Link to the Medicare Australia Statistics. Medicare item reports" w:history="1">
        <w:r w:rsidRPr="00DC2908">
          <w:rPr>
            <w:rStyle w:val="Hyperlink"/>
          </w:rPr>
          <w:t>www.medicareaustralia.gov.au/statistics/mbs_item.shtml</w:t>
        </w:r>
      </w:hyperlink>
    </w:p>
    <w:p w14:paraId="191AF9DF" w14:textId="77777777" w:rsidR="005764C7" w:rsidRDefault="005764C7" w:rsidP="00D468ED">
      <w:pPr>
        <w:pStyle w:val="References"/>
        <w:ind w:left="709" w:firstLine="11"/>
      </w:pPr>
      <w:r>
        <w:t>O’Reardon JP, Solvason HB, Janicak PG, et al. Efficacy and safety of Transcranial magnetic stimulation in the acute treatment of major depression: a multisite randomized controlled trial. Biol Psychiatry. 2007</w:t>
      </w:r>
      <w:proofErr w:type="gramStart"/>
      <w:r>
        <w:t>;62:1208</w:t>
      </w:r>
      <w:proofErr w:type="gramEnd"/>
      <w:r>
        <w:t>-1216.</w:t>
      </w:r>
    </w:p>
    <w:p w14:paraId="3AF0A240" w14:textId="77777777" w:rsidR="003C0433" w:rsidRDefault="003C0433" w:rsidP="00D468ED">
      <w:pPr>
        <w:pStyle w:val="References"/>
        <w:ind w:left="709" w:firstLine="11"/>
      </w:pPr>
      <w:r>
        <w:t xml:space="preserve">Rush AJ, Trivedi MH, Wisniewski SR, et al. Acute and longer-term outcomes in depressed outpatients requiring one or several treatment steps: a STAR*D report. </w:t>
      </w:r>
      <w:proofErr w:type="gramStart"/>
      <w:r>
        <w:t>The American Journal of Psychiatry.</w:t>
      </w:r>
      <w:proofErr w:type="gramEnd"/>
      <w:r>
        <w:t xml:space="preserve"> 2006</w:t>
      </w:r>
      <w:proofErr w:type="gramStart"/>
      <w:r>
        <w:t>;163</w:t>
      </w:r>
      <w:proofErr w:type="gramEnd"/>
      <w:r>
        <w:t>(11):1905-1917.</w:t>
      </w:r>
    </w:p>
    <w:p w14:paraId="3C8D3A9B" w14:textId="77777777" w:rsidR="00233ED7" w:rsidRDefault="00233ED7" w:rsidP="00D468ED">
      <w:pPr>
        <w:pStyle w:val="References"/>
        <w:ind w:left="709" w:firstLine="11"/>
      </w:pPr>
      <w:r>
        <w:t xml:space="preserve">Schlaepfer TE, Agren H, Monteleone P, et al. The hidden third: improving outcome in treatment-resistant depression. </w:t>
      </w:r>
      <w:proofErr w:type="gramStart"/>
      <w:r>
        <w:t>Journal of Psychopharmacology.</w:t>
      </w:r>
      <w:proofErr w:type="gramEnd"/>
      <w:r>
        <w:t xml:space="preserve"> 2012</w:t>
      </w:r>
      <w:proofErr w:type="gramStart"/>
      <w:r>
        <w:t>;26</w:t>
      </w:r>
      <w:proofErr w:type="gramEnd"/>
      <w:r>
        <w:t>(5):587-602</w:t>
      </w:r>
    </w:p>
    <w:p w14:paraId="110E1F7B" w14:textId="77777777" w:rsidR="00DF3EE7" w:rsidRDefault="00DF3EE7" w:rsidP="00D468ED">
      <w:pPr>
        <w:pStyle w:val="References"/>
        <w:ind w:left="709" w:firstLine="11"/>
      </w:pPr>
      <w:r>
        <w:t xml:space="preserve">Sinyor M, Achaffer A, Levitt A. The sequenced treatment alternatives to relieve depression (STAR*D) trial: a review. </w:t>
      </w:r>
      <w:proofErr w:type="gramStart"/>
      <w:r>
        <w:t>Canadian Journal of Psychiatry.</w:t>
      </w:r>
      <w:proofErr w:type="gramEnd"/>
      <w:r>
        <w:t xml:space="preserve"> 2010</w:t>
      </w:r>
      <w:proofErr w:type="gramStart"/>
      <w:r>
        <w:t>;55</w:t>
      </w:r>
      <w:proofErr w:type="gramEnd"/>
      <w:r>
        <w:t>(3):126-135.</w:t>
      </w:r>
    </w:p>
    <w:p w14:paraId="65DA7CFC" w14:textId="77777777" w:rsidR="006D2F60" w:rsidRDefault="006D2F60" w:rsidP="00D468ED">
      <w:pPr>
        <w:pStyle w:val="References"/>
        <w:ind w:left="709" w:firstLine="11"/>
      </w:pPr>
      <w:r>
        <w:lastRenderedPageBreak/>
        <w:t xml:space="preserve">The British Psychological Society and </w:t>
      </w:r>
      <w:proofErr w:type="gramStart"/>
      <w:r>
        <w:t>The</w:t>
      </w:r>
      <w:proofErr w:type="gramEnd"/>
      <w:r>
        <w:t xml:space="preserve"> Royal College of Psychiatrists. Depression: The treatment and management of depression in adults (updated edition). National clinical Practice Guideline 90. NICE; 2010.</w:t>
      </w:r>
    </w:p>
    <w:p w14:paraId="09F9BE72" w14:textId="001C11D7" w:rsidR="00407E15" w:rsidRDefault="00407E15" w:rsidP="00D468ED">
      <w:pPr>
        <w:pStyle w:val="References"/>
        <w:ind w:left="709" w:firstLine="11"/>
      </w:pPr>
      <w:proofErr w:type="gramStart"/>
      <w:r>
        <w:t>The Royal Australian and New Zealand College of Psychiatrists.</w:t>
      </w:r>
      <w:proofErr w:type="gramEnd"/>
      <w:r>
        <w:t xml:space="preserve"> Position Statement 74: Electroconvulsive therapy (ECT). August 2013. Available from: </w:t>
      </w:r>
      <w:hyperlink r:id="rId37" w:tooltip="Link to the Royal Australian and New Zealand College of Psychiatrists. Position Statement 74: Electroconvulsive therapy (ECT). August 2013" w:history="1">
        <w:r w:rsidRPr="00DC2908">
          <w:rPr>
            <w:rStyle w:val="Hyperlink"/>
          </w:rPr>
          <w:t>www.ranzcp.org/Files/ranzcp-attachments/Resources/College_Statements/Position_Statements/74-Electroconvulsive-Therapy-GC2012-3.aspx</w:t>
        </w:r>
      </w:hyperlink>
    </w:p>
    <w:p w14:paraId="4D0BC84C" w14:textId="77777777" w:rsidR="00407E15" w:rsidRDefault="007A3B82" w:rsidP="00D468ED">
      <w:pPr>
        <w:pStyle w:val="References"/>
        <w:ind w:left="709" w:firstLine="11"/>
      </w:pPr>
      <w:r w:rsidRPr="00F06C85">
        <w:t>Cuijpers P, Smit F. Excess mortality in depression: a meta-analysis of community studies. J Affect Disord 2002; 72(3): 227-36.</w:t>
      </w:r>
    </w:p>
    <w:p w14:paraId="580FDDE1" w14:textId="77777777" w:rsidR="008C4A63" w:rsidRPr="008C4A63" w:rsidRDefault="008C4A63" w:rsidP="008C4A63">
      <w:pPr>
        <w:pStyle w:val="NormalWeb"/>
        <w:ind w:left="709"/>
        <w:divId w:val="1548183309"/>
        <w:rPr>
          <w:rFonts w:ascii="Garamond" w:eastAsiaTheme="minorEastAsia" w:hAnsi="Garamond"/>
          <w:noProof/>
        </w:rPr>
      </w:pPr>
      <w:r>
        <w:fldChar w:fldCharType="begin" w:fldLock="1"/>
      </w:r>
      <w:r>
        <w:instrText xml:space="preserve">ADDIN Mendeley Bibliography CSL_BIBLIOGRAPHY </w:instrText>
      </w:r>
      <w:r>
        <w:fldChar w:fldCharType="separate"/>
      </w:r>
      <w:r w:rsidRPr="008C4A63">
        <w:rPr>
          <w:rFonts w:ascii="Garamond" w:hAnsi="Garamond"/>
          <w:noProof/>
        </w:rPr>
        <w:t>Berlim, M., Van den Eynde, F., Daskalakis, J., 2013a. Clinically meaningful efficacy and acceptability of low-frequency repetitive transcranial magnetic stimulation (rTMS) for treating primary major depression: a meta-analysis of randomized, double-blind and sham-controlled trials. Neuropsychopharmacology 38, 543–51.</w:t>
      </w:r>
    </w:p>
    <w:p w14:paraId="73BFEB82"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Berlim, M., Van den Eynde, F., Daskalakis, Z., 2013b. Efficacy and acceptability of high frequency repetitive transcranial magnetic stimulation (rTMS) versus electroconvulsive therapy (ECT) for major depression: a systematic review and meta-analysis of randomized trials. Depress. Anxiety 30, 614–23.</w:t>
      </w:r>
    </w:p>
    <w:p w14:paraId="24BAD436"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Berlim, M.T., van den Eynde, F., Tovar-Perdomo, S., Daskalakis, Z.J., 2014. Response, remission and drop-out rates following high-frequency repetitive transcranial magnetic stimulation (rTMS) for treating major depression: a systematic review and meta-analysis of randomized, double-blind and sham-controlled trials. Psychol. Med. 44, 225–39.</w:t>
      </w:r>
    </w:p>
    <w:p w14:paraId="2E6BEA5E"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Hawthorne, G., Cheok, F., Goldney, R., Fisher, L., 2003. The excess cost of depression in South Australia: a population-based study. Aust. N. Z. J. Psychiatry 37, 362–373.</w:t>
      </w:r>
    </w:p>
    <w:p w14:paraId="7D0AEE50"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Janicak, P.G., Nahas, Z., Lisanby, S.H., Solvason, H.B., Sampson, S.M., McDonald, W.M., Marangell, L.B., Rosenquist, P., McCall, W.V., Kimball, J., O’Reardon, J.P., Loo, C., Husain, M.H., Krystal, A., Gilmer, W., Dowd, S.M., Demitrack, M. a, Schatzberg, A.F., 2010. Durability of clinical benefit with transcranial magnetic stimulation (TMS) in the treatment of pharmacoresistant major depression: assessment of relapse during a 6-month, multisite, open-label study. Brain Stimul. 3, 187–99.</w:t>
      </w:r>
    </w:p>
    <w:p w14:paraId="27656EEC"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Knapp, M., Romeo, R., Mogg, A., Eranti, S., Pluck, G., Purvis, R., Brown, R.G., Howard, R., Philpot, M., Rothwell, J., Edwards, D., McLoughlin, D.M., 2008. Cost-effectiveness of transcranial magnetic stimulation vs. electroconvulsive therapy for severe depression: a multi-centre randomised controlled trial. J. Affect. Disord. 109, 273–85.</w:t>
      </w:r>
    </w:p>
    <w:p w14:paraId="795D10F3"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Kozel, F.A., George, M.S., Simpson, K.N., 2004. Decision analysis of the cost-effectiveness of repetitive transcranial magnetic stimulation versus electroconvulsive therapy for treatment of nonpsychotic severe depression. CNS Spectr. 9, 476–82.</w:t>
      </w:r>
    </w:p>
    <w:p w14:paraId="0260237B"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Mantovani, A., Pavlicova, M., Avery, D., Nahas, Z., McDonald, W.M., Wajdik, C.D., Holtzheimer, P.E., George, M.S., Sackeim, H. a, Lisanby, S.H., 2012. Long-term efficacy of repeated daily prefrontal transcranial magnetic stimulation (TMS) in treatment-resistant depression. Depress. Anxiety 29, 883–90.</w:t>
      </w:r>
    </w:p>
    <w:p w14:paraId="3D3DDA0F"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lastRenderedPageBreak/>
        <w:t>McLoughlin, D., Mogg, A., Eranti, S., Pluck, G., Purvis, R., Edwards, D., Landau, S., Brown, R., Rabe-Heskith, S., Howard, R., Philpot, M., Rothwell, J., Romeo, R., Knapp, M., 2007. Repetitive transcranial magnetic stimulation versus electroconvulsive therapy in severe depression: a multicentre pragmatic randomised controlled trial and economic analysis.</w:t>
      </w:r>
    </w:p>
    <w:p w14:paraId="08E34A05"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Ren, J., Li, H., Palaniyappan, L., Liu, H., Wang, J., Li, C., Rossini, P.M., 2014. Repetitive transcranial magnetic stimulation versus electroconvulsive therapy for major depression: A systematic review and meta-analysis. Prog. Neuropsychopharmacol. Biol. Psychiatry 51C, 181–189.</w:t>
      </w:r>
    </w:p>
    <w:p w14:paraId="129B60C2"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Rush, J., 2007. STAR*D: what have we learned? Am. J. Psychiatry 164, 201–4.</w:t>
      </w:r>
    </w:p>
    <w:p w14:paraId="6DDBBC21"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Sackeim, H. a., Haskett, R.F., Mulsant, B.H., Thase, M.E., Mann, J.J., Pettinati, H.M., Greenberg, R.M., Crowe, R.R., Cooper, T.B., Prudic, J., 2001. Continuation Pharmacotherapy in the Prevention of Relapse Following Electroconvulsive Therapy. Jama 285, 1299.</w:t>
      </w:r>
    </w:p>
    <w:p w14:paraId="21CD2D09"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Simpson, K.N., Welch, M.J., Kozel, F.A., Demitrack, M. a, Nahas, Z., 2009. Cost-effectiveness of transcranial magnetic stimulation in the treatment of major depression: a health economics analysis. Adv. Ther. 26, 346–68.</w:t>
      </w:r>
    </w:p>
    <w:p w14:paraId="57456D3D"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Sinyor, M., Schaffer, A., Levitt, A., 2010. The sequenced treatment alternatives to relieve depression (STAR*D) trial: a review. Can. J. Psychiatry. 55, 126–35.</w:t>
      </w:r>
    </w:p>
    <w:p w14:paraId="1D7C9521" w14:textId="77777777" w:rsidR="008C4A63" w:rsidRPr="008C4A63" w:rsidRDefault="008C4A63" w:rsidP="008C4A63">
      <w:pPr>
        <w:pStyle w:val="NormalWeb"/>
        <w:ind w:left="709"/>
        <w:divId w:val="1548183309"/>
        <w:rPr>
          <w:rFonts w:ascii="Garamond" w:hAnsi="Garamond"/>
          <w:noProof/>
        </w:rPr>
      </w:pPr>
      <w:r w:rsidRPr="008C4A63">
        <w:rPr>
          <w:rFonts w:ascii="Garamond" w:hAnsi="Garamond"/>
          <w:noProof/>
        </w:rPr>
        <w:t>Sullivan, P.W., Valuck, R., Saseen, J., MacFall, H.M., 2004. A comparison of the direct costs and cost effectiveness of serotonin reuptake inhibitors and associated adverse drug reactions. CNS Drugs 18, 911–32.</w:t>
      </w:r>
    </w:p>
    <w:p w14:paraId="4F71CFE8" w14:textId="77777777" w:rsidR="008C4A63" w:rsidRDefault="008C4A63" w:rsidP="008C4A63">
      <w:pPr>
        <w:pStyle w:val="References"/>
        <w:ind w:left="709" w:firstLine="0"/>
      </w:pPr>
      <w:r>
        <w:fldChar w:fldCharType="end"/>
      </w:r>
    </w:p>
    <w:p w14:paraId="5C41C49B" w14:textId="77777777" w:rsidR="00D468ED" w:rsidRPr="009E5C5B" w:rsidRDefault="00D468ED" w:rsidP="00D468ED">
      <w:pPr>
        <w:pStyle w:val="References"/>
        <w:ind w:left="709" w:firstLine="11"/>
      </w:pPr>
    </w:p>
    <w:sectPr w:rsidR="00D468ED" w:rsidRPr="009E5C5B" w:rsidSect="00347EC2">
      <w:pgSz w:w="11906" w:h="16838"/>
      <w:pgMar w:top="1440" w:right="1440" w:bottom="1440" w:left="1440" w:header="720" w:footer="720" w:gutter="0"/>
      <w:paperSrc w:first="7" w:other="7"/>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CC9586" w15:done="0"/>
  <w15:commentEx w15:paraId="53911969" w15:done="0"/>
  <w15:commentEx w15:paraId="0088A1EC" w15:done="0"/>
  <w15:commentEx w15:paraId="14B886DF" w15:done="0"/>
  <w15:commentEx w15:paraId="061ACBF8" w15:done="0"/>
  <w15:commentEx w15:paraId="4D0F957D" w15:done="0"/>
  <w15:commentEx w15:paraId="69E6BAEE" w15:done="0"/>
  <w15:commentEx w15:paraId="4290CF93" w15:done="0"/>
  <w15:commentEx w15:paraId="76764F5A" w15:done="0"/>
  <w15:commentEx w15:paraId="33CF2A94" w15:done="0"/>
  <w15:commentEx w15:paraId="2DA14569" w15:done="0"/>
  <w15:commentEx w15:paraId="1EF0983A" w15:done="0"/>
  <w15:commentEx w15:paraId="0F0C9CB3" w15:done="0"/>
  <w15:commentEx w15:paraId="71E43845" w15:done="0"/>
  <w15:commentEx w15:paraId="5B4FA693" w15:done="0"/>
  <w15:commentEx w15:paraId="64948C28" w15:done="0"/>
  <w15:commentEx w15:paraId="31D1B3FF" w15:done="0"/>
  <w15:commentEx w15:paraId="7161551A" w15:done="0"/>
  <w15:commentEx w15:paraId="54F312D4" w15:done="0"/>
  <w15:commentEx w15:paraId="0C263D04" w15:done="0"/>
  <w15:commentEx w15:paraId="2E56946A" w15:done="0"/>
  <w15:commentEx w15:paraId="4A88666C" w15:done="0"/>
  <w15:commentEx w15:paraId="6DCE14C0" w15:done="0"/>
  <w15:commentEx w15:paraId="15FEE996" w15:done="0"/>
  <w15:commentEx w15:paraId="6F53DF41" w15:done="0"/>
  <w15:commentEx w15:paraId="7FA8B08D" w15:done="0"/>
  <w15:commentEx w15:paraId="058A1FD1" w15:done="0"/>
  <w15:commentEx w15:paraId="1EF33B84" w15:done="0"/>
  <w15:commentEx w15:paraId="5F46FFF0" w15:done="0"/>
  <w15:commentEx w15:paraId="41D58F73" w15:done="0"/>
  <w15:commentEx w15:paraId="38ED12E2" w15:done="0"/>
  <w15:commentEx w15:paraId="79FA3559" w15:done="0"/>
  <w15:commentEx w15:paraId="0EDDA1F4" w15:done="0"/>
  <w15:commentEx w15:paraId="679AC29D" w15:done="0"/>
  <w15:commentEx w15:paraId="5E7674FB" w15:done="0"/>
  <w15:commentEx w15:paraId="0172B69A" w15:done="0"/>
  <w15:commentEx w15:paraId="28D3D743" w15:done="0"/>
  <w15:commentEx w15:paraId="61F5EA59" w15:done="0"/>
  <w15:commentEx w15:paraId="322C48D7" w15:done="0"/>
  <w15:commentEx w15:paraId="67F31C7F" w15:done="0"/>
  <w15:commentEx w15:paraId="74991D68" w15:done="0"/>
  <w15:commentEx w15:paraId="310A26DA" w15:done="0"/>
  <w15:commentEx w15:paraId="6D814DA3" w15:done="0"/>
  <w15:commentEx w15:paraId="148C5B41" w15:done="0"/>
  <w15:commentEx w15:paraId="67959BF6" w15:done="0"/>
  <w15:commentEx w15:paraId="718D13EA" w15:done="0"/>
  <w15:commentEx w15:paraId="4C41F942" w15:done="0"/>
  <w15:commentEx w15:paraId="1A043F8E" w15:done="0"/>
  <w15:commentEx w15:paraId="4AD013D2" w15:done="0"/>
  <w15:commentEx w15:paraId="3006F79D" w15:done="0"/>
  <w15:commentEx w15:paraId="2EA7D779" w15:done="0"/>
  <w15:commentEx w15:paraId="1E8807E9" w15:done="0"/>
  <w15:commentEx w15:paraId="4284F747" w15:done="0"/>
  <w15:commentEx w15:paraId="4FA2E70E" w15:done="0"/>
  <w15:commentEx w15:paraId="3786EAAA" w15:done="0"/>
  <w15:commentEx w15:paraId="7026165E" w15:done="0"/>
  <w15:commentEx w15:paraId="20C32FC5" w15:done="0"/>
  <w15:commentEx w15:paraId="0034FBB4" w15:done="0"/>
  <w15:commentEx w15:paraId="0BA8DD12" w15:done="0"/>
  <w15:commentEx w15:paraId="53258556" w15:done="0"/>
  <w15:commentEx w15:paraId="617920A9" w15:done="0"/>
  <w15:commentEx w15:paraId="7EE6ED39" w15:done="0"/>
  <w15:commentEx w15:paraId="7C27B13E" w15:done="0"/>
  <w15:commentEx w15:paraId="19C79C60" w15:done="0"/>
  <w15:commentEx w15:paraId="1BE1C242" w15:done="0"/>
  <w15:commentEx w15:paraId="1BE10AA6" w15:done="0"/>
  <w15:commentEx w15:paraId="19C6C44D" w15:done="0"/>
  <w15:commentEx w15:paraId="79658500" w15:done="0"/>
  <w15:commentEx w15:paraId="46AC58B2" w15:done="0"/>
  <w15:commentEx w15:paraId="5CD37CB4" w15:done="0"/>
  <w15:commentEx w15:paraId="3863EFA4" w15:done="0"/>
  <w15:commentEx w15:paraId="72FDFC2E" w15:done="0"/>
  <w15:commentEx w15:paraId="542BBEB7" w15:done="0"/>
  <w15:commentEx w15:paraId="6CED2FC8" w15:done="0"/>
  <w15:commentEx w15:paraId="624EF740" w15:done="0"/>
  <w15:commentEx w15:paraId="7A0A4215" w15:done="0"/>
  <w15:commentEx w15:paraId="0A704C29" w15:done="0"/>
  <w15:commentEx w15:paraId="112688AE" w15:done="0"/>
  <w15:commentEx w15:paraId="0E562F24" w15:done="0"/>
  <w15:commentEx w15:paraId="1B5B26D6" w15:done="0"/>
  <w15:commentEx w15:paraId="12EDA069" w15:done="0"/>
  <w15:commentEx w15:paraId="412F8641" w15:done="0"/>
  <w15:commentEx w15:paraId="573E4899" w15:done="0"/>
  <w15:commentEx w15:paraId="0B73FF62" w15:done="0"/>
  <w15:commentEx w15:paraId="30762C61" w15:done="0"/>
  <w15:commentEx w15:paraId="7667BCE4" w15:done="0"/>
  <w15:commentEx w15:paraId="0700F70E" w15:done="0"/>
  <w15:commentEx w15:paraId="7F99EC80" w15:done="0"/>
  <w15:commentEx w15:paraId="7C19185B" w15:done="0"/>
  <w15:commentEx w15:paraId="69C85F61" w15:done="0"/>
  <w15:commentEx w15:paraId="4700040C" w15:done="0"/>
  <w15:commentEx w15:paraId="66A82B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E023E" w14:textId="77777777" w:rsidR="00194AED" w:rsidRDefault="00194AED">
      <w:r>
        <w:separator/>
      </w:r>
    </w:p>
  </w:endnote>
  <w:endnote w:type="continuationSeparator" w:id="0">
    <w:p w14:paraId="07B3AFF1" w14:textId="77777777" w:rsidR="00194AED" w:rsidRDefault="0019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lantin">
    <w:altName w:val="Plantin"/>
    <w:panose1 w:val="00000000000000000000"/>
    <w:charset w:val="00"/>
    <w:family w:val="roman"/>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1B850" w14:textId="77777777" w:rsidR="00194AED" w:rsidRDefault="00194AED">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65AFC" w14:textId="77777777" w:rsidR="00194AED" w:rsidRDefault="00194AED">
    <w:pPr>
      <w:pStyle w:val="Footer"/>
      <w:pBdr>
        <w:top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AF343" w14:textId="77777777" w:rsidR="00194AED" w:rsidRDefault="00194AED" w:rsidP="00E742A2">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BAF8F" w14:textId="3FB7D92B" w:rsidR="00194AED" w:rsidRPr="00F568FA" w:rsidRDefault="00194AED" w:rsidP="00984380">
    <w:pPr>
      <w:pStyle w:val="Footer"/>
      <w:pBdr>
        <w:top w:val="single" w:sz="4" w:space="1" w:color="auto"/>
      </w:pBdr>
      <w:tabs>
        <w:tab w:val="clear" w:pos="9000"/>
        <w:tab w:val="left" w:pos="714"/>
        <w:tab w:val="left" w:pos="3402"/>
        <w:tab w:val="left" w:pos="6521"/>
        <w:tab w:val="right" w:pos="9043"/>
      </w:tabs>
      <w:rPr>
        <w:rStyle w:val="PageNumber"/>
        <w:rFonts w:ascii="Arial" w:hAnsi="Arial" w:cs="Arial"/>
        <w:b/>
        <w:sz w:val="20"/>
      </w:rPr>
    </w:pPr>
    <w:r w:rsidRPr="00F568FA">
      <w:rPr>
        <w:rStyle w:val="PageNumber"/>
        <w:rFonts w:ascii="Arial" w:hAnsi="Arial" w:cs="Arial"/>
        <w:b/>
        <w:snapToGrid w:val="0"/>
        <w:sz w:val="20"/>
      </w:rPr>
      <w:t xml:space="preserve">Page </w:t>
    </w:r>
    <w:r w:rsidRPr="00F568FA">
      <w:rPr>
        <w:rStyle w:val="PageNumber"/>
        <w:rFonts w:ascii="Arial" w:hAnsi="Arial" w:cs="Arial"/>
        <w:b/>
        <w:snapToGrid w:val="0"/>
        <w:sz w:val="20"/>
      </w:rPr>
      <w:fldChar w:fldCharType="begin"/>
    </w:r>
    <w:r w:rsidRPr="00F568FA">
      <w:rPr>
        <w:rStyle w:val="PageNumber"/>
        <w:rFonts w:ascii="Arial" w:hAnsi="Arial" w:cs="Arial"/>
        <w:b/>
        <w:snapToGrid w:val="0"/>
        <w:sz w:val="20"/>
      </w:rPr>
      <w:instrText xml:space="preserve"> PAGE </w:instrText>
    </w:r>
    <w:r w:rsidRPr="00F568FA">
      <w:rPr>
        <w:rStyle w:val="PageNumber"/>
        <w:rFonts w:ascii="Arial" w:hAnsi="Arial" w:cs="Arial"/>
        <w:b/>
        <w:snapToGrid w:val="0"/>
        <w:sz w:val="20"/>
      </w:rPr>
      <w:fldChar w:fldCharType="separate"/>
    </w:r>
    <w:r w:rsidR="004C1C27">
      <w:rPr>
        <w:rStyle w:val="PageNumber"/>
        <w:rFonts w:ascii="Arial" w:hAnsi="Arial" w:cs="Arial"/>
        <w:b/>
        <w:noProof/>
        <w:snapToGrid w:val="0"/>
        <w:sz w:val="20"/>
      </w:rPr>
      <w:t>94</w:t>
    </w:r>
    <w:r w:rsidRPr="00F568FA">
      <w:rPr>
        <w:rStyle w:val="PageNumber"/>
        <w:rFonts w:ascii="Arial" w:hAnsi="Arial" w:cs="Arial"/>
        <w:b/>
        <w:snapToGrid w:val="0"/>
        <w:sz w:val="20"/>
      </w:rPr>
      <w:fldChar w:fldCharType="end"/>
    </w:r>
    <w:r w:rsidRPr="00F568FA">
      <w:rPr>
        <w:rStyle w:val="PageNumber"/>
        <w:rFonts w:ascii="Arial" w:hAnsi="Arial" w:cs="Arial"/>
        <w:b/>
        <w:snapToGrid w:val="0"/>
        <w:sz w:val="20"/>
      </w:rPr>
      <w:t xml:space="preserve"> of </w:t>
    </w:r>
    <w:r w:rsidRPr="00F568FA">
      <w:rPr>
        <w:rStyle w:val="PageNumber"/>
        <w:rFonts w:ascii="Arial" w:hAnsi="Arial" w:cs="Arial"/>
        <w:b/>
        <w:snapToGrid w:val="0"/>
        <w:sz w:val="20"/>
      </w:rPr>
      <w:fldChar w:fldCharType="begin"/>
    </w:r>
    <w:r w:rsidRPr="00F568FA">
      <w:rPr>
        <w:rStyle w:val="PageNumber"/>
        <w:rFonts w:ascii="Arial" w:hAnsi="Arial" w:cs="Arial"/>
        <w:b/>
        <w:snapToGrid w:val="0"/>
        <w:sz w:val="20"/>
      </w:rPr>
      <w:instrText xml:space="preserve"> NUMPAGES </w:instrText>
    </w:r>
    <w:r w:rsidRPr="00F568FA">
      <w:rPr>
        <w:rStyle w:val="PageNumber"/>
        <w:rFonts w:ascii="Arial" w:hAnsi="Arial" w:cs="Arial"/>
        <w:b/>
        <w:snapToGrid w:val="0"/>
        <w:sz w:val="20"/>
      </w:rPr>
      <w:fldChar w:fldCharType="separate"/>
    </w:r>
    <w:r w:rsidR="004C1C27">
      <w:rPr>
        <w:rStyle w:val="PageNumber"/>
        <w:rFonts w:ascii="Arial" w:hAnsi="Arial" w:cs="Arial"/>
        <w:b/>
        <w:noProof/>
        <w:snapToGrid w:val="0"/>
        <w:sz w:val="20"/>
      </w:rPr>
      <w:t>94</w:t>
    </w:r>
    <w:r w:rsidRPr="00F568FA">
      <w:rPr>
        <w:rStyle w:val="PageNumber"/>
        <w:rFonts w:ascii="Arial" w:hAnsi="Arial" w:cs="Arial"/>
        <w:b/>
        <w:snapToGrid w:val="0"/>
        <w:sz w:val="20"/>
      </w:rPr>
      <w:fldChar w:fldCharType="end"/>
    </w:r>
    <w:r w:rsidRPr="00F568FA">
      <w:rPr>
        <w:rStyle w:val="PageNumber"/>
        <w:rFonts w:ascii="Arial" w:hAnsi="Arial" w:cs="Arial"/>
        <w:b/>
        <w:sz w:val="20"/>
      </w:rPr>
      <w:tab/>
      <w:t xml:space="preserve">Version No. </w:t>
    </w:r>
    <w:r>
      <w:rPr>
        <w:rStyle w:val="PageNumber"/>
        <w:rFonts w:ascii="Arial" w:hAnsi="Arial" w:cs="Arial"/>
        <w:b/>
        <w:sz w:val="20"/>
      </w:rPr>
      <w:t>2 (28/05/2014)</w:t>
    </w:r>
    <w:r w:rsidRPr="00F568FA">
      <w:rPr>
        <w:rStyle w:val="PageNumber"/>
        <w:rFonts w:ascii="Arial" w:hAnsi="Arial" w:cs="Arial"/>
        <w:b/>
        <w:sz w:val="20"/>
      </w:rPr>
      <w:t xml:space="preserve"> </w:t>
    </w:r>
    <w:r w:rsidRPr="00F568FA">
      <w:rPr>
        <w:rStyle w:val="PageNumber"/>
        <w:rFonts w:ascii="Arial" w:hAnsi="Arial" w:cs="Arial"/>
        <w:b/>
        <w:sz w:val="20"/>
      </w:rPr>
      <w:tab/>
    </w:r>
    <w:r>
      <w:rPr>
        <w:rStyle w:val="PageNumber"/>
        <w:rFonts w:ascii="Arial" w:hAnsi="Arial" w:cs="Arial"/>
        <w:b/>
        <w:sz w:val="20"/>
      </w:rPr>
      <w:tab/>
      <w:t>rTMS 1196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06BA2" w14:textId="77777777" w:rsidR="00194AED" w:rsidRDefault="00194AED">
      <w:r>
        <w:separator/>
      </w:r>
    </w:p>
  </w:footnote>
  <w:footnote w:type="continuationSeparator" w:id="0">
    <w:p w14:paraId="68B5D274" w14:textId="77777777" w:rsidR="00194AED" w:rsidRDefault="00194A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A1EE4" w14:textId="5F38F80D" w:rsidR="00194AED" w:rsidRDefault="00194A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EBE67" w14:textId="2790E46A" w:rsidR="00194AED" w:rsidRDefault="00194A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3CEBC" w14:textId="73214AA1" w:rsidR="00194AED" w:rsidRPr="001B2215" w:rsidRDefault="00194AED" w:rsidP="00DC55CB">
    <w:pPr>
      <w:pStyle w:val="Header"/>
      <w:jc w:val="right"/>
      <w:rPr>
        <w:rFonts w:ascii="Arial" w:hAnsi="Arial" w:cs="Arial"/>
        <w:b/>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6226896"/>
    <w:lvl w:ilvl="0">
      <w:numFmt w:val="bullet"/>
      <w:lvlText w:val="*"/>
      <w:lvlJc w:val="left"/>
    </w:lvl>
  </w:abstractNum>
  <w:abstractNum w:abstractNumId="1">
    <w:nsid w:val="03906D68"/>
    <w:multiLevelType w:val="hybridMultilevel"/>
    <w:tmpl w:val="F45AD3E4"/>
    <w:lvl w:ilvl="0" w:tplc="A39285F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3A219DD"/>
    <w:multiLevelType w:val="hybridMultilevel"/>
    <w:tmpl w:val="E55A59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5680B7D"/>
    <w:multiLevelType w:val="hybridMultilevel"/>
    <w:tmpl w:val="CA3613BA"/>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
    <w:nsid w:val="0EAF7697"/>
    <w:multiLevelType w:val="multilevel"/>
    <w:tmpl w:val="B31CD340"/>
    <w:styleLink w:val="Style1"/>
    <w:lvl w:ilvl="0">
      <w:start w:val="1"/>
      <w:numFmt w:val="decimal"/>
      <w:lvlText w:val="%1."/>
      <w:lvlJc w:val="left"/>
      <w:pPr>
        <w:tabs>
          <w:tab w:val="num" w:pos="1080"/>
        </w:tabs>
        <w:ind w:left="1080" w:hanging="360"/>
      </w:pPr>
      <w:rPr>
        <w:rFonts w:hint="default"/>
        <w:color w:val="auto"/>
        <w:sz w:val="22"/>
        <w:szCs w:val="22"/>
      </w:rPr>
    </w:lvl>
    <w:lvl w:ilvl="1">
      <w:start w:val="1"/>
      <w:numFmt w:val="decimal"/>
      <w:lvlText w:val="%2."/>
      <w:lvlJc w:val="left"/>
      <w:pPr>
        <w:tabs>
          <w:tab w:val="num" w:pos="2160"/>
        </w:tabs>
        <w:ind w:left="2160" w:hanging="360"/>
      </w:pPr>
      <w:rPr>
        <w:rFonts w:hint="default"/>
        <w:color w:val="auto"/>
        <w:sz w:val="22"/>
        <w:szCs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
    <w:nsid w:val="102760E1"/>
    <w:multiLevelType w:val="hybridMultilevel"/>
    <w:tmpl w:val="D7AEAC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137297D"/>
    <w:multiLevelType w:val="hybridMultilevel"/>
    <w:tmpl w:val="1814385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8">
    <w:nsid w:val="164A396C"/>
    <w:multiLevelType w:val="hybridMultilevel"/>
    <w:tmpl w:val="B1409840"/>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9">
    <w:nsid w:val="1EBD5DA4"/>
    <w:multiLevelType w:val="hybridMultilevel"/>
    <w:tmpl w:val="46EE91F0"/>
    <w:lvl w:ilvl="0" w:tplc="EC8EBA4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42E368F"/>
    <w:multiLevelType w:val="hybridMultilevel"/>
    <w:tmpl w:val="0B10B3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6164FD4"/>
    <w:multiLevelType w:val="hybridMultilevel"/>
    <w:tmpl w:val="E33615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2562D7"/>
    <w:multiLevelType w:val="hybridMultilevel"/>
    <w:tmpl w:val="34D8A3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39220E2E"/>
    <w:multiLevelType w:val="hybridMultilevel"/>
    <w:tmpl w:val="B1409840"/>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
    <w:nsid w:val="39540EEC"/>
    <w:multiLevelType w:val="hybridMultilevel"/>
    <w:tmpl w:val="FE6ADD5E"/>
    <w:lvl w:ilvl="0" w:tplc="9C8042BA">
      <w:start w:val="1"/>
      <w:numFmt w:val="bullet"/>
      <w:lvlText w:val=""/>
      <w:lvlJc w:val="left"/>
      <w:pPr>
        <w:ind w:left="720" w:hanging="360"/>
      </w:pPr>
      <w:rPr>
        <w:rFonts w:ascii="Symbol" w:hAnsi="Symbol" w:hint="default"/>
      </w:rPr>
    </w:lvl>
    <w:lvl w:ilvl="1" w:tplc="3586D0DA">
      <w:start w:val="1"/>
      <w:numFmt w:val="bullet"/>
      <w:lvlText w:val="o"/>
      <w:lvlJc w:val="left"/>
      <w:pPr>
        <w:ind w:left="1440" w:hanging="360"/>
      </w:pPr>
      <w:rPr>
        <w:rFonts w:ascii="Courier New" w:hAnsi="Courier New" w:hint="default"/>
      </w:rPr>
    </w:lvl>
    <w:lvl w:ilvl="2" w:tplc="B366F766" w:tentative="1">
      <w:start w:val="1"/>
      <w:numFmt w:val="bullet"/>
      <w:lvlText w:val=""/>
      <w:lvlJc w:val="left"/>
      <w:pPr>
        <w:ind w:left="2160" w:hanging="360"/>
      </w:pPr>
      <w:rPr>
        <w:rFonts w:ascii="Wingdings" w:hAnsi="Wingdings" w:hint="default"/>
      </w:rPr>
    </w:lvl>
    <w:lvl w:ilvl="3" w:tplc="A7029FE6" w:tentative="1">
      <w:start w:val="1"/>
      <w:numFmt w:val="bullet"/>
      <w:lvlText w:val=""/>
      <w:lvlJc w:val="left"/>
      <w:pPr>
        <w:ind w:left="2880" w:hanging="360"/>
      </w:pPr>
      <w:rPr>
        <w:rFonts w:ascii="Symbol" w:hAnsi="Symbol" w:hint="default"/>
      </w:rPr>
    </w:lvl>
    <w:lvl w:ilvl="4" w:tplc="E40E709C" w:tentative="1">
      <w:start w:val="1"/>
      <w:numFmt w:val="bullet"/>
      <w:lvlText w:val="o"/>
      <w:lvlJc w:val="left"/>
      <w:pPr>
        <w:ind w:left="3600" w:hanging="360"/>
      </w:pPr>
      <w:rPr>
        <w:rFonts w:ascii="Courier New" w:hAnsi="Courier New" w:hint="default"/>
      </w:rPr>
    </w:lvl>
    <w:lvl w:ilvl="5" w:tplc="98CEA57A" w:tentative="1">
      <w:start w:val="1"/>
      <w:numFmt w:val="bullet"/>
      <w:lvlText w:val=""/>
      <w:lvlJc w:val="left"/>
      <w:pPr>
        <w:ind w:left="4320" w:hanging="360"/>
      </w:pPr>
      <w:rPr>
        <w:rFonts w:ascii="Wingdings" w:hAnsi="Wingdings" w:hint="default"/>
      </w:rPr>
    </w:lvl>
    <w:lvl w:ilvl="6" w:tplc="C9320702" w:tentative="1">
      <w:start w:val="1"/>
      <w:numFmt w:val="bullet"/>
      <w:lvlText w:val=""/>
      <w:lvlJc w:val="left"/>
      <w:pPr>
        <w:ind w:left="5040" w:hanging="360"/>
      </w:pPr>
      <w:rPr>
        <w:rFonts w:ascii="Symbol" w:hAnsi="Symbol" w:hint="default"/>
      </w:rPr>
    </w:lvl>
    <w:lvl w:ilvl="7" w:tplc="43AA4BB2" w:tentative="1">
      <w:start w:val="1"/>
      <w:numFmt w:val="bullet"/>
      <w:lvlText w:val="o"/>
      <w:lvlJc w:val="left"/>
      <w:pPr>
        <w:ind w:left="5760" w:hanging="360"/>
      </w:pPr>
      <w:rPr>
        <w:rFonts w:ascii="Courier New" w:hAnsi="Courier New" w:hint="default"/>
      </w:rPr>
    </w:lvl>
    <w:lvl w:ilvl="8" w:tplc="802A6A6C" w:tentative="1">
      <w:start w:val="1"/>
      <w:numFmt w:val="bullet"/>
      <w:lvlText w:val=""/>
      <w:lvlJc w:val="left"/>
      <w:pPr>
        <w:ind w:left="6480" w:hanging="360"/>
      </w:pPr>
      <w:rPr>
        <w:rFonts w:ascii="Wingdings" w:hAnsi="Wingdings" w:hint="default"/>
      </w:rPr>
    </w:lvl>
  </w:abstractNum>
  <w:abstractNum w:abstractNumId="15">
    <w:nsid w:val="3BDA4B8D"/>
    <w:multiLevelType w:val="hybridMultilevel"/>
    <w:tmpl w:val="50ECD0DE"/>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nsid w:val="406532B5"/>
    <w:multiLevelType w:val="multilevel"/>
    <w:tmpl w:val="B31CD340"/>
    <w:lvl w:ilvl="0">
      <w:start w:val="1"/>
      <w:numFmt w:val="decimal"/>
      <w:lvlText w:val="%1."/>
      <w:lvlJc w:val="left"/>
      <w:pPr>
        <w:tabs>
          <w:tab w:val="num" w:pos="1080"/>
        </w:tabs>
        <w:ind w:left="1080" w:hanging="360"/>
      </w:pPr>
      <w:rPr>
        <w:rFonts w:hint="default"/>
        <w:color w:val="auto"/>
        <w:sz w:val="22"/>
        <w:szCs w:val="22"/>
      </w:rPr>
    </w:lvl>
    <w:lvl w:ilvl="1">
      <w:start w:val="1"/>
      <w:numFmt w:val="decimal"/>
      <w:lvlText w:val="%2."/>
      <w:lvlJc w:val="left"/>
      <w:pPr>
        <w:tabs>
          <w:tab w:val="num" w:pos="2160"/>
        </w:tabs>
        <w:ind w:left="2160" w:hanging="360"/>
      </w:pPr>
      <w:rPr>
        <w:rFonts w:hint="default"/>
        <w:color w:val="auto"/>
        <w:sz w:val="22"/>
        <w:szCs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nsid w:val="40C9151C"/>
    <w:multiLevelType w:val="hybridMultilevel"/>
    <w:tmpl w:val="DE784A90"/>
    <w:lvl w:ilvl="0" w:tplc="FC98DF9E">
      <w:start w:val="1"/>
      <w:numFmt w:val="lowerRoman"/>
      <w:lvlText w:val="(%1)"/>
      <w:lvlJc w:val="left"/>
      <w:pPr>
        <w:tabs>
          <w:tab w:val="num" w:pos="1080"/>
        </w:tabs>
        <w:ind w:left="1080" w:hanging="360"/>
      </w:pPr>
      <w:rPr>
        <w:rFonts w:ascii="Garamond" w:eastAsia="Times New Roman" w:hAnsi="Garamond" w:cs="Times New Roman"/>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8">
    <w:nsid w:val="44885FAD"/>
    <w:multiLevelType w:val="hybridMultilevel"/>
    <w:tmpl w:val="68DC432E"/>
    <w:lvl w:ilvl="0" w:tplc="3AE4ADC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48094F5A"/>
    <w:multiLevelType w:val="hybridMultilevel"/>
    <w:tmpl w:val="EC1EBE94"/>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0">
    <w:nsid w:val="481F114A"/>
    <w:multiLevelType w:val="hybridMultilevel"/>
    <w:tmpl w:val="8DF8CFCC"/>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1">
    <w:nsid w:val="485827CE"/>
    <w:multiLevelType w:val="hybridMultilevel"/>
    <w:tmpl w:val="8668A9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4FAE10FB"/>
    <w:multiLevelType w:val="hybridMultilevel"/>
    <w:tmpl w:val="B6567DE4"/>
    <w:lvl w:ilvl="0" w:tplc="04090011">
      <w:start w:val="1"/>
      <w:numFmt w:val="decimal"/>
      <w:lvlText w:val="%1)"/>
      <w:lvlJc w:val="left"/>
      <w:pPr>
        <w:ind w:left="380" w:hanging="360"/>
      </w:pPr>
      <w:rPr>
        <w:rFonts w:cs="Times New Roman" w:hint="default"/>
      </w:rPr>
    </w:lvl>
    <w:lvl w:ilvl="1" w:tplc="04090019" w:tentative="1">
      <w:start w:val="1"/>
      <w:numFmt w:val="lowerLetter"/>
      <w:lvlText w:val="%2."/>
      <w:lvlJc w:val="left"/>
      <w:pPr>
        <w:ind w:left="1100" w:hanging="360"/>
      </w:pPr>
      <w:rPr>
        <w:rFonts w:cs="Times New Roman"/>
      </w:rPr>
    </w:lvl>
    <w:lvl w:ilvl="2" w:tplc="0409001B" w:tentative="1">
      <w:start w:val="1"/>
      <w:numFmt w:val="lowerRoman"/>
      <w:lvlText w:val="%3."/>
      <w:lvlJc w:val="right"/>
      <w:pPr>
        <w:ind w:left="1820" w:hanging="180"/>
      </w:pPr>
      <w:rPr>
        <w:rFonts w:cs="Times New Roman"/>
      </w:rPr>
    </w:lvl>
    <w:lvl w:ilvl="3" w:tplc="0409000F" w:tentative="1">
      <w:start w:val="1"/>
      <w:numFmt w:val="decimal"/>
      <w:lvlText w:val="%4."/>
      <w:lvlJc w:val="left"/>
      <w:pPr>
        <w:ind w:left="2540" w:hanging="360"/>
      </w:pPr>
      <w:rPr>
        <w:rFonts w:cs="Times New Roman"/>
      </w:rPr>
    </w:lvl>
    <w:lvl w:ilvl="4" w:tplc="04090019" w:tentative="1">
      <w:start w:val="1"/>
      <w:numFmt w:val="lowerLetter"/>
      <w:lvlText w:val="%5."/>
      <w:lvlJc w:val="left"/>
      <w:pPr>
        <w:ind w:left="3260" w:hanging="360"/>
      </w:pPr>
      <w:rPr>
        <w:rFonts w:cs="Times New Roman"/>
      </w:rPr>
    </w:lvl>
    <w:lvl w:ilvl="5" w:tplc="0409001B" w:tentative="1">
      <w:start w:val="1"/>
      <w:numFmt w:val="lowerRoman"/>
      <w:lvlText w:val="%6."/>
      <w:lvlJc w:val="right"/>
      <w:pPr>
        <w:ind w:left="3980" w:hanging="180"/>
      </w:pPr>
      <w:rPr>
        <w:rFonts w:cs="Times New Roman"/>
      </w:rPr>
    </w:lvl>
    <w:lvl w:ilvl="6" w:tplc="0409000F" w:tentative="1">
      <w:start w:val="1"/>
      <w:numFmt w:val="decimal"/>
      <w:lvlText w:val="%7."/>
      <w:lvlJc w:val="left"/>
      <w:pPr>
        <w:ind w:left="4700" w:hanging="360"/>
      </w:pPr>
      <w:rPr>
        <w:rFonts w:cs="Times New Roman"/>
      </w:rPr>
    </w:lvl>
    <w:lvl w:ilvl="7" w:tplc="04090019" w:tentative="1">
      <w:start w:val="1"/>
      <w:numFmt w:val="lowerLetter"/>
      <w:lvlText w:val="%8."/>
      <w:lvlJc w:val="left"/>
      <w:pPr>
        <w:ind w:left="5420" w:hanging="360"/>
      </w:pPr>
      <w:rPr>
        <w:rFonts w:cs="Times New Roman"/>
      </w:rPr>
    </w:lvl>
    <w:lvl w:ilvl="8" w:tplc="0409001B" w:tentative="1">
      <w:start w:val="1"/>
      <w:numFmt w:val="lowerRoman"/>
      <w:lvlText w:val="%9."/>
      <w:lvlJc w:val="right"/>
      <w:pPr>
        <w:ind w:left="6140" w:hanging="180"/>
      </w:pPr>
      <w:rPr>
        <w:rFonts w:cs="Times New Roman"/>
      </w:rPr>
    </w:lvl>
  </w:abstractNum>
  <w:abstractNum w:abstractNumId="23">
    <w:nsid w:val="534B35BC"/>
    <w:multiLevelType w:val="hybridMultilevel"/>
    <w:tmpl w:val="1814385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4">
    <w:nsid w:val="54714BAE"/>
    <w:multiLevelType w:val="hybridMultilevel"/>
    <w:tmpl w:val="14D481EA"/>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5">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26">
    <w:nsid w:val="61037C6A"/>
    <w:multiLevelType w:val="hybridMultilevel"/>
    <w:tmpl w:val="CBC004EE"/>
    <w:lvl w:ilvl="0" w:tplc="CB0653C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61566764"/>
    <w:multiLevelType w:val="multilevel"/>
    <w:tmpl w:val="B31CD340"/>
    <w:lvl w:ilvl="0">
      <w:start w:val="1"/>
      <w:numFmt w:val="decimal"/>
      <w:lvlText w:val="%1."/>
      <w:lvlJc w:val="left"/>
      <w:pPr>
        <w:tabs>
          <w:tab w:val="num" w:pos="360"/>
        </w:tabs>
        <w:ind w:left="360" w:hanging="360"/>
      </w:pPr>
      <w:rPr>
        <w:rFonts w:hint="default"/>
        <w:color w:val="auto"/>
        <w:sz w:val="22"/>
        <w:szCs w:val="22"/>
      </w:rPr>
    </w:lvl>
    <w:lvl w:ilvl="1">
      <w:start w:val="1"/>
      <w:numFmt w:val="decimal"/>
      <w:lvlText w:val="%2."/>
      <w:lvlJc w:val="left"/>
      <w:pPr>
        <w:tabs>
          <w:tab w:val="num" w:pos="1440"/>
        </w:tabs>
        <w:ind w:left="1440" w:hanging="360"/>
      </w:pPr>
      <w:rPr>
        <w:rFonts w:hint="default"/>
        <w:color w:val="auto"/>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67D13EA"/>
    <w:multiLevelType w:val="hybridMultilevel"/>
    <w:tmpl w:val="45B83A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ADF3BF8"/>
    <w:multiLevelType w:val="hybridMultilevel"/>
    <w:tmpl w:val="EFE267D0"/>
    <w:lvl w:ilvl="0" w:tplc="0C090017">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6DD54296"/>
    <w:multiLevelType w:val="hybridMultilevel"/>
    <w:tmpl w:val="50ECD0DE"/>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1">
    <w:nsid w:val="703C79FC"/>
    <w:multiLevelType w:val="hybridMultilevel"/>
    <w:tmpl w:val="2674892C"/>
    <w:lvl w:ilvl="0" w:tplc="0C090015">
      <w:start w:val="1"/>
      <w:numFmt w:val="upp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2">
    <w:nsid w:val="70E842D9"/>
    <w:multiLevelType w:val="hybridMultilevel"/>
    <w:tmpl w:val="61D21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2031DD9"/>
    <w:multiLevelType w:val="hybridMultilevel"/>
    <w:tmpl w:val="A52C25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nsid w:val="76AE4496"/>
    <w:multiLevelType w:val="hybridMultilevel"/>
    <w:tmpl w:val="F15ACE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79A8678B"/>
    <w:multiLevelType w:val="hybridMultilevel"/>
    <w:tmpl w:val="00366DE0"/>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6">
    <w:nsid w:val="7A166FD2"/>
    <w:multiLevelType w:val="hybridMultilevel"/>
    <w:tmpl w:val="00366DE0"/>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7">
    <w:nsid w:val="7A5B55D2"/>
    <w:multiLevelType w:val="hybridMultilevel"/>
    <w:tmpl w:val="93E8AC28"/>
    <w:lvl w:ilvl="0" w:tplc="B566AE5C">
      <w:start w:val="12"/>
      <w:numFmt w:val="bullet"/>
      <w:lvlText w:val="-"/>
      <w:lvlJc w:val="left"/>
      <w:pPr>
        <w:ind w:left="1230" w:hanging="360"/>
      </w:pPr>
      <w:rPr>
        <w:rFonts w:ascii="Garamond" w:eastAsia="Times New Roman" w:hAnsi="Garamond" w:cs="Times New Roman"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38">
    <w:nsid w:val="7B7749B4"/>
    <w:multiLevelType w:val="hybridMultilevel"/>
    <w:tmpl w:val="586C93AE"/>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9">
    <w:nsid w:val="7CD66D26"/>
    <w:multiLevelType w:val="hybridMultilevel"/>
    <w:tmpl w:val="ABCE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C33FE9"/>
    <w:multiLevelType w:val="hybridMultilevel"/>
    <w:tmpl w:val="3E28E52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5"/>
  </w:num>
  <w:num w:numId="2">
    <w:abstractNumId w:val="7"/>
  </w:num>
  <w:num w:numId="3">
    <w:abstractNumId w:val="9"/>
  </w:num>
  <w:num w:numId="4">
    <w:abstractNumId w:val="0"/>
    <w:lvlOverride w:ilvl="0">
      <w:lvl w:ilvl="0">
        <w:numFmt w:val="bullet"/>
        <w:lvlText w:val="•"/>
        <w:legacy w:legacy="1" w:legacySpace="0" w:legacyIndent="0"/>
        <w:lvlJc w:val="left"/>
        <w:rPr>
          <w:rFonts w:ascii="Helv" w:hAnsi="Helv" w:hint="default"/>
        </w:rPr>
      </w:lvl>
    </w:lvlOverride>
  </w:num>
  <w:num w:numId="5">
    <w:abstractNumId w:val="4"/>
  </w:num>
  <w:num w:numId="6">
    <w:abstractNumId w:val="16"/>
  </w:num>
  <w:num w:numId="7">
    <w:abstractNumId w:val="17"/>
  </w:num>
  <w:num w:numId="8">
    <w:abstractNumId w:val="11"/>
  </w:num>
  <w:num w:numId="9">
    <w:abstractNumId w:val="14"/>
  </w:num>
  <w:num w:numId="10">
    <w:abstractNumId w:val="22"/>
  </w:num>
  <w:num w:numId="11">
    <w:abstractNumId w:val="39"/>
  </w:num>
  <w:num w:numId="12">
    <w:abstractNumId w:val="10"/>
  </w:num>
  <w:num w:numId="13">
    <w:abstractNumId w:val="1"/>
  </w:num>
  <w:num w:numId="14">
    <w:abstractNumId w:val="29"/>
  </w:num>
  <w:num w:numId="15">
    <w:abstractNumId w:val="26"/>
  </w:num>
  <w:num w:numId="16">
    <w:abstractNumId w:val="40"/>
  </w:num>
  <w:num w:numId="17">
    <w:abstractNumId w:val="37"/>
  </w:num>
  <w:num w:numId="18">
    <w:abstractNumId w:val="5"/>
  </w:num>
  <w:num w:numId="19">
    <w:abstractNumId w:val="18"/>
  </w:num>
  <w:num w:numId="20">
    <w:abstractNumId w:val="27"/>
  </w:num>
  <w:num w:numId="21">
    <w:abstractNumId w:val="21"/>
  </w:num>
  <w:num w:numId="22">
    <w:abstractNumId w:val="12"/>
  </w:num>
  <w:num w:numId="23">
    <w:abstractNumId w:val="33"/>
  </w:num>
  <w:num w:numId="24">
    <w:abstractNumId w:val="20"/>
  </w:num>
  <w:num w:numId="25">
    <w:abstractNumId w:val="2"/>
  </w:num>
  <w:num w:numId="26">
    <w:abstractNumId w:val="31"/>
  </w:num>
  <w:num w:numId="27">
    <w:abstractNumId w:val="36"/>
  </w:num>
  <w:num w:numId="28">
    <w:abstractNumId w:val="35"/>
  </w:num>
  <w:num w:numId="29">
    <w:abstractNumId w:val="6"/>
  </w:num>
  <w:num w:numId="30">
    <w:abstractNumId w:val="23"/>
  </w:num>
  <w:num w:numId="31">
    <w:abstractNumId w:val="38"/>
  </w:num>
  <w:num w:numId="32">
    <w:abstractNumId w:val="28"/>
  </w:num>
  <w:num w:numId="33">
    <w:abstractNumId w:val="24"/>
  </w:num>
  <w:num w:numId="34">
    <w:abstractNumId w:val="19"/>
  </w:num>
  <w:num w:numId="35">
    <w:abstractNumId w:val="8"/>
  </w:num>
  <w:num w:numId="36">
    <w:abstractNumId w:val="13"/>
  </w:num>
  <w:num w:numId="37">
    <w:abstractNumId w:val="3"/>
  </w:num>
  <w:num w:numId="38">
    <w:abstractNumId w:val="15"/>
  </w:num>
  <w:num w:numId="39">
    <w:abstractNumId w:val="34"/>
  </w:num>
  <w:num w:numId="40">
    <w:abstractNumId w:val="30"/>
  </w:num>
  <w:num w:numId="41">
    <w:abstractNumId w:val="32"/>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rrie Galletly">
    <w15:presenceInfo w15:providerId="None" w15:userId="Cherrie Gallet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Harvard-MSAC&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port.enl&lt;/item&gt;&lt;/Libraries&gt;&lt;/ENLibraries&gt;"/>
  </w:docVars>
  <w:rsids>
    <w:rsidRoot w:val="007761EB"/>
    <w:rsid w:val="000006B5"/>
    <w:rsid w:val="00000BA3"/>
    <w:rsid w:val="00000BEB"/>
    <w:rsid w:val="00000D58"/>
    <w:rsid w:val="00000FA9"/>
    <w:rsid w:val="0000136D"/>
    <w:rsid w:val="00001C3C"/>
    <w:rsid w:val="00001E31"/>
    <w:rsid w:val="00001F98"/>
    <w:rsid w:val="0000226A"/>
    <w:rsid w:val="0000228D"/>
    <w:rsid w:val="00002552"/>
    <w:rsid w:val="000029F2"/>
    <w:rsid w:val="00003287"/>
    <w:rsid w:val="0000430A"/>
    <w:rsid w:val="00004D16"/>
    <w:rsid w:val="00005257"/>
    <w:rsid w:val="000055D4"/>
    <w:rsid w:val="000056FA"/>
    <w:rsid w:val="0000622A"/>
    <w:rsid w:val="00006627"/>
    <w:rsid w:val="00006641"/>
    <w:rsid w:val="000069A7"/>
    <w:rsid w:val="00006C74"/>
    <w:rsid w:val="000078F6"/>
    <w:rsid w:val="00007948"/>
    <w:rsid w:val="00007A44"/>
    <w:rsid w:val="0001085B"/>
    <w:rsid w:val="0001088E"/>
    <w:rsid w:val="000108EE"/>
    <w:rsid w:val="000109F3"/>
    <w:rsid w:val="00010BF8"/>
    <w:rsid w:val="000111D2"/>
    <w:rsid w:val="00011550"/>
    <w:rsid w:val="00011772"/>
    <w:rsid w:val="00011DBC"/>
    <w:rsid w:val="0001226F"/>
    <w:rsid w:val="0001231F"/>
    <w:rsid w:val="000130D3"/>
    <w:rsid w:val="000133F9"/>
    <w:rsid w:val="000134C1"/>
    <w:rsid w:val="0001357B"/>
    <w:rsid w:val="0001388D"/>
    <w:rsid w:val="00013934"/>
    <w:rsid w:val="000139D1"/>
    <w:rsid w:val="000139EB"/>
    <w:rsid w:val="00013A95"/>
    <w:rsid w:val="00013B46"/>
    <w:rsid w:val="00014736"/>
    <w:rsid w:val="00014924"/>
    <w:rsid w:val="000149C2"/>
    <w:rsid w:val="00014A66"/>
    <w:rsid w:val="00014EC1"/>
    <w:rsid w:val="0001527B"/>
    <w:rsid w:val="0001563F"/>
    <w:rsid w:val="00015787"/>
    <w:rsid w:val="00015C26"/>
    <w:rsid w:val="00015E03"/>
    <w:rsid w:val="000161BF"/>
    <w:rsid w:val="00016333"/>
    <w:rsid w:val="0001667E"/>
    <w:rsid w:val="00016792"/>
    <w:rsid w:val="00016FDF"/>
    <w:rsid w:val="000171FD"/>
    <w:rsid w:val="00017B2B"/>
    <w:rsid w:val="00020055"/>
    <w:rsid w:val="00020C59"/>
    <w:rsid w:val="00020F15"/>
    <w:rsid w:val="00021072"/>
    <w:rsid w:val="0002230A"/>
    <w:rsid w:val="0002265C"/>
    <w:rsid w:val="00023843"/>
    <w:rsid w:val="0002446C"/>
    <w:rsid w:val="00024819"/>
    <w:rsid w:val="000255B6"/>
    <w:rsid w:val="0002581D"/>
    <w:rsid w:val="000266AD"/>
    <w:rsid w:val="0002695E"/>
    <w:rsid w:val="00026D6A"/>
    <w:rsid w:val="00027055"/>
    <w:rsid w:val="00027329"/>
    <w:rsid w:val="0002749F"/>
    <w:rsid w:val="00027B53"/>
    <w:rsid w:val="00027DDF"/>
    <w:rsid w:val="00027F1B"/>
    <w:rsid w:val="00030C76"/>
    <w:rsid w:val="00030E6F"/>
    <w:rsid w:val="00030FB4"/>
    <w:rsid w:val="0003110A"/>
    <w:rsid w:val="000311A8"/>
    <w:rsid w:val="000313F3"/>
    <w:rsid w:val="00031A2C"/>
    <w:rsid w:val="000321D9"/>
    <w:rsid w:val="0003260D"/>
    <w:rsid w:val="00033E27"/>
    <w:rsid w:val="00034AE9"/>
    <w:rsid w:val="00034CFE"/>
    <w:rsid w:val="0003587F"/>
    <w:rsid w:val="0003595E"/>
    <w:rsid w:val="0003639B"/>
    <w:rsid w:val="000368B9"/>
    <w:rsid w:val="00036954"/>
    <w:rsid w:val="00036F0B"/>
    <w:rsid w:val="000373D6"/>
    <w:rsid w:val="000373E8"/>
    <w:rsid w:val="00037729"/>
    <w:rsid w:val="00037B2B"/>
    <w:rsid w:val="000406B4"/>
    <w:rsid w:val="00040927"/>
    <w:rsid w:val="00040D41"/>
    <w:rsid w:val="0004109F"/>
    <w:rsid w:val="00041867"/>
    <w:rsid w:val="00041ADB"/>
    <w:rsid w:val="00041B23"/>
    <w:rsid w:val="00043314"/>
    <w:rsid w:val="00043B61"/>
    <w:rsid w:val="00043C04"/>
    <w:rsid w:val="00044B7A"/>
    <w:rsid w:val="000450CA"/>
    <w:rsid w:val="00045C50"/>
    <w:rsid w:val="0004642F"/>
    <w:rsid w:val="00046E1D"/>
    <w:rsid w:val="000508A4"/>
    <w:rsid w:val="00050DAA"/>
    <w:rsid w:val="00051060"/>
    <w:rsid w:val="00051085"/>
    <w:rsid w:val="00051666"/>
    <w:rsid w:val="00051A96"/>
    <w:rsid w:val="00052434"/>
    <w:rsid w:val="00052741"/>
    <w:rsid w:val="0005287C"/>
    <w:rsid w:val="00052935"/>
    <w:rsid w:val="00052FBC"/>
    <w:rsid w:val="00054C69"/>
    <w:rsid w:val="00055E08"/>
    <w:rsid w:val="00056684"/>
    <w:rsid w:val="00056BE2"/>
    <w:rsid w:val="00056ED1"/>
    <w:rsid w:val="000608FD"/>
    <w:rsid w:val="00060B82"/>
    <w:rsid w:val="00060E4F"/>
    <w:rsid w:val="000613E7"/>
    <w:rsid w:val="00061A1C"/>
    <w:rsid w:val="00061AF5"/>
    <w:rsid w:val="00061DB6"/>
    <w:rsid w:val="00062064"/>
    <w:rsid w:val="000625F7"/>
    <w:rsid w:val="00063167"/>
    <w:rsid w:val="00063311"/>
    <w:rsid w:val="0006384B"/>
    <w:rsid w:val="00063A3A"/>
    <w:rsid w:val="00063C88"/>
    <w:rsid w:val="00063CC4"/>
    <w:rsid w:val="00063F44"/>
    <w:rsid w:val="00063FE3"/>
    <w:rsid w:val="0006406E"/>
    <w:rsid w:val="0006422B"/>
    <w:rsid w:val="000650CB"/>
    <w:rsid w:val="0006531D"/>
    <w:rsid w:val="00067BF6"/>
    <w:rsid w:val="000708C1"/>
    <w:rsid w:val="00070B84"/>
    <w:rsid w:val="000715CB"/>
    <w:rsid w:val="00071B67"/>
    <w:rsid w:val="00071BA0"/>
    <w:rsid w:val="00072199"/>
    <w:rsid w:val="0007284B"/>
    <w:rsid w:val="000729EA"/>
    <w:rsid w:val="00072DC0"/>
    <w:rsid w:val="00073267"/>
    <w:rsid w:val="00073339"/>
    <w:rsid w:val="00073376"/>
    <w:rsid w:val="00073636"/>
    <w:rsid w:val="0007379A"/>
    <w:rsid w:val="00073882"/>
    <w:rsid w:val="000739E5"/>
    <w:rsid w:val="00073A0A"/>
    <w:rsid w:val="00073A8D"/>
    <w:rsid w:val="00073EC5"/>
    <w:rsid w:val="000744A8"/>
    <w:rsid w:val="00074ABF"/>
    <w:rsid w:val="00074F92"/>
    <w:rsid w:val="00075A7C"/>
    <w:rsid w:val="00076A45"/>
    <w:rsid w:val="00076A70"/>
    <w:rsid w:val="00076F32"/>
    <w:rsid w:val="00077247"/>
    <w:rsid w:val="000774DB"/>
    <w:rsid w:val="00077880"/>
    <w:rsid w:val="0008033F"/>
    <w:rsid w:val="000809D5"/>
    <w:rsid w:val="0008168D"/>
    <w:rsid w:val="000821BD"/>
    <w:rsid w:val="000822EA"/>
    <w:rsid w:val="0008260B"/>
    <w:rsid w:val="00082712"/>
    <w:rsid w:val="00082C5A"/>
    <w:rsid w:val="00082CDD"/>
    <w:rsid w:val="00082E66"/>
    <w:rsid w:val="00082EC5"/>
    <w:rsid w:val="00083498"/>
    <w:rsid w:val="0008367E"/>
    <w:rsid w:val="000838C2"/>
    <w:rsid w:val="00084CE9"/>
    <w:rsid w:val="00085282"/>
    <w:rsid w:val="00085C31"/>
    <w:rsid w:val="000868BD"/>
    <w:rsid w:val="000869F6"/>
    <w:rsid w:val="00086DB8"/>
    <w:rsid w:val="0008730A"/>
    <w:rsid w:val="00087F4E"/>
    <w:rsid w:val="00090330"/>
    <w:rsid w:val="000903F9"/>
    <w:rsid w:val="000905F4"/>
    <w:rsid w:val="00090904"/>
    <w:rsid w:val="00090AA3"/>
    <w:rsid w:val="00090BD2"/>
    <w:rsid w:val="00090DDE"/>
    <w:rsid w:val="00090EF8"/>
    <w:rsid w:val="00091296"/>
    <w:rsid w:val="00091667"/>
    <w:rsid w:val="000917C7"/>
    <w:rsid w:val="00091989"/>
    <w:rsid w:val="00091A2F"/>
    <w:rsid w:val="00092A35"/>
    <w:rsid w:val="00092CFA"/>
    <w:rsid w:val="000933E6"/>
    <w:rsid w:val="000937B3"/>
    <w:rsid w:val="000939B9"/>
    <w:rsid w:val="00093A6F"/>
    <w:rsid w:val="00093C9A"/>
    <w:rsid w:val="00094977"/>
    <w:rsid w:val="00096BD5"/>
    <w:rsid w:val="00097AAC"/>
    <w:rsid w:val="000A0146"/>
    <w:rsid w:val="000A051D"/>
    <w:rsid w:val="000A0790"/>
    <w:rsid w:val="000A07CB"/>
    <w:rsid w:val="000A0C9C"/>
    <w:rsid w:val="000A1298"/>
    <w:rsid w:val="000A138F"/>
    <w:rsid w:val="000A13F7"/>
    <w:rsid w:val="000A1508"/>
    <w:rsid w:val="000A1CB2"/>
    <w:rsid w:val="000A1D85"/>
    <w:rsid w:val="000A2278"/>
    <w:rsid w:val="000A39F4"/>
    <w:rsid w:val="000A3AAF"/>
    <w:rsid w:val="000A3F8D"/>
    <w:rsid w:val="000A4DF3"/>
    <w:rsid w:val="000A54AD"/>
    <w:rsid w:val="000A55B4"/>
    <w:rsid w:val="000A5CE8"/>
    <w:rsid w:val="000A5DB5"/>
    <w:rsid w:val="000A612B"/>
    <w:rsid w:val="000A6C01"/>
    <w:rsid w:val="000B0018"/>
    <w:rsid w:val="000B0364"/>
    <w:rsid w:val="000B06C4"/>
    <w:rsid w:val="000B1434"/>
    <w:rsid w:val="000B1F56"/>
    <w:rsid w:val="000B23EA"/>
    <w:rsid w:val="000B274D"/>
    <w:rsid w:val="000B2761"/>
    <w:rsid w:val="000B2B6F"/>
    <w:rsid w:val="000B2DCA"/>
    <w:rsid w:val="000B2E4B"/>
    <w:rsid w:val="000B30A2"/>
    <w:rsid w:val="000B3CA5"/>
    <w:rsid w:val="000B4253"/>
    <w:rsid w:val="000B4BDC"/>
    <w:rsid w:val="000B508C"/>
    <w:rsid w:val="000B5C7B"/>
    <w:rsid w:val="000B5D81"/>
    <w:rsid w:val="000B7A6E"/>
    <w:rsid w:val="000B7DFE"/>
    <w:rsid w:val="000B7F5D"/>
    <w:rsid w:val="000C0364"/>
    <w:rsid w:val="000C04C1"/>
    <w:rsid w:val="000C0684"/>
    <w:rsid w:val="000C10BA"/>
    <w:rsid w:val="000C1599"/>
    <w:rsid w:val="000C1747"/>
    <w:rsid w:val="000C226B"/>
    <w:rsid w:val="000C32A4"/>
    <w:rsid w:val="000C3CDE"/>
    <w:rsid w:val="000C4137"/>
    <w:rsid w:val="000C44CA"/>
    <w:rsid w:val="000C53B8"/>
    <w:rsid w:val="000C5A70"/>
    <w:rsid w:val="000C5F36"/>
    <w:rsid w:val="000C61C5"/>
    <w:rsid w:val="000C7789"/>
    <w:rsid w:val="000C77FA"/>
    <w:rsid w:val="000C7C44"/>
    <w:rsid w:val="000C7F6A"/>
    <w:rsid w:val="000D0128"/>
    <w:rsid w:val="000D04F4"/>
    <w:rsid w:val="000D13CD"/>
    <w:rsid w:val="000D180A"/>
    <w:rsid w:val="000D186C"/>
    <w:rsid w:val="000D18A2"/>
    <w:rsid w:val="000D1C4C"/>
    <w:rsid w:val="000D2D89"/>
    <w:rsid w:val="000D2E96"/>
    <w:rsid w:val="000D2EB6"/>
    <w:rsid w:val="000D34EB"/>
    <w:rsid w:val="000D3AD0"/>
    <w:rsid w:val="000D3E93"/>
    <w:rsid w:val="000D4324"/>
    <w:rsid w:val="000D47EF"/>
    <w:rsid w:val="000D4AB6"/>
    <w:rsid w:val="000D4DFE"/>
    <w:rsid w:val="000D4FCE"/>
    <w:rsid w:val="000D50CD"/>
    <w:rsid w:val="000D5999"/>
    <w:rsid w:val="000D5A53"/>
    <w:rsid w:val="000D5AF8"/>
    <w:rsid w:val="000D60AA"/>
    <w:rsid w:val="000D6684"/>
    <w:rsid w:val="000D6840"/>
    <w:rsid w:val="000D708E"/>
    <w:rsid w:val="000E02D8"/>
    <w:rsid w:val="000E073C"/>
    <w:rsid w:val="000E09A4"/>
    <w:rsid w:val="000E0D09"/>
    <w:rsid w:val="000E125E"/>
    <w:rsid w:val="000E1439"/>
    <w:rsid w:val="000E145B"/>
    <w:rsid w:val="000E1520"/>
    <w:rsid w:val="000E1D12"/>
    <w:rsid w:val="000E1E9C"/>
    <w:rsid w:val="000E2864"/>
    <w:rsid w:val="000E31EF"/>
    <w:rsid w:val="000E362B"/>
    <w:rsid w:val="000E398C"/>
    <w:rsid w:val="000E502B"/>
    <w:rsid w:val="000E551B"/>
    <w:rsid w:val="000E5E5C"/>
    <w:rsid w:val="000E5EAC"/>
    <w:rsid w:val="000E6179"/>
    <w:rsid w:val="000E63DD"/>
    <w:rsid w:val="000E6C55"/>
    <w:rsid w:val="000E7B84"/>
    <w:rsid w:val="000F0975"/>
    <w:rsid w:val="000F0C54"/>
    <w:rsid w:val="000F0D08"/>
    <w:rsid w:val="000F135E"/>
    <w:rsid w:val="000F1FA8"/>
    <w:rsid w:val="000F4CB0"/>
    <w:rsid w:val="000F50B9"/>
    <w:rsid w:val="000F50C5"/>
    <w:rsid w:val="000F5FC9"/>
    <w:rsid w:val="000F640C"/>
    <w:rsid w:val="000F66F8"/>
    <w:rsid w:val="000F6D1C"/>
    <w:rsid w:val="000F76EF"/>
    <w:rsid w:val="000F7C32"/>
    <w:rsid w:val="000F7FD2"/>
    <w:rsid w:val="00100186"/>
    <w:rsid w:val="001001F0"/>
    <w:rsid w:val="00100281"/>
    <w:rsid w:val="001005AA"/>
    <w:rsid w:val="00101A66"/>
    <w:rsid w:val="00101DAF"/>
    <w:rsid w:val="00101EA6"/>
    <w:rsid w:val="001024C0"/>
    <w:rsid w:val="001024FE"/>
    <w:rsid w:val="0010271E"/>
    <w:rsid w:val="00102752"/>
    <w:rsid w:val="00102ACE"/>
    <w:rsid w:val="00102C26"/>
    <w:rsid w:val="00102FBF"/>
    <w:rsid w:val="00103470"/>
    <w:rsid w:val="0010377A"/>
    <w:rsid w:val="00103FE2"/>
    <w:rsid w:val="0010407C"/>
    <w:rsid w:val="001053AD"/>
    <w:rsid w:val="001059C5"/>
    <w:rsid w:val="001064DF"/>
    <w:rsid w:val="00106AE2"/>
    <w:rsid w:val="00106CAC"/>
    <w:rsid w:val="00106D5A"/>
    <w:rsid w:val="00107317"/>
    <w:rsid w:val="00107E45"/>
    <w:rsid w:val="00110763"/>
    <w:rsid w:val="00110A66"/>
    <w:rsid w:val="00111444"/>
    <w:rsid w:val="00111A9D"/>
    <w:rsid w:val="00111C75"/>
    <w:rsid w:val="00111FD8"/>
    <w:rsid w:val="001131C7"/>
    <w:rsid w:val="001140D8"/>
    <w:rsid w:val="00114A80"/>
    <w:rsid w:val="00114A88"/>
    <w:rsid w:val="0011532F"/>
    <w:rsid w:val="001162FF"/>
    <w:rsid w:val="00116FF7"/>
    <w:rsid w:val="00117291"/>
    <w:rsid w:val="00117514"/>
    <w:rsid w:val="001176B4"/>
    <w:rsid w:val="001178D8"/>
    <w:rsid w:val="00117C27"/>
    <w:rsid w:val="00117D72"/>
    <w:rsid w:val="00120368"/>
    <w:rsid w:val="00120EA6"/>
    <w:rsid w:val="001214B2"/>
    <w:rsid w:val="001217CB"/>
    <w:rsid w:val="00121E37"/>
    <w:rsid w:val="00122253"/>
    <w:rsid w:val="00122BFE"/>
    <w:rsid w:val="0012306C"/>
    <w:rsid w:val="001234B7"/>
    <w:rsid w:val="00123707"/>
    <w:rsid w:val="00123994"/>
    <w:rsid w:val="001246F3"/>
    <w:rsid w:val="00124B78"/>
    <w:rsid w:val="00124D5D"/>
    <w:rsid w:val="00124E8C"/>
    <w:rsid w:val="00124EA4"/>
    <w:rsid w:val="00125441"/>
    <w:rsid w:val="00125879"/>
    <w:rsid w:val="001259EE"/>
    <w:rsid w:val="00125C85"/>
    <w:rsid w:val="00125D53"/>
    <w:rsid w:val="00125FE7"/>
    <w:rsid w:val="0012607A"/>
    <w:rsid w:val="00126943"/>
    <w:rsid w:val="00126DE3"/>
    <w:rsid w:val="00126EFA"/>
    <w:rsid w:val="00127363"/>
    <w:rsid w:val="001302CC"/>
    <w:rsid w:val="0013042C"/>
    <w:rsid w:val="00130648"/>
    <w:rsid w:val="00130AD5"/>
    <w:rsid w:val="00130D24"/>
    <w:rsid w:val="0013111A"/>
    <w:rsid w:val="001324EC"/>
    <w:rsid w:val="00133128"/>
    <w:rsid w:val="001333E5"/>
    <w:rsid w:val="0013436A"/>
    <w:rsid w:val="001346B4"/>
    <w:rsid w:val="001349E0"/>
    <w:rsid w:val="001353E6"/>
    <w:rsid w:val="00135585"/>
    <w:rsid w:val="001358F1"/>
    <w:rsid w:val="00135E02"/>
    <w:rsid w:val="00136AC9"/>
    <w:rsid w:val="0013708B"/>
    <w:rsid w:val="001372D7"/>
    <w:rsid w:val="00137928"/>
    <w:rsid w:val="00140185"/>
    <w:rsid w:val="00140573"/>
    <w:rsid w:val="00140741"/>
    <w:rsid w:val="00140C12"/>
    <w:rsid w:val="00140DC1"/>
    <w:rsid w:val="00140F50"/>
    <w:rsid w:val="00141210"/>
    <w:rsid w:val="001412E5"/>
    <w:rsid w:val="001415B8"/>
    <w:rsid w:val="0014188E"/>
    <w:rsid w:val="00141D60"/>
    <w:rsid w:val="0014254D"/>
    <w:rsid w:val="00142BE7"/>
    <w:rsid w:val="00142D26"/>
    <w:rsid w:val="001431A4"/>
    <w:rsid w:val="001433BE"/>
    <w:rsid w:val="00143A58"/>
    <w:rsid w:val="00143DB1"/>
    <w:rsid w:val="00143DDC"/>
    <w:rsid w:val="001442F1"/>
    <w:rsid w:val="0014499A"/>
    <w:rsid w:val="00144A0B"/>
    <w:rsid w:val="00144D58"/>
    <w:rsid w:val="0014524F"/>
    <w:rsid w:val="00145259"/>
    <w:rsid w:val="00145798"/>
    <w:rsid w:val="001458BC"/>
    <w:rsid w:val="00145A91"/>
    <w:rsid w:val="00145AE0"/>
    <w:rsid w:val="001465EA"/>
    <w:rsid w:val="00146C81"/>
    <w:rsid w:val="00146CD6"/>
    <w:rsid w:val="0014710C"/>
    <w:rsid w:val="0014750D"/>
    <w:rsid w:val="001479B1"/>
    <w:rsid w:val="00147BFF"/>
    <w:rsid w:val="00147C31"/>
    <w:rsid w:val="00147CDA"/>
    <w:rsid w:val="00147FB2"/>
    <w:rsid w:val="00150300"/>
    <w:rsid w:val="0015033A"/>
    <w:rsid w:val="001503B1"/>
    <w:rsid w:val="00150675"/>
    <w:rsid w:val="001507E1"/>
    <w:rsid w:val="00151D89"/>
    <w:rsid w:val="00151EEA"/>
    <w:rsid w:val="00152100"/>
    <w:rsid w:val="001525DB"/>
    <w:rsid w:val="001530D6"/>
    <w:rsid w:val="00153514"/>
    <w:rsid w:val="00153C4D"/>
    <w:rsid w:val="001544FF"/>
    <w:rsid w:val="00154B49"/>
    <w:rsid w:val="001550E8"/>
    <w:rsid w:val="00155135"/>
    <w:rsid w:val="001555D6"/>
    <w:rsid w:val="00156859"/>
    <w:rsid w:val="00156D16"/>
    <w:rsid w:val="00157BEF"/>
    <w:rsid w:val="00157DCC"/>
    <w:rsid w:val="00160452"/>
    <w:rsid w:val="00160761"/>
    <w:rsid w:val="00160D13"/>
    <w:rsid w:val="00160E43"/>
    <w:rsid w:val="00161324"/>
    <w:rsid w:val="00162196"/>
    <w:rsid w:val="0016230E"/>
    <w:rsid w:val="0016247E"/>
    <w:rsid w:val="001624A7"/>
    <w:rsid w:val="001636E5"/>
    <w:rsid w:val="00163F13"/>
    <w:rsid w:val="001642BC"/>
    <w:rsid w:val="001645B3"/>
    <w:rsid w:val="001647C1"/>
    <w:rsid w:val="00164EDF"/>
    <w:rsid w:val="001654F6"/>
    <w:rsid w:val="00165813"/>
    <w:rsid w:val="0016686F"/>
    <w:rsid w:val="00167B2A"/>
    <w:rsid w:val="00167E78"/>
    <w:rsid w:val="001705B7"/>
    <w:rsid w:val="0017093A"/>
    <w:rsid w:val="00170CD1"/>
    <w:rsid w:val="00170CEB"/>
    <w:rsid w:val="00171806"/>
    <w:rsid w:val="00171A53"/>
    <w:rsid w:val="00171CFA"/>
    <w:rsid w:val="00171FC7"/>
    <w:rsid w:val="00172D3B"/>
    <w:rsid w:val="00172FA1"/>
    <w:rsid w:val="00173048"/>
    <w:rsid w:val="0017367D"/>
    <w:rsid w:val="00173C7A"/>
    <w:rsid w:val="001743DF"/>
    <w:rsid w:val="00174CBB"/>
    <w:rsid w:val="00175429"/>
    <w:rsid w:val="001755CA"/>
    <w:rsid w:val="00176377"/>
    <w:rsid w:val="00176716"/>
    <w:rsid w:val="00176B6D"/>
    <w:rsid w:val="00176BA6"/>
    <w:rsid w:val="00176C84"/>
    <w:rsid w:val="00177BE4"/>
    <w:rsid w:val="00177FF7"/>
    <w:rsid w:val="00180295"/>
    <w:rsid w:val="00180A95"/>
    <w:rsid w:val="00180EAF"/>
    <w:rsid w:val="001810C7"/>
    <w:rsid w:val="001814EC"/>
    <w:rsid w:val="00181942"/>
    <w:rsid w:val="00181AB2"/>
    <w:rsid w:val="00181ADE"/>
    <w:rsid w:val="00181B0D"/>
    <w:rsid w:val="00181B39"/>
    <w:rsid w:val="001822C4"/>
    <w:rsid w:val="00182D1F"/>
    <w:rsid w:val="00182ED0"/>
    <w:rsid w:val="0018308E"/>
    <w:rsid w:val="00183A45"/>
    <w:rsid w:val="00183B2F"/>
    <w:rsid w:val="00183FF4"/>
    <w:rsid w:val="00184148"/>
    <w:rsid w:val="0018480C"/>
    <w:rsid w:val="001850C0"/>
    <w:rsid w:val="00185497"/>
    <w:rsid w:val="00185A14"/>
    <w:rsid w:val="00185AAE"/>
    <w:rsid w:val="00185DC1"/>
    <w:rsid w:val="00185E19"/>
    <w:rsid w:val="00186246"/>
    <w:rsid w:val="00186811"/>
    <w:rsid w:val="00186AA4"/>
    <w:rsid w:val="00186C9F"/>
    <w:rsid w:val="00187020"/>
    <w:rsid w:val="001870D1"/>
    <w:rsid w:val="00187CF5"/>
    <w:rsid w:val="00190D6F"/>
    <w:rsid w:val="00190E47"/>
    <w:rsid w:val="00190E57"/>
    <w:rsid w:val="00190F8B"/>
    <w:rsid w:val="00191577"/>
    <w:rsid w:val="00192AA4"/>
    <w:rsid w:val="00192B76"/>
    <w:rsid w:val="001930AF"/>
    <w:rsid w:val="001932BF"/>
    <w:rsid w:val="001937F6"/>
    <w:rsid w:val="00193AB1"/>
    <w:rsid w:val="00193EC8"/>
    <w:rsid w:val="00194025"/>
    <w:rsid w:val="001941FC"/>
    <w:rsid w:val="0019483D"/>
    <w:rsid w:val="00194AED"/>
    <w:rsid w:val="0019554C"/>
    <w:rsid w:val="00196614"/>
    <w:rsid w:val="00196EED"/>
    <w:rsid w:val="00196F63"/>
    <w:rsid w:val="00197D58"/>
    <w:rsid w:val="001A0148"/>
    <w:rsid w:val="001A12A4"/>
    <w:rsid w:val="001A1623"/>
    <w:rsid w:val="001A1C91"/>
    <w:rsid w:val="001A2CC1"/>
    <w:rsid w:val="001A3113"/>
    <w:rsid w:val="001A3319"/>
    <w:rsid w:val="001A43AC"/>
    <w:rsid w:val="001A4FAC"/>
    <w:rsid w:val="001A589C"/>
    <w:rsid w:val="001A5ADE"/>
    <w:rsid w:val="001A5C3F"/>
    <w:rsid w:val="001A6B50"/>
    <w:rsid w:val="001A6B5E"/>
    <w:rsid w:val="001A73C9"/>
    <w:rsid w:val="001B2215"/>
    <w:rsid w:val="001B25F4"/>
    <w:rsid w:val="001B279B"/>
    <w:rsid w:val="001B2A0B"/>
    <w:rsid w:val="001B2A7E"/>
    <w:rsid w:val="001B35B1"/>
    <w:rsid w:val="001B3A2C"/>
    <w:rsid w:val="001B45BF"/>
    <w:rsid w:val="001B4CC7"/>
    <w:rsid w:val="001B4DDE"/>
    <w:rsid w:val="001B4E96"/>
    <w:rsid w:val="001B51C9"/>
    <w:rsid w:val="001B5EDE"/>
    <w:rsid w:val="001B7522"/>
    <w:rsid w:val="001C0441"/>
    <w:rsid w:val="001C0F86"/>
    <w:rsid w:val="001C197E"/>
    <w:rsid w:val="001C1A17"/>
    <w:rsid w:val="001C2E1E"/>
    <w:rsid w:val="001C3997"/>
    <w:rsid w:val="001C3A68"/>
    <w:rsid w:val="001C3C5F"/>
    <w:rsid w:val="001C3E29"/>
    <w:rsid w:val="001C4A9A"/>
    <w:rsid w:val="001C5378"/>
    <w:rsid w:val="001C62B6"/>
    <w:rsid w:val="001C69A9"/>
    <w:rsid w:val="001C69AC"/>
    <w:rsid w:val="001C6A22"/>
    <w:rsid w:val="001C6D80"/>
    <w:rsid w:val="001C7B87"/>
    <w:rsid w:val="001D0548"/>
    <w:rsid w:val="001D08EE"/>
    <w:rsid w:val="001D102B"/>
    <w:rsid w:val="001D152F"/>
    <w:rsid w:val="001D169C"/>
    <w:rsid w:val="001D1AD6"/>
    <w:rsid w:val="001D1CC7"/>
    <w:rsid w:val="001D22EB"/>
    <w:rsid w:val="001D3A9B"/>
    <w:rsid w:val="001D3AA3"/>
    <w:rsid w:val="001D48F3"/>
    <w:rsid w:val="001D5263"/>
    <w:rsid w:val="001D5380"/>
    <w:rsid w:val="001D62B4"/>
    <w:rsid w:val="001D6423"/>
    <w:rsid w:val="001D6431"/>
    <w:rsid w:val="001D646C"/>
    <w:rsid w:val="001D6BA0"/>
    <w:rsid w:val="001D6C21"/>
    <w:rsid w:val="001D7CCE"/>
    <w:rsid w:val="001E025C"/>
    <w:rsid w:val="001E0C2D"/>
    <w:rsid w:val="001E170A"/>
    <w:rsid w:val="001E17C1"/>
    <w:rsid w:val="001E1B6F"/>
    <w:rsid w:val="001E25DF"/>
    <w:rsid w:val="001E28D2"/>
    <w:rsid w:val="001E2DFB"/>
    <w:rsid w:val="001E31F3"/>
    <w:rsid w:val="001E3578"/>
    <w:rsid w:val="001E3645"/>
    <w:rsid w:val="001E384A"/>
    <w:rsid w:val="001E3946"/>
    <w:rsid w:val="001E3963"/>
    <w:rsid w:val="001E3AA0"/>
    <w:rsid w:val="001E4BD6"/>
    <w:rsid w:val="001E4F09"/>
    <w:rsid w:val="001E508C"/>
    <w:rsid w:val="001E54C8"/>
    <w:rsid w:val="001E55CD"/>
    <w:rsid w:val="001E5851"/>
    <w:rsid w:val="001E5BF0"/>
    <w:rsid w:val="001E6437"/>
    <w:rsid w:val="001E66FC"/>
    <w:rsid w:val="001E705F"/>
    <w:rsid w:val="001E709D"/>
    <w:rsid w:val="001E71F5"/>
    <w:rsid w:val="001F0369"/>
    <w:rsid w:val="001F069E"/>
    <w:rsid w:val="001F0BFB"/>
    <w:rsid w:val="001F11EB"/>
    <w:rsid w:val="001F17C0"/>
    <w:rsid w:val="001F199A"/>
    <w:rsid w:val="001F1C78"/>
    <w:rsid w:val="001F2819"/>
    <w:rsid w:val="001F289A"/>
    <w:rsid w:val="001F3ECF"/>
    <w:rsid w:val="001F5116"/>
    <w:rsid w:val="001F579B"/>
    <w:rsid w:val="001F61E5"/>
    <w:rsid w:val="001F6CF7"/>
    <w:rsid w:val="001F7690"/>
    <w:rsid w:val="0020001C"/>
    <w:rsid w:val="0020018B"/>
    <w:rsid w:val="00200315"/>
    <w:rsid w:val="002003A2"/>
    <w:rsid w:val="0020044D"/>
    <w:rsid w:val="00201A06"/>
    <w:rsid w:val="002023A3"/>
    <w:rsid w:val="00203947"/>
    <w:rsid w:val="002050EE"/>
    <w:rsid w:val="00205356"/>
    <w:rsid w:val="00205E54"/>
    <w:rsid w:val="00206886"/>
    <w:rsid w:val="002068C1"/>
    <w:rsid w:val="00207278"/>
    <w:rsid w:val="00207AAF"/>
    <w:rsid w:val="00207B1E"/>
    <w:rsid w:val="00207B7F"/>
    <w:rsid w:val="00207C1C"/>
    <w:rsid w:val="00210C5E"/>
    <w:rsid w:val="00210DB0"/>
    <w:rsid w:val="002111F6"/>
    <w:rsid w:val="00211DCE"/>
    <w:rsid w:val="00212330"/>
    <w:rsid w:val="0021294E"/>
    <w:rsid w:val="00212E6A"/>
    <w:rsid w:val="00212EE0"/>
    <w:rsid w:val="00212EFC"/>
    <w:rsid w:val="0021311F"/>
    <w:rsid w:val="0021376A"/>
    <w:rsid w:val="00213EED"/>
    <w:rsid w:val="00214C6A"/>
    <w:rsid w:val="0021515E"/>
    <w:rsid w:val="002161EB"/>
    <w:rsid w:val="0021639E"/>
    <w:rsid w:val="00216545"/>
    <w:rsid w:val="002165BB"/>
    <w:rsid w:val="00216D21"/>
    <w:rsid w:val="00220029"/>
    <w:rsid w:val="00220A74"/>
    <w:rsid w:val="0022114B"/>
    <w:rsid w:val="002219B8"/>
    <w:rsid w:val="002221F6"/>
    <w:rsid w:val="00222570"/>
    <w:rsid w:val="00222A28"/>
    <w:rsid w:val="00222A8A"/>
    <w:rsid w:val="0022318A"/>
    <w:rsid w:val="00223476"/>
    <w:rsid w:val="0022359D"/>
    <w:rsid w:val="0022525A"/>
    <w:rsid w:val="00225B70"/>
    <w:rsid w:val="00225FEC"/>
    <w:rsid w:val="00226063"/>
    <w:rsid w:val="002265DA"/>
    <w:rsid w:val="0022719F"/>
    <w:rsid w:val="0022768B"/>
    <w:rsid w:val="00227788"/>
    <w:rsid w:val="00227D72"/>
    <w:rsid w:val="00227DC8"/>
    <w:rsid w:val="0023007B"/>
    <w:rsid w:val="002305E3"/>
    <w:rsid w:val="002306AB"/>
    <w:rsid w:val="00230718"/>
    <w:rsid w:val="00231B9E"/>
    <w:rsid w:val="0023205F"/>
    <w:rsid w:val="0023225E"/>
    <w:rsid w:val="00232730"/>
    <w:rsid w:val="00232C74"/>
    <w:rsid w:val="00233D60"/>
    <w:rsid w:val="00233ED7"/>
    <w:rsid w:val="002349F9"/>
    <w:rsid w:val="00235ECB"/>
    <w:rsid w:val="0023643C"/>
    <w:rsid w:val="00236A7B"/>
    <w:rsid w:val="00236D26"/>
    <w:rsid w:val="002371C0"/>
    <w:rsid w:val="00240D9D"/>
    <w:rsid w:val="00240E92"/>
    <w:rsid w:val="002422FA"/>
    <w:rsid w:val="002425EC"/>
    <w:rsid w:val="00242920"/>
    <w:rsid w:val="00242D36"/>
    <w:rsid w:val="00242FE6"/>
    <w:rsid w:val="00243503"/>
    <w:rsid w:val="00243530"/>
    <w:rsid w:val="002436E9"/>
    <w:rsid w:val="0024380D"/>
    <w:rsid w:val="0024387A"/>
    <w:rsid w:val="00243AC8"/>
    <w:rsid w:val="00243D55"/>
    <w:rsid w:val="00244533"/>
    <w:rsid w:val="00244EC9"/>
    <w:rsid w:val="00245CC6"/>
    <w:rsid w:val="00245D88"/>
    <w:rsid w:val="002465C9"/>
    <w:rsid w:val="00246742"/>
    <w:rsid w:val="00247672"/>
    <w:rsid w:val="00247F76"/>
    <w:rsid w:val="002509F3"/>
    <w:rsid w:val="00250E0F"/>
    <w:rsid w:val="00251BA6"/>
    <w:rsid w:val="0025242F"/>
    <w:rsid w:val="002525E4"/>
    <w:rsid w:val="002528B4"/>
    <w:rsid w:val="002528E9"/>
    <w:rsid w:val="00252BE6"/>
    <w:rsid w:val="002530FF"/>
    <w:rsid w:val="002536E5"/>
    <w:rsid w:val="00253941"/>
    <w:rsid w:val="00254906"/>
    <w:rsid w:val="00254A43"/>
    <w:rsid w:val="00254D43"/>
    <w:rsid w:val="00255C7C"/>
    <w:rsid w:val="0025622E"/>
    <w:rsid w:val="00256C93"/>
    <w:rsid w:val="00257377"/>
    <w:rsid w:val="002579B5"/>
    <w:rsid w:val="00257A4F"/>
    <w:rsid w:val="00260CD5"/>
    <w:rsid w:val="002611B2"/>
    <w:rsid w:val="00261CCC"/>
    <w:rsid w:val="00261E92"/>
    <w:rsid w:val="00262DBC"/>
    <w:rsid w:val="00262FC1"/>
    <w:rsid w:val="0026308E"/>
    <w:rsid w:val="0026326C"/>
    <w:rsid w:val="00263282"/>
    <w:rsid w:val="0026330A"/>
    <w:rsid w:val="002634EF"/>
    <w:rsid w:val="002648F6"/>
    <w:rsid w:val="00264CC5"/>
    <w:rsid w:val="002655A7"/>
    <w:rsid w:val="00265FB3"/>
    <w:rsid w:val="0026653C"/>
    <w:rsid w:val="00266665"/>
    <w:rsid w:val="002666EA"/>
    <w:rsid w:val="00266B0C"/>
    <w:rsid w:val="00267182"/>
    <w:rsid w:val="00267FC5"/>
    <w:rsid w:val="002707B7"/>
    <w:rsid w:val="002711DC"/>
    <w:rsid w:val="00271AD3"/>
    <w:rsid w:val="00271AF4"/>
    <w:rsid w:val="00271E8A"/>
    <w:rsid w:val="002720B6"/>
    <w:rsid w:val="00272585"/>
    <w:rsid w:val="002725BD"/>
    <w:rsid w:val="002726B8"/>
    <w:rsid w:val="00273148"/>
    <w:rsid w:val="002735E7"/>
    <w:rsid w:val="00273978"/>
    <w:rsid w:val="00273AE5"/>
    <w:rsid w:val="00273B16"/>
    <w:rsid w:val="00273B9D"/>
    <w:rsid w:val="00274085"/>
    <w:rsid w:val="002740F9"/>
    <w:rsid w:val="00274733"/>
    <w:rsid w:val="00274872"/>
    <w:rsid w:val="00274F96"/>
    <w:rsid w:val="00275DD6"/>
    <w:rsid w:val="002767F8"/>
    <w:rsid w:val="00276D3C"/>
    <w:rsid w:val="0027774B"/>
    <w:rsid w:val="00277981"/>
    <w:rsid w:val="00277AF6"/>
    <w:rsid w:val="00277D37"/>
    <w:rsid w:val="00277DD8"/>
    <w:rsid w:val="00280826"/>
    <w:rsid w:val="00280A78"/>
    <w:rsid w:val="00280CDB"/>
    <w:rsid w:val="00280E58"/>
    <w:rsid w:val="00281055"/>
    <w:rsid w:val="00281742"/>
    <w:rsid w:val="00281909"/>
    <w:rsid w:val="002826E9"/>
    <w:rsid w:val="0028281C"/>
    <w:rsid w:val="00282D87"/>
    <w:rsid w:val="002832EB"/>
    <w:rsid w:val="002845AC"/>
    <w:rsid w:val="00284C91"/>
    <w:rsid w:val="00284FDB"/>
    <w:rsid w:val="0028571D"/>
    <w:rsid w:val="00285A5A"/>
    <w:rsid w:val="00285BAA"/>
    <w:rsid w:val="00285E5F"/>
    <w:rsid w:val="0028613C"/>
    <w:rsid w:val="0028652F"/>
    <w:rsid w:val="0028655C"/>
    <w:rsid w:val="00286D2F"/>
    <w:rsid w:val="00287626"/>
    <w:rsid w:val="00287657"/>
    <w:rsid w:val="002907F4"/>
    <w:rsid w:val="00290ADF"/>
    <w:rsid w:val="00290ECA"/>
    <w:rsid w:val="00291322"/>
    <w:rsid w:val="002915CD"/>
    <w:rsid w:val="00292039"/>
    <w:rsid w:val="0029235B"/>
    <w:rsid w:val="00292470"/>
    <w:rsid w:val="002925AF"/>
    <w:rsid w:val="00292832"/>
    <w:rsid w:val="002929B8"/>
    <w:rsid w:val="00293364"/>
    <w:rsid w:val="002939E7"/>
    <w:rsid w:val="00293DC0"/>
    <w:rsid w:val="00293FDA"/>
    <w:rsid w:val="00294042"/>
    <w:rsid w:val="0029507C"/>
    <w:rsid w:val="002950E0"/>
    <w:rsid w:val="00295A7F"/>
    <w:rsid w:val="002960E5"/>
    <w:rsid w:val="00296CD6"/>
    <w:rsid w:val="002977F8"/>
    <w:rsid w:val="00297E4B"/>
    <w:rsid w:val="00297EB7"/>
    <w:rsid w:val="002A01F3"/>
    <w:rsid w:val="002A0700"/>
    <w:rsid w:val="002A0A46"/>
    <w:rsid w:val="002A0AEB"/>
    <w:rsid w:val="002A0C34"/>
    <w:rsid w:val="002A1CFA"/>
    <w:rsid w:val="002A215C"/>
    <w:rsid w:val="002A2CF4"/>
    <w:rsid w:val="002A3293"/>
    <w:rsid w:val="002A38D0"/>
    <w:rsid w:val="002A3C59"/>
    <w:rsid w:val="002A3DA2"/>
    <w:rsid w:val="002A4213"/>
    <w:rsid w:val="002A439B"/>
    <w:rsid w:val="002A5B23"/>
    <w:rsid w:val="002A69BC"/>
    <w:rsid w:val="002A6B8E"/>
    <w:rsid w:val="002A6D11"/>
    <w:rsid w:val="002A75B6"/>
    <w:rsid w:val="002A7917"/>
    <w:rsid w:val="002B01FE"/>
    <w:rsid w:val="002B0221"/>
    <w:rsid w:val="002B074E"/>
    <w:rsid w:val="002B076C"/>
    <w:rsid w:val="002B0853"/>
    <w:rsid w:val="002B0AFB"/>
    <w:rsid w:val="002B0EBA"/>
    <w:rsid w:val="002B0EF3"/>
    <w:rsid w:val="002B0F0C"/>
    <w:rsid w:val="002B15E2"/>
    <w:rsid w:val="002B28C0"/>
    <w:rsid w:val="002B2CF4"/>
    <w:rsid w:val="002B2EF6"/>
    <w:rsid w:val="002B3A81"/>
    <w:rsid w:val="002B3C11"/>
    <w:rsid w:val="002B45D0"/>
    <w:rsid w:val="002B476D"/>
    <w:rsid w:val="002B481D"/>
    <w:rsid w:val="002B56F7"/>
    <w:rsid w:val="002B63F5"/>
    <w:rsid w:val="002B6500"/>
    <w:rsid w:val="002B7219"/>
    <w:rsid w:val="002B791F"/>
    <w:rsid w:val="002C04D4"/>
    <w:rsid w:val="002C04E2"/>
    <w:rsid w:val="002C0825"/>
    <w:rsid w:val="002C086E"/>
    <w:rsid w:val="002C14E9"/>
    <w:rsid w:val="002C179B"/>
    <w:rsid w:val="002C222A"/>
    <w:rsid w:val="002C2CC5"/>
    <w:rsid w:val="002C2CCE"/>
    <w:rsid w:val="002C2FFB"/>
    <w:rsid w:val="002C40F8"/>
    <w:rsid w:val="002C42C9"/>
    <w:rsid w:val="002C42E8"/>
    <w:rsid w:val="002C4EFC"/>
    <w:rsid w:val="002C5B95"/>
    <w:rsid w:val="002C5FD8"/>
    <w:rsid w:val="002C659B"/>
    <w:rsid w:val="002C6AEC"/>
    <w:rsid w:val="002C706C"/>
    <w:rsid w:val="002C741B"/>
    <w:rsid w:val="002C774A"/>
    <w:rsid w:val="002D0ABC"/>
    <w:rsid w:val="002D1B59"/>
    <w:rsid w:val="002D207C"/>
    <w:rsid w:val="002D2319"/>
    <w:rsid w:val="002D2760"/>
    <w:rsid w:val="002D3EFB"/>
    <w:rsid w:val="002D4230"/>
    <w:rsid w:val="002D44DB"/>
    <w:rsid w:val="002D4DBB"/>
    <w:rsid w:val="002D557B"/>
    <w:rsid w:val="002D5C43"/>
    <w:rsid w:val="002D5C5E"/>
    <w:rsid w:val="002D6DF1"/>
    <w:rsid w:val="002D7899"/>
    <w:rsid w:val="002D7A50"/>
    <w:rsid w:val="002E0526"/>
    <w:rsid w:val="002E0C15"/>
    <w:rsid w:val="002E255D"/>
    <w:rsid w:val="002E266A"/>
    <w:rsid w:val="002E2CD4"/>
    <w:rsid w:val="002E2D57"/>
    <w:rsid w:val="002E3709"/>
    <w:rsid w:val="002E3E7C"/>
    <w:rsid w:val="002E3F3C"/>
    <w:rsid w:val="002E3FAD"/>
    <w:rsid w:val="002E4562"/>
    <w:rsid w:val="002E4C40"/>
    <w:rsid w:val="002E4D55"/>
    <w:rsid w:val="002E56E1"/>
    <w:rsid w:val="002E595C"/>
    <w:rsid w:val="002E5D5F"/>
    <w:rsid w:val="002E5F0C"/>
    <w:rsid w:val="002E646C"/>
    <w:rsid w:val="002E64A2"/>
    <w:rsid w:val="002E72B0"/>
    <w:rsid w:val="002E74E2"/>
    <w:rsid w:val="002E7842"/>
    <w:rsid w:val="002F1956"/>
    <w:rsid w:val="002F1C32"/>
    <w:rsid w:val="002F1C4F"/>
    <w:rsid w:val="002F2314"/>
    <w:rsid w:val="002F2838"/>
    <w:rsid w:val="002F297F"/>
    <w:rsid w:val="002F3118"/>
    <w:rsid w:val="002F3701"/>
    <w:rsid w:val="002F3930"/>
    <w:rsid w:val="002F3D8D"/>
    <w:rsid w:val="002F3D91"/>
    <w:rsid w:val="002F440B"/>
    <w:rsid w:val="002F44D3"/>
    <w:rsid w:val="002F47BB"/>
    <w:rsid w:val="002F4A37"/>
    <w:rsid w:val="002F5CAF"/>
    <w:rsid w:val="002F6679"/>
    <w:rsid w:val="002F6A98"/>
    <w:rsid w:val="002F75A7"/>
    <w:rsid w:val="002F7AEA"/>
    <w:rsid w:val="003004ED"/>
    <w:rsid w:val="00300593"/>
    <w:rsid w:val="003006F8"/>
    <w:rsid w:val="00301230"/>
    <w:rsid w:val="00301265"/>
    <w:rsid w:val="00301E91"/>
    <w:rsid w:val="003023E7"/>
    <w:rsid w:val="00302AEA"/>
    <w:rsid w:val="003039ED"/>
    <w:rsid w:val="0030469D"/>
    <w:rsid w:val="003053AF"/>
    <w:rsid w:val="003057C8"/>
    <w:rsid w:val="003059BD"/>
    <w:rsid w:val="003059CE"/>
    <w:rsid w:val="003060DC"/>
    <w:rsid w:val="0030624A"/>
    <w:rsid w:val="003069A5"/>
    <w:rsid w:val="003069DD"/>
    <w:rsid w:val="00306C3C"/>
    <w:rsid w:val="003072EF"/>
    <w:rsid w:val="003079EF"/>
    <w:rsid w:val="00310008"/>
    <w:rsid w:val="003104A6"/>
    <w:rsid w:val="003109BB"/>
    <w:rsid w:val="00310AD5"/>
    <w:rsid w:val="00310C27"/>
    <w:rsid w:val="00310F06"/>
    <w:rsid w:val="003112FE"/>
    <w:rsid w:val="00312133"/>
    <w:rsid w:val="003122EE"/>
    <w:rsid w:val="00312327"/>
    <w:rsid w:val="003126AE"/>
    <w:rsid w:val="0031303D"/>
    <w:rsid w:val="00313404"/>
    <w:rsid w:val="00313426"/>
    <w:rsid w:val="00313AAB"/>
    <w:rsid w:val="003149AB"/>
    <w:rsid w:val="00314C45"/>
    <w:rsid w:val="00314E9E"/>
    <w:rsid w:val="00315BF6"/>
    <w:rsid w:val="00315E26"/>
    <w:rsid w:val="00315EEC"/>
    <w:rsid w:val="00315F37"/>
    <w:rsid w:val="0031687B"/>
    <w:rsid w:val="00316F4B"/>
    <w:rsid w:val="00317898"/>
    <w:rsid w:val="00320025"/>
    <w:rsid w:val="00320CBA"/>
    <w:rsid w:val="00320F9A"/>
    <w:rsid w:val="003219E1"/>
    <w:rsid w:val="0032213E"/>
    <w:rsid w:val="00322151"/>
    <w:rsid w:val="00322661"/>
    <w:rsid w:val="00323033"/>
    <w:rsid w:val="0032374D"/>
    <w:rsid w:val="00323901"/>
    <w:rsid w:val="00323BFA"/>
    <w:rsid w:val="00323D1A"/>
    <w:rsid w:val="00323D36"/>
    <w:rsid w:val="0032483C"/>
    <w:rsid w:val="0032497E"/>
    <w:rsid w:val="00324D3A"/>
    <w:rsid w:val="0032515B"/>
    <w:rsid w:val="00326AD1"/>
    <w:rsid w:val="00327F60"/>
    <w:rsid w:val="00330069"/>
    <w:rsid w:val="00330C5F"/>
    <w:rsid w:val="00330EB8"/>
    <w:rsid w:val="003313E3"/>
    <w:rsid w:val="00331C3A"/>
    <w:rsid w:val="00333F0E"/>
    <w:rsid w:val="00334216"/>
    <w:rsid w:val="003349E9"/>
    <w:rsid w:val="00334B0F"/>
    <w:rsid w:val="00334F6B"/>
    <w:rsid w:val="00335F6B"/>
    <w:rsid w:val="00336A6A"/>
    <w:rsid w:val="00336B1A"/>
    <w:rsid w:val="00336BBD"/>
    <w:rsid w:val="00336F9C"/>
    <w:rsid w:val="00336FDA"/>
    <w:rsid w:val="00337118"/>
    <w:rsid w:val="00337205"/>
    <w:rsid w:val="00337A85"/>
    <w:rsid w:val="00337F75"/>
    <w:rsid w:val="003408F6"/>
    <w:rsid w:val="00341142"/>
    <w:rsid w:val="00341568"/>
    <w:rsid w:val="00341A6A"/>
    <w:rsid w:val="00341D5F"/>
    <w:rsid w:val="0034225B"/>
    <w:rsid w:val="00342D5D"/>
    <w:rsid w:val="003430E6"/>
    <w:rsid w:val="003431DA"/>
    <w:rsid w:val="00343F86"/>
    <w:rsid w:val="00344B62"/>
    <w:rsid w:val="00344F04"/>
    <w:rsid w:val="00345746"/>
    <w:rsid w:val="0034667F"/>
    <w:rsid w:val="00346A9D"/>
    <w:rsid w:val="00346ADC"/>
    <w:rsid w:val="00347D27"/>
    <w:rsid w:val="00347EC2"/>
    <w:rsid w:val="0035014E"/>
    <w:rsid w:val="003503D2"/>
    <w:rsid w:val="00350586"/>
    <w:rsid w:val="00350763"/>
    <w:rsid w:val="00350D63"/>
    <w:rsid w:val="00350E2D"/>
    <w:rsid w:val="003519E4"/>
    <w:rsid w:val="00351CD8"/>
    <w:rsid w:val="00352213"/>
    <w:rsid w:val="0035329D"/>
    <w:rsid w:val="0035375B"/>
    <w:rsid w:val="003544BF"/>
    <w:rsid w:val="003546C7"/>
    <w:rsid w:val="00354FAD"/>
    <w:rsid w:val="003554F3"/>
    <w:rsid w:val="003558F2"/>
    <w:rsid w:val="0035738A"/>
    <w:rsid w:val="0036040E"/>
    <w:rsid w:val="00360A50"/>
    <w:rsid w:val="00360D87"/>
    <w:rsid w:val="00360E5A"/>
    <w:rsid w:val="00361789"/>
    <w:rsid w:val="00361825"/>
    <w:rsid w:val="00362100"/>
    <w:rsid w:val="0036281D"/>
    <w:rsid w:val="0036290B"/>
    <w:rsid w:val="00363100"/>
    <w:rsid w:val="00363B21"/>
    <w:rsid w:val="00364640"/>
    <w:rsid w:val="00365279"/>
    <w:rsid w:val="003652EB"/>
    <w:rsid w:val="00365CA3"/>
    <w:rsid w:val="00365D8D"/>
    <w:rsid w:val="00365D9B"/>
    <w:rsid w:val="00366514"/>
    <w:rsid w:val="003666B9"/>
    <w:rsid w:val="00366796"/>
    <w:rsid w:val="00366ACF"/>
    <w:rsid w:val="00366BD2"/>
    <w:rsid w:val="00366CE1"/>
    <w:rsid w:val="003674B8"/>
    <w:rsid w:val="003675F2"/>
    <w:rsid w:val="00367A98"/>
    <w:rsid w:val="00367C92"/>
    <w:rsid w:val="00367CBD"/>
    <w:rsid w:val="00367F95"/>
    <w:rsid w:val="00370871"/>
    <w:rsid w:val="00370E74"/>
    <w:rsid w:val="00370FF5"/>
    <w:rsid w:val="003712E5"/>
    <w:rsid w:val="00371A84"/>
    <w:rsid w:val="00371CD5"/>
    <w:rsid w:val="00372D7E"/>
    <w:rsid w:val="00373051"/>
    <w:rsid w:val="00373408"/>
    <w:rsid w:val="00373E8E"/>
    <w:rsid w:val="003747D4"/>
    <w:rsid w:val="00374B0F"/>
    <w:rsid w:val="00374E86"/>
    <w:rsid w:val="0037501C"/>
    <w:rsid w:val="003756EE"/>
    <w:rsid w:val="00375869"/>
    <w:rsid w:val="00375AAB"/>
    <w:rsid w:val="00376648"/>
    <w:rsid w:val="0037666E"/>
    <w:rsid w:val="0037672B"/>
    <w:rsid w:val="00376B3C"/>
    <w:rsid w:val="00376BF1"/>
    <w:rsid w:val="00376C4C"/>
    <w:rsid w:val="00377334"/>
    <w:rsid w:val="0037738A"/>
    <w:rsid w:val="00377CC2"/>
    <w:rsid w:val="00377E7C"/>
    <w:rsid w:val="00377EC5"/>
    <w:rsid w:val="00380315"/>
    <w:rsid w:val="00380473"/>
    <w:rsid w:val="003805A2"/>
    <w:rsid w:val="003806EF"/>
    <w:rsid w:val="00380733"/>
    <w:rsid w:val="0038179A"/>
    <w:rsid w:val="00382187"/>
    <w:rsid w:val="0038272D"/>
    <w:rsid w:val="00382BF8"/>
    <w:rsid w:val="003831B4"/>
    <w:rsid w:val="003841A1"/>
    <w:rsid w:val="0038436D"/>
    <w:rsid w:val="00384427"/>
    <w:rsid w:val="0038469C"/>
    <w:rsid w:val="0038498E"/>
    <w:rsid w:val="003854DB"/>
    <w:rsid w:val="00385558"/>
    <w:rsid w:val="0038576A"/>
    <w:rsid w:val="00385AB7"/>
    <w:rsid w:val="00386F36"/>
    <w:rsid w:val="0038700D"/>
    <w:rsid w:val="00387391"/>
    <w:rsid w:val="00387AD2"/>
    <w:rsid w:val="00390077"/>
    <w:rsid w:val="0039021F"/>
    <w:rsid w:val="00390528"/>
    <w:rsid w:val="00390555"/>
    <w:rsid w:val="0039081B"/>
    <w:rsid w:val="00390E49"/>
    <w:rsid w:val="00391C36"/>
    <w:rsid w:val="00391EA8"/>
    <w:rsid w:val="00393367"/>
    <w:rsid w:val="00393371"/>
    <w:rsid w:val="003938BD"/>
    <w:rsid w:val="00393B17"/>
    <w:rsid w:val="003948F3"/>
    <w:rsid w:val="00394D13"/>
    <w:rsid w:val="00395753"/>
    <w:rsid w:val="00396366"/>
    <w:rsid w:val="003964BE"/>
    <w:rsid w:val="003967AC"/>
    <w:rsid w:val="003968D1"/>
    <w:rsid w:val="00396B7F"/>
    <w:rsid w:val="0039725D"/>
    <w:rsid w:val="00397B17"/>
    <w:rsid w:val="003A033C"/>
    <w:rsid w:val="003A0F28"/>
    <w:rsid w:val="003A22ED"/>
    <w:rsid w:val="003A26F7"/>
    <w:rsid w:val="003A2B36"/>
    <w:rsid w:val="003A3704"/>
    <w:rsid w:val="003A38AB"/>
    <w:rsid w:val="003A3D98"/>
    <w:rsid w:val="003A3FF5"/>
    <w:rsid w:val="003A445A"/>
    <w:rsid w:val="003A4B01"/>
    <w:rsid w:val="003A4EF1"/>
    <w:rsid w:val="003A53F4"/>
    <w:rsid w:val="003A54B0"/>
    <w:rsid w:val="003A5603"/>
    <w:rsid w:val="003A5820"/>
    <w:rsid w:val="003A5868"/>
    <w:rsid w:val="003A5DDD"/>
    <w:rsid w:val="003A5FFD"/>
    <w:rsid w:val="003A62CB"/>
    <w:rsid w:val="003A63CF"/>
    <w:rsid w:val="003A6F23"/>
    <w:rsid w:val="003A7673"/>
    <w:rsid w:val="003A7E35"/>
    <w:rsid w:val="003B0625"/>
    <w:rsid w:val="003B20DA"/>
    <w:rsid w:val="003B23B8"/>
    <w:rsid w:val="003B24C6"/>
    <w:rsid w:val="003B29A8"/>
    <w:rsid w:val="003B3003"/>
    <w:rsid w:val="003B3267"/>
    <w:rsid w:val="003B3518"/>
    <w:rsid w:val="003B40C2"/>
    <w:rsid w:val="003B4101"/>
    <w:rsid w:val="003B4146"/>
    <w:rsid w:val="003B4A5B"/>
    <w:rsid w:val="003B4B50"/>
    <w:rsid w:val="003B4B69"/>
    <w:rsid w:val="003B5131"/>
    <w:rsid w:val="003B559E"/>
    <w:rsid w:val="003B599D"/>
    <w:rsid w:val="003B5ABD"/>
    <w:rsid w:val="003B5FA9"/>
    <w:rsid w:val="003B67E3"/>
    <w:rsid w:val="003B7664"/>
    <w:rsid w:val="003B7FCC"/>
    <w:rsid w:val="003C0433"/>
    <w:rsid w:val="003C0C38"/>
    <w:rsid w:val="003C0CB9"/>
    <w:rsid w:val="003C1038"/>
    <w:rsid w:val="003C11EE"/>
    <w:rsid w:val="003C12E2"/>
    <w:rsid w:val="003C188E"/>
    <w:rsid w:val="003C27F9"/>
    <w:rsid w:val="003C31E6"/>
    <w:rsid w:val="003C36F6"/>
    <w:rsid w:val="003C4B2C"/>
    <w:rsid w:val="003C4E43"/>
    <w:rsid w:val="003C5130"/>
    <w:rsid w:val="003C5158"/>
    <w:rsid w:val="003C5960"/>
    <w:rsid w:val="003C5C02"/>
    <w:rsid w:val="003C684E"/>
    <w:rsid w:val="003C6937"/>
    <w:rsid w:val="003C7350"/>
    <w:rsid w:val="003C7731"/>
    <w:rsid w:val="003C7B1D"/>
    <w:rsid w:val="003C7EF3"/>
    <w:rsid w:val="003D02AA"/>
    <w:rsid w:val="003D0724"/>
    <w:rsid w:val="003D0969"/>
    <w:rsid w:val="003D0F14"/>
    <w:rsid w:val="003D0F5C"/>
    <w:rsid w:val="003D1763"/>
    <w:rsid w:val="003D1B55"/>
    <w:rsid w:val="003D2ABD"/>
    <w:rsid w:val="003D2DA1"/>
    <w:rsid w:val="003D3331"/>
    <w:rsid w:val="003D34FC"/>
    <w:rsid w:val="003D42FB"/>
    <w:rsid w:val="003D435A"/>
    <w:rsid w:val="003D436A"/>
    <w:rsid w:val="003D47E3"/>
    <w:rsid w:val="003D54CE"/>
    <w:rsid w:val="003D562E"/>
    <w:rsid w:val="003D5B24"/>
    <w:rsid w:val="003D6180"/>
    <w:rsid w:val="003D745D"/>
    <w:rsid w:val="003D795B"/>
    <w:rsid w:val="003D7E80"/>
    <w:rsid w:val="003E0125"/>
    <w:rsid w:val="003E03F7"/>
    <w:rsid w:val="003E0648"/>
    <w:rsid w:val="003E0D55"/>
    <w:rsid w:val="003E0D7C"/>
    <w:rsid w:val="003E0EE1"/>
    <w:rsid w:val="003E11FF"/>
    <w:rsid w:val="003E14C6"/>
    <w:rsid w:val="003E1A47"/>
    <w:rsid w:val="003E2D79"/>
    <w:rsid w:val="003E2E57"/>
    <w:rsid w:val="003E2E88"/>
    <w:rsid w:val="003E31F7"/>
    <w:rsid w:val="003E3736"/>
    <w:rsid w:val="003E391A"/>
    <w:rsid w:val="003E3DCA"/>
    <w:rsid w:val="003E5452"/>
    <w:rsid w:val="003E55C9"/>
    <w:rsid w:val="003E61DB"/>
    <w:rsid w:val="003E6272"/>
    <w:rsid w:val="003E6476"/>
    <w:rsid w:val="003E6698"/>
    <w:rsid w:val="003E686C"/>
    <w:rsid w:val="003E68BE"/>
    <w:rsid w:val="003F0FE3"/>
    <w:rsid w:val="003F1732"/>
    <w:rsid w:val="003F17D5"/>
    <w:rsid w:val="003F1C21"/>
    <w:rsid w:val="003F1CAD"/>
    <w:rsid w:val="003F27A5"/>
    <w:rsid w:val="003F2811"/>
    <w:rsid w:val="003F2C1C"/>
    <w:rsid w:val="003F2E17"/>
    <w:rsid w:val="003F3676"/>
    <w:rsid w:val="003F4D65"/>
    <w:rsid w:val="003F51D6"/>
    <w:rsid w:val="003F5AE6"/>
    <w:rsid w:val="003F5C1D"/>
    <w:rsid w:val="003F5C8F"/>
    <w:rsid w:val="003F5EE0"/>
    <w:rsid w:val="003F60C2"/>
    <w:rsid w:val="003F693C"/>
    <w:rsid w:val="003F6F94"/>
    <w:rsid w:val="003F7658"/>
    <w:rsid w:val="003F7727"/>
    <w:rsid w:val="003F7786"/>
    <w:rsid w:val="003F78D3"/>
    <w:rsid w:val="003F7946"/>
    <w:rsid w:val="003F7E35"/>
    <w:rsid w:val="004000E4"/>
    <w:rsid w:val="00400226"/>
    <w:rsid w:val="004002DE"/>
    <w:rsid w:val="004003F7"/>
    <w:rsid w:val="004009F5"/>
    <w:rsid w:val="004010FE"/>
    <w:rsid w:val="004012BA"/>
    <w:rsid w:val="004015BF"/>
    <w:rsid w:val="0040173E"/>
    <w:rsid w:val="004019EA"/>
    <w:rsid w:val="00401BFB"/>
    <w:rsid w:val="00401F9E"/>
    <w:rsid w:val="00402028"/>
    <w:rsid w:val="004023B8"/>
    <w:rsid w:val="00402B7A"/>
    <w:rsid w:val="00402CE8"/>
    <w:rsid w:val="0040306F"/>
    <w:rsid w:val="00403204"/>
    <w:rsid w:val="00403628"/>
    <w:rsid w:val="0040389F"/>
    <w:rsid w:val="00403C41"/>
    <w:rsid w:val="00404037"/>
    <w:rsid w:val="00404277"/>
    <w:rsid w:val="00404A6E"/>
    <w:rsid w:val="00404C3F"/>
    <w:rsid w:val="00404E68"/>
    <w:rsid w:val="0040633C"/>
    <w:rsid w:val="00407072"/>
    <w:rsid w:val="00407E15"/>
    <w:rsid w:val="00411746"/>
    <w:rsid w:val="00411CA1"/>
    <w:rsid w:val="00412D83"/>
    <w:rsid w:val="0041313B"/>
    <w:rsid w:val="0041388D"/>
    <w:rsid w:val="00413A22"/>
    <w:rsid w:val="00414AAC"/>
    <w:rsid w:val="00414E37"/>
    <w:rsid w:val="00414E86"/>
    <w:rsid w:val="00414F46"/>
    <w:rsid w:val="004151CF"/>
    <w:rsid w:val="00415396"/>
    <w:rsid w:val="00415CCA"/>
    <w:rsid w:val="00415F65"/>
    <w:rsid w:val="004166D2"/>
    <w:rsid w:val="00416A79"/>
    <w:rsid w:val="00416C2B"/>
    <w:rsid w:val="00416DF4"/>
    <w:rsid w:val="0041715E"/>
    <w:rsid w:val="0042014A"/>
    <w:rsid w:val="00420547"/>
    <w:rsid w:val="0042103B"/>
    <w:rsid w:val="00421094"/>
    <w:rsid w:val="00421129"/>
    <w:rsid w:val="0042127A"/>
    <w:rsid w:val="004218D9"/>
    <w:rsid w:val="0042356F"/>
    <w:rsid w:val="004239FE"/>
    <w:rsid w:val="00423B67"/>
    <w:rsid w:val="00423F03"/>
    <w:rsid w:val="0042535D"/>
    <w:rsid w:val="0042651B"/>
    <w:rsid w:val="0042693D"/>
    <w:rsid w:val="00426F73"/>
    <w:rsid w:val="00427321"/>
    <w:rsid w:val="00427AC6"/>
    <w:rsid w:val="00430005"/>
    <w:rsid w:val="004300C6"/>
    <w:rsid w:val="00430CE3"/>
    <w:rsid w:val="00430D0C"/>
    <w:rsid w:val="00432B0C"/>
    <w:rsid w:val="00432BF4"/>
    <w:rsid w:val="00433336"/>
    <w:rsid w:val="00433D24"/>
    <w:rsid w:val="00433D8E"/>
    <w:rsid w:val="00434F7E"/>
    <w:rsid w:val="00435408"/>
    <w:rsid w:val="00435EF3"/>
    <w:rsid w:val="004360A8"/>
    <w:rsid w:val="00437147"/>
    <w:rsid w:val="004371DF"/>
    <w:rsid w:val="00437DE4"/>
    <w:rsid w:val="00440114"/>
    <w:rsid w:val="00440136"/>
    <w:rsid w:val="0044045C"/>
    <w:rsid w:val="004404CD"/>
    <w:rsid w:val="00441250"/>
    <w:rsid w:val="00441261"/>
    <w:rsid w:val="004412C5"/>
    <w:rsid w:val="004413C9"/>
    <w:rsid w:val="00441845"/>
    <w:rsid w:val="00441D63"/>
    <w:rsid w:val="004422F6"/>
    <w:rsid w:val="0044279A"/>
    <w:rsid w:val="004436CA"/>
    <w:rsid w:val="00443ADB"/>
    <w:rsid w:val="00443B40"/>
    <w:rsid w:val="00444187"/>
    <w:rsid w:val="004442F4"/>
    <w:rsid w:val="00444444"/>
    <w:rsid w:val="004446C5"/>
    <w:rsid w:val="004449C4"/>
    <w:rsid w:val="004450D5"/>
    <w:rsid w:val="00446351"/>
    <w:rsid w:val="00446856"/>
    <w:rsid w:val="00447016"/>
    <w:rsid w:val="00447850"/>
    <w:rsid w:val="00450506"/>
    <w:rsid w:val="00450967"/>
    <w:rsid w:val="00450CB7"/>
    <w:rsid w:val="004512F6"/>
    <w:rsid w:val="004514A1"/>
    <w:rsid w:val="00451B2B"/>
    <w:rsid w:val="00451FDB"/>
    <w:rsid w:val="00452169"/>
    <w:rsid w:val="004527D8"/>
    <w:rsid w:val="00452AC9"/>
    <w:rsid w:val="00452F32"/>
    <w:rsid w:val="004534F3"/>
    <w:rsid w:val="00453971"/>
    <w:rsid w:val="00453A9C"/>
    <w:rsid w:val="00453EE4"/>
    <w:rsid w:val="004543CC"/>
    <w:rsid w:val="004553C6"/>
    <w:rsid w:val="00455CBC"/>
    <w:rsid w:val="00456EB7"/>
    <w:rsid w:val="004603ED"/>
    <w:rsid w:val="00460891"/>
    <w:rsid w:val="00460E43"/>
    <w:rsid w:val="00461747"/>
    <w:rsid w:val="00461B43"/>
    <w:rsid w:val="00461BA6"/>
    <w:rsid w:val="00462004"/>
    <w:rsid w:val="004626DA"/>
    <w:rsid w:val="00462965"/>
    <w:rsid w:val="00462D78"/>
    <w:rsid w:val="004630DA"/>
    <w:rsid w:val="004631A5"/>
    <w:rsid w:val="0046335C"/>
    <w:rsid w:val="00463863"/>
    <w:rsid w:val="004639BC"/>
    <w:rsid w:val="00463B7F"/>
    <w:rsid w:val="004640D7"/>
    <w:rsid w:val="00464FCB"/>
    <w:rsid w:val="0046507B"/>
    <w:rsid w:val="00465442"/>
    <w:rsid w:val="004658AC"/>
    <w:rsid w:val="00465E18"/>
    <w:rsid w:val="0046657C"/>
    <w:rsid w:val="004666EB"/>
    <w:rsid w:val="00466B37"/>
    <w:rsid w:val="00467586"/>
    <w:rsid w:val="004679F5"/>
    <w:rsid w:val="00467B9D"/>
    <w:rsid w:val="004705ED"/>
    <w:rsid w:val="00471016"/>
    <w:rsid w:val="00471847"/>
    <w:rsid w:val="004718CA"/>
    <w:rsid w:val="00471E82"/>
    <w:rsid w:val="004720FE"/>
    <w:rsid w:val="00472770"/>
    <w:rsid w:val="00472BA1"/>
    <w:rsid w:val="0047367C"/>
    <w:rsid w:val="004738ED"/>
    <w:rsid w:val="004739C7"/>
    <w:rsid w:val="00474515"/>
    <w:rsid w:val="00474639"/>
    <w:rsid w:val="004753DE"/>
    <w:rsid w:val="004757AC"/>
    <w:rsid w:val="00475845"/>
    <w:rsid w:val="004761CF"/>
    <w:rsid w:val="00476B3A"/>
    <w:rsid w:val="00476E96"/>
    <w:rsid w:val="00477D37"/>
    <w:rsid w:val="00481526"/>
    <w:rsid w:val="00482144"/>
    <w:rsid w:val="0048226E"/>
    <w:rsid w:val="0048227C"/>
    <w:rsid w:val="004823EF"/>
    <w:rsid w:val="004825DC"/>
    <w:rsid w:val="00482D5C"/>
    <w:rsid w:val="0048320A"/>
    <w:rsid w:val="00483381"/>
    <w:rsid w:val="00483C5B"/>
    <w:rsid w:val="00483FA8"/>
    <w:rsid w:val="004841B6"/>
    <w:rsid w:val="00484381"/>
    <w:rsid w:val="00484F13"/>
    <w:rsid w:val="00485AC4"/>
    <w:rsid w:val="00485B21"/>
    <w:rsid w:val="004864D4"/>
    <w:rsid w:val="00486C36"/>
    <w:rsid w:val="004878A2"/>
    <w:rsid w:val="00487B53"/>
    <w:rsid w:val="004900F4"/>
    <w:rsid w:val="0049030D"/>
    <w:rsid w:val="004914B6"/>
    <w:rsid w:val="0049156F"/>
    <w:rsid w:val="00491AB0"/>
    <w:rsid w:val="0049206E"/>
    <w:rsid w:val="00492A4B"/>
    <w:rsid w:val="00492AF5"/>
    <w:rsid w:val="00492C76"/>
    <w:rsid w:val="00492E60"/>
    <w:rsid w:val="00492F6D"/>
    <w:rsid w:val="00493145"/>
    <w:rsid w:val="00493C60"/>
    <w:rsid w:val="004941DB"/>
    <w:rsid w:val="004941FF"/>
    <w:rsid w:val="00494779"/>
    <w:rsid w:val="004950AE"/>
    <w:rsid w:val="00495274"/>
    <w:rsid w:val="00495829"/>
    <w:rsid w:val="0049587A"/>
    <w:rsid w:val="0049596E"/>
    <w:rsid w:val="00495AB5"/>
    <w:rsid w:val="00495B32"/>
    <w:rsid w:val="00495D86"/>
    <w:rsid w:val="004964E8"/>
    <w:rsid w:val="00496BCA"/>
    <w:rsid w:val="00496D1B"/>
    <w:rsid w:val="0049722F"/>
    <w:rsid w:val="004A0100"/>
    <w:rsid w:val="004A03DA"/>
    <w:rsid w:val="004A05DA"/>
    <w:rsid w:val="004A14A5"/>
    <w:rsid w:val="004A199C"/>
    <w:rsid w:val="004A2325"/>
    <w:rsid w:val="004A31A3"/>
    <w:rsid w:val="004A378E"/>
    <w:rsid w:val="004A389B"/>
    <w:rsid w:val="004A3CD4"/>
    <w:rsid w:val="004A3FD8"/>
    <w:rsid w:val="004A4130"/>
    <w:rsid w:val="004A4259"/>
    <w:rsid w:val="004A4454"/>
    <w:rsid w:val="004A4B27"/>
    <w:rsid w:val="004A5770"/>
    <w:rsid w:val="004A5927"/>
    <w:rsid w:val="004A5A00"/>
    <w:rsid w:val="004A66AF"/>
    <w:rsid w:val="004A66EE"/>
    <w:rsid w:val="004A7F00"/>
    <w:rsid w:val="004B1445"/>
    <w:rsid w:val="004B1699"/>
    <w:rsid w:val="004B1DB2"/>
    <w:rsid w:val="004B2036"/>
    <w:rsid w:val="004B2863"/>
    <w:rsid w:val="004B29B9"/>
    <w:rsid w:val="004B32D4"/>
    <w:rsid w:val="004B3AD1"/>
    <w:rsid w:val="004B3CA4"/>
    <w:rsid w:val="004B3D43"/>
    <w:rsid w:val="004B41D8"/>
    <w:rsid w:val="004B5157"/>
    <w:rsid w:val="004B5806"/>
    <w:rsid w:val="004B5B32"/>
    <w:rsid w:val="004B67C6"/>
    <w:rsid w:val="004B6876"/>
    <w:rsid w:val="004B69FC"/>
    <w:rsid w:val="004B6AB7"/>
    <w:rsid w:val="004B6B40"/>
    <w:rsid w:val="004B6DAC"/>
    <w:rsid w:val="004B744D"/>
    <w:rsid w:val="004B79B1"/>
    <w:rsid w:val="004C0747"/>
    <w:rsid w:val="004C098E"/>
    <w:rsid w:val="004C1C27"/>
    <w:rsid w:val="004C215E"/>
    <w:rsid w:val="004C2A04"/>
    <w:rsid w:val="004C3060"/>
    <w:rsid w:val="004C314A"/>
    <w:rsid w:val="004C3219"/>
    <w:rsid w:val="004C39CD"/>
    <w:rsid w:val="004C3E23"/>
    <w:rsid w:val="004C4115"/>
    <w:rsid w:val="004C454A"/>
    <w:rsid w:val="004C4B96"/>
    <w:rsid w:val="004C4CC8"/>
    <w:rsid w:val="004C4DA9"/>
    <w:rsid w:val="004C4DF1"/>
    <w:rsid w:val="004C4EE6"/>
    <w:rsid w:val="004C4F45"/>
    <w:rsid w:val="004C5338"/>
    <w:rsid w:val="004C5E9D"/>
    <w:rsid w:val="004C5F58"/>
    <w:rsid w:val="004C617B"/>
    <w:rsid w:val="004C6788"/>
    <w:rsid w:val="004C6B15"/>
    <w:rsid w:val="004C746A"/>
    <w:rsid w:val="004C7B75"/>
    <w:rsid w:val="004C7BB6"/>
    <w:rsid w:val="004D01B8"/>
    <w:rsid w:val="004D05C5"/>
    <w:rsid w:val="004D09BD"/>
    <w:rsid w:val="004D0C04"/>
    <w:rsid w:val="004D123A"/>
    <w:rsid w:val="004D2074"/>
    <w:rsid w:val="004D2C2F"/>
    <w:rsid w:val="004D2C77"/>
    <w:rsid w:val="004D2EC0"/>
    <w:rsid w:val="004D3A0B"/>
    <w:rsid w:val="004D43FA"/>
    <w:rsid w:val="004D53A0"/>
    <w:rsid w:val="004D5C14"/>
    <w:rsid w:val="004D5C85"/>
    <w:rsid w:val="004D5FF2"/>
    <w:rsid w:val="004D6276"/>
    <w:rsid w:val="004D64E0"/>
    <w:rsid w:val="004D6C03"/>
    <w:rsid w:val="004D7A16"/>
    <w:rsid w:val="004D7C52"/>
    <w:rsid w:val="004E15CD"/>
    <w:rsid w:val="004E162C"/>
    <w:rsid w:val="004E25AE"/>
    <w:rsid w:val="004E2FE2"/>
    <w:rsid w:val="004E3411"/>
    <w:rsid w:val="004E3835"/>
    <w:rsid w:val="004E39FE"/>
    <w:rsid w:val="004E49FD"/>
    <w:rsid w:val="004E579C"/>
    <w:rsid w:val="004E5856"/>
    <w:rsid w:val="004E596C"/>
    <w:rsid w:val="004E72DC"/>
    <w:rsid w:val="004E75C8"/>
    <w:rsid w:val="004E7766"/>
    <w:rsid w:val="004F0317"/>
    <w:rsid w:val="004F07BA"/>
    <w:rsid w:val="004F1C5F"/>
    <w:rsid w:val="004F3970"/>
    <w:rsid w:val="004F3EFC"/>
    <w:rsid w:val="004F4859"/>
    <w:rsid w:val="004F526F"/>
    <w:rsid w:val="004F540C"/>
    <w:rsid w:val="004F6159"/>
    <w:rsid w:val="004F61B0"/>
    <w:rsid w:val="004F61DA"/>
    <w:rsid w:val="004F6685"/>
    <w:rsid w:val="004F691A"/>
    <w:rsid w:val="004F7813"/>
    <w:rsid w:val="004F7897"/>
    <w:rsid w:val="004F7BF4"/>
    <w:rsid w:val="004F7E75"/>
    <w:rsid w:val="0050071E"/>
    <w:rsid w:val="00500FE1"/>
    <w:rsid w:val="00501472"/>
    <w:rsid w:val="005014FD"/>
    <w:rsid w:val="00501B2A"/>
    <w:rsid w:val="00501D0C"/>
    <w:rsid w:val="00501FFC"/>
    <w:rsid w:val="005035C6"/>
    <w:rsid w:val="00503677"/>
    <w:rsid w:val="00503E46"/>
    <w:rsid w:val="005044A8"/>
    <w:rsid w:val="005046EE"/>
    <w:rsid w:val="005049F5"/>
    <w:rsid w:val="00505641"/>
    <w:rsid w:val="00505B59"/>
    <w:rsid w:val="005062EA"/>
    <w:rsid w:val="005067ED"/>
    <w:rsid w:val="005068F5"/>
    <w:rsid w:val="0050694B"/>
    <w:rsid w:val="005072E1"/>
    <w:rsid w:val="005073E6"/>
    <w:rsid w:val="00507ABE"/>
    <w:rsid w:val="00507D2C"/>
    <w:rsid w:val="005104D8"/>
    <w:rsid w:val="0051096D"/>
    <w:rsid w:val="00510EF4"/>
    <w:rsid w:val="00510F91"/>
    <w:rsid w:val="005112E5"/>
    <w:rsid w:val="00511D3C"/>
    <w:rsid w:val="005139BC"/>
    <w:rsid w:val="00514694"/>
    <w:rsid w:val="00514BDE"/>
    <w:rsid w:val="00515330"/>
    <w:rsid w:val="005158DD"/>
    <w:rsid w:val="00515AF1"/>
    <w:rsid w:val="00515D3B"/>
    <w:rsid w:val="00516041"/>
    <w:rsid w:val="00516182"/>
    <w:rsid w:val="00516396"/>
    <w:rsid w:val="005164DE"/>
    <w:rsid w:val="00517CD1"/>
    <w:rsid w:val="005200E2"/>
    <w:rsid w:val="005208D7"/>
    <w:rsid w:val="0052165C"/>
    <w:rsid w:val="00521FAD"/>
    <w:rsid w:val="0052247D"/>
    <w:rsid w:val="00522A4C"/>
    <w:rsid w:val="00523152"/>
    <w:rsid w:val="00523C99"/>
    <w:rsid w:val="00524AEB"/>
    <w:rsid w:val="00524E8F"/>
    <w:rsid w:val="00525934"/>
    <w:rsid w:val="00525A82"/>
    <w:rsid w:val="00525F1A"/>
    <w:rsid w:val="005265C4"/>
    <w:rsid w:val="00526F13"/>
    <w:rsid w:val="00526F9A"/>
    <w:rsid w:val="0052731A"/>
    <w:rsid w:val="00527860"/>
    <w:rsid w:val="00527959"/>
    <w:rsid w:val="00527D00"/>
    <w:rsid w:val="005303A4"/>
    <w:rsid w:val="00530FDA"/>
    <w:rsid w:val="00532791"/>
    <w:rsid w:val="00532CCA"/>
    <w:rsid w:val="005336CD"/>
    <w:rsid w:val="00533732"/>
    <w:rsid w:val="00533830"/>
    <w:rsid w:val="00533E16"/>
    <w:rsid w:val="00534EF8"/>
    <w:rsid w:val="00534F13"/>
    <w:rsid w:val="005350B7"/>
    <w:rsid w:val="00535262"/>
    <w:rsid w:val="005353DF"/>
    <w:rsid w:val="0053589D"/>
    <w:rsid w:val="0053625B"/>
    <w:rsid w:val="0053633F"/>
    <w:rsid w:val="00536D4A"/>
    <w:rsid w:val="005370FC"/>
    <w:rsid w:val="00537ED2"/>
    <w:rsid w:val="0054004F"/>
    <w:rsid w:val="00540BA4"/>
    <w:rsid w:val="00540C86"/>
    <w:rsid w:val="005415DB"/>
    <w:rsid w:val="005417EB"/>
    <w:rsid w:val="005420BF"/>
    <w:rsid w:val="00542174"/>
    <w:rsid w:val="00542244"/>
    <w:rsid w:val="00542570"/>
    <w:rsid w:val="00542C3E"/>
    <w:rsid w:val="00542CA4"/>
    <w:rsid w:val="00542CF0"/>
    <w:rsid w:val="005434C0"/>
    <w:rsid w:val="00543855"/>
    <w:rsid w:val="005442FD"/>
    <w:rsid w:val="00544723"/>
    <w:rsid w:val="005449CB"/>
    <w:rsid w:val="0054554A"/>
    <w:rsid w:val="0054574A"/>
    <w:rsid w:val="00545BAA"/>
    <w:rsid w:val="005475BB"/>
    <w:rsid w:val="0054778B"/>
    <w:rsid w:val="00547BFA"/>
    <w:rsid w:val="0055050D"/>
    <w:rsid w:val="005524D4"/>
    <w:rsid w:val="0055323C"/>
    <w:rsid w:val="0055362F"/>
    <w:rsid w:val="005538C9"/>
    <w:rsid w:val="005548C0"/>
    <w:rsid w:val="00554EF5"/>
    <w:rsid w:val="0055525A"/>
    <w:rsid w:val="00555630"/>
    <w:rsid w:val="00555DAC"/>
    <w:rsid w:val="00555EDF"/>
    <w:rsid w:val="00555F07"/>
    <w:rsid w:val="00556235"/>
    <w:rsid w:val="00556319"/>
    <w:rsid w:val="00556472"/>
    <w:rsid w:val="00556D54"/>
    <w:rsid w:val="005570A6"/>
    <w:rsid w:val="00557133"/>
    <w:rsid w:val="00557167"/>
    <w:rsid w:val="005572A7"/>
    <w:rsid w:val="005601D2"/>
    <w:rsid w:val="00560575"/>
    <w:rsid w:val="005609CB"/>
    <w:rsid w:val="00560E52"/>
    <w:rsid w:val="0056151E"/>
    <w:rsid w:val="00561EA8"/>
    <w:rsid w:val="005620E2"/>
    <w:rsid w:val="0056225F"/>
    <w:rsid w:val="005625A4"/>
    <w:rsid w:val="00563043"/>
    <w:rsid w:val="00563502"/>
    <w:rsid w:val="0056401C"/>
    <w:rsid w:val="0056435D"/>
    <w:rsid w:val="0056466E"/>
    <w:rsid w:val="005646B8"/>
    <w:rsid w:val="00565EDD"/>
    <w:rsid w:val="00566331"/>
    <w:rsid w:val="0056781A"/>
    <w:rsid w:val="00567821"/>
    <w:rsid w:val="00567AFD"/>
    <w:rsid w:val="00567C20"/>
    <w:rsid w:val="00567CC7"/>
    <w:rsid w:val="00567E1B"/>
    <w:rsid w:val="00570640"/>
    <w:rsid w:val="0057194A"/>
    <w:rsid w:val="00571C57"/>
    <w:rsid w:val="00571DA8"/>
    <w:rsid w:val="005735DE"/>
    <w:rsid w:val="0057443A"/>
    <w:rsid w:val="005745B8"/>
    <w:rsid w:val="00574605"/>
    <w:rsid w:val="00574ADC"/>
    <w:rsid w:val="005754D8"/>
    <w:rsid w:val="00575CAE"/>
    <w:rsid w:val="00575EC9"/>
    <w:rsid w:val="00575EFE"/>
    <w:rsid w:val="005764C7"/>
    <w:rsid w:val="00576C2E"/>
    <w:rsid w:val="00576C8F"/>
    <w:rsid w:val="00576D65"/>
    <w:rsid w:val="00576F20"/>
    <w:rsid w:val="00577570"/>
    <w:rsid w:val="005778D5"/>
    <w:rsid w:val="0058046C"/>
    <w:rsid w:val="005804C2"/>
    <w:rsid w:val="005804D8"/>
    <w:rsid w:val="005806A7"/>
    <w:rsid w:val="00580726"/>
    <w:rsid w:val="00580F8D"/>
    <w:rsid w:val="005811EC"/>
    <w:rsid w:val="005811F0"/>
    <w:rsid w:val="005814B7"/>
    <w:rsid w:val="00581514"/>
    <w:rsid w:val="005819DD"/>
    <w:rsid w:val="00581A83"/>
    <w:rsid w:val="00581B24"/>
    <w:rsid w:val="00581FCA"/>
    <w:rsid w:val="00582613"/>
    <w:rsid w:val="0058272D"/>
    <w:rsid w:val="0058290E"/>
    <w:rsid w:val="0058294C"/>
    <w:rsid w:val="00582FD0"/>
    <w:rsid w:val="005833DB"/>
    <w:rsid w:val="00583965"/>
    <w:rsid w:val="00583DE0"/>
    <w:rsid w:val="00584196"/>
    <w:rsid w:val="00584679"/>
    <w:rsid w:val="0058480B"/>
    <w:rsid w:val="0058640F"/>
    <w:rsid w:val="00586E4A"/>
    <w:rsid w:val="0058726E"/>
    <w:rsid w:val="00587A08"/>
    <w:rsid w:val="005901D1"/>
    <w:rsid w:val="00590688"/>
    <w:rsid w:val="00590933"/>
    <w:rsid w:val="00590FE7"/>
    <w:rsid w:val="005913CD"/>
    <w:rsid w:val="0059199C"/>
    <w:rsid w:val="00591DEF"/>
    <w:rsid w:val="005929F3"/>
    <w:rsid w:val="00592D90"/>
    <w:rsid w:val="005932AF"/>
    <w:rsid w:val="0059381D"/>
    <w:rsid w:val="00594BC6"/>
    <w:rsid w:val="00594F35"/>
    <w:rsid w:val="00595003"/>
    <w:rsid w:val="005953B5"/>
    <w:rsid w:val="0059576F"/>
    <w:rsid w:val="00595CD5"/>
    <w:rsid w:val="00596058"/>
    <w:rsid w:val="005960B4"/>
    <w:rsid w:val="0059665E"/>
    <w:rsid w:val="00596ADE"/>
    <w:rsid w:val="0059751A"/>
    <w:rsid w:val="00597DFA"/>
    <w:rsid w:val="005A064F"/>
    <w:rsid w:val="005A1090"/>
    <w:rsid w:val="005A1230"/>
    <w:rsid w:val="005A125C"/>
    <w:rsid w:val="005A158B"/>
    <w:rsid w:val="005A15C5"/>
    <w:rsid w:val="005A1874"/>
    <w:rsid w:val="005A20E0"/>
    <w:rsid w:val="005A2494"/>
    <w:rsid w:val="005A2610"/>
    <w:rsid w:val="005A30B5"/>
    <w:rsid w:val="005A41F5"/>
    <w:rsid w:val="005A4CA3"/>
    <w:rsid w:val="005A5831"/>
    <w:rsid w:val="005A58C6"/>
    <w:rsid w:val="005A6353"/>
    <w:rsid w:val="005A7F15"/>
    <w:rsid w:val="005A7F8F"/>
    <w:rsid w:val="005B0CA0"/>
    <w:rsid w:val="005B154C"/>
    <w:rsid w:val="005B20D8"/>
    <w:rsid w:val="005B298D"/>
    <w:rsid w:val="005B2A33"/>
    <w:rsid w:val="005B3045"/>
    <w:rsid w:val="005B35CA"/>
    <w:rsid w:val="005B3957"/>
    <w:rsid w:val="005B4507"/>
    <w:rsid w:val="005B475B"/>
    <w:rsid w:val="005B4B03"/>
    <w:rsid w:val="005B5346"/>
    <w:rsid w:val="005B571A"/>
    <w:rsid w:val="005B591C"/>
    <w:rsid w:val="005B5E7F"/>
    <w:rsid w:val="005B6270"/>
    <w:rsid w:val="005B673A"/>
    <w:rsid w:val="005B7AA4"/>
    <w:rsid w:val="005B7C71"/>
    <w:rsid w:val="005C03B3"/>
    <w:rsid w:val="005C0874"/>
    <w:rsid w:val="005C0949"/>
    <w:rsid w:val="005C099D"/>
    <w:rsid w:val="005C0B8F"/>
    <w:rsid w:val="005C0C30"/>
    <w:rsid w:val="005C0D82"/>
    <w:rsid w:val="005C19AE"/>
    <w:rsid w:val="005C20A8"/>
    <w:rsid w:val="005C323C"/>
    <w:rsid w:val="005C40F3"/>
    <w:rsid w:val="005C4181"/>
    <w:rsid w:val="005C4640"/>
    <w:rsid w:val="005C512F"/>
    <w:rsid w:val="005C5790"/>
    <w:rsid w:val="005C6CA0"/>
    <w:rsid w:val="005C7913"/>
    <w:rsid w:val="005D00A2"/>
    <w:rsid w:val="005D0247"/>
    <w:rsid w:val="005D0795"/>
    <w:rsid w:val="005D08D2"/>
    <w:rsid w:val="005D0A84"/>
    <w:rsid w:val="005D1DF1"/>
    <w:rsid w:val="005D1E74"/>
    <w:rsid w:val="005D2375"/>
    <w:rsid w:val="005D29DE"/>
    <w:rsid w:val="005D35C3"/>
    <w:rsid w:val="005D3738"/>
    <w:rsid w:val="005D4640"/>
    <w:rsid w:val="005D475E"/>
    <w:rsid w:val="005D4ED9"/>
    <w:rsid w:val="005D5830"/>
    <w:rsid w:val="005D5AB7"/>
    <w:rsid w:val="005D5BB5"/>
    <w:rsid w:val="005D5C54"/>
    <w:rsid w:val="005D5E96"/>
    <w:rsid w:val="005D5E9E"/>
    <w:rsid w:val="005D6696"/>
    <w:rsid w:val="005D7636"/>
    <w:rsid w:val="005D772D"/>
    <w:rsid w:val="005D7835"/>
    <w:rsid w:val="005D7C36"/>
    <w:rsid w:val="005E00ED"/>
    <w:rsid w:val="005E07E6"/>
    <w:rsid w:val="005E094B"/>
    <w:rsid w:val="005E0A21"/>
    <w:rsid w:val="005E0C40"/>
    <w:rsid w:val="005E198E"/>
    <w:rsid w:val="005E1DA2"/>
    <w:rsid w:val="005E1F83"/>
    <w:rsid w:val="005E20FE"/>
    <w:rsid w:val="005E3229"/>
    <w:rsid w:val="005E38DA"/>
    <w:rsid w:val="005E3C35"/>
    <w:rsid w:val="005E3CEE"/>
    <w:rsid w:val="005E3F0C"/>
    <w:rsid w:val="005E4FF7"/>
    <w:rsid w:val="005E74B6"/>
    <w:rsid w:val="005E75DD"/>
    <w:rsid w:val="005E78A5"/>
    <w:rsid w:val="005E78B7"/>
    <w:rsid w:val="005E7BC5"/>
    <w:rsid w:val="005F0A12"/>
    <w:rsid w:val="005F14D4"/>
    <w:rsid w:val="005F1AC4"/>
    <w:rsid w:val="005F1EC5"/>
    <w:rsid w:val="005F21E7"/>
    <w:rsid w:val="005F2368"/>
    <w:rsid w:val="005F26F8"/>
    <w:rsid w:val="005F2A85"/>
    <w:rsid w:val="005F2B37"/>
    <w:rsid w:val="005F3012"/>
    <w:rsid w:val="005F35E7"/>
    <w:rsid w:val="005F4029"/>
    <w:rsid w:val="005F4198"/>
    <w:rsid w:val="005F48FA"/>
    <w:rsid w:val="005F4A40"/>
    <w:rsid w:val="005F4AE6"/>
    <w:rsid w:val="005F4CC5"/>
    <w:rsid w:val="005F543E"/>
    <w:rsid w:val="005F5963"/>
    <w:rsid w:val="005F5F36"/>
    <w:rsid w:val="005F603D"/>
    <w:rsid w:val="005F624D"/>
    <w:rsid w:val="005F6753"/>
    <w:rsid w:val="005F6AE2"/>
    <w:rsid w:val="005F715D"/>
    <w:rsid w:val="005F71F6"/>
    <w:rsid w:val="005F7A6D"/>
    <w:rsid w:val="00600054"/>
    <w:rsid w:val="0060006A"/>
    <w:rsid w:val="006000EE"/>
    <w:rsid w:val="006002D6"/>
    <w:rsid w:val="006007BB"/>
    <w:rsid w:val="00600F74"/>
    <w:rsid w:val="006013CB"/>
    <w:rsid w:val="006022EE"/>
    <w:rsid w:val="00603AD0"/>
    <w:rsid w:val="00603EF9"/>
    <w:rsid w:val="00604026"/>
    <w:rsid w:val="006040D2"/>
    <w:rsid w:val="006041B0"/>
    <w:rsid w:val="006048CF"/>
    <w:rsid w:val="00604AA8"/>
    <w:rsid w:val="00605330"/>
    <w:rsid w:val="00605A2E"/>
    <w:rsid w:val="00605ECD"/>
    <w:rsid w:val="00606927"/>
    <w:rsid w:val="00606ADE"/>
    <w:rsid w:val="00607623"/>
    <w:rsid w:val="00607821"/>
    <w:rsid w:val="00607947"/>
    <w:rsid w:val="00607D01"/>
    <w:rsid w:val="00610286"/>
    <w:rsid w:val="00610BCF"/>
    <w:rsid w:val="00610C87"/>
    <w:rsid w:val="00610D9C"/>
    <w:rsid w:val="00611343"/>
    <w:rsid w:val="0061169D"/>
    <w:rsid w:val="0061237F"/>
    <w:rsid w:val="006123B4"/>
    <w:rsid w:val="00612760"/>
    <w:rsid w:val="0061282A"/>
    <w:rsid w:val="006134AF"/>
    <w:rsid w:val="00613CDB"/>
    <w:rsid w:val="006145F1"/>
    <w:rsid w:val="00614BDF"/>
    <w:rsid w:val="006151D6"/>
    <w:rsid w:val="006156BA"/>
    <w:rsid w:val="00615C8C"/>
    <w:rsid w:val="006162A4"/>
    <w:rsid w:val="00617212"/>
    <w:rsid w:val="00617399"/>
    <w:rsid w:val="00620518"/>
    <w:rsid w:val="00620AF2"/>
    <w:rsid w:val="00620E19"/>
    <w:rsid w:val="00621047"/>
    <w:rsid w:val="00621094"/>
    <w:rsid w:val="00621262"/>
    <w:rsid w:val="00621472"/>
    <w:rsid w:val="006214A4"/>
    <w:rsid w:val="00621761"/>
    <w:rsid w:val="006217EA"/>
    <w:rsid w:val="00621855"/>
    <w:rsid w:val="0062219D"/>
    <w:rsid w:val="006221DA"/>
    <w:rsid w:val="006225D8"/>
    <w:rsid w:val="00622CDA"/>
    <w:rsid w:val="0062408A"/>
    <w:rsid w:val="006240C6"/>
    <w:rsid w:val="00624174"/>
    <w:rsid w:val="006241AE"/>
    <w:rsid w:val="00624404"/>
    <w:rsid w:val="0062448A"/>
    <w:rsid w:val="0062465B"/>
    <w:rsid w:val="006258B7"/>
    <w:rsid w:val="00625B4D"/>
    <w:rsid w:val="00625BCE"/>
    <w:rsid w:val="00626478"/>
    <w:rsid w:val="006267D5"/>
    <w:rsid w:val="00626F99"/>
    <w:rsid w:val="00627723"/>
    <w:rsid w:val="00627B1D"/>
    <w:rsid w:val="0063011F"/>
    <w:rsid w:val="00632D26"/>
    <w:rsid w:val="00633145"/>
    <w:rsid w:val="00633B81"/>
    <w:rsid w:val="00635EEE"/>
    <w:rsid w:val="00636957"/>
    <w:rsid w:val="006369DE"/>
    <w:rsid w:val="00636ACB"/>
    <w:rsid w:val="00636CE6"/>
    <w:rsid w:val="00636FF4"/>
    <w:rsid w:val="00637704"/>
    <w:rsid w:val="0063777D"/>
    <w:rsid w:val="006378AE"/>
    <w:rsid w:val="00637C53"/>
    <w:rsid w:val="00640308"/>
    <w:rsid w:val="006406F9"/>
    <w:rsid w:val="00640C27"/>
    <w:rsid w:val="00640EBD"/>
    <w:rsid w:val="00640EF1"/>
    <w:rsid w:val="006412F2"/>
    <w:rsid w:val="0064162F"/>
    <w:rsid w:val="006416EA"/>
    <w:rsid w:val="00641A7B"/>
    <w:rsid w:val="00641BEC"/>
    <w:rsid w:val="00641D34"/>
    <w:rsid w:val="00641F14"/>
    <w:rsid w:val="006424E8"/>
    <w:rsid w:val="0064262C"/>
    <w:rsid w:val="00642AFB"/>
    <w:rsid w:val="00643301"/>
    <w:rsid w:val="00643DB4"/>
    <w:rsid w:val="00643F0E"/>
    <w:rsid w:val="00644099"/>
    <w:rsid w:val="0064449D"/>
    <w:rsid w:val="0064476C"/>
    <w:rsid w:val="0064486F"/>
    <w:rsid w:val="00644A81"/>
    <w:rsid w:val="00644B62"/>
    <w:rsid w:val="00645479"/>
    <w:rsid w:val="006458F9"/>
    <w:rsid w:val="00645BDA"/>
    <w:rsid w:val="00645E86"/>
    <w:rsid w:val="00646110"/>
    <w:rsid w:val="006463B9"/>
    <w:rsid w:val="00646F34"/>
    <w:rsid w:val="0064724E"/>
    <w:rsid w:val="006473EB"/>
    <w:rsid w:val="00647A0E"/>
    <w:rsid w:val="00647B95"/>
    <w:rsid w:val="00647D24"/>
    <w:rsid w:val="00647D38"/>
    <w:rsid w:val="00647EB8"/>
    <w:rsid w:val="00647EC5"/>
    <w:rsid w:val="006500A9"/>
    <w:rsid w:val="00650669"/>
    <w:rsid w:val="006506EA"/>
    <w:rsid w:val="00650BDA"/>
    <w:rsid w:val="00651417"/>
    <w:rsid w:val="00651618"/>
    <w:rsid w:val="00651B97"/>
    <w:rsid w:val="00651C35"/>
    <w:rsid w:val="00651CEE"/>
    <w:rsid w:val="00652566"/>
    <w:rsid w:val="006525DB"/>
    <w:rsid w:val="00652E9C"/>
    <w:rsid w:val="00653E00"/>
    <w:rsid w:val="00653FA8"/>
    <w:rsid w:val="0065424F"/>
    <w:rsid w:val="00654AAE"/>
    <w:rsid w:val="00654B30"/>
    <w:rsid w:val="00654C78"/>
    <w:rsid w:val="006553AD"/>
    <w:rsid w:val="006557C2"/>
    <w:rsid w:val="00655CC9"/>
    <w:rsid w:val="00656C5F"/>
    <w:rsid w:val="00657B36"/>
    <w:rsid w:val="00657DB6"/>
    <w:rsid w:val="00660454"/>
    <w:rsid w:val="00660727"/>
    <w:rsid w:val="00661046"/>
    <w:rsid w:val="00661261"/>
    <w:rsid w:val="00661579"/>
    <w:rsid w:val="0066168F"/>
    <w:rsid w:val="006619FD"/>
    <w:rsid w:val="00661D1C"/>
    <w:rsid w:val="00661DE7"/>
    <w:rsid w:val="00661E80"/>
    <w:rsid w:val="0066214B"/>
    <w:rsid w:val="0066227F"/>
    <w:rsid w:val="006626E4"/>
    <w:rsid w:val="00662A3B"/>
    <w:rsid w:val="00662A53"/>
    <w:rsid w:val="00662BB8"/>
    <w:rsid w:val="00663116"/>
    <w:rsid w:val="00664948"/>
    <w:rsid w:val="00664A0C"/>
    <w:rsid w:val="00664FD1"/>
    <w:rsid w:val="006650A6"/>
    <w:rsid w:val="00665179"/>
    <w:rsid w:val="00665C2A"/>
    <w:rsid w:val="00666286"/>
    <w:rsid w:val="00666777"/>
    <w:rsid w:val="00666C1E"/>
    <w:rsid w:val="00667482"/>
    <w:rsid w:val="006677FE"/>
    <w:rsid w:val="006678AF"/>
    <w:rsid w:val="0067002D"/>
    <w:rsid w:val="00671824"/>
    <w:rsid w:val="006722B0"/>
    <w:rsid w:val="00672447"/>
    <w:rsid w:val="00672A82"/>
    <w:rsid w:val="00673001"/>
    <w:rsid w:val="006732C6"/>
    <w:rsid w:val="006734CD"/>
    <w:rsid w:val="0067363D"/>
    <w:rsid w:val="0067412B"/>
    <w:rsid w:val="006743F5"/>
    <w:rsid w:val="006744CC"/>
    <w:rsid w:val="00674DA7"/>
    <w:rsid w:val="0067535D"/>
    <w:rsid w:val="006755E5"/>
    <w:rsid w:val="0067565F"/>
    <w:rsid w:val="00675F14"/>
    <w:rsid w:val="0067660A"/>
    <w:rsid w:val="00676774"/>
    <w:rsid w:val="00676B3F"/>
    <w:rsid w:val="006773E1"/>
    <w:rsid w:val="0067745C"/>
    <w:rsid w:val="0067766E"/>
    <w:rsid w:val="006779C4"/>
    <w:rsid w:val="00677E78"/>
    <w:rsid w:val="0068028A"/>
    <w:rsid w:val="00680A80"/>
    <w:rsid w:val="00681C22"/>
    <w:rsid w:val="00681E2D"/>
    <w:rsid w:val="00681EB5"/>
    <w:rsid w:val="006830F3"/>
    <w:rsid w:val="00683359"/>
    <w:rsid w:val="0068350A"/>
    <w:rsid w:val="006839C4"/>
    <w:rsid w:val="00683CE2"/>
    <w:rsid w:val="00684027"/>
    <w:rsid w:val="00684137"/>
    <w:rsid w:val="006844BB"/>
    <w:rsid w:val="00684EF5"/>
    <w:rsid w:val="00686302"/>
    <w:rsid w:val="006863C5"/>
    <w:rsid w:val="00686CF4"/>
    <w:rsid w:val="00687106"/>
    <w:rsid w:val="006873F6"/>
    <w:rsid w:val="006876E2"/>
    <w:rsid w:val="00687C72"/>
    <w:rsid w:val="0069040E"/>
    <w:rsid w:val="006907D5"/>
    <w:rsid w:val="00690FEE"/>
    <w:rsid w:val="0069111F"/>
    <w:rsid w:val="006914F3"/>
    <w:rsid w:val="006918F1"/>
    <w:rsid w:val="0069265B"/>
    <w:rsid w:val="00693109"/>
    <w:rsid w:val="00693433"/>
    <w:rsid w:val="006937BC"/>
    <w:rsid w:val="00693EB9"/>
    <w:rsid w:val="0069531E"/>
    <w:rsid w:val="006956E1"/>
    <w:rsid w:val="00695928"/>
    <w:rsid w:val="00695DDE"/>
    <w:rsid w:val="00695EE2"/>
    <w:rsid w:val="00696594"/>
    <w:rsid w:val="00696C06"/>
    <w:rsid w:val="0069723C"/>
    <w:rsid w:val="0069761E"/>
    <w:rsid w:val="00697D1A"/>
    <w:rsid w:val="00697D5F"/>
    <w:rsid w:val="00697F8E"/>
    <w:rsid w:val="006A03A4"/>
    <w:rsid w:val="006A03A9"/>
    <w:rsid w:val="006A0875"/>
    <w:rsid w:val="006A0CD4"/>
    <w:rsid w:val="006A13EB"/>
    <w:rsid w:val="006A1828"/>
    <w:rsid w:val="006A1A69"/>
    <w:rsid w:val="006A1FF0"/>
    <w:rsid w:val="006A28F3"/>
    <w:rsid w:val="006A433F"/>
    <w:rsid w:val="006A44A5"/>
    <w:rsid w:val="006A5313"/>
    <w:rsid w:val="006A55B2"/>
    <w:rsid w:val="006A5814"/>
    <w:rsid w:val="006A5F72"/>
    <w:rsid w:val="006A61BE"/>
    <w:rsid w:val="006A6907"/>
    <w:rsid w:val="006A6B9A"/>
    <w:rsid w:val="006A6D61"/>
    <w:rsid w:val="006A717D"/>
    <w:rsid w:val="006A788D"/>
    <w:rsid w:val="006A7BD7"/>
    <w:rsid w:val="006B0A4F"/>
    <w:rsid w:val="006B0D16"/>
    <w:rsid w:val="006B0DFF"/>
    <w:rsid w:val="006B2FAD"/>
    <w:rsid w:val="006B37A0"/>
    <w:rsid w:val="006B38E2"/>
    <w:rsid w:val="006B3C28"/>
    <w:rsid w:val="006B4155"/>
    <w:rsid w:val="006B476E"/>
    <w:rsid w:val="006B519B"/>
    <w:rsid w:val="006B52E7"/>
    <w:rsid w:val="006B590A"/>
    <w:rsid w:val="006B5944"/>
    <w:rsid w:val="006B5ECD"/>
    <w:rsid w:val="006B696D"/>
    <w:rsid w:val="006B6BC7"/>
    <w:rsid w:val="006B7AAE"/>
    <w:rsid w:val="006B7C8A"/>
    <w:rsid w:val="006C0016"/>
    <w:rsid w:val="006C0024"/>
    <w:rsid w:val="006C0851"/>
    <w:rsid w:val="006C0BD6"/>
    <w:rsid w:val="006C0DE1"/>
    <w:rsid w:val="006C135F"/>
    <w:rsid w:val="006C148F"/>
    <w:rsid w:val="006C19DA"/>
    <w:rsid w:val="006C2265"/>
    <w:rsid w:val="006C26E1"/>
    <w:rsid w:val="006C2A5F"/>
    <w:rsid w:val="006C3878"/>
    <w:rsid w:val="006C3890"/>
    <w:rsid w:val="006C3D19"/>
    <w:rsid w:val="006C4623"/>
    <w:rsid w:val="006C4C2A"/>
    <w:rsid w:val="006C4FF1"/>
    <w:rsid w:val="006C549F"/>
    <w:rsid w:val="006C5B7C"/>
    <w:rsid w:val="006C63B0"/>
    <w:rsid w:val="006C64DA"/>
    <w:rsid w:val="006D0012"/>
    <w:rsid w:val="006D0585"/>
    <w:rsid w:val="006D06DB"/>
    <w:rsid w:val="006D2F60"/>
    <w:rsid w:val="006D2F8E"/>
    <w:rsid w:val="006D377C"/>
    <w:rsid w:val="006D4226"/>
    <w:rsid w:val="006D455A"/>
    <w:rsid w:val="006D574D"/>
    <w:rsid w:val="006D659B"/>
    <w:rsid w:val="006D669C"/>
    <w:rsid w:val="006D6992"/>
    <w:rsid w:val="006D7A60"/>
    <w:rsid w:val="006D7C45"/>
    <w:rsid w:val="006D7FDD"/>
    <w:rsid w:val="006E021D"/>
    <w:rsid w:val="006E04A8"/>
    <w:rsid w:val="006E0CB9"/>
    <w:rsid w:val="006E0D78"/>
    <w:rsid w:val="006E0EB6"/>
    <w:rsid w:val="006E1047"/>
    <w:rsid w:val="006E152C"/>
    <w:rsid w:val="006E15AC"/>
    <w:rsid w:val="006E163F"/>
    <w:rsid w:val="006E16FF"/>
    <w:rsid w:val="006E1F21"/>
    <w:rsid w:val="006E2311"/>
    <w:rsid w:val="006E2391"/>
    <w:rsid w:val="006E2496"/>
    <w:rsid w:val="006E277E"/>
    <w:rsid w:val="006E2D55"/>
    <w:rsid w:val="006E2EA3"/>
    <w:rsid w:val="006E34C0"/>
    <w:rsid w:val="006E34DF"/>
    <w:rsid w:val="006E34E9"/>
    <w:rsid w:val="006E3562"/>
    <w:rsid w:val="006E3820"/>
    <w:rsid w:val="006E4178"/>
    <w:rsid w:val="006E41DE"/>
    <w:rsid w:val="006E429A"/>
    <w:rsid w:val="006E4617"/>
    <w:rsid w:val="006E49C8"/>
    <w:rsid w:val="006E4D5F"/>
    <w:rsid w:val="006E505D"/>
    <w:rsid w:val="006E5EA8"/>
    <w:rsid w:val="006E5ED1"/>
    <w:rsid w:val="006E60B9"/>
    <w:rsid w:val="006E6397"/>
    <w:rsid w:val="006E67C4"/>
    <w:rsid w:val="006E6E33"/>
    <w:rsid w:val="006E77E8"/>
    <w:rsid w:val="006E78B9"/>
    <w:rsid w:val="006E79F0"/>
    <w:rsid w:val="006F01B1"/>
    <w:rsid w:val="006F08DA"/>
    <w:rsid w:val="006F1283"/>
    <w:rsid w:val="006F138C"/>
    <w:rsid w:val="006F1929"/>
    <w:rsid w:val="006F1A58"/>
    <w:rsid w:val="006F24FD"/>
    <w:rsid w:val="006F258C"/>
    <w:rsid w:val="006F2687"/>
    <w:rsid w:val="006F2CFC"/>
    <w:rsid w:val="006F2E70"/>
    <w:rsid w:val="006F2F03"/>
    <w:rsid w:val="006F305F"/>
    <w:rsid w:val="006F36A0"/>
    <w:rsid w:val="006F3E8A"/>
    <w:rsid w:val="006F4462"/>
    <w:rsid w:val="006F459D"/>
    <w:rsid w:val="006F48F3"/>
    <w:rsid w:val="006F4E75"/>
    <w:rsid w:val="006F5623"/>
    <w:rsid w:val="006F5B5F"/>
    <w:rsid w:val="006F5E63"/>
    <w:rsid w:val="006F669F"/>
    <w:rsid w:val="006F6931"/>
    <w:rsid w:val="006F6A37"/>
    <w:rsid w:val="006F7156"/>
    <w:rsid w:val="006F729A"/>
    <w:rsid w:val="006F7CB7"/>
    <w:rsid w:val="006F7F1B"/>
    <w:rsid w:val="00700446"/>
    <w:rsid w:val="007005FE"/>
    <w:rsid w:val="00700990"/>
    <w:rsid w:val="00700BCE"/>
    <w:rsid w:val="00702535"/>
    <w:rsid w:val="00703668"/>
    <w:rsid w:val="00703AB2"/>
    <w:rsid w:val="007041C8"/>
    <w:rsid w:val="00704447"/>
    <w:rsid w:val="007046A6"/>
    <w:rsid w:val="00704A40"/>
    <w:rsid w:val="00704B0B"/>
    <w:rsid w:val="00704B5C"/>
    <w:rsid w:val="00704CEC"/>
    <w:rsid w:val="0070513A"/>
    <w:rsid w:val="00706205"/>
    <w:rsid w:val="00706A35"/>
    <w:rsid w:val="00706BAD"/>
    <w:rsid w:val="007071FC"/>
    <w:rsid w:val="00707294"/>
    <w:rsid w:val="007077E0"/>
    <w:rsid w:val="007079EF"/>
    <w:rsid w:val="00707B0B"/>
    <w:rsid w:val="00707C25"/>
    <w:rsid w:val="00710832"/>
    <w:rsid w:val="00710844"/>
    <w:rsid w:val="007108D1"/>
    <w:rsid w:val="00710D77"/>
    <w:rsid w:val="00711197"/>
    <w:rsid w:val="007113E0"/>
    <w:rsid w:val="00711470"/>
    <w:rsid w:val="00711689"/>
    <w:rsid w:val="007118C1"/>
    <w:rsid w:val="00712071"/>
    <w:rsid w:val="0071213B"/>
    <w:rsid w:val="00712431"/>
    <w:rsid w:val="007136B7"/>
    <w:rsid w:val="00713C52"/>
    <w:rsid w:val="00713EF0"/>
    <w:rsid w:val="00714078"/>
    <w:rsid w:val="007140CB"/>
    <w:rsid w:val="00715C7F"/>
    <w:rsid w:val="0071603D"/>
    <w:rsid w:val="00716216"/>
    <w:rsid w:val="00716257"/>
    <w:rsid w:val="007165A0"/>
    <w:rsid w:val="00716A6F"/>
    <w:rsid w:val="00716B51"/>
    <w:rsid w:val="007172B4"/>
    <w:rsid w:val="007176B3"/>
    <w:rsid w:val="00720159"/>
    <w:rsid w:val="00720192"/>
    <w:rsid w:val="007201B1"/>
    <w:rsid w:val="00720277"/>
    <w:rsid w:val="00720876"/>
    <w:rsid w:val="00720C09"/>
    <w:rsid w:val="00720DB7"/>
    <w:rsid w:val="00721CDA"/>
    <w:rsid w:val="007226BB"/>
    <w:rsid w:val="00722B87"/>
    <w:rsid w:val="007242CA"/>
    <w:rsid w:val="00724983"/>
    <w:rsid w:val="00726515"/>
    <w:rsid w:val="00726DDC"/>
    <w:rsid w:val="00727197"/>
    <w:rsid w:val="00727607"/>
    <w:rsid w:val="0072772F"/>
    <w:rsid w:val="007301DF"/>
    <w:rsid w:val="00730894"/>
    <w:rsid w:val="00730C7A"/>
    <w:rsid w:val="0073118F"/>
    <w:rsid w:val="00731674"/>
    <w:rsid w:val="00731FFE"/>
    <w:rsid w:val="00732351"/>
    <w:rsid w:val="0073467A"/>
    <w:rsid w:val="00736E78"/>
    <w:rsid w:val="00737362"/>
    <w:rsid w:val="0073743B"/>
    <w:rsid w:val="00737543"/>
    <w:rsid w:val="00737D4E"/>
    <w:rsid w:val="007400F6"/>
    <w:rsid w:val="00740369"/>
    <w:rsid w:val="0074042B"/>
    <w:rsid w:val="007405FD"/>
    <w:rsid w:val="00740F40"/>
    <w:rsid w:val="00740F4B"/>
    <w:rsid w:val="00741176"/>
    <w:rsid w:val="007415D5"/>
    <w:rsid w:val="007416A8"/>
    <w:rsid w:val="007416C0"/>
    <w:rsid w:val="007418FE"/>
    <w:rsid w:val="007427A1"/>
    <w:rsid w:val="007428AF"/>
    <w:rsid w:val="00742E41"/>
    <w:rsid w:val="00744204"/>
    <w:rsid w:val="00744555"/>
    <w:rsid w:val="0074468B"/>
    <w:rsid w:val="00744C31"/>
    <w:rsid w:val="00744E75"/>
    <w:rsid w:val="00745843"/>
    <w:rsid w:val="00745A51"/>
    <w:rsid w:val="0074615F"/>
    <w:rsid w:val="0074685C"/>
    <w:rsid w:val="00746974"/>
    <w:rsid w:val="00746FEA"/>
    <w:rsid w:val="00747962"/>
    <w:rsid w:val="0075008B"/>
    <w:rsid w:val="00750445"/>
    <w:rsid w:val="00750999"/>
    <w:rsid w:val="007514CB"/>
    <w:rsid w:val="00751A06"/>
    <w:rsid w:val="00751D2F"/>
    <w:rsid w:val="007522FA"/>
    <w:rsid w:val="007531F1"/>
    <w:rsid w:val="00753BD9"/>
    <w:rsid w:val="00753F70"/>
    <w:rsid w:val="00754531"/>
    <w:rsid w:val="00754E01"/>
    <w:rsid w:val="00755C3E"/>
    <w:rsid w:val="00756166"/>
    <w:rsid w:val="0075630F"/>
    <w:rsid w:val="007563A4"/>
    <w:rsid w:val="007566AA"/>
    <w:rsid w:val="00756824"/>
    <w:rsid w:val="007569E5"/>
    <w:rsid w:val="00756E1F"/>
    <w:rsid w:val="00757440"/>
    <w:rsid w:val="00761CAB"/>
    <w:rsid w:val="00761D8C"/>
    <w:rsid w:val="00761E2D"/>
    <w:rsid w:val="0076202B"/>
    <w:rsid w:val="007627F5"/>
    <w:rsid w:val="0076284E"/>
    <w:rsid w:val="00762DA2"/>
    <w:rsid w:val="00762E16"/>
    <w:rsid w:val="007638C3"/>
    <w:rsid w:val="007639CA"/>
    <w:rsid w:val="007639DF"/>
    <w:rsid w:val="00764329"/>
    <w:rsid w:val="00764BF3"/>
    <w:rsid w:val="00764CE9"/>
    <w:rsid w:val="00765D44"/>
    <w:rsid w:val="00765D55"/>
    <w:rsid w:val="00765F50"/>
    <w:rsid w:val="00766014"/>
    <w:rsid w:val="00766606"/>
    <w:rsid w:val="0076720F"/>
    <w:rsid w:val="0076778B"/>
    <w:rsid w:val="00767B5B"/>
    <w:rsid w:val="00767F87"/>
    <w:rsid w:val="00770F71"/>
    <w:rsid w:val="00770FD1"/>
    <w:rsid w:val="00771454"/>
    <w:rsid w:val="007716BF"/>
    <w:rsid w:val="00772B77"/>
    <w:rsid w:val="007733A7"/>
    <w:rsid w:val="00773605"/>
    <w:rsid w:val="00773F7B"/>
    <w:rsid w:val="007748EC"/>
    <w:rsid w:val="0077594B"/>
    <w:rsid w:val="00775A26"/>
    <w:rsid w:val="00776092"/>
    <w:rsid w:val="0077611F"/>
    <w:rsid w:val="007761EB"/>
    <w:rsid w:val="00776237"/>
    <w:rsid w:val="0077655F"/>
    <w:rsid w:val="00776777"/>
    <w:rsid w:val="007769C6"/>
    <w:rsid w:val="0077738B"/>
    <w:rsid w:val="00777842"/>
    <w:rsid w:val="00780BDD"/>
    <w:rsid w:val="00780DEE"/>
    <w:rsid w:val="00780FD4"/>
    <w:rsid w:val="00781691"/>
    <w:rsid w:val="00781CDC"/>
    <w:rsid w:val="00782FFB"/>
    <w:rsid w:val="00783178"/>
    <w:rsid w:val="007832AF"/>
    <w:rsid w:val="0078331F"/>
    <w:rsid w:val="0078351D"/>
    <w:rsid w:val="007835FD"/>
    <w:rsid w:val="00783896"/>
    <w:rsid w:val="007839F9"/>
    <w:rsid w:val="00783A80"/>
    <w:rsid w:val="00783C3E"/>
    <w:rsid w:val="00783DF7"/>
    <w:rsid w:val="00784A69"/>
    <w:rsid w:val="00784E8E"/>
    <w:rsid w:val="0078502D"/>
    <w:rsid w:val="0078510A"/>
    <w:rsid w:val="0078518F"/>
    <w:rsid w:val="0078589C"/>
    <w:rsid w:val="00785A42"/>
    <w:rsid w:val="00785A74"/>
    <w:rsid w:val="007864A3"/>
    <w:rsid w:val="007866E8"/>
    <w:rsid w:val="00786B89"/>
    <w:rsid w:val="00786E58"/>
    <w:rsid w:val="00787A5D"/>
    <w:rsid w:val="0079023C"/>
    <w:rsid w:val="00790F71"/>
    <w:rsid w:val="00791280"/>
    <w:rsid w:val="007913A7"/>
    <w:rsid w:val="00791BF2"/>
    <w:rsid w:val="007927D7"/>
    <w:rsid w:val="0079295F"/>
    <w:rsid w:val="00792AC3"/>
    <w:rsid w:val="00792B5A"/>
    <w:rsid w:val="007932D2"/>
    <w:rsid w:val="00793AC3"/>
    <w:rsid w:val="00794001"/>
    <w:rsid w:val="007947E1"/>
    <w:rsid w:val="00794BA2"/>
    <w:rsid w:val="00794FDB"/>
    <w:rsid w:val="00795AB3"/>
    <w:rsid w:val="00795AEA"/>
    <w:rsid w:val="00795B32"/>
    <w:rsid w:val="00795BB2"/>
    <w:rsid w:val="00796207"/>
    <w:rsid w:val="0079670B"/>
    <w:rsid w:val="0079772E"/>
    <w:rsid w:val="00797789"/>
    <w:rsid w:val="007A0085"/>
    <w:rsid w:val="007A0392"/>
    <w:rsid w:val="007A0B02"/>
    <w:rsid w:val="007A0FF0"/>
    <w:rsid w:val="007A1C6E"/>
    <w:rsid w:val="007A1DE6"/>
    <w:rsid w:val="007A21E3"/>
    <w:rsid w:val="007A22D9"/>
    <w:rsid w:val="007A2B96"/>
    <w:rsid w:val="007A2CFB"/>
    <w:rsid w:val="007A3B82"/>
    <w:rsid w:val="007A3C14"/>
    <w:rsid w:val="007A40FA"/>
    <w:rsid w:val="007A4A4E"/>
    <w:rsid w:val="007A4DD5"/>
    <w:rsid w:val="007A50B8"/>
    <w:rsid w:val="007A5114"/>
    <w:rsid w:val="007A6124"/>
    <w:rsid w:val="007A61A1"/>
    <w:rsid w:val="007A66F4"/>
    <w:rsid w:val="007A6D11"/>
    <w:rsid w:val="007A6D9F"/>
    <w:rsid w:val="007A6EF7"/>
    <w:rsid w:val="007A71CD"/>
    <w:rsid w:val="007A7436"/>
    <w:rsid w:val="007A7DD8"/>
    <w:rsid w:val="007B0310"/>
    <w:rsid w:val="007B0448"/>
    <w:rsid w:val="007B0527"/>
    <w:rsid w:val="007B162D"/>
    <w:rsid w:val="007B16A5"/>
    <w:rsid w:val="007B25A2"/>
    <w:rsid w:val="007B2812"/>
    <w:rsid w:val="007B2C4F"/>
    <w:rsid w:val="007B32E8"/>
    <w:rsid w:val="007B3B3C"/>
    <w:rsid w:val="007B4370"/>
    <w:rsid w:val="007B5518"/>
    <w:rsid w:val="007B5729"/>
    <w:rsid w:val="007B592B"/>
    <w:rsid w:val="007B5C5E"/>
    <w:rsid w:val="007B631E"/>
    <w:rsid w:val="007B67D6"/>
    <w:rsid w:val="007B6A3B"/>
    <w:rsid w:val="007B6D02"/>
    <w:rsid w:val="007B6E94"/>
    <w:rsid w:val="007B74BB"/>
    <w:rsid w:val="007B7971"/>
    <w:rsid w:val="007B7A58"/>
    <w:rsid w:val="007B7BCB"/>
    <w:rsid w:val="007C0437"/>
    <w:rsid w:val="007C0E29"/>
    <w:rsid w:val="007C1643"/>
    <w:rsid w:val="007C1751"/>
    <w:rsid w:val="007C2CDD"/>
    <w:rsid w:val="007C2DBB"/>
    <w:rsid w:val="007C2ED7"/>
    <w:rsid w:val="007C33AB"/>
    <w:rsid w:val="007C354F"/>
    <w:rsid w:val="007C3682"/>
    <w:rsid w:val="007C3716"/>
    <w:rsid w:val="007C37CF"/>
    <w:rsid w:val="007C3928"/>
    <w:rsid w:val="007C3A98"/>
    <w:rsid w:val="007C3F6C"/>
    <w:rsid w:val="007C4938"/>
    <w:rsid w:val="007C4BBB"/>
    <w:rsid w:val="007C4F0E"/>
    <w:rsid w:val="007C56B1"/>
    <w:rsid w:val="007C5F86"/>
    <w:rsid w:val="007C6003"/>
    <w:rsid w:val="007C76DA"/>
    <w:rsid w:val="007C7922"/>
    <w:rsid w:val="007C7978"/>
    <w:rsid w:val="007D0235"/>
    <w:rsid w:val="007D0B01"/>
    <w:rsid w:val="007D0DE3"/>
    <w:rsid w:val="007D0EE3"/>
    <w:rsid w:val="007D127C"/>
    <w:rsid w:val="007D139F"/>
    <w:rsid w:val="007D24A5"/>
    <w:rsid w:val="007D2B25"/>
    <w:rsid w:val="007D2B88"/>
    <w:rsid w:val="007D2D76"/>
    <w:rsid w:val="007D31C6"/>
    <w:rsid w:val="007D4231"/>
    <w:rsid w:val="007D54FD"/>
    <w:rsid w:val="007D6FFC"/>
    <w:rsid w:val="007D746C"/>
    <w:rsid w:val="007E012C"/>
    <w:rsid w:val="007E0648"/>
    <w:rsid w:val="007E1130"/>
    <w:rsid w:val="007E128D"/>
    <w:rsid w:val="007E153C"/>
    <w:rsid w:val="007E2709"/>
    <w:rsid w:val="007E28C5"/>
    <w:rsid w:val="007E28D9"/>
    <w:rsid w:val="007E2E38"/>
    <w:rsid w:val="007E3168"/>
    <w:rsid w:val="007E3688"/>
    <w:rsid w:val="007E3C8E"/>
    <w:rsid w:val="007E3D35"/>
    <w:rsid w:val="007E475F"/>
    <w:rsid w:val="007E5398"/>
    <w:rsid w:val="007E55E7"/>
    <w:rsid w:val="007E5B5C"/>
    <w:rsid w:val="007E5F88"/>
    <w:rsid w:val="007E6554"/>
    <w:rsid w:val="007E745E"/>
    <w:rsid w:val="007E7679"/>
    <w:rsid w:val="007E78A7"/>
    <w:rsid w:val="007F0650"/>
    <w:rsid w:val="007F08A3"/>
    <w:rsid w:val="007F0F8E"/>
    <w:rsid w:val="007F1416"/>
    <w:rsid w:val="007F1524"/>
    <w:rsid w:val="007F15A5"/>
    <w:rsid w:val="007F2221"/>
    <w:rsid w:val="007F26F8"/>
    <w:rsid w:val="007F28F0"/>
    <w:rsid w:val="007F33F1"/>
    <w:rsid w:val="007F361A"/>
    <w:rsid w:val="007F3B52"/>
    <w:rsid w:val="007F3B75"/>
    <w:rsid w:val="007F402D"/>
    <w:rsid w:val="007F452A"/>
    <w:rsid w:val="007F471E"/>
    <w:rsid w:val="007F5411"/>
    <w:rsid w:val="007F5DFD"/>
    <w:rsid w:val="007F6AB1"/>
    <w:rsid w:val="007F6DD2"/>
    <w:rsid w:val="007F6E1D"/>
    <w:rsid w:val="007F6EF6"/>
    <w:rsid w:val="007F7181"/>
    <w:rsid w:val="007F739E"/>
    <w:rsid w:val="007F787A"/>
    <w:rsid w:val="007F7B4C"/>
    <w:rsid w:val="007F7BEC"/>
    <w:rsid w:val="007F7DCE"/>
    <w:rsid w:val="008006A6"/>
    <w:rsid w:val="00800950"/>
    <w:rsid w:val="00800BFA"/>
    <w:rsid w:val="0080117F"/>
    <w:rsid w:val="0080150F"/>
    <w:rsid w:val="00801C9E"/>
    <w:rsid w:val="00801EAC"/>
    <w:rsid w:val="00802BE7"/>
    <w:rsid w:val="00802CD8"/>
    <w:rsid w:val="0080378E"/>
    <w:rsid w:val="008044F8"/>
    <w:rsid w:val="00805170"/>
    <w:rsid w:val="00805277"/>
    <w:rsid w:val="0080543C"/>
    <w:rsid w:val="00805DDF"/>
    <w:rsid w:val="00805F35"/>
    <w:rsid w:val="0080609E"/>
    <w:rsid w:val="008069B7"/>
    <w:rsid w:val="00806D42"/>
    <w:rsid w:val="00807246"/>
    <w:rsid w:val="00807665"/>
    <w:rsid w:val="00810ECD"/>
    <w:rsid w:val="008110B5"/>
    <w:rsid w:val="008113FE"/>
    <w:rsid w:val="00812082"/>
    <w:rsid w:val="00812226"/>
    <w:rsid w:val="00813093"/>
    <w:rsid w:val="00813DA4"/>
    <w:rsid w:val="008144C7"/>
    <w:rsid w:val="00814536"/>
    <w:rsid w:val="00815579"/>
    <w:rsid w:val="0081586A"/>
    <w:rsid w:val="008159B0"/>
    <w:rsid w:val="00816893"/>
    <w:rsid w:val="008170B6"/>
    <w:rsid w:val="008201FA"/>
    <w:rsid w:val="00821574"/>
    <w:rsid w:val="008216D5"/>
    <w:rsid w:val="0082190D"/>
    <w:rsid w:val="00821BBC"/>
    <w:rsid w:val="008220B1"/>
    <w:rsid w:val="008226EB"/>
    <w:rsid w:val="00822AA7"/>
    <w:rsid w:val="00823195"/>
    <w:rsid w:val="00823397"/>
    <w:rsid w:val="00823922"/>
    <w:rsid w:val="00823C17"/>
    <w:rsid w:val="00823D71"/>
    <w:rsid w:val="00823E11"/>
    <w:rsid w:val="00823F8E"/>
    <w:rsid w:val="008245C2"/>
    <w:rsid w:val="008245E5"/>
    <w:rsid w:val="00825028"/>
    <w:rsid w:val="00826020"/>
    <w:rsid w:val="00826259"/>
    <w:rsid w:val="008268FD"/>
    <w:rsid w:val="008273DC"/>
    <w:rsid w:val="0082741F"/>
    <w:rsid w:val="008275A1"/>
    <w:rsid w:val="008275E9"/>
    <w:rsid w:val="008279A4"/>
    <w:rsid w:val="00830006"/>
    <w:rsid w:val="00830F13"/>
    <w:rsid w:val="00830F16"/>
    <w:rsid w:val="008317EB"/>
    <w:rsid w:val="008318A2"/>
    <w:rsid w:val="008318C0"/>
    <w:rsid w:val="00831BA3"/>
    <w:rsid w:val="00831DE1"/>
    <w:rsid w:val="00832450"/>
    <w:rsid w:val="00832BC9"/>
    <w:rsid w:val="00832C0F"/>
    <w:rsid w:val="0083328D"/>
    <w:rsid w:val="00833627"/>
    <w:rsid w:val="00833C6B"/>
    <w:rsid w:val="008344DE"/>
    <w:rsid w:val="008344F3"/>
    <w:rsid w:val="0083564D"/>
    <w:rsid w:val="00835AD0"/>
    <w:rsid w:val="008361AE"/>
    <w:rsid w:val="00836A24"/>
    <w:rsid w:val="008372C0"/>
    <w:rsid w:val="00837530"/>
    <w:rsid w:val="00837532"/>
    <w:rsid w:val="00837E1C"/>
    <w:rsid w:val="008402B3"/>
    <w:rsid w:val="00840347"/>
    <w:rsid w:val="008405D8"/>
    <w:rsid w:val="008406C2"/>
    <w:rsid w:val="00840E66"/>
    <w:rsid w:val="00841516"/>
    <w:rsid w:val="00841746"/>
    <w:rsid w:val="00841BEA"/>
    <w:rsid w:val="00841D0C"/>
    <w:rsid w:val="00841D97"/>
    <w:rsid w:val="00841F0D"/>
    <w:rsid w:val="008425FC"/>
    <w:rsid w:val="00842971"/>
    <w:rsid w:val="00842989"/>
    <w:rsid w:val="00842BF3"/>
    <w:rsid w:val="00842C07"/>
    <w:rsid w:val="008431E2"/>
    <w:rsid w:val="008435C1"/>
    <w:rsid w:val="00843713"/>
    <w:rsid w:val="008438D3"/>
    <w:rsid w:val="00844B7C"/>
    <w:rsid w:val="00844E8D"/>
    <w:rsid w:val="0084518B"/>
    <w:rsid w:val="00845418"/>
    <w:rsid w:val="008463F5"/>
    <w:rsid w:val="008474A0"/>
    <w:rsid w:val="008476FA"/>
    <w:rsid w:val="00847E30"/>
    <w:rsid w:val="008501C0"/>
    <w:rsid w:val="008501CC"/>
    <w:rsid w:val="00850E3A"/>
    <w:rsid w:val="00851C44"/>
    <w:rsid w:val="00851CF6"/>
    <w:rsid w:val="008522EE"/>
    <w:rsid w:val="008525A8"/>
    <w:rsid w:val="008525F7"/>
    <w:rsid w:val="00853716"/>
    <w:rsid w:val="0085373B"/>
    <w:rsid w:val="00853D47"/>
    <w:rsid w:val="00854165"/>
    <w:rsid w:val="00854E2C"/>
    <w:rsid w:val="00854E8A"/>
    <w:rsid w:val="00855414"/>
    <w:rsid w:val="0085564D"/>
    <w:rsid w:val="00855E6A"/>
    <w:rsid w:val="00855E6E"/>
    <w:rsid w:val="00855F2D"/>
    <w:rsid w:val="00855FAC"/>
    <w:rsid w:val="008565D6"/>
    <w:rsid w:val="00856764"/>
    <w:rsid w:val="00856F56"/>
    <w:rsid w:val="008571EC"/>
    <w:rsid w:val="008575D7"/>
    <w:rsid w:val="0085767E"/>
    <w:rsid w:val="008576AE"/>
    <w:rsid w:val="00857AC1"/>
    <w:rsid w:val="008602E9"/>
    <w:rsid w:val="008604FF"/>
    <w:rsid w:val="00860B7F"/>
    <w:rsid w:val="00860E40"/>
    <w:rsid w:val="00860F04"/>
    <w:rsid w:val="008614CF"/>
    <w:rsid w:val="008618E3"/>
    <w:rsid w:val="008619AC"/>
    <w:rsid w:val="00861C76"/>
    <w:rsid w:val="00862425"/>
    <w:rsid w:val="008624F3"/>
    <w:rsid w:val="008627FB"/>
    <w:rsid w:val="00862A16"/>
    <w:rsid w:val="00863AD3"/>
    <w:rsid w:val="00864659"/>
    <w:rsid w:val="008655C2"/>
    <w:rsid w:val="008660C7"/>
    <w:rsid w:val="0086663B"/>
    <w:rsid w:val="00866677"/>
    <w:rsid w:val="00866FFE"/>
    <w:rsid w:val="00867543"/>
    <w:rsid w:val="00867B01"/>
    <w:rsid w:val="00867F7A"/>
    <w:rsid w:val="0087034F"/>
    <w:rsid w:val="00870D03"/>
    <w:rsid w:val="00870D4A"/>
    <w:rsid w:val="00870E07"/>
    <w:rsid w:val="008713DF"/>
    <w:rsid w:val="00871674"/>
    <w:rsid w:val="008716A6"/>
    <w:rsid w:val="00871988"/>
    <w:rsid w:val="00871D20"/>
    <w:rsid w:val="00871F61"/>
    <w:rsid w:val="00872DCD"/>
    <w:rsid w:val="00873463"/>
    <w:rsid w:val="00873AFA"/>
    <w:rsid w:val="00873C70"/>
    <w:rsid w:val="00873DE9"/>
    <w:rsid w:val="008746FF"/>
    <w:rsid w:val="00874CED"/>
    <w:rsid w:val="0087517A"/>
    <w:rsid w:val="00875625"/>
    <w:rsid w:val="008757DF"/>
    <w:rsid w:val="00877700"/>
    <w:rsid w:val="00877826"/>
    <w:rsid w:val="008806FF"/>
    <w:rsid w:val="00880A12"/>
    <w:rsid w:val="00881294"/>
    <w:rsid w:val="00881472"/>
    <w:rsid w:val="008816E0"/>
    <w:rsid w:val="00881DFB"/>
    <w:rsid w:val="00882446"/>
    <w:rsid w:val="008825AA"/>
    <w:rsid w:val="00883066"/>
    <w:rsid w:val="00883330"/>
    <w:rsid w:val="00884621"/>
    <w:rsid w:val="00884C4C"/>
    <w:rsid w:val="00884EA1"/>
    <w:rsid w:val="00885D1A"/>
    <w:rsid w:val="008866BC"/>
    <w:rsid w:val="008866C4"/>
    <w:rsid w:val="0088698C"/>
    <w:rsid w:val="008869C6"/>
    <w:rsid w:val="00886A0E"/>
    <w:rsid w:val="00886EBB"/>
    <w:rsid w:val="0088742A"/>
    <w:rsid w:val="00887DB9"/>
    <w:rsid w:val="00890B35"/>
    <w:rsid w:val="00890D2F"/>
    <w:rsid w:val="00890ED2"/>
    <w:rsid w:val="00890EDC"/>
    <w:rsid w:val="008918AA"/>
    <w:rsid w:val="00891A03"/>
    <w:rsid w:val="00891BF9"/>
    <w:rsid w:val="00891CBD"/>
    <w:rsid w:val="0089337B"/>
    <w:rsid w:val="00893ED8"/>
    <w:rsid w:val="00893F9B"/>
    <w:rsid w:val="00894612"/>
    <w:rsid w:val="00894A7B"/>
    <w:rsid w:val="00894AE4"/>
    <w:rsid w:val="00894C0A"/>
    <w:rsid w:val="00894D2B"/>
    <w:rsid w:val="00894E22"/>
    <w:rsid w:val="00894E83"/>
    <w:rsid w:val="00894FB1"/>
    <w:rsid w:val="00894FE6"/>
    <w:rsid w:val="0089502D"/>
    <w:rsid w:val="00896D5F"/>
    <w:rsid w:val="00897698"/>
    <w:rsid w:val="00897729"/>
    <w:rsid w:val="00897DD9"/>
    <w:rsid w:val="008A0043"/>
    <w:rsid w:val="008A03F1"/>
    <w:rsid w:val="008A0448"/>
    <w:rsid w:val="008A0C03"/>
    <w:rsid w:val="008A0DAE"/>
    <w:rsid w:val="008A0DFB"/>
    <w:rsid w:val="008A2675"/>
    <w:rsid w:val="008A31CB"/>
    <w:rsid w:val="008A369C"/>
    <w:rsid w:val="008A387C"/>
    <w:rsid w:val="008A3C61"/>
    <w:rsid w:val="008A3FCE"/>
    <w:rsid w:val="008A4272"/>
    <w:rsid w:val="008A42D3"/>
    <w:rsid w:val="008A46A4"/>
    <w:rsid w:val="008A4EC7"/>
    <w:rsid w:val="008A6055"/>
    <w:rsid w:val="008A63B6"/>
    <w:rsid w:val="008A6D0E"/>
    <w:rsid w:val="008A7177"/>
    <w:rsid w:val="008A74FD"/>
    <w:rsid w:val="008B128C"/>
    <w:rsid w:val="008B1441"/>
    <w:rsid w:val="008B19B9"/>
    <w:rsid w:val="008B1E69"/>
    <w:rsid w:val="008B27F3"/>
    <w:rsid w:val="008B35DC"/>
    <w:rsid w:val="008B4725"/>
    <w:rsid w:val="008B4F56"/>
    <w:rsid w:val="008B5BEE"/>
    <w:rsid w:val="008B6700"/>
    <w:rsid w:val="008B6A65"/>
    <w:rsid w:val="008B7D94"/>
    <w:rsid w:val="008C02A9"/>
    <w:rsid w:val="008C07BD"/>
    <w:rsid w:val="008C08B5"/>
    <w:rsid w:val="008C0B48"/>
    <w:rsid w:val="008C0D07"/>
    <w:rsid w:val="008C1D3A"/>
    <w:rsid w:val="008C2178"/>
    <w:rsid w:val="008C22D5"/>
    <w:rsid w:val="008C28FC"/>
    <w:rsid w:val="008C29E6"/>
    <w:rsid w:val="008C2CCD"/>
    <w:rsid w:val="008C3491"/>
    <w:rsid w:val="008C39B8"/>
    <w:rsid w:val="008C4120"/>
    <w:rsid w:val="008C4272"/>
    <w:rsid w:val="008C4345"/>
    <w:rsid w:val="008C486F"/>
    <w:rsid w:val="008C4A63"/>
    <w:rsid w:val="008C4B97"/>
    <w:rsid w:val="008C4CC5"/>
    <w:rsid w:val="008C4FB2"/>
    <w:rsid w:val="008C5204"/>
    <w:rsid w:val="008C67ED"/>
    <w:rsid w:val="008C6A5E"/>
    <w:rsid w:val="008C7346"/>
    <w:rsid w:val="008C76A6"/>
    <w:rsid w:val="008C796F"/>
    <w:rsid w:val="008C7D14"/>
    <w:rsid w:val="008C7F58"/>
    <w:rsid w:val="008D0055"/>
    <w:rsid w:val="008D0D22"/>
    <w:rsid w:val="008D0D70"/>
    <w:rsid w:val="008D0F60"/>
    <w:rsid w:val="008D17F0"/>
    <w:rsid w:val="008D1898"/>
    <w:rsid w:val="008D1C8F"/>
    <w:rsid w:val="008D37C8"/>
    <w:rsid w:val="008D3C50"/>
    <w:rsid w:val="008D4376"/>
    <w:rsid w:val="008D47E9"/>
    <w:rsid w:val="008D4D6E"/>
    <w:rsid w:val="008D5FF0"/>
    <w:rsid w:val="008D6551"/>
    <w:rsid w:val="008D78EB"/>
    <w:rsid w:val="008D7C3B"/>
    <w:rsid w:val="008E0528"/>
    <w:rsid w:val="008E0588"/>
    <w:rsid w:val="008E188F"/>
    <w:rsid w:val="008E20FB"/>
    <w:rsid w:val="008E22DE"/>
    <w:rsid w:val="008E25C6"/>
    <w:rsid w:val="008E2631"/>
    <w:rsid w:val="008E2C95"/>
    <w:rsid w:val="008E2E85"/>
    <w:rsid w:val="008E357B"/>
    <w:rsid w:val="008E3634"/>
    <w:rsid w:val="008E39A1"/>
    <w:rsid w:val="008E3C93"/>
    <w:rsid w:val="008E3D7E"/>
    <w:rsid w:val="008E3EEA"/>
    <w:rsid w:val="008E4755"/>
    <w:rsid w:val="008E55B9"/>
    <w:rsid w:val="008E5884"/>
    <w:rsid w:val="008E5D4D"/>
    <w:rsid w:val="008E634E"/>
    <w:rsid w:val="008E6941"/>
    <w:rsid w:val="008E6D91"/>
    <w:rsid w:val="008E6DA4"/>
    <w:rsid w:val="008E7D93"/>
    <w:rsid w:val="008F0170"/>
    <w:rsid w:val="008F087B"/>
    <w:rsid w:val="008F08D8"/>
    <w:rsid w:val="008F1171"/>
    <w:rsid w:val="008F183A"/>
    <w:rsid w:val="008F1F82"/>
    <w:rsid w:val="008F2BF2"/>
    <w:rsid w:val="008F3030"/>
    <w:rsid w:val="008F3819"/>
    <w:rsid w:val="008F38D3"/>
    <w:rsid w:val="008F3D0C"/>
    <w:rsid w:val="008F4342"/>
    <w:rsid w:val="008F4DDD"/>
    <w:rsid w:val="008F53B5"/>
    <w:rsid w:val="008F59A8"/>
    <w:rsid w:val="008F5DC3"/>
    <w:rsid w:val="008F63DB"/>
    <w:rsid w:val="008F64F5"/>
    <w:rsid w:val="008F6732"/>
    <w:rsid w:val="008F7067"/>
    <w:rsid w:val="008F72B5"/>
    <w:rsid w:val="008F734B"/>
    <w:rsid w:val="008F76B2"/>
    <w:rsid w:val="008F7C28"/>
    <w:rsid w:val="0090004B"/>
    <w:rsid w:val="00900077"/>
    <w:rsid w:val="00900432"/>
    <w:rsid w:val="00900479"/>
    <w:rsid w:val="0090047B"/>
    <w:rsid w:val="0090153B"/>
    <w:rsid w:val="009026BC"/>
    <w:rsid w:val="00902EAE"/>
    <w:rsid w:val="009039EC"/>
    <w:rsid w:val="009044CC"/>
    <w:rsid w:val="00904757"/>
    <w:rsid w:val="009047DF"/>
    <w:rsid w:val="009057F7"/>
    <w:rsid w:val="0090597B"/>
    <w:rsid w:val="009059F8"/>
    <w:rsid w:val="00905BBB"/>
    <w:rsid w:val="00905D0F"/>
    <w:rsid w:val="009068E0"/>
    <w:rsid w:val="00906B04"/>
    <w:rsid w:val="00906FAE"/>
    <w:rsid w:val="00907B2B"/>
    <w:rsid w:val="00907D32"/>
    <w:rsid w:val="00907D7A"/>
    <w:rsid w:val="00907E5B"/>
    <w:rsid w:val="00907E6F"/>
    <w:rsid w:val="00910536"/>
    <w:rsid w:val="009107AD"/>
    <w:rsid w:val="00911A6B"/>
    <w:rsid w:val="00911D4E"/>
    <w:rsid w:val="009125F6"/>
    <w:rsid w:val="00912A72"/>
    <w:rsid w:val="00914C6D"/>
    <w:rsid w:val="00914D0F"/>
    <w:rsid w:val="00914EE5"/>
    <w:rsid w:val="00915102"/>
    <w:rsid w:val="0091728B"/>
    <w:rsid w:val="00917C28"/>
    <w:rsid w:val="00920452"/>
    <w:rsid w:val="0092050E"/>
    <w:rsid w:val="00920FC9"/>
    <w:rsid w:val="00921632"/>
    <w:rsid w:val="009217F8"/>
    <w:rsid w:val="009223B4"/>
    <w:rsid w:val="009224E1"/>
    <w:rsid w:val="009224FC"/>
    <w:rsid w:val="00922B1B"/>
    <w:rsid w:val="00922D59"/>
    <w:rsid w:val="0092378F"/>
    <w:rsid w:val="009237BA"/>
    <w:rsid w:val="00923C0B"/>
    <w:rsid w:val="00924562"/>
    <w:rsid w:val="00924D47"/>
    <w:rsid w:val="0092555D"/>
    <w:rsid w:val="00925928"/>
    <w:rsid w:val="0092595C"/>
    <w:rsid w:val="009259DB"/>
    <w:rsid w:val="00925B5F"/>
    <w:rsid w:val="00925C4B"/>
    <w:rsid w:val="009260E1"/>
    <w:rsid w:val="00926EAB"/>
    <w:rsid w:val="009279A3"/>
    <w:rsid w:val="00927ADA"/>
    <w:rsid w:val="00927D8B"/>
    <w:rsid w:val="00927EBA"/>
    <w:rsid w:val="009303B3"/>
    <w:rsid w:val="00930A95"/>
    <w:rsid w:val="00930B6E"/>
    <w:rsid w:val="00931165"/>
    <w:rsid w:val="0093135D"/>
    <w:rsid w:val="00931929"/>
    <w:rsid w:val="009319BE"/>
    <w:rsid w:val="00931A98"/>
    <w:rsid w:val="00931FBD"/>
    <w:rsid w:val="00932174"/>
    <w:rsid w:val="00932536"/>
    <w:rsid w:val="009326E5"/>
    <w:rsid w:val="0093291D"/>
    <w:rsid w:val="00932D67"/>
    <w:rsid w:val="0093324D"/>
    <w:rsid w:val="00933649"/>
    <w:rsid w:val="0093381F"/>
    <w:rsid w:val="00934AB2"/>
    <w:rsid w:val="00934E3A"/>
    <w:rsid w:val="009355AB"/>
    <w:rsid w:val="00935624"/>
    <w:rsid w:val="00935729"/>
    <w:rsid w:val="00935857"/>
    <w:rsid w:val="00935A20"/>
    <w:rsid w:val="00935CEF"/>
    <w:rsid w:val="00935D43"/>
    <w:rsid w:val="00936241"/>
    <w:rsid w:val="00936513"/>
    <w:rsid w:val="00937034"/>
    <w:rsid w:val="009375FC"/>
    <w:rsid w:val="00937640"/>
    <w:rsid w:val="0094055E"/>
    <w:rsid w:val="009407D0"/>
    <w:rsid w:val="00940CD6"/>
    <w:rsid w:val="00940EDE"/>
    <w:rsid w:val="00941BA9"/>
    <w:rsid w:val="009425EF"/>
    <w:rsid w:val="00942F31"/>
    <w:rsid w:val="009433DC"/>
    <w:rsid w:val="00943C39"/>
    <w:rsid w:val="00943D76"/>
    <w:rsid w:val="00943E4F"/>
    <w:rsid w:val="00943FD8"/>
    <w:rsid w:val="009448D7"/>
    <w:rsid w:val="00944E6D"/>
    <w:rsid w:val="00945004"/>
    <w:rsid w:val="00945FA3"/>
    <w:rsid w:val="00946212"/>
    <w:rsid w:val="0094715E"/>
    <w:rsid w:val="009471CF"/>
    <w:rsid w:val="0094758F"/>
    <w:rsid w:val="00947B5A"/>
    <w:rsid w:val="0095003D"/>
    <w:rsid w:val="009500E4"/>
    <w:rsid w:val="00950556"/>
    <w:rsid w:val="00950828"/>
    <w:rsid w:val="00951458"/>
    <w:rsid w:val="009517A5"/>
    <w:rsid w:val="0095189F"/>
    <w:rsid w:val="00951A10"/>
    <w:rsid w:val="00951DC0"/>
    <w:rsid w:val="0095258C"/>
    <w:rsid w:val="00952C44"/>
    <w:rsid w:val="00953C96"/>
    <w:rsid w:val="0095412E"/>
    <w:rsid w:val="00954383"/>
    <w:rsid w:val="00954627"/>
    <w:rsid w:val="00954702"/>
    <w:rsid w:val="00954F27"/>
    <w:rsid w:val="00955021"/>
    <w:rsid w:val="00956C1B"/>
    <w:rsid w:val="0095719C"/>
    <w:rsid w:val="009573F8"/>
    <w:rsid w:val="00957817"/>
    <w:rsid w:val="00957A48"/>
    <w:rsid w:val="00957F85"/>
    <w:rsid w:val="00957FC8"/>
    <w:rsid w:val="00960CE1"/>
    <w:rsid w:val="009613B1"/>
    <w:rsid w:val="0096199F"/>
    <w:rsid w:val="00961D54"/>
    <w:rsid w:val="009626ED"/>
    <w:rsid w:val="00962BD7"/>
    <w:rsid w:val="00962D77"/>
    <w:rsid w:val="00963467"/>
    <w:rsid w:val="009639EA"/>
    <w:rsid w:val="00963B2D"/>
    <w:rsid w:val="00964328"/>
    <w:rsid w:val="009644F6"/>
    <w:rsid w:val="009648F3"/>
    <w:rsid w:val="00965B8C"/>
    <w:rsid w:val="009674C5"/>
    <w:rsid w:val="00967B22"/>
    <w:rsid w:val="00967B4C"/>
    <w:rsid w:val="00970E86"/>
    <w:rsid w:val="00971156"/>
    <w:rsid w:val="00971FD6"/>
    <w:rsid w:val="00972E99"/>
    <w:rsid w:val="00973172"/>
    <w:rsid w:val="009735B1"/>
    <w:rsid w:val="0097461F"/>
    <w:rsid w:val="009747A1"/>
    <w:rsid w:val="00974DDE"/>
    <w:rsid w:val="00975056"/>
    <w:rsid w:val="0097693B"/>
    <w:rsid w:val="00976D2D"/>
    <w:rsid w:val="009776DC"/>
    <w:rsid w:val="00977A6D"/>
    <w:rsid w:val="009801FC"/>
    <w:rsid w:val="009805D7"/>
    <w:rsid w:val="00980B59"/>
    <w:rsid w:val="00980F11"/>
    <w:rsid w:val="0098123D"/>
    <w:rsid w:val="00981255"/>
    <w:rsid w:val="00982602"/>
    <w:rsid w:val="0098358A"/>
    <w:rsid w:val="0098394C"/>
    <w:rsid w:val="00984110"/>
    <w:rsid w:val="00984380"/>
    <w:rsid w:val="00984575"/>
    <w:rsid w:val="009848B8"/>
    <w:rsid w:val="009852B0"/>
    <w:rsid w:val="00985BB5"/>
    <w:rsid w:val="00985F8F"/>
    <w:rsid w:val="00986010"/>
    <w:rsid w:val="0098627B"/>
    <w:rsid w:val="00986B15"/>
    <w:rsid w:val="00987BC6"/>
    <w:rsid w:val="00987F06"/>
    <w:rsid w:val="00990249"/>
    <w:rsid w:val="0099140C"/>
    <w:rsid w:val="009914A7"/>
    <w:rsid w:val="00991830"/>
    <w:rsid w:val="00991A6E"/>
    <w:rsid w:val="00991AD5"/>
    <w:rsid w:val="00991EB1"/>
    <w:rsid w:val="009921BD"/>
    <w:rsid w:val="0099269E"/>
    <w:rsid w:val="009926BF"/>
    <w:rsid w:val="009929E8"/>
    <w:rsid w:val="009934D2"/>
    <w:rsid w:val="009938C4"/>
    <w:rsid w:val="00993D42"/>
    <w:rsid w:val="0099413B"/>
    <w:rsid w:val="00994296"/>
    <w:rsid w:val="00995028"/>
    <w:rsid w:val="0099566C"/>
    <w:rsid w:val="00995E63"/>
    <w:rsid w:val="00996503"/>
    <w:rsid w:val="009967DE"/>
    <w:rsid w:val="009970BF"/>
    <w:rsid w:val="009A05BD"/>
    <w:rsid w:val="009A05C1"/>
    <w:rsid w:val="009A12FE"/>
    <w:rsid w:val="009A177D"/>
    <w:rsid w:val="009A19DA"/>
    <w:rsid w:val="009A2D65"/>
    <w:rsid w:val="009A3234"/>
    <w:rsid w:val="009A3655"/>
    <w:rsid w:val="009A3731"/>
    <w:rsid w:val="009A425F"/>
    <w:rsid w:val="009A43F1"/>
    <w:rsid w:val="009A4CB7"/>
    <w:rsid w:val="009A4FDD"/>
    <w:rsid w:val="009A5594"/>
    <w:rsid w:val="009A5857"/>
    <w:rsid w:val="009A5B4F"/>
    <w:rsid w:val="009A5FA0"/>
    <w:rsid w:val="009A6D55"/>
    <w:rsid w:val="009A6E8F"/>
    <w:rsid w:val="009A6F9B"/>
    <w:rsid w:val="009A7074"/>
    <w:rsid w:val="009A71BE"/>
    <w:rsid w:val="009A733C"/>
    <w:rsid w:val="009A7AA9"/>
    <w:rsid w:val="009B011B"/>
    <w:rsid w:val="009B075E"/>
    <w:rsid w:val="009B0AAB"/>
    <w:rsid w:val="009B1079"/>
    <w:rsid w:val="009B12F1"/>
    <w:rsid w:val="009B1313"/>
    <w:rsid w:val="009B1D08"/>
    <w:rsid w:val="009B1D79"/>
    <w:rsid w:val="009B2072"/>
    <w:rsid w:val="009B2DF0"/>
    <w:rsid w:val="009B2F12"/>
    <w:rsid w:val="009B3948"/>
    <w:rsid w:val="009B4E03"/>
    <w:rsid w:val="009B5175"/>
    <w:rsid w:val="009B52AF"/>
    <w:rsid w:val="009B52D6"/>
    <w:rsid w:val="009B6CBC"/>
    <w:rsid w:val="009B6D4A"/>
    <w:rsid w:val="009B70AD"/>
    <w:rsid w:val="009B73DC"/>
    <w:rsid w:val="009B7DCC"/>
    <w:rsid w:val="009B7F96"/>
    <w:rsid w:val="009C0122"/>
    <w:rsid w:val="009C1087"/>
    <w:rsid w:val="009C18D2"/>
    <w:rsid w:val="009C244C"/>
    <w:rsid w:val="009C2DAA"/>
    <w:rsid w:val="009C3433"/>
    <w:rsid w:val="009C3A15"/>
    <w:rsid w:val="009C3DE2"/>
    <w:rsid w:val="009C3EBD"/>
    <w:rsid w:val="009C420B"/>
    <w:rsid w:val="009C4A78"/>
    <w:rsid w:val="009C4B21"/>
    <w:rsid w:val="009C57E8"/>
    <w:rsid w:val="009C5947"/>
    <w:rsid w:val="009C5B44"/>
    <w:rsid w:val="009C6134"/>
    <w:rsid w:val="009C652D"/>
    <w:rsid w:val="009C6701"/>
    <w:rsid w:val="009C6926"/>
    <w:rsid w:val="009C6A40"/>
    <w:rsid w:val="009C6C3E"/>
    <w:rsid w:val="009C7295"/>
    <w:rsid w:val="009C78B9"/>
    <w:rsid w:val="009D01BE"/>
    <w:rsid w:val="009D01D7"/>
    <w:rsid w:val="009D0603"/>
    <w:rsid w:val="009D1E13"/>
    <w:rsid w:val="009D1FAC"/>
    <w:rsid w:val="009D2046"/>
    <w:rsid w:val="009D2399"/>
    <w:rsid w:val="009D31C7"/>
    <w:rsid w:val="009D395A"/>
    <w:rsid w:val="009D3B7E"/>
    <w:rsid w:val="009D3FA2"/>
    <w:rsid w:val="009D4044"/>
    <w:rsid w:val="009D4A35"/>
    <w:rsid w:val="009D5706"/>
    <w:rsid w:val="009D5A61"/>
    <w:rsid w:val="009D5B97"/>
    <w:rsid w:val="009D5BE2"/>
    <w:rsid w:val="009D6DDB"/>
    <w:rsid w:val="009D7065"/>
    <w:rsid w:val="009D7874"/>
    <w:rsid w:val="009D78B4"/>
    <w:rsid w:val="009E028C"/>
    <w:rsid w:val="009E06B4"/>
    <w:rsid w:val="009E08E4"/>
    <w:rsid w:val="009E132F"/>
    <w:rsid w:val="009E1773"/>
    <w:rsid w:val="009E199D"/>
    <w:rsid w:val="009E1A38"/>
    <w:rsid w:val="009E244F"/>
    <w:rsid w:val="009E2E2D"/>
    <w:rsid w:val="009E36BD"/>
    <w:rsid w:val="009E3B9D"/>
    <w:rsid w:val="009E3D15"/>
    <w:rsid w:val="009E3D6E"/>
    <w:rsid w:val="009E40DA"/>
    <w:rsid w:val="009E4159"/>
    <w:rsid w:val="009E46A8"/>
    <w:rsid w:val="009E4867"/>
    <w:rsid w:val="009E5227"/>
    <w:rsid w:val="009E57CE"/>
    <w:rsid w:val="009E5C5B"/>
    <w:rsid w:val="009E677A"/>
    <w:rsid w:val="009E7661"/>
    <w:rsid w:val="009E781A"/>
    <w:rsid w:val="009E7E98"/>
    <w:rsid w:val="009F02F7"/>
    <w:rsid w:val="009F08F1"/>
    <w:rsid w:val="009F099B"/>
    <w:rsid w:val="009F115A"/>
    <w:rsid w:val="009F176A"/>
    <w:rsid w:val="009F21F6"/>
    <w:rsid w:val="009F2D7A"/>
    <w:rsid w:val="009F2DEE"/>
    <w:rsid w:val="009F311E"/>
    <w:rsid w:val="009F335A"/>
    <w:rsid w:val="009F370A"/>
    <w:rsid w:val="009F3774"/>
    <w:rsid w:val="009F3D3D"/>
    <w:rsid w:val="009F4B68"/>
    <w:rsid w:val="009F5263"/>
    <w:rsid w:val="009F5431"/>
    <w:rsid w:val="009F5B93"/>
    <w:rsid w:val="009F5D23"/>
    <w:rsid w:val="009F5F6F"/>
    <w:rsid w:val="009F66D8"/>
    <w:rsid w:val="009F6AB1"/>
    <w:rsid w:val="009F7411"/>
    <w:rsid w:val="009F795D"/>
    <w:rsid w:val="009F79F8"/>
    <w:rsid w:val="00A000B3"/>
    <w:rsid w:val="00A00492"/>
    <w:rsid w:val="00A0054E"/>
    <w:rsid w:val="00A00B1F"/>
    <w:rsid w:val="00A00E11"/>
    <w:rsid w:val="00A00FB5"/>
    <w:rsid w:val="00A01213"/>
    <w:rsid w:val="00A014B0"/>
    <w:rsid w:val="00A01F01"/>
    <w:rsid w:val="00A022FB"/>
    <w:rsid w:val="00A023FD"/>
    <w:rsid w:val="00A0246E"/>
    <w:rsid w:val="00A02A09"/>
    <w:rsid w:val="00A02E39"/>
    <w:rsid w:val="00A0302C"/>
    <w:rsid w:val="00A032E9"/>
    <w:rsid w:val="00A03EF1"/>
    <w:rsid w:val="00A04D8C"/>
    <w:rsid w:val="00A0555D"/>
    <w:rsid w:val="00A05A8D"/>
    <w:rsid w:val="00A05A9C"/>
    <w:rsid w:val="00A05ABF"/>
    <w:rsid w:val="00A066B3"/>
    <w:rsid w:val="00A06A2C"/>
    <w:rsid w:val="00A06BEC"/>
    <w:rsid w:val="00A07183"/>
    <w:rsid w:val="00A077E3"/>
    <w:rsid w:val="00A07D37"/>
    <w:rsid w:val="00A10A0F"/>
    <w:rsid w:val="00A10BEA"/>
    <w:rsid w:val="00A110C4"/>
    <w:rsid w:val="00A11A9B"/>
    <w:rsid w:val="00A11AD6"/>
    <w:rsid w:val="00A11E56"/>
    <w:rsid w:val="00A11ECD"/>
    <w:rsid w:val="00A11EFD"/>
    <w:rsid w:val="00A12311"/>
    <w:rsid w:val="00A12E71"/>
    <w:rsid w:val="00A135D9"/>
    <w:rsid w:val="00A1377D"/>
    <w:rsid w:val="00A13AE4"/>
    <w:rsid w:val="00A14D65"/>
    <w:rsid w:val="00A14F24"/>
    <w:rsid w:val="00A1506F"/>
    <w:rsid w:val="00A158A3"/>
    <w:rsid w:val="00A158A7"/>
    <w:rsid w:val="00A15B24"/>
    <w:rsid w:val="00A15BAF"/>
    <w:rsid w:val="00A15C79"/>
    <w:rsid w:val="00A15FC1"/>
    <w:rsid w:val="00A16316"/>
    <w:rsid w:val="00A16851"/>
    <w:rsid w:val="00A1694E"/>
    <w:rsid w:val="00A16ABE"/>
    <w:rsid w:val="00A16CDA"/>
    <w:rsid w:val="00A1742C"/>
    <w:rsid w:val="00A174FF"/>
    <w:rsid w:val="00A17A30"/>
    <w:rsid w:val="00A17CB0"/>
    <w:rsid w:val="00A20790"/>
    <w:rsid w:val="00A20892"/>
    <w:rsid w:val="00A20D15"/>
    <w:rsid w:val="00A216C4"/>
    <w:rsid w:val="00A21826"/>
    <w:rsid w:val="00A225F8"/>
    <w:rsid w:val="00A22D83"/>
    <w:rsid w:val="00A24750"/>
    <w:rsid w:val="00A24790"/>
    <w:rsid w:val="00A24A9D"/>
    <w:rsid w:val="00A2532C"/>
    <w:rsid w:val="00A258C7"/>
    <w:rsid w:val="00A25AB2"/>
    <w:rsid w:val="00A263EA"/>
    <w:rsid w:val="00A26CA6"/>
    <w:rsid w:val="00A27113"/>
    <w:rsid w:val="00A27383"/>
    <w:rsid w:val="00A277E4"/>
    <w:rsid w:val="00A27D2D"/>
    <w:rsid w:val="00A305AA"/>
    <w:rsid w:val="00A31511"/>
    <w:rsid w:val="00A318A7"/>
    <w:rsid w:val="00A31D1F"/>
    <w:rsid w:val="00A31E6F"/>
    <w:rsid w:val="00A32593"/>
    <w:rsid w:val="00A329EC"/>
    <w:rsid w:val="00A32C4C"/>
    <w:rsid w:val="00A33FDC"/>
    <w:rsid w:val="00A34B92"/>
    <w:rsid w:val="00A34EF9"/>
    <w:rsid w:val="00A35E1C"/>
    <w:rsid w:val="00A37083"/>
    <w:rsid w:val="00A375FE"/>
    <w:rsid w:val="00A37C4B"/>
    <w:rsid w:val="00A37FFA"/>
    <w:rsid w:val="00A40011"/>
    <w:rsid w:val="00A40A1B"/>
    <w:rsid w:val="00A41DD2"/>
    <w:rsid w:val="00A4241F"/>
    <w:rsid w:val="00A42B64"/>
    <w:rsid w:val="00A42C0C"/>
    <w:rsid w:val="00A43630"/>
    <w:rsid w:val="00A439B7"/>
    <w:rsid w:val="00A43F66"/>
    <w:rsid w:val="00A447C1"/>
    <w:rsid w:val="00A447D3"/>
    <w:rsid w:val="00A45316"/>
    <w:rsid w:val="00A45CC1"/>
    <w:rsid w:val="00A45D02"/>
    <w:rsid w:val="00A464C1"/>
    <w:rsid w:val="00A464E7"/>
    <w:rsid w:val="00A47352"/>
    <w:rsid w:val="00A47497"/>
    <w:rsid w:val="00A4798B"/>
    <w:rsid w:val="00A50050"/>
    <w:rsid w:val="00A50DEE"/>
    <w:rsid w:val="00A510A1"/>
    <w:rsid w:val="00A51520"/>
    <w:rsid w:val="00A517F7"/>
    <w:rsid w:val="00A51898"/>
    <w:rsid w:val="00A51B30"/>
    <w:rsid w:val="00A51D3A"/>
    <w:rsid w:val="00A537E0"/>
    <w:rsid w:val="00A53839"/>
    <w:rsid w:val="00A53AFE"/>
    <w:rsid w:val="00A53E7C"/>
    <w:rsid w:val="00A54049"/>
    <w:rsid w:val="00A54185"/>
    <w:rsid w:val="00A54935"/>
    <w:rsid w:val="00A55992"/>
    <w:rsid w:val="00A56616"/>
    <w:rsid w:val="00A569D8"/>
    <w:rsid w:val="00A57081"/>
    <w:rsid w:val="00A570FC"/>
    <w:rsid w:val="00A60C14"/>
    <w:rsid w:val="00A617FD"/>
    <w:rsid w:val="00A63295"/>
    <w:rsid w:val="00A63948"/>
    <w:rsid w:val="00A639AA"/>
    <w:rsid w:val="00A63A56"/>
    <w:rsid w:val="00A6400C"/>
    <w:rsid w:val="00A64703"/>
    <w:rsid w:val="00A65152"/>
    <w:rsid w:val="00A651A1"/>
    <w:rsid w:val="00A65B80"/>
    <w:rsid w:val="00A65EF0"/>
    <w:rsid w:val="00A65F08"/>
    <w:rsid w:val="00A662A0"/>
    <w:rsid w:val="00A66E6B"/>
    <w:rsid w:val="00A67016"/>
    <w:rsid w:val="00A6709C"/>
    <w:rsid w:val="00A67204"/>
    <w:rsid w:val="00A672BA"/>
    <w:rsid w:val="00A676EA"/>
    <w:rsid w:val="00A67943"/>
    <w:rsid w:val="00A67C74"/>
    <w:rsid w:val="00A7018F"/>
    <w:rsid w:val="00A70403"/>
    <w:rsid w:val="00A70555"/>
    <w:rsid w:val="00A70F47"/>
    <w:rsid w:val="00A71307"/>
    <w:rsid w:val="00A71CB8"/>
    <w:rsid w:val="00A720BC"/>
    <w:rsid w:val="00A721DB"/>
    <w:rsid w:val="00A7233E"/>
    <w:rsid w:val="00A723EF"/>
    <w:rsid w:val="00A726BF"/>
    <w:rsid w:val="00A72CBA"/>
    <w:rsid w:val="00A72E19"/>
    <w:rsid w:val="00A73057"/>
    <w:rsid w:val="00A73102"/>
    <w:rsid w:val="00A733C9"/>
    <w:rsid w:val="00A73401"/>
    <w:rsid w:val="00A7359A"/>
    <w:rsid w:val="00A73C3F"/>
    <w:rsid w:val="00A74304"/>
    <w:rsid w:val="00A7488D"/>
    <w:rsid w:val="00A74EA8"/>
    <w:rsid w:val="00A75007"/>
    <w:rsid w:val="00A752FB"/>
    <w:rsid w:val="00A756FC"/>
    <w:rsid w:val="00A76018"/>
    <w:rsid w:val="00A7623E"/>
    <w:rsid w:val="00A7633F"/>
    <w:rsid w:val="00A770E6"/>
    <w:rsid w:val="00A7746C"/>
    <w:rsid w:val="00A7755C"/>
    <w:rsid w:val="00A80247"/>
    <w:rsid w:val="00A80931"/>
    <w:rsid w:val="00A81756"/>
    <w:rsid w:val="00A81C88"/>
    <w:rsid w:val="00A82FB7"/>
    <w:rsid w:val="00A83032"/>
    <w:rsid w:val="00A83135"/>
    <w:rsid w:val="00A83472"/>
    <w:rsid w:val="00A8360A"/>
    <w:rsid w:val="00A83818"/>
    <w:rsid w:val="00A83BDD"/>
    <w:rsid w:val="00A83FA6"/>
    <w:rsid w:val="00A842C4"/>
    <w:rsid w:val="00A84E0F"/>
    <w:rsid w:val="00A84E80"/>
    <w:rsid w:val="00A84ED3"/>
    <w:rsid w:val="00A85303"/>
    <w:rsid w:val="00A85576"/>
    <w:rsid w:val="00A855CF"/>
    <w:rsid w:val="00A858D1"/>
    <w:rsid w:val="00A85A89"/>
    <w:rsid w:val="00A85F6C"/>
    <w:rsid w:val="00A8604F"/>
    <w:rsid w:val="00A8608A"/>
    <w:rsid w:val="00A869E6"/>
    <w:rsid w:val="00A870E3"/>
    <w:rsid w:val="00A87209"/>
    <w:rsid w:val="00A875F6"/>
    <w:rsid w:val="00A877EF"/>
    <w:rsid w:val="00A87C93"/>
    <w:rsid w:val="00A900EA"/>
    <w:rsid w:val="00A9012C"/>
    <w:rsid w:val="00A90ADB"/>
    <w:rsid w:val="00A90EE5"/>
    <w:rsid w:val="00A912F0"/>
    <w:rsid w:val="00A91528"/>
    <w:rsid w:val="00A91B0E"/>
    <w:rsid w:val="00A91D93"/>
    <w:rsid w:val="00A91DAD"/>
    <w:rsid w:val="00A91DB6"/>
    <w:rsid w:val="00A92016"/>
    <w:rsid w:val="00A923D3"/>
    <w:rsid w:val="00A932D0"/>
    <w:rsid w:val="00A9337A"/>
    <w:rsid w:val="00A93800"/>
    <w:rsid w:val="00A93AFB"/>
    <w:rsid w:val="00A93EB6"/>
    <w:rsid w:val="00A942D2"/>
    <w:rsid w:val="00A94582"/>
    <w:rsid w:val="00A94775"/>
    <w:rsid w:val="00A947D1"/>
    <w:rsid w:val="00A94CD7"/>
    <w:rsid w:val="00A951D4"/>
    <w:rsid w:val="00A96029"/>
    <w:rsid w:val="00A96099"/>
    <w:rsid w:val="00A96134"/>
    <w:rsid w:val="00A963E8"/>
    <w:rsid w:val="00A9651B"/>
    <w:rsid w:val="00A9667F"/>
    <w:rsid w:val="00A96E6C"/>
    <w:rsid w:val="00A96EA1"/>
    <w:rsid w:val="00A97080"/>
    <w:rsid w:val="00A97908"/>
    <w:rsid w:val="00A97A93"/>
    <w:rsid w:val="00AA01FC"/>
    <w:rsid w:val="00AA100F"/>
    <w:rsid w:val="00AA147B"/>
    <w:rsid w:val="00AA29A0"/>
    <w:rsid w:val="00AA2E2F"/>
    <w:rsid w:val="00AA3139"/>
    <w:rsid w:val="00AA33DD"/>
    <w:rsid w:val="00AA3564"/>
    <w:rsid w:val="00AA3950"/>
    <w:rsid w:val="00AA3963"/>
    <w:rsid w:val="00AA3F70"/>
    <w:rsid w:val="00AA42BE"/>
    <w:rsid w:val="00AA5D21"/>
    <w:rsid w:val="00AA6647"/>
    <w:rsid w:val="00AA6AD9"/>
    <w:rsid w:val="00AB04A6"/>
    <w:rsid w:val="00AB06E2"/>
    <w:rsid w:val="00AB08E9"/>
    <w:rsid w:val="00AB0D12"/>
    <w:rsid w:val="00AB11A7"/>
    <w:rsid w:val="00AB13D9"/>
    <w:rsid w:val="00AB1CF4"/>
    <w:rsid w:val="00AB1E67"/>
    <w:rsid w:val="00AB2401"/>
    <w:rsid w:val="00AB27D8"/>
    <w:rsid w:val="00AB2A91"/>
    <w:rsid w:val="00AB2F38"/>
    <w:rsid w:val="00AB3315"/>
    <w:rsid w:val="00AB3795"/>
    <w:rsid w:val="00AB3F76"/>
    <w:rsid w:val="00AB3F83"/>
    <w:rsid w:val="00AB40C6"/>
    <w:rsid w:val="00AB4900"/>
    <w:rsid w:val="00AB4D16"/>
    <w:rsid w:val="00AB5797"/>
    <w:rsid w:val="00AB68D3"/>
    <w:rsid w:val="00AB6AD4"/>
    <w:rsid w:val="00AB6B67"/>
    <w:rsid w:val="00AB74D8"/>
    <w:rsid w:val="00AB760F"/>
    <w:rsid w:val="00AB7646"/>
    <w:rsid w:val="00AB7CFF"/>
    <w:rsid w:val="00AC05EA"/>
    <w:rsid w:val="00AC0D6A"/>
    <w:rsid w:val="00AC0E85"/>
    <w:rsid w:val="00AC0FD0"/>
    <w:rsid w:val="00AC1300"/>
    <w:rsid w:val="00AC2179"/>
    <w:rsid w:val="00AC23A1"/>
    <w:rsid w:val="00AC2842"/>
    <w:rsid w:val="00AC2D4B"/>
    <w:rsid w:val="00AC3933"/>
    <w:rsid w:val="00AC3BF3"/>
    <w:rsid w:val="00AC3F54"/>
    <w:rsid w:val="00AC4410"/>
    <w:rsid w:val="00AC448A"/>
    <w:rsid w:val="00AC4581"/>
    <w:rsid w:val="00AC4811"/>
    <w:rsid w:val="00AC5759"/>
    <w:rsid w:val="00AC5F58"/>
    <w:rsid w:val="00AC5FBA"/>
    <w:rsid w:val="00AC6012"/>
    <w:rsid w:val="00AC632B"/>
    <w:rsid w:val="00AC6B31"/>
    <w:rsid w:val="00AC6C1A"/>
    <w:rsid w:val="00AC6DAE"/>
    <w:rsid w:val="00AC73FB"/>
    <w:rsid w:val="00AC7915"/>
    <w:rsid w:val="00AD01FA"/>
    <w:rsid w:val="00AD05CD"/>
    <w:rsid w:val="00AD06B1"/>
    <w:rsid w:val="00AD0895"/>
    <w:rsid w:val="00AD0B11"/>
    <w:rsid w:val="00AD1654"/>
    <w:rsid w:val="00AD1BCF"/>
    <w:rsid w:val="00AD1CDF"/>
    <w:rsid w:val="00AD287A"/>
    <w:rsid w:val="00AD2A88"/>
    <w:rsid w:val="00AD3232"/>
    <w:rsid w:val="00AD34E3"/>
    <w:rsid w:val="00AD38A5"/>
    <w:rsid w:val="00AD4771"/>
    <w:rsid w:val="00AD4805"/>
    <w:rsid w:val="00AD4D44"/>
    <w:rsid w:val="00AD57B8"/>
    <w:rsid w:val="00AD5CC0"/>
    <w:rsid w:val="00AD5E01"/>
    <w:rsid w:val="00AD602F"/>
    <w:rsid w:val="00AD7052"/>
    <w:rsid w:val="00AD7494"/>
    <w:rsid w:val="00AD75CC"/>
    <w:rsid w:val="00AD7AB7"/>
    <w:rsid w:val="00AE077E"/>
    <w:rsid w:val="00AE0A8A"/>
    <w:rsid w:val="00AE0FEC"/>
    <w:rsid w:val="00AE165D"/>
    <w:rsid w:val="00AE2A59"/>
    <w:rsid w:val="00AE2F26"/>
    <w:rsid w:val="00AE32DD"/>
    <w:rsid w:val="00AE33AC"/>
    <w:rsid w:val="00AE3EBC"/>
    <w:rsid w:val="00AE40EE"/>
    <w:rsid w:val="00AE4291"/>
    <w:rsid w:val="00AE4408"/>
    <w:rsid w:val="00AE44DE"/>
    <w:rsid w:val="00AE46B1"/>
    <w:rsid w:val="00AE4E08"/>
    <w:rsid w:val="00AE559D"/>
    <w:rsid w:val="00AE5E64"/>
    <w:rsid w:val="00AE6F2F"/>
    <w:rsid w:val="00AE6FD9"/>
    <w:rsid w:val="00AE7127"/>
    <w:rsid w:val="00AE718E"/>
    <w:rsid w:val="00AE7A7D"/>
    <w:rsid w:val="00AE7A83"/>
    <w:rsid w:val="00AE7EC0"/>
    <w:rsid w:val="00AF068B"/>
    <w:rsid w:val="00AF06B8"/>
    <w:rsid w:val="00AF0AC4"/>
    <w:rsid w:val="00AF16F1"/>
    <w:rsid w:val="00AF176E"/>
    <w:rsid w:val="00AF2017"/>
    <w:rsid w:val="00AF310A"/>
    <w:rsid w:val="00AF3CBA"/>
    <w:rsid w:val="00AF3DAB"/>
    <w:rsid w:val="00AF400B"/>
    <w:rsid w:val="00AF4631"/>
    <w:rsid w:val="00AF4949"/>
    <w:rsid w:val="00AF4D45"/>
    <w:rsid w:val="00AF4F99"/>
    <w:rsid w:val="00AF5012"/>
    <w:rsid w:val="00AF53AA"/>
    <w:rsid w:val="00AF5B46"/>
    <w:rsid w:val="00AF5F7B"/>
    <w:rsid w:val="00AF640D"/>
    <w:rsid w:val="00AF676D"/>
    <w:rsid w:val="00AF6ABE"/>
    <w:rsid w:val="00AF6DAB"/>
    <w:rsid w:val="00AF6EA3"/>
    <w:rsid w:val="00AF6FAD"/>
    <w:rsid w:val="00AF70BD"/>
    <w:rsid w:val="00AF7468"/>
    <w:rsid w:val="00AF7FCA"/>
    <w:rsid w:val="00B00586"/>
    <w:rsid w:val="00B0080A"/>
    <w:rsid w:val="00B00CFF"/>
    <w:rsid w:val="00B01390"/>
    <w:rsid w:val="00B01457"/>
    <w:rsid w:val="00B01611"/>
    <w:rsid w:val="00B01B95"/>
    <w:rsid w:val="00B01C16"/>
    <w:rsid w:val="00B01E6F"/>
    <w:rsid w:val="00B02575"/>
    <w:rsid w:val="00B02932"/>
    <w:rsid w:val="00B02AE1"/>
    <w:rsid w:val="00B02F34"/>
    <w:rsid w:val="00B032CC"/>
    <w:rsid w:val="00B039FA"/>
    <w:rsid w:val="00B0422C"/>
    <w:rsid w:val="00B04D7A"/>
    <w:rsid w:val="00B05D1F"/>
    <w:rsid w:val="00B069E0"/>
    <w:rsid w:val="00B06CC8"/>
    <w:rsid w:val="00B07373"/>
    <w:rsid w:val="00B07F50"/>
    <w:rsid w:val="00B10B68"/>
    <w:rsid w:val="00B11F22"/>
    <w:rsid w:val="00B12A26"/>
    <w:rsid w:val="00B12FFF"/>
    <w:rsid w:val="00B13715"/>
    <w:rsid w:val="00B138D7"/>
    <w:rsid w:val="00B141B8"/>
    <w:rsid w:val="00B141EB"/>
    <w:rsid w:val="00B150AE"/>
    <w:rsid w:val="00B15175"/>
    <w:rsid w:val="00B1562B"/>
    <w:rsid w:val="00B15653"/>
    <w:rsid w:val="00B15B89"/>
    <w:rsid w:val="00B2070A"/>
    <w:rsid w:val="00B207B8"/>
    <w:rsid w:val="00B20DCF"/>
    <w:rsid w:val="00B225CC"/>
    <w:rsid w:val="00B23880"/>
    <w:rsid w:val="00B23883"/>
    <w:rsid w:val="00B23B63"/>
    <w:rsid w:val="00B23B95"/>
    <w:rsid w:val="00B246CF"/>
    <w:rsid w:val="00B246E5"/>
    <w:rsid w:val="00B25032"/>
    <w:rsid w:val="00B255C0"/>
    <w:rsid w:val="00B2613F"/>
    <w:rsid w:val="00B269DF"/>
    <w:rsid w:val="00B27757"/>
    <w:rsid w:val="00B27B1A"/>
    <w:rsid w:val="00B27C71"/>
    <w:rsid w:val="00B27DB2"/>
    <w:rsid w:val="00B303D6"/>
    <w:rsid w:val="00B312E0"/>
    <w:rsid w:val="00B31E21"/>
    <w:rsid w:val="00B31FEF"/>
    <w:rsid w:val="00B322B5"/>
    <w:rsid w:val="00B32846"/>
    <w:rsid w:val="00B337A6"/>
    <w:rsid w:val="00B34747"/>
    <w:rsid w:val="00B34CC7"/>
    <w:rsid w:val="00B3532B"/>
    <w:rsid w:val="00B357E2"/>
    <w:rsid w:val="00B35D2D"/>
    <w:rsid w:val="00B35D30"/>
    <w:rsid w:val="00B36DA7"/>
    <w:rsid w:val="00B370C9"/>
    <w:rsid w:val="00B37247"/>
    <w:rsid w:val="00B37483"/>
    <w:rsid w:val="00B379BD"/>
    <w:rsid w:val="00B37A75"/>
    <w:rsid w:val="00B37B25"/>
    <w:rsid w:val="00B40206"/>
    <w:rsid w:val="00B40710"/>
    <w:rsid w:val="00B40879"/>
    <w:rsid w:val="00B4093F"/>
    <w:rsid w:val="00B40EEE"/>
    <w:rsid w:val="00B4181E"/>
    <w:rsid w:val="00B41F07"/>
    <w:rsid w:val="00B42238"/>
    <w:rsid w:val="00B42638"/>
    <w:rsid w:val="00B428D2"/>
    <w:rsid w:val="00B42C05"/>
    <w:rsid w:val="00B431B0"/>
    <w:rsid w:val="00B4320A"/>
    <w:rsid w:val="00B43408"/>
    <w:rsid w:val="00B43BD7"/>
    <w:rsid w:val="00B445A7"/>
    <w:rsid w:val="00B45265"/>
    <w:rsid w:val="00B455F0"/>
    <w:rsid w:val="00B45C63"/>
    <w:rsid w:val="00B468D4"/>
    <w:rsid w:val="00B46BA7"/>
    <w:rsid w:val="00B47107"/>
    <w:rsid w:val="00B476E6"/>
    <w:rsid w:val="00B479B0"/>
    <w:rsid w:val="00B506CA"/>
    <w:rsid w:val="00B5097F"/>
    <w:rsid w:val="00B50A0E"/>
    <w:rsid w:val="00B5114E"/>
    <w:rsid w:val="00B514F1"/>
    <w:rsid w:val="00B518A1"/>
    <w:rsid w:val="00B51BBA"/>
    <w:rsid w:val="00B5230E"/>
    <w:rsid w:val="00B52997"/>
    <w:rsid w:val="00B52DA8"/>
    <w:rsid w:val="00B534E0"/>
    <w:rsid w:val="00B538D3"/>
    <w:rsid w:val="00B541E7"/>
    <w:rsid w:val="00B548CD"/>
    <w:rsid w:val="00B550B8"/>
    <w:rsid w:val="00B553BF"/>
    <w:rsid w:val="00B55BB8"/>
    <w:rsid w:val="00B55DBC"/>
    <w:rsid w:val="00B560D5"/>
    <w:rsid w:val="00B5610F"/>
    <w:rsid w:val="00B5645E"/>
    <w:rsid w:val="00B568B4"/>
    <w:rsid w:val="00B573CB"/>
    <w:rsid w:val="00B57930"/>
    <w:rsid w:val="00B600D1"/>
    <w:rsid w:val="00B605B1"/>
    <w:rsid w:val="00B60AC5"/>
    <w:rsid w:val="00B610BD"/>
    <w:rsid w:val="00B618D9"/>
    <w:rsid w:val="00B6223C"/>
    <w:rsid w:val="00B6237C"/>
    <w:rsid w:val="00B630C4"/>
    <w:rsid w:val="00B6355A"/>
    <w:rsid w:val="00B639BA"/>
    <w:rsid w:val="00B64578"/>
    <w:rsid w:val="00B64880"/>
    <w:rsid w:val="00B6489A"/>
    <w:rsid w:val="00B64C00"/>
    <w:rsid w:val="00B650F7"/>
    <w:rsid w:val="00B65818"/>
    <w:rsid w:val="00B661D5"/>
    <w:rsid w:val="00B66BAB"/>
    <w:rsid w:val="00B670FC"/>
    <w:rsid w:val="00B671C2"/>
    <w:rsid w:val="00B67349"/>
    <w:rsid w:val="00B6743B"/>
    <w:rsid w:val="00B676A2"/>
    <w:rsid w:val="00B67B46"/>
    <w:rsid w:val="00B67D34"/>
    <w:rsid w:val="00B7020A"/>
    <w:rsid w:val="00B71CEC"/>
    <w:rsid w:val="00B71E44"/>
    <w:rsid w:val="00B71F7E"/>
    <w:rsid w:val="00B71FE7"/>
    <w:rsid w:val="00B7206C"/>
    <w:rsid w:val="00B7256B"/>
    <w:rsid w:val="00B72722"/>
    <w:rsid w:val="00B73437"/>
    <w:rsid w:val="00B73C77"/>
    <w:rsid w:val="00B748B7"/>
    <w:rsid w:val="00B750C1"/>
    <w:rsid w:val="00B751C7"/>
    <w:rsid w:val="00B7545D"/>
    <w:rsid w:val="00B7634F"/>
    <w:rsid w:val="00B768AD"/>
    <w:rsid w:val="00B7795C"/>
    <w:rsid w:val="00B77C85"/>
    <w:rsid w:val="00B77EC6"/>
    <w:rsid w:val="00B77F79"/>
    <w:rsid w:val="00B80256"/>
    <w:rsid w:val="00B80425"/>
    <w:rsid w:val="00B810C6"/>
    <w:rsid w:val="00B815C5"/>
    <w:rsid w:val="00B81CEC"/>
    <w:rsid w:val="00B8261B"/>
    <w:rsid w:val="00B82F4E"/>
    <w:rsid w:val="00B8355D"/>
    <w:rsid w:val="00B83957"/>
    <w:rsid w:val="00B83E15"/>
    <w:rsid w:val="00B84788"/>
    <w:rsid w:val="00B855D8"/>
    <w:rsid w:val="00B86606"/>
    <w:rsid w:val="00B86EB6"/>
    <w:rsid w:val="00B86F66"/>
    <w:rsid w:val="00B874BC"/>
    <w:rsid w:val="00B876F7"/>
    <w:rsid w:val="00B87ACD"/>
    <w:rsid w:val="00B87B2B"/>
    <w:rsid w:val="00B901AB"/>
    <w:rsid w:val="00B90BA6"/>
    <w:rsid w:val="00B913FF"/>
    <w:rsid w:val="00B91507"/>
    <w:rsid w:val="00B91704"/>
    <w:rsid w:val="00B917FE"/>
    <w:rsid w:val="00B91E15"/>
    <w:rsid w:val="00B92038"/>
    <w:rsid w:val="00B92548"/>
    <w:rsid w:val="00B92EE6"/>
    <w:rsid w:val="00B9311C"/>
    <w:rsid w:val="00B93674"/>
    <w:rsid w:val="00B93854"/>
    <w:rsid w:val="00B939F0"/>
    <w:rsid w:val="00B93B4D"/>
    <w:rsid w:val="00B94BCD"/>
    <w:rsid w:val="00B94BE3"/>
    <w:rsid w:val="00B94CBB"/>
    <w:rsid w:val="00B9506E"/>
    <w:rsid w:val="00B96DB8"/>
    <w:rsid w:val="00B970BA"/>
    <w:rsid w:val="00B974D5"/>
    <w:rsid w:val="00B978FE"/>
    <w:rsid w:val="00B97CC7"/>
    <w:rsid w:val="00B97F1C"/>
    <w:rsid w:val="00BA01BE"/>
    <w:rsid w:val="00BA0A30"/>
    <w:rsid w:val="00BA0FA6"/>
    <w:rsid w:val="00BA14F6"/>
    <w:rsid w:val="00BA22B8"/>
    <w:rsid w:val="00BA25F1"/>
    <w:rsid w:val="00BA262F"/>
    <w:rsid w:val="00BA2758"/>
    <w:rsid w:val="00BA2BF4"/>
    <w:rsid w:val="00BA3C9D"/>
    <w:rsid w:val="00BA45AC"/>
    <w:rsid w:val="00BA4863"/>
    <w:rsid w:val="00BA4971"/>
    <w:rsid w:val="00BA59C8"/>
    <w:rsid w:val="00BA5E4A"/>
    <w:rsid w:val="00BA5F92"/>
    <w:rsid w:val="00BA6CE7"/>
    <w:rsid w:val="00BA6DF9"/>
    <w:rsid w:val="00BA6FCC"/>
    <w:rsid w:val="00BA75C4"/>
    <w:rsid w:val="00BA7D0A"/>
    <w:rsid w:val="00BA7D2F"/>
    <w:rsid w:val="00BB0C8C"/>
    <w:rsid w:val="00BB1DDB"/>
    <w:rsid w:val="00BB1E16"/>
    <w:rsid w:val="00BB2063"/>
    <w:rsid w:val="00BB2112"/>
    <w:rsid w:val="00BB2F53"/>
    <w:rsid w:val="00BB33FF"/>
    <w:rsid w:val="00BB3A85"/>
    <w:rsid w:val="00BB4859"/>
    <w:rsid w:val="00BB49DC"/>
    <w:rsid w:val="00BB4C0D"/>
    <w:rsid w:val="00BB51C2"/>
    <w:rsid w:val="00BB52D9"/>
    <w:rsid w:val="00BB557E"/>
    <w:rsid w:val="00BB55E4"/>
    <w:rsid w:val="00BB5C67"/>
    <w:rsid w:val="00BB5F8C"/>
    <w:rsid w:val="00BB6BDA"/>
    <w:rsid w:val="00BB71D2"/>
    <w:rsid w:val="00BB75F4"/>
    <w:rsid w:val="00BB7A9C"/>
    <w:rsid w:val="00BC032D"/>
    <w:rsid w:val="00BC08BE"/>
    <w:rsid w:val="00BC0A4E"/>
    <w:rsid w:val="00BC0AA1"/>
    <w:rsid w:val="00BC1528"/>
    <w:rsid w:val="00BC189D"/>
    <w:rsid w:val="00BC18D1"/>
    <w:rsid w:val="00BC1CF9"/>
    <w:rsid w:val="00BC229D"/>
    <w:rsid w:val="00BC2708"/>
    <w:rsid w:val="00BC2E95"/>
    <w:rsid w:val="00BC312C"/>
    <w:rsid w:val="00BC33AC"/>
    <w:rsid w:val="00BC3B55"/>
    <w:rsid w:val="00BC47ED"/>
    <w:rsid w:val="00BC48BD"/>
    <w:rsid w:val="00BC4AED"/>
    <w:rsid w:val="00BC50BA"/>
    <w:rsid w:val="00BC51B0"/>
    <w:rsid w:val="00BC5802"/>
    <w:rsid w:val="00BC61E6"/>
    <w:rsid w:val="00BC706A"/>
    <w:rsid w:val="00BC743A"/>
    <w:rsid w:val="00BC792C"/>
    <w:rsid w:val="00BD08A5"/>
    <w:rsid w:val="00BD1037"/>
    <w:rsid w:val="00BD144C"/>
    <w:rsid w:val="00BD1F6C"/>
    <w:rsid w:val="00BD2618"/>
    <w:rsid w:val="00BD486D"/>
    <w:rsid w:val="00BD5BC6"/>
    <w:rsid w:val="00BD63B2"/>
    <w:rsid w:val="00BD676F"/>
    <w:rsid w:val="00BD6910"/>
    <w:rsid w:val="00BD6F74"/>
    <w:rsid w:val="00BD71B5"/>
    <w:rsid w:val="00BD7D42"/>
    <w:rsid w:val="00BD7D56"/>
    <w:rsid w:val="00BE043D"/>
    <w:rsid w:val="00BE1323"/>
    <w:rsid w:val="00BE1963"/>
    <w:rsid w:val="00BE2128"/>
    <w:rsid w:val="00BE3999"/>
    <w:rsid w:val="00BE416C"/>
    <w:rsid w:val="00BE41D5"/>
    <w:rsid w:val="00BE4554"/>
    <w:rsid w:val="00BE4784"/>
    <w:rsid w:val="00BE4D5C"/>
    <w:rsid w:val="00BE4FC7"/>
    <w:rsid w:val="00BE5227"/>
    <w:rsid w:val="00BE5377"/>
    <w:rsid w:val="00BE54CE"/>
    <w:rsid w:val="00BE5D4E"/>
    <w:rsid w:val="00BE6AA9"/>
    <w:rsid w:val="00BE6F31"/>
    <w:rsid w:val="00BE6FD8"/>
    <w:rsid w:val="00BE74F1"/>
    <w:rsid w:val="00BE7541"/>
    <w:rsid w:val="00BE77AD"/>
    <w:rsid w:val="00BE7977"/>
    <w:rsid w:val="00BE7CAA"/>
    <w:rsid w:val="00BE7E6B"/>
    <w:rsid w:val="00BF02E9"/>
    <w:rsid w:val="00BF05D1"/>
    <w:rsid w:val="00BF0967"/>
    <w:rsid w:val="00BF09E2"/>
    <w:rsid w:val="00BF1142"/>
    <w:rsid w:val="00BF1670"/>
    <w:rsid w:val="00BF260E"/>
    <w:rsid w:val="00BF2C67"/>
    <w:rsid w:val="00BF40F9"/>
    <w:rsid w:val="00BF4270"/>
    <w:rsid w:val="00BF4B3F"/>
    <w:rsid w:val="00BF53B4"/>
    <w:rsid w:val="00BF53D5"/>
    <w:rsid w:val="00BF56AA"/>
    <w:rsid w:val="00BF59F8"/>
    <w:rsid w:val="00BF5A18"/>
    <w:rsid w:val="00BF5C8B"/>
    <w:rsid w:val="00BF64BE"/>
    <w:rsid w:val="00BF69CD"/>
    <w:rsid w:val="00BF6AB2"/>
    <w:rsid w:val="00BF7090"/>
    <w:rsid w:val="00BF7199"/>
    <w:rsid w:val="00BF798A"/>
    <w:rsid w:val="00BF79B2"/>
    <w:rsid w:val="00C00BF7"/>
    <w:rsid w:val="00C00DC4"/>
    <w:rsid w:val="00C00F27"/>
    <w:rsid w:val="00C011D6"/>
    <w:rsid w:val="00C017CD"/>
    <w:rsid w:val="00C01AEB"/>
    <w:rsid w:val="00C01C8D"/>
    <w:rsid w:val="00C02355"/>
    <w:rsid w:val="00C02E57"/>
    <w:rsid w:val="00C02F05"/>
    <w:rsid w:val="00C03997"/>
    <w:rsid w:val="00C043AC"/>
    <w:rsid w:val="00C0491B"/>
    <w:rsid w:val="00C04D39"/>
    <w:rsid w:val="00C04E7A"/>
    <w:rsid w:val="00C05345"/>
    <w:rsid w:val="00C0573D"/>
    <w:rsid w:val="00C05D8F"/>
    <w:rsid w:val="00C06106"/>
    <w:rsid w:val="00C06291"/>
    <w:rsid w:val="00C0689C"/>
    <w:rsid w:val="00C1037F"/>
    <w:rsid w:val="00C1088D"/>
    <w:rsid w:val="00C108BE"/>
    <w:rsid w:val="00C108F1"/>
    <w:rsid w:val="00C10EE6"/>
    <w:rsid w:val="00C112A2"/>
    <w:rsid w:val="00C116F9"/>
    <w:rsid w:val="00C11C44"/>
    <w:rsid w:val="00C1287F"/>
    <w:rsid w:val="00C12C44"/>
    <w:rsid w:val="00C12CF0"/>
    <w:rsid w:val="00C12FC0"/>
    <w:rsid w:val="00C13553"/>
    <w:rsid w:val="00C14119"/>
    <w:rsid w:val="00C141DB"/>
    <w:rsid w:val="00C14672"/>
    <w:rsid w:val="00C147CF"/>
    <w:rsid w:val="00C1505A"/>
    <w:rsid w:val="00C15912"/>
    <w:rsid w:val="00C16022"/>
    <w:rsid w:val="00C162F1"/>
    <w:rsid w:val="00C16F27"/>
    <w:rsid w:val="00C17252"/>
    <w:rsid w:val="00C17970"/>
    <w:rsid w:val="00C17C0B"/>
    <w:rsid w:val="00C20CA0"/>
    <w:rsid w:val="00C22519"/>
    <w:rsid w:val="00C225CC"/>
    <w:rsid w:val="00C22814"/>
    <w:rsid w:val="00C22863"/>
    <w:rsid w:val="00C22A6D"/>
    <w:rsid w:val="00C23026"/>
    <w:rsid w:val="00C23A26"/>
    <w:rsid w:val="00C23C98"/>
    <w:rsid w:val="00C23DEF"/>
    <w:rsid w:val="00C23EBC"/>
    <w:rsid w:val="00C2414A"/>
    <w:rsid w:val="00C24ADF"/>
    <w:rsid w:val="00C255FA"/>
    <w:rsid w:val="00C26F7A"/>
    <w:rsid w:val="00C2752A"/>
    <w:rsid w:val="00C2799F"/>
    <w:rsid w:val="00C279A4"/>
    <w:rsid w:val="00C307B7"/>
    <w:rsid w:val="00C30950"/>
    <w:rsid w:val="00C30D51"/>
    <w:rsid w:val="00C31751"/>
    <w:rsid w:val="00C3193F"/>
    <w:rsid w:val="00C3233C"/>
    <w:rsid w:val="00C324CD"/>
    <w:rsid w:val="00C32B18"/>
    <w:rsid w:val="00C32D97"/>
    <w:rsid w:val="00C330F2"/>
    <w:rsid w:val="00C33268"/>
    <w:rsid w:val="00C33B0E"/>
    <w:rsid w:val="00C33C19"/>
    <w:rsid w:val="00C343FA"/>
    <w:rsid w:val="00C34962"/>
    <w:rsid w:val="00C35DF9"/>
    <w:rsid w:val="00C36D63"/>
    <w:rsid w:val="00C36EC0"/>
    <w:rsid w:val="00C37F28"/>
    <w:rsid w:val="00C40577"/>
    <w:rsid w:val="00C40B33"/>
    <w:rsid w:val="00C40E3D"/>
    <w:rsid w:val="00C41575"/>
    <w:rsid w:val="00C41B5B"/>
    <w:rsid w:val="00C42217"/>
    <w:rsid w:val="00C424D7"/>
    <w:rsid w:val="00C4257E"/>
    <w:rsid w:val="00C42A71"/>
    <w:rsid w:val="00C43B99"/>
    <w:rsid w:val="00C43BFF"/>
    <w:rsid w:val="00C43FDB"/>
    <w:rsid w:val="00C449C5"/>
    <w:rsid w:val="00C44C65"/>
    <w:rsid w:val="00C45675"/>
    <w:rsid w:val="00C45F8C"/>
    <w:rsid w:val="00C4624A"/>
    <w:rsid w:val="00C4665C"/>
    <w:rsid w:val="00C4750D"/>
    <w:rsid w:val="00C479BB"/>
    <w:rsid w:val="00C479EE"/>
    <w:rsid w:val="00C47A37"/>
    <w:rsid w:val="00C47B7F"/>
    <w:rsid w:val="00C5031F"/>
    <w:rsid w:val="00C503B7"/>
    <w:rsid w:val="00C50AA3"/>
    <w:rsid w:val="00C50AC9"/>
    <w:rsid w:val="00C50ECF"/>
    <w:rsid w:val="00C50F39"/>
    <w:rsid w:val="00C516B5"/>
    <w:rsid w:val="00C51C86"/>
    <w:rsid w:val="00C52393"/>
    <w:rsid w:val="00C535E4"/>
    <w:rsid w:val="00C53B4B"/>
    <w:rsid w:val="00C53E14"/>
    <w:rsid w:val="00C53F20"/>
    <w:rsid w:val="00C54716"/>
    <w:rsid w:val="00C54CCE"/>
    <w:rsid w:val="00C55EDB"/>
    <w:rsid w:val="00C55EEC"/>
    <w:rsid w:val="00C561A9"/>
    <w:rsid w:val="00C56C35"/>
    <w:rsid w:val="00C56D1E"/>
    <w:rsid w:val="00C56E13"/>
    <w:rsid w:val="00C57B37"/>
    <w:rsid w:val="00C603E1"/>
    <w:rsid w:val="00C60657"/>
    <w:rsid w:val="00C60CCA"/>
    <w:rsid w:val="00C60E55"/>
    <w:rsid w:val="00C60FE1"/>
    <w:rsid w:val="00C6108C"/>
    <w:rsid w:val="00C617B8"/>
    <w:rsid w:val="00C618E4"/>
    <w:rsid w:val="00C61A11"/>
    <w:rsid w:val="00C61A18"/>
    <w:rsid w:val="00C61FD6"/>
    <w:rsid w:val="00C62F05"/>
    <w:rsid w:val="00C62F45"/>
    <w:rsid w:val="00C63172"/>
    <w:rsid w:val="00C63284"/>
    <w:rsid w:val="00C641CB"/>
    <w:rsid w:val="00C64286"/>
    <w:rsid w:val="00C64BE2"/>
    <w:rsid w:val="00C64C2D"/>
    <w:rsid w:val="00C64D21"/>
    <w:rsid w:val="00C65090"/>
    <w:rsid w:val="00C66122"/>
    <w:rsid w:val="00C6675B"/>
    <w:rsid w:val="00C669E3"/>
    <w:rsid w:val="00C676AE"/>
    <w:rsid w:val="00C676D3"/>
    <w:rsid w:val="00C678B2"/>
    <w:rsid w:val="00C67AD4"/>
    <w:rsid w:val="00C67C08"/>
    <w:rsid w:val="00C67D30"/>
    <w:rsid w:val="00C70031"/>
    <w:rsid w:val="00C70531"/>
    <w:rsid w:val="00C707E1"/>
    <w:rsid w:val="00C70C3C"/>
    <w:rsid w:val="00C70DA2"/>
    <w:rsid w:val="00C7139A"/>
    <w:rsid w:val="00C7167E"/>
    <w:rsid w:val="00C71919"/>
    <w:rsid w:val="00C71A00"/>
    <w:rsid w:val="00C7214E"/>
    <w:rsid w:val="00C72DA3"/>
    <w:rsid w:val="00C737ED"/>
    <w:rsid w:val="00C73C4D"/>
    <w:rsid w:val="00C7465C"/>
    <w:rsid w:val="00C747BA"/>
    <w:rsid w:val="00C74837"/>
    <w:rsid w:val="00C74C8C"/>
    <w:rsid w:val="00C74FFE"/>
    <w:rsid w:val="00C75183"/>
    <w:rsid w:val="00C7547B"/>
    <w:rsid w:val="00C75543"/>
    <w:rsid w:val="00C7565E"/>
    <w:rsid w:val="00C765D0"/>
    <w:rsid w:val="00C766C6"/>
    <w:rsid w:val="00C770B9"/>
    <w:rsid w:val="00C77665"/>
    <w:rsid w:val="00C77A7B"/>
    <w:rsid w:val="00C77E82"/>
    <w:rsid w:val="00C77F0E"/>
    <w:rsid w:val="00C80FE2"/>
    <w:rsid w:val="00C812CF"/>
    <w:rsid w:val="00C8152E"/>
    <w:rsid w:val="00C8185E"/>
    <w:rsid w:val="00C819A5"/>
    <w:rsid w:val="00C81CE0"/>
    <w:rsid w:val="00C83309"/>
    <w:rsid w:val="00C837A4"/>
    <w:rsid w:val="00C843FF"/>
    <w:rsid w:val="00C84690"/>
    <w:rsid w:val="00C847C0"/>
    <w:rsid w:val="00C84DEE"/>
    <w:rsid w:val="00C84E5F"/>
    <w:rsid w:val="00C84EEE"/>
    <w:rsid w:val="00C85685"/>
    <w:rsid w:val="00C86093"/>
    <w:rsid w:val="00C86D05"/>
    <w:rsid w:val="00C874BE"/>
    <w:rsid w:val="00C87A18"/>
    <w:rsid w:val="00C87F22"/>
    <w:rsid w:val="00C9014F"/>
    <w:rsid w:val="00C90289"/>
    <w:rsid w:val="00C90309"/>
    <w:rsid w:val="00C90589"/>
    <w:rsid w:val="00C907B9"/>
    <w:rsid w:val="00C90F85"/>
    <w:rsid w:val="00C91086"/>
    <w:rsid w:val="00C911CE"/>
    <w:rsid w:val="00C914F9"/>
    <w:rsid w:val="00C91D4D"/>
    <w:rsid w:val="00C92015"/>
    <w:rsid w:val="00C925C4"/>
    <w:rsid w:val="00C9298D"/>
    <w:rsid w:val="00C92DD2"/>
    <w:rsid w:val="00C93003"/>
    <w:rsid w:val="00C9330D"/>
    <w:rsid w:val="00C936BB"/>
    <w:rsid w:val="00C93FED"/>
    <w:rsid w:val="00C9484A"/>
    <w:rsid w:val="00C94EAE"/>
    <w:rsid w:val="00C955AA"/>
    <w:rsid w:val="00C95DE0"/>
    <w:rsid w:val="00C9697B"/>
    <w:rsid w:val="00C970A5"/>
    <w:rsid w:val="00C97169"/>
    <w:rsid w:val="00C972F2"/>
    <w:rsid w:val="00C97316"/>
    <w:rsid w:val="00C9746E"/>
    <w:rsid w:val="00C9782D"/>
    <w:rsid w:val="00C97C6A"/>
    <w:rsid w:val="00CA0A85"/>
    <w:rsid w:val="00CA0E78"/>
    <w:rsid w:val="00CA1B5A"/>
    <w:rsid w:val="00CA1BD3"/>
    <w:rsid w:val="00CA1C94"/>
    <w:rsid w:val="00CA2115"/>
    <w:rsid w:val="00CA22CA"/>
    <w:rsid w:val="00CA29A4"/>
    <w:rsid w:val="00CA2B4C"/>
    <w:rsid w:val="00CA2C56"/>
    <w:rsid w:val="00CA3A79"/>
    <w:rsid w:val="00CA3C6B"/>
    <w:rsid w:val="00CA3E22"/>
    <w:rsid w:val="00CA4332"/>
    <w:rsid w:val="00CA48B7"/>
    <w:rsid w:val="00CA4C60"/>
    <w:rsid w:val="00CA57E3"/>
    <w:rsid w:val="00CA62C5"/>
    <w:rsid w:val="00CA6312"/>
    <w:rsid w:val="00CA72AC"/>
    <w:rsid w:val="00CB0EBB"/>
    <w:rsid w:val="00CB19B7"/>
    <w:rsid w:val="00CB1ECB"/>
    <w:rsid w:val="00CB20DE"/>
    <w:rsid w:val="00CB2500"/>
    <w:rsid w:val="00CB2923"/>
    <w:rsid w:val="00CB2DDF"/>
    <w:rsid w:val="00CB2EE9"/>
    <w:rsid w:val="00CB2F7D"/>
    <w:rsid w:val="00CB390A"/>
    <w:rsid w:val="00CB432A"/>
    <w:rsid w:val="00CB4727"/>
    <w:rsid w:val="00CB4740"/>
    <w:rsid w:val="00CB4B60"/>
    <w:rsid w:val="00CB4C49"/>
    <w:rsid w:val="00CB4DF5"/>
    <w:rsid w:val="00CB5677"/>
    <w:rsid w:val="00CB59AE"/>
    <w:rsid w:val="00CB6461"/>
    <w:rsid w:val="00CB6766"/>
    <w:rsid w:val="00CB6B51"/>
    <w:rsid w:val="00CC0223"/>
    <w:rsid w:val="00CC06E2"/>
    <w:rsid w:val="00CC0A59"/>
    <w:rsid w:val="00CC1884"/>
    <w:rsid w:val="00CC197E"/>
    <w:rsid w:val="00CC1EF7"/>
    <w:rsid w:val="00CC1F67"/>
    <w:rsid w:val="00CC33E0"/>
    <w:rsid w:val="00CC33F0"/>
    <w:rsid w:val="00CC3482"/>
    <w:rsid w:val="00CC362A"/>
    <w:rsid w:val="00CC4009"/>
    <w:rsid w:val="00CC43B8"/>
    <w:rsid w:val="00CC558C"/>
    <w:rsid w:val="00CC57C1"/>
    <w:rsid w:val="00CC5B01"/>
    <w:rsid w:val="00CC649B"/>
    <w:rsid w:val="00CC745C"/>
    <w:rsid w:val="00CC75A4"/>
    <w:rsid w:val="00CC7E59"/>
    <w:rsid w:val="00CD041A"/>
    <w:rsid w:val="00CD0680"/>
    <w:rsid w:val="00CD0CA5"/>
    <w:rsid w:val="00CD1833"/>
    <w:rsid w:val="00CD18CD"/>
    <w:rsid w:val="00CD1A35"/>
    <w:rsid w:val="00CD204F"/>
    <w:rsid w:val="00CD2119"/>
    <w:rsid w:val="00CD25D9"/>
    <w:rsid w:val="00CD30A1"/>
    <w:rsid w:val="00CD3E7A"/>
    <w:rsid w:val="00CD4E94"/>
    <w:rsid w:val="00CD5378"/>
    <w:rsid w:val="00CD56A0"/>
    <w:rsid w:val="00CD619A"/>
    <w:rsid w:val="00CD7170"/>
    <w:rsid w:val="00CD71D8"/>
    <w:rsid w:val="00CD75F9"/>
    <w:rsid w:val="00CD781A"/>
    <w:rsid w:val="00CD7AA7"/>
    <w:rsid w:val="00CE042C"/>
    <w:rsid w:val="00CE09D9"/>
    <w:rsid w:val="00CE1E9A"/>
    <w:rsid w:val="00CE2B8D"/>
    <w:rsid w:val="00CE413D"/>
    <w:rsid w:val="00CE4734"/>
    <w:rsid w:val="00CE500F"/>
    <w:rsid w:val="00CE566B"/>
    <w:rsid w:val="00CE5917"/>
    <w:rsid w:val="00CE5D9B"/>
    <w:rsid w:val="00CE6213"/>
    <w:rsid w:val="00CE66F3"/>
    <w:rsid w:val="00CE68A4"/>
    <w:rsid w:val="00CE6D81"/>
    <w:rsid w:val="00CE784A"/>
    <w:rsid w:val="00CF0B81"/>
    <w:rsid w:val="00CF100A"/>
    <w:rsid w:val="00CF1353"/>
    <w:rsid w:val="00CF2802"/>
    <w:rsid w:val="00CF2C2C"/>
    <w:rsid w:val="00CF3C54"/>
    <w:rsid w:val="00CF3C94"/>
    <w:rsid w:val="00CF423E"/>
    <w:rsid w:val="00CF456F"/>
    <w:rsid w:val="00CF505A"/>
    <w:rsid w:val="00CF50E9"/>
    <w:rsid w:val="00CF531A"/>
    <w:rsid w:val="00CF57A7"/>
    <w:rsid w:val="00CF6128"/>
    <w:rsid w:val="00CF654C"/>
    <w:rsid w:val="00CF7A9B"/>
    <w:rsid w:val="00D003DE"/>
    <w:rsid w:val="00D00653"/>
    <w:rsid w:val="00D008BD"/>
    <w:rsid w:val="00D013F2"/>
    <w:rsid w:val="00D015C3"/>
    <w:rsid w:val="00D0198E"/>
    <w:rsid w:val="00D019F6"/>
    <w:rsid w:val="00D02240"/>
    <w:rsid w:val="00D02313"/>
    <w:rsid w:val="00D0240B"/>
    <w:rsid w:val="00D02CD6"/>
    <w:rsid w:val="00D03196"/>
    <w:rsid w:val="00D035F8"/>
    <w:rsid w:val="00D03E5D"/>
    <w:rsid w:val="00D049DE"/>
    <w:rsid w:val="00D04E34"/>
    <w:rsid w:val="00D04F6F"/>
    <w:rsid w:val="00D05847"/>
    <w:rsid w:val="00D05D18"/>
    <w:rsid w:val="00D05E9A"/>
    <w:rsid w:val="00D068C8"/>
    <w:rsid w:val="00D075BD"/>
    <w:rsid w:val="00D0791C"/>
    <w:rsid w:val="00D100A0"/>
    <w:rsid w:val="00D10DEA"/>
    <w:rsid w:val="00D11053"/>
    <w:rsid w:val="00D11BE3"/>
    <w:rsid w:val="00D11C49"/>
    <w:rsid w:val="00D12427"/>
    <w:rsid w:val="00D124EA"/>
    <w:rsid w:val="00D12BE1"/>
    <w:rsid w:val="00D1354A"/>
    <w:rsid w:val="00D13778"/>
    <w:rsid w:val="00D14210"/>
    <w:rsid w:val="00D14A9C"/>
    <w:rsid w:val="00D14D3E"/>
    <w:rsid w:val="00D14DD7"/>
    <w:rsid w:val="00D14F91"/>
    <w:rsid w:val="00D14FFF"/>
    <w:rsid w:val="00D157BD"/>
    <w:rsid w:val="00D1586E"/>
    <w:rsid w:val="00D15B49"/>
    <w:rsid w:val="00D1614C"/>
    <w:rsid w:val="00D16980"/>
    <w:rsid w:val="00D170BC"/>
    <w:rsid w:val="00D179E6"/>
    <w:rsid w:val="00D17C34"/>
    <w:rsid w:val="00D20C4B"/>
    <w:rsid w:val="00D20ECD"/>
    <w:rsid w:val="00D21671"/>
    <w:rsid w:val="00D21DCE"/>
    <w:rsid w:val="00D220F5"/>
    <w:rsid w:val="00D222A1"/>
    <w:rsid w:val="00D2264F"/>
    <w:rsid w:val="00D22942"/>
    <w:rsid w:val="00D23480"/>
    <w:rsid w:val="00D235D2"/>
    <w:rsid w:val="00D236A5"/>
    <w:rsid w:val="00D23B67"/>
    <w:rsid w:val="00D23D7A"/>
    <w:rsid w:val="00D24407"/>
    <w:rsid w:val="00D24576"/>
    <w:rsid w:val="00D2490F"/>
    <w:rsid w:val="00D24B67"/>
    <w:rsid w:val="00D24C77"/>
    <w:rsid w:val="00D26468"/>
    <w:rsid w:val="00D2748F"/>
    <w:rsid w:val="00D27AD7"/>
    <w:rsid w:val="00D27B4F"/>
    <w:rsid w:val="00D301DD"/>
    <w:rsid w:val="00D30684"/>
    <w:rsid w:val="00D30D24"/>
    <w:rsid w:val="00D311A0"/>
    <w:rsid w:val="00D31433"/>
    <w:rsid w:val="00D3143D"/>
    <w:rsid w:val="00D3185A"/>
    <w:rsid w:val="00D31CED"/>
    <w:rsid w:val="00D31ED8"/>
    <w:rsid w:val="00D3237D"/>
    <w:rsid w:val="00D32517"/>
    <w:rsid w:val="00D3332B"/>
    <w:rsid w:val="00D33429"/>
    <w:rsid w:val="00D334BA"/>
    <w:rsid w:val="00D33FEA"/>
    <w:rsid w:val="00D34BAF"/>
    <w:rsid w:val="00D35010"/>
    <w:rsid w:val="00D36238"/>
    <w:rsid w:val="00D364B7"/>
    <w:rsid w:val="00D376C8"/>
    <w:rsid w:val="00D37744"/>
    <w:rsid w:val="00D3778F"/>
    <w:rsid w:val="00D37F5F"/>
    <w:rsid w:val="00D412C5"/>
    <w:rsid w:val="00D4176E"/>
    <w:rsid w:val="00D41F71"/>
    <w:rsid w:val="00D42333"/>
    <w:rsid w:val="00D428C9"/>
    <w:rsid w:val="00D42914"/>
    <w:rsid w:val="00D42A66"/>
    <w:rsid w:val="00D43089"/>
    <w:rsid w:val="00D43340"/>
    <w:rsid w:val="00D4374C"/>
    <w:rsid w:val="00D438EE"/>
    <w:rsid w:val="00D43DE6"/>
    <w:rsid w:val="00D43E79"/>
    <w:rsid w:val="00D441D7"/>
    <w:rsid w:val="00D448F8"/>
    <w:rsid w:val="00D452E0"/>
    <w:rsid w:val="00D456C2"/>
    <w:rsid w:val="00D45AA1"/>
    <w:rsid w:val="00D45FBB"/>
    <w:rsid w:val="00D4640F"/>
    <w:rsid w:val="00D468ED"/>
    <w:rsid w:val="00D46DCA"/>
    <w:rsid w:val="00D477ED"/>
    <w:rsid w:val="00D47F9A"/>
    <w:rsid w:val="00D50123"/>
    <w:rsid w:val="00D50D7E"/>
    <w:rsid w:val="00D5149E"/>
    <w:rsid w:val="00D5158E"/>
    <w:rsid w:val="00D51A9F"/>
    <w:rsid w:val="00D52CD6"/>
    <w:rsid w:val="00D542E6"/>
    <w:rsid w:val="00D54E7D"/>
    <w:rsid w:val="00D54EEF"/>
    <w:rsid w:val="00D55367"/>
    <w:rsid w:val="00D55444"/>
    <w:rsid w:val="00D55E49"/>
    <w:rsid w:val="00D5638A"/>
    <w:rsid w:val="00D56B1E"/>
    <w:rsid w:val="00D56DCA"/>
    <w:rsid w:val="00D570EB"/>
    <w:rsid w:val="00D5748A"/>
    <w:rsid w:val="00D57E2D"/>
    <w:rsid w:val="00D60FB7"/>
    <w:rsid w:val="00D61F13"/>
    <w:rsid w:val="00D620B7"/>
    <w:rsid w:val="00D6214F"/>
    <w:rsid w:val="00D639C1"/>
    <w:rsid w:val="00D63E10"/>
    <w:rsid w:val="00D63E2B"/>
    <w:rsid w:val="00D65005"/>
    <w:rsid w:val="00D65134"/>
    <w:rsid w:val="00D654DE"/>
    <w:rsid w:val="00D656EE"/>
    <w:rsid w:val="00D66E0F"/>
    <w:rsid w:val="00D66FDE"/>
    <w:rsid w:val="00D67436"/>
    <w:rsid w:val="00D67B86"/>
    <w:rsid w:val="00D67D60"/>
    <w:rsid w:val="00D67F1E"/>
    <w:rsid w:val="00D70292"/>
    <w:rsid w:val="00D702B3"/>
    <w:rsid w:val="00D70478"/>
    <w:rsid w:val="00D704AC"/>
    <w:rsid w:val="00D71948"/>
    <w:rsid w:val="00D719B6"/>
    <w:rsid w:val="00D71E2E"/>
    <w:rsid w:val="00D71F97"/>
    <w:rsid w:val="00D7250C"/>
    <w:rsid w:val="00D74033"/>
    <w:rsid w:val="00D741A1"/>
    <w:rsid w:val="00D7423F"/>
    <w:rsid w:val="00D748E0"/>
    <w:rsid w:val="00D74963"/>
    <w:rsid w:val="00D74B04"/>
    <w:rsid w:val="00D760BB"/>
    <w:rsid w:val="00D771A4"/>
    <w:rsid w:val="00D772CC"/>
    <w:rsid w:val="00D77B05"/>
    <w:rsid w:val="00D77E15"/>
    <w:rsid w:val="00D80048"/>
    <w:rsid w:val="00D802EB"/>
    <w:rsid w:val="00D806E0"/>
    <w:rsid w:val="00D80903"/>
    <w:rsid w:val="00D80DC9"/>
    <w:rsid w:val="00D81179"/>
    <w:rsid w:val="00D816C3"/>
    <w:rsid w:val="00D82ACD"/>
    <w:rsid w:val="00D82C40"/>
    <w:rsid w:val="00D82CB1"/>
    <w:rsid w:val="00D8323D"/>
    <w:rsid w:val="00D83D5E"/>
    <w:rsid w:val="00D84749"/>
    <w:rsid w:val="00D84FE0"/>
    <w:rsid w:val="00D8544F"/>
    <w:rsid w:val="00D857D0"/>
    <w:rsid w:val="00D867C4"/>
    <w:rsid w:val="00D86EAB"/>
    <w:rsid w:val="00D86FF8"/>
    <w:rsid w:val="00D87429"/>
    <w:rsid w:val="00D87D4F"/>
    <w:rsid w:val="00D90155"/>
    <w:rsid w:val="00D90371"/>
    <w:rsid w:val="00D90598"/>
    <w:rsid w:val="00D9076C"/>
    <w:rsid w:val="00D90855"/>
    <w:rsid w:val="00D90A26"/>
    <w:rsid w:val="00D90BC4"/>
    <w:rsid w:val="00D9113F"/>
    <w:rsid w:val="00D912E7"/>
    <w:rsid w:val="00D918EC"/>
    <w:rsid w:val="00D91C97"/>
    <w:rsid w:val="00D920EB"/>
    <w:rsid w:val="00D922A8"/>
    <w:rsid w:val="00D92854"/>
    <w:rsid w:val="00D934B1"/>
    <w:rsid w:val="00D93657"/>
    <w:rsid w:val="00D93943"/>
    <w:rsid w:val="00D93961"/>
    <w:rsid w:val="00D940DB"/>
    <w:rsid w:val="00D94462"/>
    <w:rsid w:val="00D94764"/>
    <w:rsid w:val="00D94FCE"/>
    <w:rsid w:val="00D952F7"/>
    <w:rsid w:val="00D95477"/>
    <w:rsid w:val="00D959C4"/>
    <w:rsid w:val="00D95AD0"/>
    <w:rsid w:val="00D95C9C"/>
    <w:rsid w:val="00D95DDF"/>
    <w:rsid w:val="00D96E5D"/>
    <w:rsid w:val="00D970D3"/>
    <w:rsid w:val="00D9711F"/>
    <w:rsid w:val="00D97638"/>
    <w:rsid w:val="00D977EA"/>
    <w:rsid w:val="00D978C6"/>
    <w:rsid w:val="00D97DEF"/>
    <w:rsid w:val="00DA087F"/>
    <w:rsid w:val="00DA1220"/>
    <w:rsid w:val="00DA1A21"/>
    <w:rsid w:val="00DA1CBC"/>
    <w:rsid w:val="00DA23D9"/>
    <w:rsid w:val="00DA2AFE"/>
    <w:rsid w:val="00DA2BF5"/>
    <w:rsid w:val="00DA2EA3"/>
    <w:rsid w:val="00DA35E4"/>
    <w:rsid w:val="00DA3820"/>
    <w:rsid w:val="00DA3936"/>
    <w:rsid w:val="00DA3A0C"/>
    <w:rsid w:val="00DA3E4E"/>
    <w:rsid w:val="00DA3FAD"/>
    <w:rsid w:val="00DA45BB"/>
    <w:rsid w:val="00DA46F5"/>
    <w:rsid w:val="00DA4D81"/>
    <w:rsid w:val="00DA50C7"/>
    <w:rsid w:val="00DA514D"/>
    <w:rsid w:val="00DA6167"/>
    <w:rsid w:val="00DA6726"/>
    <w:rsid w:val="00DA68CF"/>
    <w:rsid w:val="00DA6A05"/>
    <w:rsid w:val="00DA71D1"/>
    <w:rsid w:val="00DA7E74"/>
    <w:rsid w:val="00DB012E"/>
    <w:rsid w:val="00DB0D3D"/>
    <w:rsid w:val="00DB12CB"/>
    <w:rsid w:val="00DB14CE"/>
    <w:rsid w:val="00DB2035"/>
    <w:rsid w:val="00DB2272"/>
    <w:rsid w:val="00DB298D"/>
    <w:rsid w:val="00DB2B2C"/>
    <w:rsid w:val="00DB2B3C"/>
    <w:rsid w:val="00DB3878"/>
    <w:rsid w:val="00DB40CE"/>
    <w:rsid w:val="00DB4BBD"/>
    <w:rsid w:val="00DB5608"/>
    <w:rsid w:val="00DB5C71"/>
    <w:rsid w:val="00DB5DD4"/>
    <w:rsid w:val="00DB63BC"/>
    <w:rsid w:val="00DB6A0B"/>
    <w:rsid w:val="00DB6D5F"/>
    <w:rsid w:val="00DB71D2"/>
    <w:rsid w:val="00DB7664"/>
    <w:rsid w:val="00DB7DC9"/>
    <w:rsid w:val="00DB7F18"/>
    <w:rsid w:val="00DC1807"/>
    <w:rsid w:val="00DC1A99"/>
    <w:rsid w:val="00DC234F"/>
    <w:rsid w:val="00DC2463"/>
    <w:rsid w:val="00DC2D56"/>
    <w:rsid w:val="00DC2F52"/>
    <w:rsid w:val="00DC466F"/>
    <w:rsid w:val="00DC4E15"/>
    <w:rsid w:val="00DC55CB"/>
    <w:rsid w:val="00DC6BC1"/>
    <w:rsid w:val="00DC6CE3"/>
    <w:rsid w:val="00DC6E8E"/>
    <w:rsid w:val="00DC7539"/>
    <w:rsid w:val="00DC7907"/>
    <w:rsid w:val="00DD1168"/>
    <w:rsid w:val="00DD1921"/>
    <w:rsid w:val="00DD1949"/>
    <w:rsid w:val="00DD1C92"/>
    <w:rsid w:val="00DD221D"/>
    <w:rsid w:val="00DD2397"/>
    <w:rsid w:val="00DD2F16"/>
    <w:rsid w:val="00DD30E9"/>
    <w:rsid w:val="00DD3BB3"/>
    <w:rsid w:val="00DD41A3"/>
    <w:rsid w:val="00DD42A3"/>
    <w:rsid w:val="00DD447D"/>
    <w:rsid w:val="00DD45E2"/>
    <w:rsid w:val="00DD4D68"/>
    <w:rsid w:val="00DD5934"/>
    <w:rsid w:val="00DD5B1C"/>
    <w:rsid w:val="00DD70AA"/>
    <w:rsid w:val="00DD73BE"/>
    <w:rsid w:val="00DD77E7"/>
    <w:rsid w:val="00DD7924"/>
    <w:rsid w:val="00DE0726"/>
    <w:rsid w:val="00DE0872"/>
    <w:rsid w:val="00DE10A3"/>
    <w:rsid w:val="00DE1243"/>
    <w:rsid w:val="00DE1345"/>
    <w:rsid w:val="00DE17AD"/>
    <w:rsid w:val="00DE1A64"/>
    <w:rsid w:val="00DE1B19"/>
    <w:rsid w:val="00DE1B7F"/>
    <w:rsid w:val="00DE2799"/>
    <w:rsid w:val="00DE2BE5"/>
    <w:rsid w:val="00DE34E8"/>
    <w:rsid w:val="00DE36B8"/>
    <w:rsid w:val="00DE3758"/>
    <w:rsid w:val="00DE3CBD"/>
    <w:rsid w:val="00DE480B"/>
    <w:rsid w:val="00DE483B"/>
    <w:rsid w:val="00DE49F2"/>
    <w:rsid w:val="00DE5324"/>
    <w:rsid w:val="00DE5332"/>
    <w:rsid w:val="00DE5474"/>
    <w:rsid w:val="00DE56DF"/>
    <w:rsid w:val="00DE56FB"/>
    <w:rsid w:val="00DE5859"/>
    <w:rsid w:val="00DE598E"/>
    <w:rsid w:val="00DE5EE5"/>
    <w:rsid w:val="00DE6A9E"/>
    <w:rsid w:val="00DE75C6"/>
    <w:rsid w:val="00DE788C"/>
    <w:rsid w:val="00DE7B4D"/>
    <w:rsid w:val="00DE7F6C"/>
    <w:rsid w:val="00DF06D4"/>
    <w:rsid w:val="00DF100F"/>
    <w:rsid w:val="00DF11EF"/>
    <w:rsid w:val="00DF28B0"/>
    <w:rsid w:val="00DF3EE7"/>
    <w:rsid w:val="00DF4030"/>
    <w:rsid w:val="00DF410F"/>
    <w:rsid w:val="00DF42C6"/>
    <w:rsid w:val="00DF43B1"/>
    <w:rsid w:val="00DF48A3"/>
    <w:rsid w:val="00DF4D9B"/>
    <w:rsid w:val="00DF53E5"/>
    <w:rsid w:val="00DF6D5A"/>
    <w:rsid w:val="00DF70B3"/>
    <w:rsid w:val="00DF75AA"/>
    <w:rsid w:val="00E001C0"/>
    <w:rsid w:val="00E00764"/>
    <w:rsid w:val="00E01B03"/>
    <w:rsid w:val="00E023E3"/>
    <w:rsid w:val="00E02941"/>
    <w:rsid w:val="00E02AF6"/>
    <w:rsid w:val="00E02DCB"/>
    <w:rsid w:val="00E03346"/>
    <w:rsid w:val="00E03596"/>
    <w:rsid w:val="00E03AB8"/>
    <w:rsid w:val="00E03C9F"/>
    <w:rsid w:val="00E03D34"/>
    <w:rsid w:val="00E04007"/>
    <w:rsid w:val="00E043AB"/>
    <w:rsid w:val="00E043BC"/>
    <w:rsid w:val="00E04965"/>
    <w:rsid w:val="00E049A1"/>
    <w:rsid w:val="00E04EF5"/>
    <w:rsid w:val="00E050CF"/>
    <w:rsid w:val="00E051C5"/>
    <w:rsid w:val="00E0566F"/>
    <w:rsid w:val="00E05719"/>
    <w:rsid w:val="00E06073"/>
    <w:rsid w:val="00E06631"/>
    <w:rsid w:val="00E07242"/>
    <w:rsid w:val="00E0734F"/>
    <w:rsid w:val="00E07B3B"/>
    <w:rsid w:val="00E07FC0"/>
    <w:rsid w:val="00E1087D"/>
    <w:rsid w:val="00E10F1B"/>
    <w:rsid w:val="00E116AA"/>
    <w:rsid w:val="00E1180E"/>
    <w:rsid w:val="00E12362"/>
    <w:rsid w:val="00E13052"/>
    <w:rsid w:val="00E135F5"/>
    <w:rsid w:val="00E14483"/>
    <w:rsid w:val="00E146C5"/>
    <w:rsid w:val="00E14E63"/>
    <w:rsid w:val="00E157BA"/>
    <w:rsid w:val="00E15917"/>
    <w:rsid w:val="00E168E6"/>
    <w:rsid w:val="00E16FF9"/>
    <w:rsid w:val="00E17447"/>
    <w:rsid w:val="00E1762F"/>
    <w:rsid w:val="00E1776A"/>
    <w:rsid w:val="00E177A2"/>
    <w:rsid w:val="00E17911"/>
    <w:rsid w:val="00E17EF8"/>
    <w:rsid w:val="00E17F5D"/>
    <w:rsid w:val="00E2017B"/>
    <w:rsid w:val="00E204BF"/>
    <w:rsid w:val="00E20B4E"/>
    <w:rsid w:val="00E20BDF"/>
    <w:rsid w:val="00E213B3"/>
    <w:rsid w:val="00E216B1"/>
    <w:rsid w:val="00E219CB"/>
    <w:rsid w:val="00E221BD"/>
    <w:rsid w:val="00E22758"/>
    <w:rsid w:val="00E2318D"/>
    <w:rsid w:val="00E23CEC"/>
    <w:rsid w:val="00E23E4D"/>
    <w:rsid w:val="00E23E84"/>
    <w:rsid w:val="00E2433D"/>
    <w:rsid w:val="00E243E1"/>
    <w:rsid w:val="00E25964"/>
    <w:rsid w:val="00E25BA8"/>
    <w:rsid w:val="00E26735"/>
    <w:rsid w:val="00E2719F"/>
    <w:rsid w:val="00E27FCD"/>
    <w:rsid w:val="00E307D6"/>
    <w:rsid w:val="00E31067"/>
    <w:rsid w:val="00E315A4"/>
    <w:rsid w:val="00E315D7"/>
    <w:rsid w:val="00E31D97"/>
    <w:rsid w:val="00E32379"/>
    <w:rsid w:val="00E33901"/>
    <w:rsid w:val="00E33CBB"/>
    <w:rsid w:val="00E34412"/>
    <w:rsid w:val="00E345C1"/>
    <w:rsid w:val="00E34E76"/>
    <w:rsid w:val="00E35312"/>
    <w:rsid w:val="00E354DE"/>
    <w:rsid w:val="00E3565E"/>
    <w:rsid w:val="00E35BAE"/>
    <w:rsid w:val="00E35FBE"/>
    <w:rsid w:val="00E360B1"/>
    <w:rsid w:val="00E368CA"/>
    <w:rsid w:val="00E36F7F"/>
    <w:rsid w:val="00E37A8B"/>
    <w:rsid w:val="00E40420"/>
    <w:rsid w:val="00E407EC"/>
    <w:rsid w:val="00E40EEB"/>
    <w:rsid w:val="00E411BB"/>
    <w:rsid w:val="00E4152F"/>
    <w:rsid w:val="00E4214B"/>
    <w:rsid w:val="00E425F2"/>
    <w:rsid w:val="00E4309E"/>
    <w:rsid w:val="00E43185"/>
    <w:rsid w:val="00E444B1"/>
    <w:rsid w:val="00E448C4"/>
    <w:rsid w:val="00E449C8"/>
    <w:rsid w:val="00E44BC7"/>
    <w:rsid w:val="00E44C34"/>
    <w:rsid w:val="00E44F80"/>
    <w:rsid w:val="00E45008"/>
    <w:rsid w:val="00E458F6"/>
    <w:rsid w:val="00E45A4B"/>
    <w:rsid w:val="00E45AF4"/>
    <w:rsid w:val="00E46729"/>
    <w:rsid w:val="00E4673B"/>
    <w:rsid w:val="00E46765"/>
    <w:rsid w:val="00E46C34"/>
    <w:rsid w:val="00E47279"/>
    <w:rsid w:val="00E472C7"/>
    <w:rsid w:val="00E47968"/>
    <w:rsid w:val="00E47993"/>
    <w:rsid w:val="00E47E28"/>
    <w:rsid w:val="00E507CF"/>
    <w:rsid w:val="00E50987"/>
    <w:rsid w:val="00E50D8A"/>
    <w:rsid w:val="00E50E4D"/>
    <w:rsid w:val="00E51200"/>
    <w:rsid w:val="00E51B5D"/>
    <w:rsid w:val="00E52638"/>
    <w:rsid w:val="00E52A5B"/>
    <w:rsid w:val="00E52B8B"/>
    <w:rsid w:val="00E52FEE"/>
    <w:rsid w:val="00E53291"/>
    <w:rsid w:val="00E53627"/>
    <w:rsid w:val="00E5496E"/>
    <w:rsid w:val="00E54DCF"/>
    <w:rsid w:val="00E54EDD"/>
    <w:rsid w:val="00E54F10"/>
    <w:rsid w:val="00E55985"/>
    <w:rsid w:val="00E56353"/>
    <w:rsid w:val="00E5669D"/>
    <w:rsid w:val="00E56B21"/>
    <w:rsid w:val="00E56F10"/>
    <w:rsid w:val="00E601CB"/>
    <w:rsid w:val="00E60E3A"/>
    <w:rsid w:val="00E61237"/>
    <w:rsid w:val="00E61297"/>
    <w:rsid w:val="00E62462"/>
    <w:rsid w:val="00E62A67"/>
    <w:rsid w:val="00E62A6B"/>
    <w:rsid w:val="00E62E0F"/>
    <w:rsid w:val="00E63637"/>
    <w:rsid w:val="00E639C0"/>
    <w:rsid w:val="00E6470C"/>
    <w:rsid w:val="00E6476B"/>
    <w:rsid w:val="00E654C2"/>
    <w:rsid w:val="00E65510"/>
    <w:rsid w:val="00E65ADE"/>
    <w:rsid w:val="00E65E29"/>
    <w:rsid w:val="00E6617E"/>
    <w:rsid w:val="00E668E7"/>
    <w:rsid w:val="00E6712F"/>
    <w:rsid w:val="00E675AA"/>
    <w:rsid w:val="00E6793E"/>
    <w:rsid w:val="00E67A8B"/>
    <w:rsid w:val="00E67F8D"/>
    <w:rsid w:val="00E70D87"/>
    <w:rsid w:val="00E70D89"/>
    <w:rsid w:val="00E718BA"/>
    <w:rsid w:val="00E722F4"/>
    <w:rsid w:val="00E7231F"/>
    <w:rsid w:val="00E72609"/>
    <w:rsid w:val="00E727BD"/>
    <w:rsid w:val="00E72887"/>
    <w:rsid w:val="00E72A06"/>
    <w:rsid w:val="00E72B70"/>
    <w:rsid w:val="00E72C38"/>
    <w:rsid w:val="00E72D54"/>
    <w:rsid w:val="00E736C9"/>
    <w:rsid w:val="00E73711"/>
    <w:rsid w:val="00E737A6"/>
    <w:rsid w:val="00E73C56"/>
    <w:rsid w:val="00E7408B"/>
    <w:rsid w:val="00E742A2"/>
    <w:rsid w:val="00E74BA0"/>
    <w:rsid w:val="00E75442"/>
    <w:rsid w:val="00E75529"/>
    <w:rsid w:val="00E76CA2"/>
    <w:rsid w:val="00E772E6"/>
    <w:rsid w:val="00E77CE8"/>
    <w:rsid w:val="00E80287"/>
    <w:rsid w:val="00E806AE"/>
    <w:rsid w:val="00E8120D"/>
    <w:rsid w:val="00E8144E"/>
    <w:rsid w:val="00E81A4D"/>
    <w:rsid w:val="00E81D6C"/>
    <w:rsid w:val="00E820F6"/>
    <w:rsid w:val="00E826FD"/>
    <w:rsid w:val="00E82849"/>
    <w:rsid w:val="00E82992"/>
    <w:rsid w:val="00E82A8F"/>
    <w:rsid w:val="00E82BE9"/>
    <w:rsid w:val="00E832A4"/>
    <w:rsid w:val="00E83748"/>
    <w:rsid w:val="00E83A05"/>
    <w:rsid w:val="00E84025"/>
    <w:rsid w:val="00E842CC"/>
    <w:rsid w:val="00E84C03"/>
    <w:rsid w:val="00E84CC6"/>
    <w:rsid w:val="00E8577D"/>
    <w:rsid w:val="00E85F5C"/>
    <w:rsid w:val="00E8622F"/>
    <w:rsid w:val="00E86246"/>
    <w:rsid w:val="00E8648E"/>
    <w:rsid w:val="00E86540"/>
    <w:rsid w:val="00E86630"/>
    <w:rsid w:val="00E87673"/>
    <w:rsid w:val="00E879BB"/>
    <w:rsid w:val="00E87E9E"/>
    <w:rsid w:val="00E90246"/>
    <w:rsid w:val="00E9077F"/>
    <w:rsid w:val="00E90F9E"/>
    <w:rsid w:val="00E91EF7"/>
    <w:rsid w:val="00E925A1"/>
    <w:rsid w:val="00E927C2"/>
    <w:rsid w:val="00E938AC"/>
    <w:rsid w:val="00E95869"/>
    <w:rsid w:val="00E95BD5"/>
    <w:rsid w:val="00E95E3B"/>
    <w:rsid w:val="00E96028"/>
    <w:rsid w:val="00E96261"/>
    <w:rsid w:val="00E96A47"/>
    <w:rsid w:val="00E96C6C"/>
    <w:rsid w:val="00E97000"/>
    <w:rsid w:val="00E973D0"/>
    <w:rsid w:val="00E97600"/>
    <w:rsid w:val="00E9772E"/>
    <w:rsid w:val="00E97BD8"/>
    <w:rsid w:val="00EA03D8"/>
    <w:rsid w:val="00EA09BB"/>
    <w:rsid w:val="00EA0A3C"/>
    <w:rsid w:val="00EA0AB0"/>
    <w:rsid w:val="00EA1201"/>
    <w:rsid w:val="00EA1AED"/>
    <w:rsid w:val="00EA1D66"/>
    <w:rsid w:val="00EA291C"/>
    <w:rsid w:val="00EA409E"/>
    <w:rsid w:val="00EA4C06"/>
    <w:rsid w:val="00EA51C1"/>
    <w:rsid w:val="00EA59C9"/>
    <w:rsid w:val="00EA693B"/>
    <w:rsid w:val="00EA6ED6"/>
    <w:rsid w:val="00EA6FDE"/>
    <w:rsid w:val="00EB0406"/>
    <w:rsid w:val="00EB0984"/>
    <w:rsid w:val="00EB09A7"/>
    <w:rsid w:val="00EB0CA8"/>
    <w:rsid w:val="00EB0EB0"/>
    <w:rsid w:val="00EB0F07"/>
    <w:rsid w:val="00EB11D6"/>
    <w:rsid w:val="00EB17F7"/>
    <w:rsid w:val="00EB1930"/>
    <w:rsid w:val="00EB1E09"/>
    <w:rsid w:val="00EB2708"/>
    <w:rsid w:val="00EB2830"/>
    <w:rsid w:val="00EB3694"/>
    <w:rsid w:val="00EB3700"/>
    <w:rsid w:val="00EB3BA4"/>
    <w:rsid w:val="00EB3DCF"/>
    <w:rsid w:val="00EB449E"/>
    <w:rsid w:val="00EB4DF6"/>
    <w:rsid w:val="00EB4F33"/>
    <w:rsid w:val="00EB58F3"/>
    <w:rsid w:val="00EB5B99"/>
    <w:rsid w:val="00EB5BA8"/>
    <w:rsid w:val="00EB610D"/>
    <w:rsid w:val="00EB64B1"/>
    <w:rsid w:val="00EB69CF"/>
    <w:rsid w:val="00EB6E24"/>
    <w:rsid w:val="00EB78CD"/>
    <w:rsid w:val="00EB7B26"/>
    <w:rsid w:val="00EB7C54"/>
    <w:rsid w:val="00EC0374"/>
    <w:rsid w:val="00EC0A91"/>
    <w:rsid w:val="00EC0DC6"/>
    <w:rsid w:val="00EC10B6"/>
    <w:rsid w:val="00EC173F"/>
    <w:rsid w:val="00EC1865"/>
    <w:rsid w:val="00EC1CC4"/>
    <w:rsid w:val="00EC1CCD"/>
    <w:rsid w:val="00EC1D8E"/>
    <w:rsid w:val="00EC1E0C"/>
    <w:rsid w:val="00EC23FC"/>
    <w:rsid w:val="00EC36B7"/>
    <w:rsid w:val="00EC3925"/>
    <w:rsid w:val="00EC406F"/>
    <w:rsid w:val="00EC5DA0"/>
    <w:rsid w:val="00EC6711"/>
    <w:rsid w:val="00EC719B"/>
    <w:rsid w:val="00EC7676"/>
    <w:rsid w:val="00ED010A"/>
    <w:rsid w:val="00ED1312"/>
    <w:rsid w:val="00ED1367"/>
    <w:rsid w:val="00ED2162"/>
    <w:rsid w:val="00ED25F4"/>
    <w:rsid w:val="00ED271F"/>
    <w:rsid w:val="00ED3246"/>
    <w:rsid w:val="00ED3857"/>
    <w:rsid w:val="00ED3929"/>
    <w:rsid w:val="00ED4215"/>
    <w:rsid w:val="00ED52A9"/>
    <w:rsid w:val="00ED5FD4"/>
    <w:rsid w:val="00ED61AA"/>
    <w:rsid w:val="00ED68BE"/>
    <w:rsid w:val="00ED70FB"/>
    <w:rsid w:val="00ED7364"/>
    <w:rsid w:val="00ED73EA"/>
    <w:rsid w:val="00ED77ED"/>
    <w:rsid w:val="00ED7957"/>
    <w:rsid w:val="00ED7B96"/>
    <w:rsid w:val="00ED7BC4"/>
    <w:rsid w:val="00ED7E6C"/>
    <w:rsid w:val="00EE0458"/>
    <w:rsid w:val="00EE04F4"/>
    <w:rsid w:val="00EE1098"/>
    <w:rsid w:val="00EE1CDE"/>
    <w:rsid w:val="00EE2262"/>
    <w:rsid w:val="00EE248B"/>
    <w:rsid w:val="00EE2995"/>
    <w:rsid w:val="00EE3099"/>
    <w:rsid w:val="00EE3540"/>
    <w:rsid w:val="00EE35E4"/>
    <w:rsid w:val="00EE3AF9"/>
    <w:rsid w:val="00EE3C91"/>
    <w:rsid w:val="00EE43DF"/>
    <w:rsid w:val="00EE4ADF"/>
    <w:rsid w:val="00EE5535"/>
    <w:rsid w:val="00EE58CA"/>
    <w:rsid w:val="00EE63A5"/>
    <w:rsid w:val="00EE6500"/>
    <w:rsid w:val="00EE6850"/>
    <w:rsid w:val="00EE730D"/>
    <w:rsid w:val="00EE7410"/>
    <w:rsid w:val="00EF1122"/>
    <w:rsid w:val="00EF12CE"/>
    <w:rsid w:val="00EF1617"/>
    <w:rsid w:val="00EF2373"/>
    <w:rsid w:val="00EF23A9"/>
    <w:rsid w:val="00EF28B7"/>
    <w:rsid w:val="00EF2EA2"/>
    <w:rsid w:val="00EF3A65"/>
    <w:rsid w:val="00EF3A86"/>
    <w:rsid w:val="00EF411B"/>
    <w:rsid w:val="00EF429D"/>
    <w:rsid w:val="00EF433F"/>
    <w:rsid w:val="00EF446C"/>
    <w:rsid w:val="00EF4978"/>
    <w:rsid w:val="00EF4ED7"/>
    <w:rsid w:val="00EF5027"/>
    <w:rsid w:val="00EF5363"/>
    <w:rsid w:val="00EF5642"/>
    <w:rsid w:val="00EF5798"/>
    <w:rsid w:val="00EF5CA4"/>
    <w:rsid w:val="00EF601B"/>
    <w:rsid w:val="00EF626C"/>
    <w:rsid w:val="00EF6390"/>
    <w:rsid w:val="00EF68E2"/>
    <w:rsid w:val="00EF789A"/>
    <w:rsid w:val="00F00496"/>
    <w:rsid w:val="00F00A35"/>
    <w:rsid w:val="00F00CFE"/>
    <w:rsid w:val="00F013B5"/>
    <w:rsid w:val="00F017D2"/>
    <w:rsid w:val="00F01B1A"/>
    <w:rsid w:val="00F01BC7"/>
    <w:rsid w:val="00F01E2D"/>
    <w:rsid w:val="00F02F7A"/>
    <w:rsid w:val="00F03024"/>
    <w:rsid w:val="00F03564"/>
    <w:rsid w:val="00F03C5C"/>
    <w:rsid w:val="00F03E41"/>
    <w:rsid w:val="00F0411F"/>
    <w:rsid w:val="00F043AC"/>
    <w:rsid w:val="00F04C8F"/>
    <w:rsid w:val="00F058F7"/>
    <w:rsid w:val="00F05AD8"/>
    <w:rsid w:val="00F06217"/>
    <w:rsid w:val="00F06A70"/>
    <w:rsid w:val="00F06F74"/>
    <w:rsid w:val="00F071F4"/>
    <w:rsid w:val="00F07318"/>
    <w:rsid w:val="00F100A4"/>
    <w:rsid w:val="00F11128"/>
    <w:rsid w:val="00F11377"/>
    <w:rsid w:val="00F1151D"/>
    <w:rsid w:val="00F121FD"/>
    <w:rsid w:val="00F12623"/>
    <w:rsid w:val="00F12A41"/>
    <w:rsid w:val="00F12C52"/>
    <w:rsid w:val="00F13DA3"/>
    <w:rsid w:val="00F13E59"/>
    <w:rsid w:val="00F13E81"/>
    <w:rsid w:val="00F13FB6"/>
    <w:rsid w:val="00F14439"/>
    <w:rsid w:val="00F14A25"/>
    <w:rsid w:val="00F150A4"/>
    <w:rsid w:val="00F16599"/>
    <w:rsid w:val="00F16628"/>
    <w:rsid w:val="00F17877"/>
    <w:rsid w:val="00F17B97"/>
    <w:rsid w:val="00F17D33"/>
    <w:rsid w:val="00F20021"/>
    <w:rsid w:val="00F20945"/>
    <w:rsid w:val="00F216B8"/>
    <w:rsid w:val="00F2191A"/>
    <w:rsid w:val="00F21B4C"/>
    <w:rsid w:val="00F21E4B"/>
    <w:rsid w:val="00F23EEC"/>
    <w:rsid w:val="00F24021"/>
    <w:rsid w:val="00F242E2"/>
    <w:rsid w:val="00F244A7"/>
    <w:rsid w:val="00F2481D"/>
    <w:rsid w:val="00F25284"/>
    <w:rsid w:val="00F257FD"/>
    <w:rsid w:val="00F2587E"/>
    <w:rsid w:val="00F259E4"/>
    <w:rsid w:val="00F25B95"/>
    <w:rsid w:val="00F25DCB"/>
    <w:rsid w:val="00F25F8C"/>
    <w:rsid w:val="00F26F7F"/>
    <w:rsid w:val="00F27656"/>
    <w:rsid w:val="00F27CD2"/>
    <w:rsid w:val="00F3013B"/>
    <w:rsid w:val="00F302BD"/>
    <w:rsid w:val="00F30389"/>
    <w:rsid w:val="00F3070A"/>
    <w:rsid w:val="00F30AB8"/>
    <w:rsid w:val="00F30B5F"/>
    <w:rsid w:val="00F31723"/>
    <w:rsid w:val="00F3176A"/>
    <w:rsid w:val="00F3177C"/>
    <w:rsid w:val="00F321D0"/>
    <w:rsid w:val="00F32735"/>
    <w:rsid w:val="00F32A47"/>
    <w:rsid w:val="00F33576"/>
    <w:rsid w:val="00F33871"/>
    <w:rsid w:val="00F34564"/>
    <w:rsid w:val="00F34D31"/>
    <w:rsid w:val="00F34D3A"/>
    <w:rsid w:val="00F3508E"/>
    <w:rsid w:val="00F352CC"/>
    <w:rsid w:val="00F354B5"/>
    <w:rsid w:val="00F360FF"/>
    <w:rsid w:val="00F36711"/>
    <w:rsid w:val="00F37008"/>
    <w:rsid w:val="00F3783A"/>
    <w:rsid w:val="00F37B48"/>
    <w:rsid w:val="00F37BBF"/>
    <w:rsid w:val="00F4086C"/>
    <w:rsid w:val="00F423B7"/>
    <w:rsid w:val="00F4370C"/>
    <w:rsid w:val="00F444BD"/>
    <w:rsid w:val="00F44787"/>
    <w:rsid w:val="00F451FD"/>
    <w:rsid w:val="00F45870"/>
    <w:rsid w:val="00F45DCF"/>
    <w:rsid w:val="00F45E5B"/>
    <w:rsid w:val="00F4618F"/>
    <w:rsid w:val="00F469AB"/>
    <w:rsid w:val="00F46B2F"/>
    <w:rsid w:val="00F46B37"/>
    <w:rsid w:val="00F47BC3"/>
    <w:rsid w:val="00F47F7C"/>
    <w:rsid w:val="00F50252"/>
    <w:rsid w:val="00F5036C"/>
    <w:rsid w:val="00F5051D"/>
    <w:rsid w:val="00F50772"/>
    <w:rsid w:val="00F50F40"/>
    <w:rsid w:val="00F5127A"/>
    <w:rsid w:val="00F519A7"/>
    <w:rsid w:val="00F51A09"/>
    <w:rsid w:val="00F521B2"/>
    <w:rsid w:val="00F524F8"/>
    <w:rsid w:val="00F5266A"/>
    <w:rsid w:val="00F53059"/>
    <w:rsid w:val="00F5307C"/>
    <w:rsid w:val="00F53507"/>
    <w:rsid w:val="00F537C0"/>
    <w:rsid w:val="00F538AA"/>
    <w:rsid w:val="00F54EAA"/>
    <w:rsid w:val="00F5532C"/>
    <w:rsid w:val="00F55C4F"/>
    <w:rsid w:val="00F55FBA"/>
    <w:rsid w:val="00F56412"/>
    <w:rsid w:val="00F568FA"/>
    <w:rsid w:val="00F56DEC"/>
    <w:rsid w:val="00F5707E"/>
    <w:rsid w:val="00F5727F"/>
    <w:rsid w:val="00F57B81"/>
    <w:rsid w:val="00F57F46"/>
    <w:rsid w:val="00F602BB"/>
    <w:rsid w:val="00F60422"/>
    <w:rsid w:val="00F615C3"/>
    <w:rsid w:val="00F61CCA"/>
    <w:rsid w:val="00F623A1"/>
    <w:rsid w:val="00F623F8"/>
    <w:rsid w:val="00F62943"/>
    <w:rsid w:val="00F62F0F"/>
    <w:rsid w:val="00F63382"/>
    <w:rsid w:val="00F63528"/>
    <w:rsid w:val="00F63BA6"/>
    <w:rsid w:val="00F6430A"/>
    <w:rsid w:val="00F6619F"/>
    <w:rsid w:val="00F66DC0"/>
    <w:rsid w:val="00F671F3"/>
    <w:rsid w:val="00F6774F"/>
    <w:rsid w:val="00F67948"/>
    <w:rsid w:val="00F705A3"/>
    <w:rsid w:val="00F70871"/>
    <w:rsid w:val="00F70D62"/>
    <w:rsid w:val="00F7131B"/>
    <w:rsid w:val="00F713EA"/>
    <w:rsid w:val="00F72086"/>
    <w:rsid w:val="00F732C2"/>
    <w:rsid w:val="00F73388"/>
    <w:rsid w:val="00F73500"/>
    <w:rsid w:val="00F73A7A"/>
    <w:rsid w:val="00F73D59"/>
    <w:rsid w:val="00F74297"/>
    <w:rsid w:val="00F747FA"/>
    <w:rsid w:val="00F7482B"/>
    <w:rsid w:val="00F74F94"/>
    <w:rsid w:val="00F754A6"/>
    <w:rsid w:val="00F76AB9"/>
    <w:rsid w:val="00F77956"/>
    <w:rsid w:val="00F77C39"/>
    <w:rsid w:val="00F77CF3"/>
    <w:rsid w:val="00F8013D"/>
    <w:rsid w:val="00F803CD"/>
    <w:rsid w:val="00F80793"/>
    <w:rsid w:val="00F81666"/>
    <w:rsid w:val="00F818AF"/>
    <w:rsid w:val="00F81E60"/>
    <w:rsid w:val="00F820AF"/>
    <w:rsid w:val="00F82D29"/>
    <w:rsid w:val="00F83351"/>
    <w:rsid w:val="00F83750"/>
    <w:rsid w:val="00F8453D"/>
    <w:rsid w:val="00F84750"/>
    <w:rsid w:val="00F84901"/>
    <w:rsid w:val="00F84949"/>
    <w:rsid w:val="00F8557F"/>
    <w:rsid w:val="00F85EBC"/>
    <w:rsid w:val="00F870F9"/>
    <w:rsid w:val="00F8777F"/>
    <w:rsid w:val="00F90ADD"/>
    <w:rsid w:val="00F91CCF"/>
    <w:rsid w:val="00F9306B"/>
    <w:rsid w:val="00F93195"/>
    <w:rsid w:val="00F9319A"/>
    <w:rsid w:val="00F93901"/>
    <w:rsid w:val="00F93FCB"/>
    <w:rsid w:val="00F95C1D"/>
    <w:rsid w:val="00F95C73"/>
    <w:rsid w:val="00F9653D"/>
    <w:rsid w:val="00F974FF"/>
    <w:rsid w:val="00F97E1F"/>
    <w:rsid w:val="00FA04F1"/>
    <w:rsid w:val="00FA0A6E"/>
    <w:rsid w:val="00FA0B4D"/>
    <w:rsid w:val="00FA15D7"/>
    <w:rsid w:val="00FA200D"/>
    <w:rsid w:val="00FA21E6"/>
    <w:rsid w:val="00FA31FC"/>
    <w:rsid w:val="00FA3633"/>
    <w:rsid w:val="00FA438D"/>
    <w:rsid w:val="00FA4F83"/>
    <w:rsid w:val="00FA53B3"/>
    <w:rsid w:val="00FA60AE"/>
    <w:rsid w:val="00FA637C"/>
    <w:rsid w:val="00FA6A55"/>
    <w:rsid w:val="00FA7087"/>
    <w:rsid w:val="00FA728E"/>
    <w:rsid w:val="00FA767D"/>
    <w:rsid w:val="00FB018A"/>
    <w:rsid w:val="00FB0D00"/>
    <w:rsid w:val="00FB0E22"/>
    <w:rsid w:val="00FB165B"/>
    <w:rsid w:val="00FB2105"/>
    <w:rsid w:val="00FB214C"/>
    <w:rsid w:val="00FB2297"/>
    <w:rsid w:val="00FB2691"/>
    <w:rsid w:val="00FB2CFB"/>
    <w:rsid w:val="00FB322E"/>
    <w:rsid w:val="00FB3DD3"/>
    <w:rsid w:val="00FB3F07"/>
    <w:rsid w:val="00FB42FA"/>
    <w:rsid w:val="00FB49A1"/>
    <w:rsid w:val="00FB4D4E"/>
    <w:rsid w:val="00FB531B"/>
    <w:rsid w:val="00FB5809"/>
    <w:rsid w:val="00FB5C87"/>
    <w:rsid w:val="00FB5DF0"/>
    <w:rsid w:val="00FB5F5C"/>
    <w:rsid w:val="00FB6A55"/>
    <w:rsid w:val="00FB7229"/>
    <w:rsid w:val="00FB7CEE"/>
    <w:rsid w:val="00FB7D43"/>
    <w:rsid w:val="00FB7FEF"/>
    <w:rsid w:val="00FC0454"/>
    <w:rsid w:val="00FC1212"/>
    <w:rsid w:val="00FC16FF"/>
    <w:rsid w:val="00FC22FF"/>
    <w:rsid w:val="00FC432A"/>
    <w:rsid w:val="00FC44D7"/>
    <w:rsid w:val="00FC4DBA"/>
    <w:rsid w:val="00FC502D"/>
    <w:rsid w:val="00FC56A8"/>
    <w:rsid w:val="00FC581A"/>
    <w:rsid w:val="00FC618F"/>
    <w:rsid w:val="00FC641A"/>
    <w:rsid w:val="00FC738B"/>
    <w:rsid w:val="00FC7487"/>
    <w:rsid w:val="00FC75C5"/>
    <w:rsid w:val="00FC7D48"/>
    <w:rsid w:val="00FD042B"/>
    <w:rsid w:val="00FD0925"/>
    <w:rsid w:val="00FD0D7D"/>
    <w:rsid w:val="00FD107C"/>
    <w:rsid w:val="00FD15CB"/>
    <w:rsid w:val="00FD1997"/>
    <w:rsid w:val="00FD1B56"/>
    <w:rsid w:val="00FD20CF"/>
    <w:rsid w:val="00FD2A77"/>
    <w:rsid w:val="00FD2BBD"/>
    <w:rsid w:val="00FD3123"/>
    <w:rsid w:val="00FD3401"/>
    <w:rsid w:val="00FD3A86"/>
    <w:rsid w:val="00FD47C8"/>
    <w:rsid w:val="00FD5638"/>
    <w:rsid w:val="00FD5FE0"/>
    <w:rsid w:val="00FD6488"/>
    <w:rsid w:val="00FD66E4"/>
    <w:rsid w:val="00FD6727"/>
    <w:rsid w:val="00FD6EEF"/>
    <w:rsid w:val="00FD755E"/>
    <w:rsid w:val="00FD7861"/>
    <w:rsid w:val="00FD786F"/>
    <w:rsid w:val="00FD7EE0"/>
    <w:rsid w:val="00FE0349"/>
    <w:rsid w:val="00FE0A25"/>
    <w:rsid w:val="00FE0F43"/>
    <w:rsid w:val="00FE120E"/>
    <w:rsid w:val="00FE12AA"/>
    <w:rsid w:val="00FE14F6"/>
    <w:rsid w:val="00FE1BD2"/>
    <w:rsid w:val="00FE1C2A"/>
    <w:rsid w:val="00FE2851"/>
    <w:rsid w:val="00FE2BF7"/>
    <w:rsid w:val="00FE339A"/>
    <w:rsid w:val="00FE3704"/>
    <w:rsid w:val="00FE39F6"/>
    <w:rsid w:val="00FE3ADC"/>
    <w:rsid w:val="00FE3F1C"/>
    <w:rsid w:val="00FE4C45"/>
    <w:rsid w:val="00FE4CF1"/>
    <w:rsid w:val="00FE4CFE"/>
    <w:rsid w:val="00FE50B8"/>
    <w:rsid w:val="00FE56EF"/>
    <w:rsid w:val="00FE5DE6"/>
    <w:rsid w:val="00FE5E51"/>
    <w:rsid w:val="00FE5EA2"/>
    <w:rsid w:val="00FE5FDC"/>
    <w:rsid w:val="00FE64E6"/>
    <w:rsid w:val="00FE72A0"/>
    <w:rsid w:val="00FE7733"/>
    <w:rsid w:val="00FF0282"/>
    <w:rsid w:val="00FF07B7"/>
    <w:rsid w:val="00FF0889"/>
    <w:rsid w:val="00FF0C96"/>
    <w:rsid w:val="00FF1154"/>
    <w:rsid w:val="00FF130D"/>
    <w:rsid w:val="00FF21B2"/>
    <w:rsid w:val="00FF2C8C"/>
    <w:rsid w:val="00FF3043"/>
    <w:rsid w:val="00FF451D"/>
    <w:rsid w:val="00FF4E66"/>
    <w:rsid w:val="00FF531A"/>
    <w:rsid w:val="00FF5765"/>
    <w:rsid w:val="00FF6019"/>
    <w:rsid w:val="00FF6683"/>
    <w:rsid w:val="00FF66BF"/>
    <w:rsid w:val="00FF682A"/>
    <w:rsid w:val="00FF6966"/>
    <w:rsid w:val="00FF7857"/>
    <w:rsid w:val="00FF7CE4"/>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B93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List" w:uiPriority="99"/>
    <w:lsdException w:name="List Number" w:semiHidden="0" w:unhideWhenUsed="0"/>
    <w:lsdException w:name="List 3" w:uiPriority="99"/>
    <w:lsdException w:name="List 4" w:semiHidden="0" w:unhideWhenUsed="0"/>
    <w:lsdException w:name="List 5" w:semiHidden="0" w:unhideWhenUsed="0"/>
    <w:lsdException w:name="List Bullet 3" w:uiPriority="99"/>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837"/>
    <w:pPr>
      <w:spacing w:after="240"/>
      <w:ind w:left="720"/>
    </w:pPr>
    <w:rPr>
      <w:rFonts w:ascii="Garamond" w:hAnsi="Garamond"/>
      <w:sz w:val="24"/>
    </w:rPr>
  </w:style>
  <w:style w:type="paragraph" w:styleId="Heading1">
    <w:name w:val="heading 1"/>
    <w:aliases w:val="H1"/>
    <w:basedOn w:val="TOC1"/>
    <w:next w:val="Normal"/>
    <w:link w:val="Heading1Char"/>
    <w:qFormat/>
    <w:rsid w:val="00C74837"/>
    <w:pPr>
      <w:spacing w:before="240" w:after="240"/>
      <w:jc w:val="right"/>
      <w:outlineLvl w:val="0"/>
    </w:pPr>
    <w:rPr>
      <w:rFonts w:ascii="Tahoma" w:hAnsi="Tahoma" w:cs="Arial"/>
      <w:i w:val="0"/>
      <w:sz w:val="48"/>
      <w:szCs w:val="44"/>
    </w:rPr>
  </w:style>
  <w:style w:type="paragraph" w:styleId="Heading2">
    <w:name w:val="heading 2"/>
    <w:aliases w:val="H2,Heading 2 Char1 Char,Heading 2 Char Char Char"/>
    <w:basedOn w:val="TOC2"/>
    <w:next w:val="Normal"/>
    <w:link w:val="Heading2Char"/>
    <w:autoRedefine/>
    <w:qFormat/>
    <w:rsid w:val="00397B17"/>
    <w:pPr>
      <w:keepNext/>
      <w:pageBreakBefore/>
      <w:pBdr>
        <w:bottom w:val="single" w:sz="4" w:space="1" w:color="auto"/>
      </w:pBdr>
      <w:spacing w:before="240"/>
      <w:ind w:left="3402" w:hanging="3402"/>
      <w:outlineLvl w:val="1"/>
    </w:pPr>
    <w:rPr>
      <w:rFonts w:ascii="Tahoma" w:hAnsi="Tahoma"/>
      <w:bCs w:val="0"/>
      <w:sz w:val="44"/>
    </w:rPr>
  </w:style>
  <w:style w:type="paragraph" w:styleId="Heading3">
    <w:name w:val="heading 3"/>
    <w:aliases w:val="H3,Heading 3 Char1 Char,Heading 3 Char Char Char,Heading 3 Char1 Char Char Char,Heading 3 Char Char Char Char Char,H3 Char Char Char Char Char,Heading 3 Char Char1 Char,H31 Char,H32 Char,Heading 3 Char1,Heading 3 Char Char"/>
    <w:basedOn w:val="TOC3"/>
    <w:next w:val="Normal"/>
    <w:link w:val="Heading3Char"/>
    <w:qFormat/>
    <w:rsid w:val="00C74837"/>
    <w:pPr>
      <w:spacing w:before="240" w:after="240"/>
      <w:ind w:left="709"/>
      <w:outlineLvl w:val="2"/>
    </w:pPr>
    <w:rPr>
      <w:rFonts w:ascii="Tahoma" w:hAnsi="Tahoma"/>
      <w:b/>
      <w:sz w:val="32"/>
    </w:rPr>
  </w:style>
  <w:style w:type="paragraph" w:styleId="Heading4">
    <w:name w:val="heading 4"/>
    <w:aliases w:val="H4"/>
    <w:basedOn w:val="Normal"/>
    <w:next w:val="Normal"/>
    <w:link w:val="Heading4Char"/>
    <w:qFormat/>
    <w:rsid w:val="00C74837"/>
    <w:pPr>
      <w:spacing w:before="240"/>
      <w:ind w:left="992"/>
      <w:outlineLvl w:val="3"/>
    </w:pPr>
    <w:rPr>
      <w:rFonts w:ascii="Tahoma" w:hAnsi="Tahoma"/>
      <w:b/>
      <w:sz w:val="26"/>
    </w:rPr>
  </w:style>
  <w:style w:type="paragraph" w:styleId="Heading5">
    <w:name w:val="heading 5"/>
    <w:aliases w:val="H5"/>
    <w:basedOn w:val="Normal"/>
    <w:next w:val="Normal"/>
    <w:link w:val="Heading5Char"/>
    <w:qFormat/>
    <w:rsid w:val="00C74837"/>
    <w:pPr>
      <w:spacing w:before="240"/>
      <w:ind w:left="1276"/>
      <w:outlineLvl w:val="4"/>
    </w:pPr>
    <w:rPr>
      <w:rFonts w:ascii="Tahoma" w:hAnsi="Tahoma"/>
      <w:b/>
      <w:sz w:val="22"/>
    </w:rPr>
  </w:style>
  <w:style w:type="paragraph" w:styleId="Heading6">
    <w:name w:val="heading 6"/>
    <w:basedOn w:val="Normal"/>
    <w:next w:val="Normal"/>
    <w:link w:val="Heading6Char"/>
    <w:qFormat/>
    <w:rsid w:val="00C74837"/>
    <w:pPr>
      <w:spacing w:before="240"/>
      <w:ind w:left="1559"/>
      <w:outlineLvl w:val="5"/>
    </w:pPr>
    <w:rPr>
      <w:rFonts w:ascii="Tahoma" w:hAnsi="Tahoma"/>
      <w:b/>
      <w:sz w:val="20"/>
    </w:rPr>
  </w:style>
  <w:style w:type="paragraph" w:styleId="Heading7">
    <w:name w:val="heading 7"/>
    <w:basedOn w:val="Normal"/>
    <w:next w:val="Normal"/>
    <w:link w:val="Heading7Char"/>
    <w:qFormat/>
    <w:rsid w:val="00C74837"/>
    <w:pPr>
      <w:keepNext/>
      <w:outlineLvl w:val="6"/>
    </w:pPr>
    <w:rPr>
      <w:i/>
    </w:rPr>
  </w:style>
  <w:style w:type="paragraph" w:styleId="Heading8">
    <w:name w:val="heading 8"/>
    <w:basedOn w:val="Normal"/>
    <w:next w:val="Normal"/>
    <w:link w:val="Heading8Char"/>
    <w:qFormat/>
    <w:rsid w:val="00C74837"/>
    <w:pPr>
      <w:keepNext/>
      <w:outlineLvl w:val="7"/>
    </w:pPr>
    <w:rPr>
      <w:u w:val="single"/>
    </w:rPr>
  </w:style>
  <w:style w:type="paragraph" w:styleId="Heading9">
    <w:name w:val="heading 9"/>
    <w:basedOn w:val="Normal"/>
    <w:next w:val="Normal"/>
    <w:link w:val="Heading9Char"/>
    <w:qFormat/>
    <w:rsid w:val="00C74837"/>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eading 2 Char1 Char Char,Heading 2 Char Char Char Char"/>
    <w:link w:val="Heading2"/>
    <w:rsid w:val="00397B17"/>
    <w:rPr>
      <w:rFonts w:ascii="Tahoma" w:hAnsi="Tahoma"/>
      <w:b/>
      <w:sz w:val="44"/>
      <w:szCs w:val="22"/>
    </w:rPr>
  </w:style>
  <w:style w:type="paragraph" w:customStyle="1" w:styleId="Bullet">
    <w:name w:val="Bullet"/>
    <w:basedOn w:val="Normal"/>
    <w:pPr>
      <w:numPr>
        <w:numId w:val="1"/>
      </w:numPr>
    </w:p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paragraph" w:styleId="Date">
    <w:name w:val="Date"/>
    <w:basedOn w:val="Normal"/>
    <w:next w:val="Normal"/>
    <w:pPr>
      <w:ind w:right="113"/>
      <w:jc w:val="right"/>
    </w:pPr>
    <w:rPr>
      <w:rFonts w:ascii="Arial" w:hAnsi="Arial"/>
      <w:b/>
      <w:sz w:val="36"/>
    </w:rPr>
  </w:style>
  <w:style w:type="paragraph" w:customStyle="1" w:styleId="Summaryboxtext">
    <w:name w:val="Summary box text"/>
    <w:basedOn w:val="Normal"/>
    <w:rsid w:val="000A3AAF"/>
    <w:pPr>
      <w:spacing w:after="100" w:afterAutospacing="1"/>
      <w:ind w:left="0"/>
    </w:pPr>
    <w:rPr>
      <w:rFonts w:ascii="Arial Narrow" w:hAnsi="Arial Narrow"/>
    </w:rPr>
  </w:style>
  <w:style w:type="paragraph" w:styleId="Footer">
    <w:name w:val="footer"/>
    <w:basedOn w:val="Normal"/>
    <w:link w:val="FooterChar"/>
    <w:uiPriority w:val="99"/>
    <w:pPr>
      <w:pBdr>
        <w:top w:val="single" w:sz="4" w:space="9" w:color="auto"/>
      </w:pBdr>
      <w:tabs>
        <w:tab w:val="right" w:pos="9000"/>
      </w:tabs>
    </w:pPr>
    <w:rPr>
      <w:rFonts w:ascii="Arial" w:hAnsi="Arial"/>
      <w:b/>
      <w:sz w:val="20"/>
    </w:r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rPr>
      <w:sz w:val="20"/>
    </w:rPr>
  </w:style>
  <w:style w:type="paragraph" w:styleId="Header">
    <w:name w:val="header"/>
    <w:basedOn w:val="Normal"/>
    <w:link w:val="HeaderChar"/>
    <w:uiPriority w:val="99"/>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3F17D5"/>
    <w:pPr>
      <w:outlineLvl w:val="9"/>
    </w:pPr>
    <w:rPr>
      <w:sz w:val="22"/>
    </w:rPr>
  </w:style>
  <w:style w:type="character" w:styleId="PageNumber">
    <w:name w:val="page number"/>
    <w:rPr>
      <w:rFonts w:ascii="Tahoma" w:hAnsi="Tahoma"/>
      <w:b/>
      <w:sz w:val="18"/>
    </w:rPr>
  </w:style>
  <w:style w:type="paragraph" w:customStyle="1" w:styleId="PublicationTitle">
    <w:name w:val="PublicationTitle"/>
    <w:basedOn w:val="Normal"/>
    <w:pPr>
      <w:spacing w:line="480" w:lineRule="exact"/>
      <w:ind w:left="0" w:right="113"/>
      <w:jc w:val="right"/>
    </w:pPr>
    <w:rPr>
      <w:rFonts w:ascii="Arial" w:hAnsi="Arial"/>
      <w:b/>
      <w:i/>
      <w:sz w:val="44"/>
    </w:rPr>
  </w:style>
  <w:style w:type="paragraph" w:customStyle="1" w:styleId="References">
    <w:name w:val="References"/>
    <w:basedOn w:val="Normal"/>
    <w:pPr>
      <w:keepLines/>
      <w:ind w:left="1440" w:hanging="720"/>
    </w:pPr>
  </w:style>
  <w:style w:type="paragraph" w:customStyle="1" w:styleId="Sub-title">
    <w:name w:val="Sub-title"/>
    <w:basedOn w:val="Normal"/>
    <w:pPr>
      <w:ind w:left="0" w:right="113"/>
      <w:jc w:val="right"/>
    </w:pPr>
    <w:rPr>
      <w:rFonts w:ascii="Arial" w:hAnsi="Arial"/>
      <w:b/>
      <w:sz w:val="32"/>
    </w:rPr>
  </w:style>
  <w:style w:type="paragraph" w:styleId="TableofFigures">
    <w:name w:val="table of figures"/>
    <w:basedOn w:val="Normal"/>
    <w:next w:val="Normal"/>
    <w:uiPriority w:val="99"/>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qFormat/>
    <w:rsid w:val="00C74837"/>
    <w:pPr>
      <w:keepNext/>
      <w:spacing w:before="40" w:after="40"/>
      <w:ind w:left="0"/>
    </w:pPr>
    <w:rPr>
      <w:rFonts w:ascii="Arial Narrow" w:hAnsi="Arial Narrow"/>
      <w:sz w:val="18"/>
    </w:rPr>
  </w:style>
  <w:style w:type="character" w:customStyle="1" w:styleId="TableTextChar">
    <w:name w:val="TableText Char"/>
    <w:link w:val="TableText"/>
    <w:rsid w:val="00C74837"/>
    <w:rPr>
      <w:rFonts w:ascii="Arial Narrow" w:hAnsi="Arial Narrow"/>
      <w:sz w:val="18"/>
    </w:rPr>
  </w:style>
  <w:style w:type="paragraph" w:customStyle="1" w:styleId="TableHeading">
    <w:name w:val="TableHeading"/>
    <w:basedOn w:val="TableText"/>
    <w:link w:val="TableHeadingChar"/>
    <w:uiPriority w:val="99"/>
    <w:rsid w:val="00862A16"/>
    <w:rPr>
      <w:b/>
    </w:rPr>
  </w:style>
  <w:style w:type="character" w:customStyle="1" w:styleId="TableHeadingChar">
    <w:name w:val="TableHeading Char"/>
    <w:link w:val="TableHeading"/>
    <w:uiPriority w:val="99"/>
    <w:rsid w:val="00862A16"/>
    <w:rPr>
      <w:rFonts w:ascii="Arial Narrow" w:hAnsi="Arial Narrow"/>
      <w:b/>
      <w:sz w:val="18"/>
      <w:lang w:val="en-AU" w:eastAsia="en-AU" w:bidi="ar-SA"/>
    </w:rPr>
  </w:style>
  <w:style w:type="paragraph" w:customStyle="1" w:styleId="TableName">
    <w:name w:val="TableName"/>
    <w:basedOn w:val="TableText"/>
    <w:link w:val="TableNameChar"/>
    <w:qFormat/>
    <w:rsid w:val="00C74837"/>
    <w:pPr>
      <w:ind w:left="1440" w:hanging="720"/>
    </w:pPr>
    <w:rPr>
      <w:b/>
      <w:sz w:val="20"/>
    </w:rPr>
  </w:style>
  <w:style w:type="character" w:customStyle="1" w:styleId="TableNameChar">
    <w:name w:val="TableName Char"/>
    <w:link w:val="TableName"/>
    <w:rsid w:val="00C74837"/>
    <w:rPr>
      <w:rFonts w:ascii="Arial Narrow" w:hAnsi="Arial Narrow"/>
      <w:b/>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C74837"/>
    <w:pPr>
      <w:ind w:left="0"/>
      <w:jc w:val="center"/>
    </w:pPr>
    <w:rPr>
      <w:rFonts w:ascii="Arial" w:hAnsi="Arial"/>
      <w:b/>
      <w:smallCaps/>
      <w:sz w:val="44"/>
    </w:rPr>
  </w:style>
  <w:style w:type="paragraph" w:styleId="TOC1">
    <w:name w:val="toc 1"/>
    <w:basedOn w:val="Normal"/>
    <w:next w:val="Normal"/>
    <w:autoRedefine/>
    <w:uiPriority w:val="39"/>
    <w:qFormat/>
    <w:rsid w:val="00C74837"/>
    <w:pPr>
      <w:tabs>
        <w:tab w:val="right" w:leader="dot" w:pos="9016"/>
      </w:tabs>
      <w:spacing w:before="120" w:after="0"/>
      <w:ind w:left="709"/>
    </w:pPr>
    <w:rPr>
      <w:rFonts w:asciiTheme="minorHAnsi" w:hAnsiTheme="minorHAnsi"/>
      <w:b/>
      <w:bCs/>
      <w:i/>
      <w:iCs/>
      <w:szCs w:val="24"/>
    </w:rPr>
  </w:style>
  <w:style w:type="paragraph" w:styleId="TOC2">
    <w:name w:val="toc 2"/>
    <w:aliases w:val="Figures"/>
    <w:basedOn w:val="Normal"/>
    <w:next w:val="Normal"/>
    <w:autoRedefine/>
    <w:uiPriority w:val="39"/>
    <w:qFormat/>
    <w:rsid w:val="00C74837"/>
    <w:pPr>
      <w:tabs>
        <w:tab w:val="right" w:leader="dot" w:pos="9016"/>
      </w:tabs>
      <w:spacing w:before="120" w:after="0"/>
      <w:ind w:left="1134"/>
    </w:pPr>
    <w:rPr>
      <w:rFonts w:asciiTheme="minorHAnsi" w:hAnsiTheme="minorHAnsi"/>
      <w:b/>
      <w:bCs/>
      <w:sz w:val="22"/>
      <w:szCs w:val="22"/>
    </w:rPr>
  </w:style>
  <w:style w:type="paragraph" w:styleId="TOC3">
    <w:name w:val="toc 3"/>
    <w:basedOn w:val="Normal"/>
    <w:next w:val="Normal"/>
    <w:autoRedefine/>
    <w:uiPriority w:val="39"/>
    <w:qFormat/>
    <w:rsid w:val="00C74837"/>
    <w:pPr>
      <w:tabs>
        <w:tab w:val="right" w:leader="dot" w:pos="9016"/>
      </w:tabs>
      <w:spacing w:after="0"/>
      <w:ind w:left="1560"/>
    </w:pPr>
    <w:rPr>
      <w:rFonts w:asciiTheme="minorHAnsi" w:hAnsiTheme="minorHAnsi"/>
      <w:sz w:val="20"/>
    </w:rPr>
  </w:style>
  <w:style w:type="paragraph" w:styleId="TOC4">
    <w:name w:val="toc 4"/>
    <w:basedOn w:val="Normal"/>
    <w:next w:val="Normal"/>
    <w:autoRedefine/>
    <w:semiHidden/>
    <w:pPr>
      <w:spacing w:after="0"/>
    </w:pPr>
    <w:rPr>
      <w:rFonts w:asciiTheme="minorHAnsi" w:hAnsiTheme="minorHAnsi"/>
      <w:sz w:val="20"/>
    </w:rPr>
  </w:style>
  <w:style w:type="paragraph" w:styleId="TOC5">
    <w:name w:val="toc 5"/>
    <w:basedOn w:val="Normal"/>
    <w:next w:val="Normal"/>
    <w:autoRedefine/>
    <w:semiHidden/>
    <w:pPr>
      <w:spacing w:after="0"/>
      <w:ind w:left="960"/>
    </w:pPr>
    <w:rPr>
      <w:rFonts w:asciiTheme="minorHAnsi" w:hAnsiTheme="minorHAnsi"/>
      <w:sz w:val="20"/>
    </w:rPr>
  </w:style>
  <w:style w:type="paragraph" w:styleId="TOC6">
    <w:name w:val="toc 6"/>
    <w:basedOn w:val="Normal"/>
    <w:next w:val="Normal"/>
    <w:autoRedefine/>
    <w:semiHidden/>
    <w:pPr>
      <w:spacing w:after="0"/>
      <w:ind w:left="1200"/>
    </w:pPr>
    <w:rPr>
      <w:rFonts w:asciiTheme="minorHAnsi" w:hAnsiTheme="minorHAnsi"/>
      <w:sz w:val="20"/>
    </w:rPr>
  </w:style>
  <w:style w:type="paragraph" w:styleId="TOC7">
    <w:name w:val="toc 7"/>
    <w:basedOn w:val="Normal"/>
    <w:next w:val="Normal"/>
    <w:autoRedefine/>
    <w:semiHidden/>
    <w:pPr>
      <w:spacing w:after="0"/>
      <w:ind w:left="1440"/>
    </w:pPr>
    <w:rPr>
      <w:rFonts w:asciiTheme="minorHAnsi" w:hAnsiTheme="minorHAnsi"/>
      <w:sz w:val="20"/>
    </w:rPr>
  </w:style>
  <w:style w:type="paragraph" w:styleId="TOC8">
    <w:name w:val="toc 8"/>
    <w:basedOn w:val="Normal"/>
    <w:next w:val="Normal"/>
    <w:autoRedefine/>
    <w:semiHidden/>
    <w:pPr>
      <w:spacing w:after="0"/>
      <w:ind w:left="1680"/>
    </w:pPr>
    <w:rPr>
      <w:rFonts w:asciiTheme="minorHAnsi" w:hAnsiTheme="minorHAnsi"/>
      <w:sz w:val="20"/>
    </w:rPr>
  </w:style>
  <w:style w:type="paragraph" w:styleId="TOC9">
    <w:name w:val="toc 9"/>
    <w:basedOn w:val="Normal"/>
    <w:next w:val="Normal"/>
    <w:autoRedefine/>
    <w:semiHidden/>
    <w:rsid w:val="00C4750D"/>
    <w:pPr>
      <w:spacing w:after="0"/>
      <w:ind w:left="1920"/>
    </w:pPr>
    <w:rPr>
      <w:rFonts w:asciiTheme="minorHAnsi" w:hAnsiTheme="minorHAnsi"/>
      <w:sz w:val="20"/>
    </w:rPr>
  </w:style>
  <w:style w:type="paragraph" w:customStyle="1" w:styleId="Dash">
    <w:name w:val="Dash"/>
    <w:basedOn w:val="Normal"/>
    <w:pPr>
      <w:numPr>
        <w:numId w:val="2"/>
      </w:numPr>
    </w:pPr>
  </w:style>
  <w:style w:type="paragraph" w:styleId="Quote">
    <w:name w:val="Quote"/>
    <w:basedOn w:val="Normal"/>
    <w:link w:val="QuoteChar"/>
    <w:qFormat/>
    <w:rsid w:val="00C74837"/>
    <w:pPr>
      <w:keepLines/>
      <w:ind w:left="1440" w:right="720"/>
    </w:pPr>
    <w:rPr>
      <w:sz w:val="22"/>
    </w:rPr>
  </w:style>
  <w:style w:type="paragraph" w:styleId="BodyText">
    <w:name w:val="Body Text"/>
    <w:basedOn w:val="Normal"/>
    <w:link w:val="BodyTextChar"/>
    <w:uiPriority w:val="99"/>
    <w:pPr>
      <w:spacing w:after="0"/>
      <w:ind w:left="0"/>
    </w:pPr>
    <w:rPr>
      <w:rFonts w:ascii="Helv" w:hAnsi="Helv"/>
      <w:b/>
      <w:i/>
      <w:snapToGrid w:val="0"/>
      <w:color w:val="000000"/>
      <w:sz w:val="28"/>
    </w:rPr>
  </w:style>
  <w:style w:type="paragraph" w:styleId="BalloonText">
    <w:name w:val="Balloon Text"/>
    <w:basedOn w:val="Normal"/>
    <w:link w:val="BalloonTextChar"/>
    <w:uiPriority w:val="99"/>
    <w:semiHidden/>
    <w:rsid w:val="00AF06B8"/>
    <w:rPr>
      <w:rFonts w:ascii="Tahoma" w:hAnsi="Tahoma" w:cs="Tahoma"/>
      <w:sz w:val="16"/>
      <w:szCs w:val="16"/>
    </w:rPr>
  </w:style>
  <w:style w:type="character" w:styleId="Hyperlink">
    <w:name w:val="Hyperlink"/>
    <w:uiPriority w:val="99"/>
    <w:rsid w:val="00AF06B8"/>
    <w:rPr>
      <w:color w:val="0000FF"/>
      <w:u w:val="single"/>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C74837"/>
    <w:rPr>
      <w:b/>
      <w:bCs/>
      <w:sz w:val="20"/>
    </w:rPr>
  </w:style>
  <w:style w:type="paragraph" w:customStyle="1" w:styleId="TableHeading0">
    <w:name w:val="Table Heading"/>
    <w:basedOn w:val="Normal"/>
    <w:next w:val="Normal"/>
    <w:rsid w:val="00C9014F"/>
    <w:pPr>
      <w:keepNext/>
      <w:spacing w:before="40" w:after="40"/>
      <w:ind w:left="0"/>
    </w:pPr>
    <w:rPr>
      <w:rFonts w:ascii="Arial" w:hAnsi="Arial"/>
      <w:b/>
      <w:sz w:val="18"/>
      <w:lang w:val="en-GB"/>
    </w:rPr>
  </w:style>
  <w:style w:type="table" w:styleId="TableGrid">
    <w:name w:val="Table Grid"/>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aliases w:val="TT,TE"/>
    <w:basedOn w:val="Normal"/>
    <w:link w:val="TableTextChar0"/>
    <w:uiPriority w:val="99"/>
    <w:rsid w:val="001A4FAC"/>
    <w:pPr>
      <w:keepNext/>
      <w:spacing w:before="40" w:after="40"/>
      <w:ind w:left="0"/>
    </w:pPr>
    <w:rPr>
      <w:rFonts w:ascii="Arial" w:hAnsi="Arial"/>
      <w:sz w:val="18"/>
    </w:rPr>
  </w:style>
  <w:style w:type="character" w:customStyle="1" w:styleId="TableTextChar0">
    <w:name w:val="Table Text Char"/>
    <w:link w:val="TableText0"/>
    <w:rsid w:val="001A4FAC"/>
    <w:rPr>
      <w:rFonts w:ascii="Arial" w:hAnsi="Arial"/>
      <w:sz w:val="18"/>
      <w:lang w:val="en-AU" w:eastAsia="en-US" w:bidi="ar-SA"/>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uiPriority w:val="99"/>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rPr>
  </w:style>
  <w:style w:type="character" w:customStyle="1" w:styleId="BodyTextChar">
    <w:name w:val="Body Text Char"/>
    <w:link w:val="BodyText"/>
    <w:uiPriority w:val="99"/>
    <w:rsid w:val="00E97600"/>
    <w:rPr>
      <w:rFonts w:ascii="Helv" w:hAnsi="Helv"/>
      <w:b/>
      <w:i/>
      <w:snapToGrid w:val="0"/>
      <w:color w:val="000000"/>
      <w:sz w:val="28"/>
      <w:lang w:val="en-AU" w:eastAsia="en-US" w:bidi="ar-SA"/>
    </w:rPr>
  </w:style>
  <w:style w:type="paragraph" w:customStyle="1" w:styleId="CharChar1CharCharCharChar">
    <w:name w:val="Char Char1 Char Char Char Char"/>
    <w:basedOn w:val="Normal"/>
    <w:rsid w:val="00B60AC5"/>
    <w:pPr>
      <w:spacing w:after="0"/>
      <w:ind w:left="0"/>
    </w:pPr>
    <w:rPr>
      <w:rFonts w:ascii="Arial" w:hAnsi="Arial" w:cs="Arial"/>
      <w:sz w:val="22"/>
      <w:szCs w:val="22"/>
    </w:rPr>
  </w:style>
  <w:style w:type="paragraph" w:styleId="ListParagraph">
    <w:name w:val="List Paragraph"/>
    <w:basedOn w:val="Normal"/>
    <w:uiPriority w:val="99"/>
    <w:qFormat/>
    <w:rsid w:val="00C74837"/>
    <w:pPr>
      <w:spacing w:after="0"/>
      <w:contextualSpacing/>
    </w:pPr>
    <w:rPr>
      <w:rFonts w:ascii="Calibri" w:hAnsi="Calibri"/>
      <w:szCs w:val="24"/>
    </w:rPr>
  </w:style>
  <w:style w:type="character" w:customStyle="1" w:styleId="CommentTextChar">
    <w:name w:val="Comment Text Char"/>
    <w:link w:val="CommentText"/>
    <w:uiPriority w:val="99"/>
    <w:rsid w:val="00C4750D"/>
    <w:rPr>
      <w:rFonts w:ascii="Garamond" w:hAnsi="Garamond"/>
    </w:rPr>
  </w:style>
  <w:style w:type="paragraph" w:styleId="NormalWeb">
    <w:name w:val="Normal (Web)"/>
    <w:basedOn w:val="Normal"/>
    <w:uiPriority w:val="99"/>
    <w:unhideWhenUsed/>
    <w:rsid w:val="00E45A4B"/>
    <w:pPr>
      <w:spacing w:before="100" w:beforeAutospacing="1" w:after="100" w:afterAutospacing="1"/>
      <w:ind w:left="0"/>
    </w:pPr>
    <w:rPr>
      <w:rFonts w:ascii="Times New Roman" w:hAnsi="Times New Roman"/>
      <w:szCs w:val="24"/>
    </w:rPr>
  </w:style>
  <w:style w:type="paragraph" w:customStyle="1" w:styleId="fulltext-text">
    <w:name w:val="fulltext-text"/>
    <w:basedOn w:val="Normal"/>
    <w:rsid w:val="00E772E6"/>
    <w:pPr>
      <w:spacing w:before="100" w:beforeAutospacing="1" w:after="360"/>
      <w:ind w:left="0"/>
    </w:pPr>
    <w:rPr>
      <w:rFonts w:ascii="Times New Roman" w:hAnsi="Times New Roman"/>
      <w:szCs w:val="24"/>
    </w:rPr>
  </w:style>
  <w:style w:type="paragraph" w:styleId="BodyText3">
    <w:name w:val="Body Text 3"/>
    <w:basedOn w:val="Normal"/>
    <w:link w:val="BodyText3Char"/>
    <w:rsid w:val="005C6CA0"/>
    <w:pPr>
      <w:spacing w:after="120"/>
    </w:pPr>
    <w:rPr>
      <w:sz w:val="16"/>
      <w:szCs w:val="16"/>
    </w:rPr>
  </w:style>
  <w:style w:type="character" w:customStyle="1" w:styleId="BodyText3Char">
    <w:name w:val="Body Text 3 Char"/>
    <w:basedOn w:val="DefaultParagraphFont"/>
    <w:link w:val="BodyText3"/>
    <w:rsid w:val="005C6CA0"/>
    <w:rPr>
      <w:rFonts w:ascii="Garamond" w:hAnsi="Garamond"/>
      <w:sz w:val="16"/>
      <w:szCs w:val="16"/>
    </w:rPr>
  </w:style>
  <w:style w:type="paragraph" w:customStyle="1" w:styleId="Tabletext1">
    <w:name w:val="Table text"/>
    <w:basedOn w:val="Normal"/>
    <w:link w:val="TabletextChar1"/>
    <w:rsid w:val="005C6CA0"/>
    <w:pPr>
      <w:widowControl w:val="0"/>
      <w:spacing w:after="0" w:line="276" w:lineRule="auto"/>
      <w:ind w:left="0"/>
    </w:pPr>
    <w:rPr>
      <w:rFonts w:ascii="Arial" w:hAnsi="Arial"/>
      <w:sz w:val="20"/>
      <w:lang w:val="en-US"/>
    </w:rPr>
  </w:style>
  <w:style w:type="paragraph" w:customStyle="1" w:styleId="TableNotes0">
    <w:name w:val="TableNotes+0"/>
    <w:basedOn w:val="Normal"/>
    <w:rsid w:val="005C6CA0"/>
    <w:pPr>
      <w:keepNext/>
      <w:keepLines/>
      <w:spacing w:after="0"/>
      <w:ind w:left="0"/>
      <w:jc w:val="both"/>
    </w:pPr>
    <w:rPr>
      <w:rFonts w:ascii="Arial" w:hAnsi="Arial"/>
      <w:sz w:val="20"/>
      <w:szCs w:val="18"/>
      <w:lang w:val="en-US"/>
    </w:rPr>
  </w:style>
  <w:style w:type="character" w:customStyle="1" w:styleId="TabletextChar1">
    <w:name w:val="Table text Char"/>
    <w:link w:val="Tabletext1"/>
    <w:locked/>
    <w:rsid w:val="005C6CA0"/>
    <w:rPr>
      <w:rFonts w:ascii="Arial" w:hAnsi="Arial"/>
      <w:lang w:val="en-US" w:eastAsia="en-US"/>
    </w:rPr>
  </w:style>
  <w:style w:type="numbering" w:customStyle="1" w:styleId="Style1">
    <w:name w:val="Style1"/>
    <w:uiPriority w:val="99"/>
    <w:rsid w:val="004761CF"/>
    <w:pPr>
      <w:numPr>
        <w:numId w:val="5"/>
      </w:numPr>
    </w:pPr>
  </w:style>
  <w:style w:type="character" w:customStyle="1" w:styleId="Heading3Char">
    <w:name w:val="Heading 3 Char"/>
    <w:aliases w:val="H3 Char,Heading 3 Char1 Char Char,Heading 3 Char Char Char Char,Heading 3 Char1 Char Char Char Char,Heading 3 Char Char Char Char Char Char,H3 Char Char Char Char Char Char,Heading 3 Char Char1 Char Char,H31 Char Char,H32 Char Char"/>
    <w:basedOn w:val="DefaultParagraphFont"/>
    <w:link w:val="Heading3"/>
    <w:rsid w:val="00C74837"/>
    <w:rPr>
      <w:rFonts w:ascii="Tahoma" w:hAnsi="Tahoma"/>
      <w:b/>
      <w:sz w:val="32"/>
    </w:rPr>
  </w:style>
  <w:style w:type="character" w:customStyle="1" w:styleId="Heading4Char">
    <w:name w:val="Heading 4 Char"/>
    <w:aliases w:val="H4 Char"/>
    <w:basedOn w:val="DefaultParagraphFont"/>
    <w:link w:val="Heading4"/>
    <w:rsid w:val="00C74837"/>
    <w:rPr>
      <w:rFonts w:ascii="Tahoma" w:hAnsi="Tahoma"/>
      <w:b/>
      <w:sz w:val="26"/>
    </w:rPr>
  </w:style>
  <w:style w:type="character" w:customStyle="1" w:styleId="highlight">
    <w:name w:val="highlight"/>
    <w:basedOn w:val="DefaultParagraphFont"/>
    <w:rsid w:val="00F302BD"/>
  </w:style>
  <w:style w:type="character" w:customStyle="1" w:styleId="apple-converted-space">
    <w:name w:val="apple-converted-space"/>
    <w:basedOn w:val="DefaultParagraphFont"/>
    <w:rsid w:val="00F302BD"/>
  </w:style>
  <w:style w:type="character" w:customStyle="1" w:styleId="Heading1Char">
    <w:name w:val="Heading 1 Char"/>
    <w:aliases w:val="H1 Char"/>
    <w:basedOn w:val="DefaultParagraphFont"/>
    <w:link w:val="Heading1"/>
    <w:rsid w:val="00C74837"/>
    <w:rPr>
      <w:rFonts w:ascii="Tahoma" w:hAnsi="Tahoma" w:cs="Arial"/>
      <w:b/>
      <w:bCs/>
      <w:iCs/>
      <w:sz w:val="48"/>
      <w:szCs w:val="44"/>
    </w:rPr>
  </w:style>
  <w:style w:type="paragraph" w:styleId="NoSpacing">
    <w:name w:val="No Spacing"/>
    <w:basedOn w:val="Normal"/>
    <w:uiPriority w:val="1"/>
    <w:qFormat/>
    <w:rsid w:val="00C74837"/>
    <w:pPr>
      <w:spacing w:after="0"/>
    </w:pPr>
    <w:rPr>
      <w:rFonts w:eastAsiaTheme="minorEastAsia" w:cstheme="majorBidi"/>
    </w:rPr>
  </w:style>
  <w:style w:type="character" w:customStyle="1" w:styleId="Heading5Char">
    <w:name w:val="Heading 5 Char"/>
    <w:aliases w:val="H5 Char"/>
    <w:basedOn w:val="DefaultParagraphFont"/>
    <w:link w:val="Heading5"/>
    <w:rsid w:val="00C74837"/>
    <w:rPr>
      <w:rFonts w:ascii="Tahoma" w:hAnsi="Tahoma"/>
      <w:b/>
      <w:sz w:val="22"/>
    </w:rPr>
  </w:style>
  <w:style w:type="character" w:customStyle="1" w:styleId="Heading6Char">
    <w:name w:val="Heading 6 Char"/>
    <w:basedOn w:val="DefaultParagraphFont"/>
    <w:link w:val="Heading6"/>
    <w:rsid w:val="00C74837"/>
    <w:rPr>
      <w:rFonts w:ascii="Tahoma" w:hAnsi="Tahoma"/>
      <w:b/>
    </w:rPr>
  </w:style>
  <w:style w:type="character" w:customStyle="1" w:styleId="Heading7Char">
    <w:name w:val="Heading 7 Char"/>
    <w:basedOn w:val="DefaultParagraphFont"/>
    <w:link w:val="Heading7"/>
    <w:rsid w:val="00C74837"/>
    <w:rPr>
      <w:rFonts w:ascii="Garamond" w:hAnsi="Garamond"/>
      <w:i/>
      <w:sz w:val="24"/>
    </w:rPr>
  </w:style>
  <w:style w:type="character" w:customStyle="1" w:styleId="Heading8Char">
    <w:name w:val="Heading 8 Char"/>
    <w:basedOn w:val="DefaultParagraphFont"/>
    <w:link w:val="Heading8"/>
    <w:rsid w:val="00C74837"/>
    <w:rPr>
      <w:rFonts w:ascii="Garamond" w:hAnsi="Garamond"/>
      <w:sz w:val="24"/>
      <w:u w:val="single"/>
    </w:rPr>
  </w:style>
  <w:style w:type="character" w:customStyle="1" w:styleId="Heading9Char">
    <w:name w:val="Heading 9 Char"/>
    <w:basedOn w:val="DefaultParagraphFont"/>
    <w:link w:val="Heading9"/>
    <w:rsid w:val="00C74837"/>
    <w:rPr>
      <w:rFonts w:ascii="Garamond" w:hAnsi="Garamond"/>
      <w:sz w:val="24"/>
    </w:rPr>
  </w:style>
  <w:style w:type="character" w:customStyle="1" w:styleId="TitleChar">
    <w:name w:val="Title Char"/>
    <w:basedOn w:val="DefaultParagraphFont"/>
    <w:link w:val="Title"/>
    <w:rsid w:val="00C74837"/>
    <w:rPr>
      <w:rFonts w:ascii="Arial" w:hAnsi="Arial"/>
      <w:b/>
      <w:smallCaps/>
      <w:sz w:val="44"/>
    </w:rPr>
  </w:style>
  <w:style w:type="paragraph" w:styleId="Subtitle">
    <w:name w:val="Subtitle"/>
    <w:basedOn w:val="Normal"/>
    <w:next w:val="Normal"/>
    <w:link w:val="SubtitleChar"/>
    <w:qFormat/>
    <w:rsid w:val="00C74837"/>
    <w:pPr>
      <w:numPr>
        <w:ilvl w:val="1"/>
      </w:numPr>
      <w:ind w:left="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C7483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C74837"/>
    <w:rPr>
      <w:b/>
      <w:bCs/>
    </w:rPr>
  </w:style>
  <w:style w:type="character" w:styleId="Emphasis">
    <w:name w:val="Emphasis"/>
    <w:qFormat/>
    <w:rsid w:val="00C74837"/>
    <w:rPr>
      <w:i/>
      <w:iCs/>
    </w:rPr>
  </w:style>
  <w:style w:type="character" w:customStyle="1" w:styleId="QuoteChar">
    <w:name w:val="Quote Char"/>
    <w:basedOn w:val="DefaultParagraphFont"/>
    <w:link w:val="Quote"/>
    <w:rsid w:val="00C74837"/>
    <w:rPr>
      <w:rFonts w:ascii="Garamond" w:hAnsi="Garamond"/>
      <w:sz w:val="22"/>
    </w:rPr>
  </w:style>
  <w:style w:type="paragraph" w:styleId="IntenseQuote">
    <w:name w:val="Intense Quote"/>
    <w:basedOn w:val="Normal"/>
    <w:next w:val="Normal"/>
    <w:link w:val="IntenseQuoteChar"/>
    <w:uiPriority w:val="30"/>
    <w:qFormat/>
    <w:rsid w:val="00C74837"/>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C74837"/>
    <w:rPr>
      <w:rFonts w:ascii="Garamond" w:eastAsiaTheme="majorEastAsia" w:hAnsi="Garamond" w:cstheme="majorBidi"/>
      <w:b/>
      <w:bCs/>
      <w:i/>
      <w:iCs/>
      <w:color w:val="4F81BD" w:themeColor="accent1"/>
      <w:sz w:val="24"/>
    </w:rPr>
  </w:style>
  <w:style w:type="character" w:styleId="SubtleEmphasis">
    <w:name w:val="Subtle Emphasis"/>
    <w:uiPriority w:val="19"/>
    <w:qFormat/>
    <w:rsid w:val="00C74837"/>
    <w:rPr>
      <w:i/>
      <w:iCs/>
      <w:color w:val="808080" w:themeColor="text1" w:themeTint="7F"/>
    </w:rPr>
  </w:style>
  <w:style w:type="character" w:styleId="IntenseEmphasis">
    <w:name w:val="Intense Emphasis"/>
    <w:uiPriority w:val="21"/>
    <w:qFormat/>
    <w:rsid w:val="00C74837"/>
    <w:rPr>
      <w:b/>
      <w:bCs/>
      <w:i/>
      <w:iCs/>
      <w:color w:val="4F81BD" w:themeColor="accent1"/>
    </w:rPr>
  </w:style>
  <w:style w:type="character" w:styleId="SubtleReference">
    <w:name w:val="Subtle Reference"/>
    <w:uiPriority w:val="31"/>
    <w:qFormat/>
    <w:rsid w:val="00C74837"/>
    <w:rPr>
      <w:smallCaps/>
      <w:color w:val="C0504D" w:themeColor="accent2"/>
      <w:u w:val="single"/>
    </w:rPr>
  </w:style>
  <w:style w:type="character" w:styleId="IntenseReference">
    <w:name w:val="Intense Reference"/>
    <w:uiPriority w:val="32"/>
    <w:qFormat/>
    <w:rsid w:val="00C74837"/>
    <w:rPr>
      <w:b/>
      <w:bCs/>
      <w:smallCaps/>
      <w:color w:val="C0504D" w:themeColor="accent2"/>
      <w:spacing w:val="5"/>
      <w:u w:val="single"/>
    </w:rPr>
  </w:style>
  <w:style w:type="character" w:styleId="BookTitle">
    <w:name w:val="Book Title"/>
    <w:uiPriority w:val="33"/>
    <w:qFormat/>
    <w:rsid w:val="00C74837"/>
    <w:rPr>
      <w:b/>
      <w:bCs/>
      <w:smallCaps/>
      <w:spacing w:val="5"/>
    </w:rPr>
  </w:style>
  <w:style w:type="paragraph" w:styleId="TOCHeading">
    <w:name w:val="TOC Heading"/>
    <w:basedOn w:val="Heading1"/>
    <w:next w:val="Normal"/>
    <w:uiPriority w:val="39"/>
    <w:unhideWhenUsed/>
    <w:qFormat/>
    <w:rsid w:val="00C74837"/>
    <w:pPr>
      <w:keepNext/>
      <w:keepLines/>
      <w:spacing w:before="480" w:after="0"/>
      <w:jc w:val="left"/>
      <w:outlineLvl w:val="9"/>
    </w:pPr>
    <w:rPr>
      <w:rFonts w:asciiTheme="majorHAnsi" w:eastAsiaTheme="majorEastAsia" w:hAnsiTheme="majorHAnsi" w:cstheme="majorBidi"/>
      <w:bCs w:val="0"/>
      <w:color w:val="365F91" w:themeColor="accent1" w:themeShade="BF"/>
      <w:sz w:val="28"/>
      <w:szCs w:val="28"/>
    </w:rPr>
  </w:style>
  <w:style w:type="character" w:customStyle="1" w:styleId="name">
    <w:name w:val="name"/>
    <w:basedOn w:val="DefaultParagraphFont"/>
    <w:rsid w:val="00F302BD"/>
  </w:style>
  <w:style w:type="character" w:customStyle="1" w:styleId="contrib-degrees">
    <w:name w:val="contrib-degrees"/>
    <w:basedOn w:val="DefaultParagraphFont"/>
    <w:rsid w:val="00F302BD"/>
  </w:style>
  <w:style w:type="character" w:customStyle="1" w:styleId="slug-pub-date">
    <w:name w:val="slug-pub-date"/>
    <w:basedOn w:val="DefaultParagraphFont"/>
    <w:rsid w:val="00F302BD"/>
  </w:style>
  <w:style w:type="character" w:customStyle="1" w:styleId="slug-vol">
    <w:name w:val="slug-vol"/>
    <w:basedOn w:val="DefaultParagraphFont"/>
    <w:rsid w:val="00F302BD"/>
  </w:style>
  <w:style w:type="character" w:customStyle="1" w:styleId="slug-pages">
    <w:name w:val="slug-pages"/>
    <w:basedOn w:val="DefaultParagraphFont"/>
    <w:rsid w:val="00F302BD"/>
  </w:style>
  <w:style w:type="character" w:customStyle="1" w:styleId="BalloonTextChar">
    <w:name w:val="Balloon Text Char"/>
    <w:basedOn w:val="DefaultParagraphFont"/>
    <w:link w:val="BalloonText"/>
    <w:uiPriority w:val="99"/>
    <w:semiHidden/>
    <w:rsid w:val="00F302BD"/>
    <w:rPr>
      <w:rFonts w:ascii="Tahoma" w:hAnsi="Tahoma" w:cs="Tahoma"/>
      <w:sz w:val="16"/>
      <w:szCs w:val="16"/>
    </w:rPr>
  </w:style>
  <w:style w:type="character" w:customStyle="1" w:styleId="CommentSubjectChar">
    <w:name w:val="Comment Subject Char"/>
    <w:basedOn w:val="CommentTextChar"/>
    <w:link w:val="CommentSubject"/>
    <w:uiPriority w:val="99"/>
    <w:semiHidden/>
    <w:rsid w:val="00F302BD"/>
    <w:rPr>
      <w:rFonts w:ascii="Garamond" w:hAnsi="Garamond"/>
      <w:b/>
      <w:bCs/>
    </w:rPr>
  </w:style>
  <w:style w:type="paragraph" w:customStyle="1" w:styleId="Title1">
    <w:name w:val="Title1"/>
    <w:basedOn w:val="Normal"/>
    <w:rsid w:val="00F302BD"/>
    <w:pPr>
      <w:spacing w:before="100" w:beforeAutospacing="1" w:after="100" w:afterAutospacing="1"/>
      <w:ind w:left="0"/>
    </w:pPr>
    <w:rPr>
      <w:rFonts w:ascii="Times New Roman" w:hAnsi="Times New Roman"/>
      <w:szCs w:val="24"/>
      <w:lang w:val="en-US"/>
    </w:rPr>
  </w:style>
  <w:style w:type="paragraph" w:customStyle="1" w:styleId="desc">
    <w:name w:val="desc"/>
    <w:basedOn w:val="Normal"/>
    <w:rsid w:val="00F302BD"/>
    <w:pPr>
      <w:spacing w:before="100" w:beforeAutospacing="1" w:after="100" w:afterAutospacing="1"/>
      <w:ind w:left="0"/>
    </w:pPr>
    <w:rPr>
      <w:rFonts w:ascii="Times New Roman" w:hAnsi="Times New Roman"/>
      <w:szCs w:val="24"/>
      <w:lang w:val="en-US"/>
    </w:rPr>
  </w:style>
  <w:style w:type="paragraph" w:customStyle="1" w:styleId="details">
    <w:name w:val="details"/>
    <w:basedOn w:val="Normal"/>
    <w:rsid w:val="00F302BD"/>
    <w:pPr>
      <w:spacing w:before="100" w:beforeAutospacing="1" w:after="100" w:afterAutospacing="1"/>
      <w:ind w:left="0"/>
    </w:pPr>
    <w:rPr>
      <w:rFonts w:ascii="Times New Roman" w:hAnsi="Times New Roman"/>
      <w:szCs w:val="24"/>
      <w:lang w:val="en-US"/>
    </w:rPr>
  </w:style>
  <w:style w:type="character" w:customStyle="1" w:styleId="jrnl">
    <w:name w:val="jrnl"/>
    <w:basedOn w:val="DefaultParagraphFont"/>
    <w:rsid w:val="00F302BD"/>
  </w:style>
  <w:style w:type="character" w:customStyle="1" w:styleId="HeaderChar">
    <w:name w:val="Header Char"/>
    <w:basedOn w:val="DefaultParagraphFont"/>
    <w:link w:val="Header"/>
    <w:uiPriority w:val="99"/>
    <w:rsid w:val="00F302BD"/>
    <w:rPr>
      <w:rFonts w:ascii="Garamond" w:hAnsi="Garamond"/>
      <w:sz w:val="24"/>
    </w:rPr>
  </w:style>
  <w:style w:type="character" w:customStyle="1" w:styleId="FooterChar">
    <w:name w:val="Footer Char"/>
    <w:basedOn w:val="DefaultParagraphFont"/>
    <w:link w:val="Footer"/>
    <w:uiPriority w:val="99"/>
    <w:rsid w:val="00F302BD"/>
    <w:rPr>
      <w:rFonts w:ascii="Arial" w:hAnsi="Arial"/>
      <w:b/>
    </w:rPr>
  </w:style>
  <w:style w:type="paragraph" w:customStyle="1" w:styleId="HeaderOdd">
    <w:name w:val="Header Odd"/>
    <w:basedOn w:val="NoSpacing"/>
    <w:rsid w:val="00140741"/>
    <w:pPr>
      <w:pBdr>
        <w:bottom w:val="single" w:sz="4" w:space="1" w:color="4F81BD" w:themeColor="accent1"/>
      </w:pBdr>
      <w:jc w:val="right"/>
    </w:pPr>
    <w:rPr>
      <w:rFonts w:eastAsiaTheme="minorHAnsi" w:cs="Times New Roman"/>
      <w:b/>
      <w:color w:val="1F497D" w:themeColor="text2"/>
      <w:sz w:val="20"/>
      <w:lang w:val="en-US" w:eastAsia="ja-JP"/>
    </w:rPr>
  </w:style>
  <w:style w:type="paragraph" w:styleId="List">
    <w:name w:val="List"/>
    <w:aliases w:val="L1"/>
    <w:basedOn w:val="Heading1"/>
    <w:uiPriority w:val="99"/>
    <w:rsid w:val="00F302BD"/>
    <w:pPr>
      <w:tabs>
        <w:tab w:val="left" w:pos="450"/>
      </w:tabs>
      <w:spacing w:before="60" w:after="120"/>
      <w:jc w:val="left"/>
      <w:outlineLvl w:val="9"/>
    </w:pPr>
    <w:rPr>
      <w:rFonts w:asciiTheme="minorHAnsi" w:hAnsiTheme="minorHAnsi" w:cs="Times New Roman"/>
      <w:b w:val="0"/>
      <w:i/>
      <w:iCs w:val="0"/>
      <w:kern w:val="28"/>
      <w:sz w:val="28"/>
      <w:szCs w:val="20"/>
      <w:u w:val="single"/>
      <w:lang w:val="en-US"/>
    </w:rPr>
  </w:style>
  <w:style w:type="paragraph" w:customStyle="1" w:styleId="StyleListL1Body11pt">
    <w:name w:val="Style ListL1 + +Body 11 pt"/>
    <w:basedOn w:val="List"/>
    <w:rsid w:val="00F302BD"/>
    <w:pPr>
      <w:ind w:left="720"/>
    </w:pPr>
    <w:rPr>
      <w:sz w:val="22"/>
    </w:rPr>
  </w:style>
  <w:style w:type="paragraph" w:customStyle="1" w:styleId="StyleStyleListL1Body11ptLeft088Before12ptAf">
    <w:name w:val="Style Style ListL1 + +Body 11 pt + Left:  0.88&quot; Before:  12 pt Af..."/>
    <w:basedOn w:val="StyleListL1Body11pt"/>
    <w:rsid w:val="00F302BD"/>
    <w:pPr>
      <w:spacing w:before="480" w:after="480"/>
      <w:ind w:left="1260"/>
    </w:pPr>
  </w:style>
  <w:style w:type="paragraph" w:styleId="ListBullet3">
    <w:name w:val="List Bullet 3"/>
    <w:aliases w:val="B3"/>
    <w:basedOn w:val="List3"/>
    <w:uiPriority w:val="99"/>
    <w:rsid w:val="00F302BD"/>
    <w:pPr>
      <w:tabs>
        <w:tab w:val="num" w:pos="-1296"/>
        <w:tab w:val="num" w:pos="0"/>
        <w:tab w:val="left" w:pos="1260"/>
      </w:tabs>
      <w:spacing w:after="120"/>
      <w:ind w:left="2448" w:hanging="432"/>
      <w:contextualSpacing w:val="0"/>
    </w:pPr>
    <w:rPr>
      <w:rFonts w:eastAsia="Times New Roman" w:cs="Times New Roman"/>
      <w:b/>
      <w:szCs w:val="20"/>
      <w:lang w:val="en-US"/>
    </w:rPr>
  </w:style>
  <w:style w:type="paragraph" w:styleId="List3">
    <w:name w:val="List 3"/>
    <w:basedOn w:val="Normal"/>
    <w:uiPriority w:val="99"/>
    <w:unhideWhenUsed/>
    <w:rsid w:val="00F302BD"/>
    <w:pPr>
      <w:spacing w:after="0"/>
      <w:ind w:left="849" w:hanging="283"/>
      <w:contextualSpacing/>
    </w:pPr>
    <w:rPr>
      <w:rFonts w:asciiTheme="majorBidi" w:eastAsiaTheme="minorEastAsia" w:hAnsiTheme="majorBidi" w:cstheme="majorBidi"/>
      <w:szCs w:val="24"/>
    </w:rPr>
  </w:style>
  <w:style w:type="character" w:customStyle="1" w:styleId="FootnoteTextChar">
    <w:name w:val="Footnote Text Char"/>
    <w:basedOn w:val="DefaultParagraphFont"/>
    <w:link w:val="FootnoteText"/>
    <w:uiPriority w:val="99"/>
    <w:semiHidden/>
    <w:rsid w:val="00F302BD"/>
    <w:rPr>
      <w:rFonts w:ascii="Garamond" w:hAnsi="Garamond"/>
    </w:rPr>
  </w:style>
  <w:style w:type="paragraph" w:customStyle="1" w:styleId="Default">
    <w:name w:val="Default"/>
    <w:rsid w:val="00F302BD"/>
    <w:pPr>
      <w:autoSpaceDE w:val="0"/>
      <w:autoSpaceDN w:val="0"/>
      <w:adjustRightInd w:val="0"/>
    </w:pPr>
    <w:rPr>
      <w:rFonts w:ascii="Plantin" w:hAnsi="Plantin" w:cs="Plantin"/>
      <w:color w:val="000000"/>
      <w:sz w:val="24"/>
      <w:szCs w:val="24"/>
      <w:lang w:val="en-US"/>
    </w:rPr>
  </w:style>
  <w:style w:type="paragraph" w:customStyle="1" w:styleId="Kimtextbody">
    <w:name w:val="Kim text body"/>
    <w:basedOn w:val="Normal"/>
    <w:link w:val="KimtextbodyChar"/>
    <w:rsid w:val="00140741"/>
  </w:style>
  <w:style w:type="character" w:customStyle="1" w:styleId="KimtextbodyChar">
    <w:name w:val="Kim text body Char"/>
    <w:basedOn w:val="DefaultParagraphFont"/>
    <w:link w:val="Kimtextbody"/>
    <w:rsid w:val="00140741"/>
    <w:rPr>
      <w:rFonts w:ascii="Garamond" w:hAnsi="Garamond"/>
      <w:sz w:val="24"/>
    </w:rPr>
  </w:style>
  <w:style w:type="paragraph" w:customStyle="1" w:styleId="Heading2Kim">
    <w:name w:val="Heading 2 Kim"/>
    <w:basedOn w:val="Heading2"/>
    <w:link w:val="Heading2KimChar"/>
    <w:rsid w:val="00140741"/>
    <w:pPr>
      <w:keepLines/>
      <w:pageBreakBefore w:val="0"/>
      <w:pBdr>
        <w:bottom w:val="none" w:sz="0" w:space="0" w:color="auto"/>
      </w:pBdr>
      <w:ind w:left="720" w:firstLine="0"/>
    </w:pPr>
    <w:rPr>
      <w:rFonts w:ascii="Garamond" w:eastAsiaTheme="majorEastAsia" w:hAnsi="Garamond" w:cstheme="majorBidi"/>
      <w:bCs/>
      <w:sz w:val="24"/>
      <w:szCs w:val="26"/>
    </w:rPr>
  </w:style>
  <w:style w:type="character" w:customStyle="1" w:styleId="Heading2KimChar">
    <w:name w:val="Heading 2 Kim Char"/>
    <w:basedOn w:val="Heading2Char"/>
    <w:link w:val="Heading2Kim"/>
    <w:rsid w:val="00140741"/>
    <w:rPr>
      <w:rFonts w:ascii="Garamond" w:eastAsiaTheme="majorEastAsia" w:hAnsi="Garamond" w:cstheme="majorBidi"/>
      <w:b/>
      <w:bCs/>
      <w:sz w:val="24"/>
      <w:szCs w:val="26"/>
    </w:rPr>
  </w:style>
  <w:style w:type="paragraph" w:customStyle="1" w:styleId="NormalKim">
    <w:name w:val="Normal Kim"/>
    <w:basedOn w:val="Normal"/>
    <w:link w:val="NormalKimChar"/>
    <w:rsid w:val="00140741"/>
  </w:style>
  <w:style w:type="character" w:customStyle="1" w:styleId="NormalKimChar">
    <w:name w:val="Normal Kim Char"/>
    <w:basedOn w:val="DefaultParagraphFont"/>
    <w:link w:val="NormalKim"/>
    <w:rsid w:val="00140741"/>
    <w:rPr>
      <w:rFonts w:ascii="Garamond" w:hAnsi="Garamond"/>
      <w:sz w:val="24"/>
    </w:rPr>
  </w:style>
  <w:style w:type="character" w:styleId="PlaceholderText">
    <w:name w:val="Placeholder Text"/>
    <w:basedOn w:val="DefaultParagraphFont"/>
    <w:uiPriority w:val="99"/>
    <w:semiHidden/>
    <w:rsid w:val="0014074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List" w:uiPriority="99"/>
    <w:lsdException w:name="List Number" w:semiHidden="0" w:unhideWhenUsed="0"/>
    <w:lsdException w:name="List 3" w:uiPriority="99"/>
    <w:lsdException w:name="List 4" w:semiHidden="0" w:unhideWhenUsed="0"/>
    <w:lsdException w:name="List 5" w:semiHidden="0" w:unhideWhenUsed="0"/>
    <w:lsdException w:name="List Bullet 3" w:uiPriority="99"/>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837"/>
    <w:pPr>
      <w:spacing w:after="240"/>
      <w:ind w:left="720"/>
    </w:pPr>
    <w:rPr>
      <w:rFonts w:ascii="Garamond" w:hAnsi="Garamond"/>
      <w:sz w:val="24"/>
    </w:rPr>
  </w:style>
  <w:style w:type="paragraph" w:styleId="Heading1">
    <w:name w:val="heading 1"/>
    <w:aliases w:val="H1"/>
    <w:basedOn w:val="TOC1"/>
    <w:next w:val="Normal"/>
    <w:link w:val="Heading1Char"/>
    <w:qFormat/>
    <w:rsid w:val="00C74837"/>
    <w:pPr>
      <w:spacing w:before="240" w:after="240"/>
      <w:jc w:val="right"/>
      <w:outlineLvl w:val="0"/>
    </w:pPr>
    <w:rPr>
      <w:rFonts w:ascii="Tahoma" w:hAnsi="Tahoma" w:cs="Arial"/>
      <w:i w:val="0"/>
      <w:sz w:val="48"/>
      <w:szCs w:val="44"/>
    </w:rPr>
  </w:style>
  <w:style w:type="paragraph" w:styleId="Heading2">
    <w:name w:val="heading 2"/>
    <w:aliases w:val="H2,Heading 2 Char1 Char,Heading 2 Char Char Char"/>
    <w:basedOn w:val="TOC2"/>
    <w:next w:val="Normal"/>
    <w:link w:val="Heading2Char"/>
    <w:autoRedefine/>
    <w:qFormat/>
    <w:rsid w:val="00397B17"/>
    <w:pPr>
      <w:keepNext/>
      <w:pageBreakBefore/>
      <w:pBdr>
        <w:bottom w:val="single" w:sz="4" w:space="1" w:color="auto"/>
      </w:pBdr>
      <w:spacing w:before="240"/>
      <w:ind w:left="3402" w:hanging="3402"/>
      <w:outlineLvl w:val="1"/>
    </w:pPr>
    <w:rPr>
      <w:rFonts w:ascii="Tahoma" w:hAnsi="Tahoma"/>
      <w:bCs w:val="0"/>
      <w:sz w:val="44"/>
    </w:rPr>
  </w:style>
  <w:style w:type="paragraph" w:styleId="Heading3">
    <w:name w:val="heading 3"/>
    <w:aliases w:val="H3,Heading 3 Char1 Char,Heading 3 Char Char Char,Heading 3 Char1 Char Char Char,Heading 3 Char Char Char Char Char,H3 Char Char Char Char Char,Heading 3 Char Char1 Char,H31 Char,H32 Char,Heading 3 Char1,Heading 3 Char Char"/>
    <w:basedOn w:val="TOC3"/>
    <w:next w:val="Normal"/>
    <w:link w:val="Heading3Char"/>
    <w:qFormat/>
    <w:rsid w:val="00C74837"/>
    <w:pPr>
      <w:spacing w:before="240" w:after="240"/>
      <w:ind w:left="709"/>
      <w:outlineLvl w:val="2"/>
    </w:pPr>
    <w:rPr>
      <w:rFonts w:ascii="Tahoma" w:hAnsi="Tahoma"/>
      <w:b/>
      <w:sz w:val="32"/>
    </w:rPr>
  </w:style>
  <w:style w:type="paragraph" w:styleId="Heading4">
    <w:name w:val="heading 4"/>
    <w:aliases w:val="H4"/>
    <w:basedOn w:val="Normal"/>
    <w:next w:val="Normal"/>
    <w:link w:val="Heading4Char"/>
    <w:qFormat/>
    <w:rsid w:val="00C74837"/>
    <w:pPr>
      <w:spacing w:before="240"/>
      <w:ind w:left="992"/>
      <w:outlineLvl w:val="3"/>
    </w:pPr>
    <w:rPr>
      <w:rFonts w:ascii="Tahoma" w:hAnsi="Tahoma"/>
      <w:b/>
      <w:sz w:val="26"/>
    </w:rPr>
  </w:style>
  <w:style w:type="paragraph" w:styleId="Heading5">
    <w:name w:val="heading 5"/>
    <w:aliases w:val="H5"/>
    <w:basedOn w:val="Normal"/>
    <w:next w:val="Normal"/>
    <w:link w:val="Heading5Char"/>
    <w:qFormat/>
    <w:rsid w:val="00C74837"/>
    <w:pPr>
      <w:spacing w:before="240"/>
      <w:ind w:left="1276"/>
      <w:outlineLvl w:val="4"/>
    </w:pPr>
    <w:rPr>
      <w:rFonts w:ascii="Tahoma" w:hAnsi="Tahoma"/>
      <w:b/>
      <w:sz w:val="22"/>
    </w:rPr>
  </w:style>
  <w:style w:type="paragraph" w:styleId="Heading6">
    <w:name w:val="heading 6"/>
    <w:basedOn w:val="Normal"/>
    <w:next w:val="Normal"/>
    <w:link w:val="Heading6Char"/>
    <w:qFormat/>
    <w:rsid w:val="00C74837"/>
    <w:pPr>
      <w:spacing w:before="240"/>
      <w:ind w:left="1559"/>
      <w:outlineLvl w:val="5"/>
    </w:pPr>
    <w:rPr>
      <w:rFonts w:ascii="Tahoma" w:hAnsi="Tahoma"/>
      <w:b/>
      <w:sz w:val="20"/>
    </w:rPr>
  </w:style>
  <w:style w:type="paragraph" w:styleId="Heading7">
    <w:name w:val="heading 7"/>
    <w:basedOn w:val="Normal"/>
    <w:next w:val="Normal"/>
    <w:link w:val="Heading7Char"/>
    <w:qFormat/>
    <w:rsid w:val="00C74837"/>
    <w:pPr>
      <w:keepNext/>
      <w:outlineLvl w:val="6"/>
    </w:pPr>
    <w:rPr>
      <w:i/>
    </w:rPr>
  </w:style>
  <w:style w:type="paragraph" w:styleId="Heading8">
    <w:name w:val="heading 8"/>
    <w:basedOn w:val="Normal"/>
    <w:next w:val="Normal"/>
    <w:link w:val="Heading8Char"/>
    <w:qFormat/>
    <w:rsid w:val="00C74837"/>
    <w:pPr>
      <w:keepNext/>
      <w:outlineLvl w:val="7"/>
    </w:pPr>
    <w:rPr>
      <w:u w:val="single"/>
    </w:rPr>
  </w:style>
  <w:style w:type="paragraph" w:styleId="Heading9">
    <w:name w:val="heading 9"/>
    <w:basedOn w:val="Normal"/>
    <w:next w:val="Normal"/>
    <w:link w:val="Heading9Char"/>
    <w:qFormat/>
    <w:rsid w:val="00C74837"/>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eading 2 Char1 Char Char,Heading 2 Char Char Char Char"/>
    <w:link w:val="Heading2"/>
    <w:rsid w:val="00397B17"/>
    <w:rPr>
      <w:rFonts w:ascii="Tahoma" w:hAnsi="Tahoma"/>
      <w:b/>
      <w:sz w:val="44"/>
      <w:szCs w:val="22"/>
    </w:rPr>
  </w:style>
  <w:style w:type="paragraph" w:customStyle="1" w:styleId="Bullet">
    <w:name w:val="Bullet"/>
    <w:basedOn w:val="Normal"/>
    <w:pPr>
      <w:numPr>
        <w:numId w:val="1"/>
      </w:numPr>
    </w:p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paragraph" w:styleId="Date">
    <w:name w:val="Date"/>
    <w:basedOn w:val="Normal"/>
    <w:next w:val="Normal"/>
    <w:pPr>
      <w:ind w:right="113"/>
      <w:jc w:val="right"/>
    </w:pPr>
    <w:rPr>
      <w:rFonts w:ascii="Arial" w:hAnsi="Arial"/>
      <w:b/>
      <w:sz w:val="36"/>
    </w:rPr>
  </w:style>
  <w:style w:type="paragraph" w:customStyle="1" w:styleId="Summaryboxtext">
    <w:name w:val="Summary box text"/>
    <w:basedOn w:val="Normal"/>
    <w:rsid w:val="000A3AAF"/>
    <w:pPr>
      <w:spacing w:after="100" w:afterAutospacing="1"/>
      <w:ind w:left="0"/>
    </w:pPr>
    <w:rPr>
      <w:rFonts w:ascii="Arial Narrow" w:hAnsi="Arial Narrow"/>
    </w:rPr>
  </w:style>
  <w:style w:type="paragraph" w:styleId="Footer">
    <w:name w:val="footer"/>
    <w:basedOn w:val="Normal"/>
    <w:link w:val="FooterChar"/>
    <w:uiPriority w:val="99"/>
    <w:pPr>
      <w:pBdr>
        <w:top w:val="single" w:sz="4" w:space="9" w:color="auto"/>
      </w:pBdr>
      <w:tabs>
        <w:tab w:val="right" w:pos="9000"/>
      </w:tabs>
    </w:pPr>
    <w:rPr>
      <w:rFonts w:ascii="Arial" w:hAnsi="Arial"/>
      <w:b/>
      <w:sz w:val="20"/>
    </w:r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rPr>
      <w:sz w:val="20"/>
    </w:rPr>
  </w:style>
  <w:style w:type="paragraph" w:styleId="Header">
    <w:name w:val="header"/>
    <w:basedOn w:val="Normal"/>
    <w:link w:val="HeaderChar"/>
    <w:uiPriority w:val="99"/>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3F17D5"/>
    <w:pPr>
      <w:outlineLvl w:val="9"/>
    </w:pPr>
    <w:rPr>
      <w:sz w:val="22"/>
    </w:rPr>
  </w:style>
  <w:style w:type="character" w:styleId="PageNumber">
    <w:name w:val="page number"/>
    <w:rPr>
      <w:rFonts w:ascii="Tahoma" w:hAnsi="Tahoma"/>
      <w:b/>
      <w:sz w:val="18"/>
    </w:rPr>
  </w:style>
  <w:style w:type="paragraph" w:customStyle="1" w:styleId="PublicationTitle">
    <w:name w:val="PublicationTitle"/>
    <w:basedOn w:val="Normal"/>
    <w:pPr>
      <w:spacing w:line="480" w:lineRule="exact"/>
      <w:ind w:left="0" w:right="113"/>
      <w:jc w:val="right"/>
    </w:pPr>
    <w:rPr>
      <w:rFonts w:ascii="Arial" w:hAnsi="Arial"/>
      <w:b/>
      <w:i/>
      <w:sz w:val="44"/>
    </w:rPr>
  </w:style>
  <w:style w:type="paragraph" w:customStyle="1" w:styleId="References">
    <w:name w:val="References"/>
    <w:basedOn w:val="Normal"/>
    <w:pPr>
      <w:keepLines/>
      <w:ind w:left="1440" w:hanging="720"/>
    </w:pPr>
  </w:style>
  <w:style w:type="paragraph" w:customStyle="1" w:styleId="Sub-title">
    <w:name w:val="Sub-title"/>
    <w:basedOn w:val="Normal"/>
    <w:pPr>
      <w:ind w:left="0" w:right="113"/>
      <w:jc w:val="right"/>
    </w:pPr>
    <w:rPr>
      <w:rFonts w:ascii="Arial" w:hAnsi="Arial"/>
      <w:b/>
      <w:sz w:val="32"/>
    </w:rPr>
  </w:style>
  <w:style w:type="paragraph" w:styleId="TableofFigures">
    <w:name w:val="table of figures"/>
    <w:basedOn w:val="Normal"/>
    <w:next w:val="Normal"/>
    <w:uiPriority w:val="99"/>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qFormat/>
    <w:rsid w:val="00C74837"/>
    <w:pPr>
      <w:keepNext/>
      <w:spacing w:before="40" w:after="40"/>
      <w:ind w:left="0"/>
    </w:pPr>
    <w:rPr>
      <w:rFonts w:ascii="Arial Narrow" w:hAnsi="Arial Narrow"/>
      <w:sz w:val="18"/>
    </w:rPr>
  </w:style>
  <w:style w:type="character" w:customStyle="1" w:styleId="TableTextChar">
    <w:name w:val="TableText Char"/>
    <w:link w:val="TableText"/>
    <w:rsid w:val="00C74837"/>
    <w:rPr>
      <w:rFonts w:ascii="Arial Narrow" w:hAnsi="Arial Narrow"/>
      <w:sz w:val="18"/>
    </w:rPr>
  </w:style>
  <w:style w:type="paragraph" w:customStyle="1" w:styleId="TableHeading">
    <w:name w:val="TableHeading"/>
    <w:basedOn w:val="TableText"/>
    <w:link w:val="TableHeadingChar"/>
    <w:uiPriority w:val="99"/>
    <w:rsid w:val="00862A16"/>
    <w:rPr>
      <w:b/>
    </w:rPr>
  </w:style>
  <w:style w:type="character" w:customStyle="1" w:styleId="TableHeadingChar">
    <w:name w:val="TableHeading Char"/>
    <w:link w:val="TableHeading"/>
    <w:uiPriority w:val="99"/>
    <w:rsid w:val="00862A16"/>
    <w:rPr>
      <w:rFonts w:ascii="Arial Narrow" w:hAnsi="Arial Narrow"/>
      <w:b/>
      <w:sz w:val="18"/>
      <w:lang w:val="en-AU" w:eastAsia="en-AU" w:bidi="ar-SA"/>
    </w:rPr>
  </w:style>
  <w:style w:type="paragraph" w:customStyle="1" w:styleId="TableName">
    <w:name w:val="TableName"/>
    <w:basedOn w:val="TableText"/>
    <w:link w:val="TableNameChar"/>
    <w:qFormat/>
    <w:rsid w:val="00C74837"/>
    <w:pPr>
      <w:ind w:left="1440" w:hanging="720"/>
    </w:pPr>
    <w:rPr>
      <w:b/>
      <w:sz w:val="20"/>
    </w:rPr>
  </w:style>
  <w:style w:type="character" w:customStyle="1" w:styleId="TableNameChar">
    <w:name w:val="TableName Char"/>
    <w:link w:val="TableName"/>
    <w:rsid w:val="00C74837"/>
    <w:rPr>
      <w:rFonts w:ascii="Arial Narrow" w:hAnsi="Arial Narrow"/>
      <w:b/>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C74837"/>
    <w:pPr>
      <w:ind w:left="0"/>
      <w:jc w:val="center"/>
    </w:pPr>
    <w:rPr>
      <w:rFonts w:ascii="Arial" w:hAnsi="Arial"/>
      <w:b/>
      <w:smallCaps/>
      <w:sz w:val="44"/>
    </w:rPr>
  </w:style>
  <w:style w:type="paragraph" w:styleId="TOC1">
    <w:name w:val="toc 1"/>
    <w:basedOn w:val="Normal"/>
    <w:next w:val="Normal"/>
    <w:autoRedefine/>
    <w:uiPriority w:val="39"/>
    <w:qFormat/>
    <w:rsid w:val="00C74837"/>
    <w:pPr>
      <w:tabs>
        <w:tab w:val="right" w:leader="dot" w:pos="9016"/>
      </w:tabs>
      <w:spacing w:before="120" w:after="0"/>
      <w:ind w:left="709"/>
    </w:pPr>
    <w:rPr>
      <w:rFonts w:asciiTheme="minorHAnsi" w:hAnsiTheme="minorHAnsi"/>
      <w:b/>
      <w:bCs/>
      <w:i/>
      <w:iCs/>
      <w:szCs w:val="24"/>
    </w:rPr>
  </w:style>
  <w:style w:type="paragraph" w:styleId="TOC2">
    <w:name w:val="toc 2"/>
    <w:aliases w:val="Figures"/>
    <w:basedOn w:val="Normal"/>
    <w:next w:val="Normal"/>
    <w:autoRedefine/>
    <w:uiPriority w:val="39"/>
    <w:qFormat/>
    <w:rsid w:val="00C74837"/>
    <w:pPr>
      <w:tabs>
        <w:tab w:val="right" w:leader="dot" w:pos="9016"/>
      </w:tabs>
      <w:spacing w:before="120" w:after="0"/>
      <w:ind w:left="1134"/>
    </w:pPr>
    <w:rPr>
      <w:rFonts w:asciiTheme="minorHAnsi" w:hAnsiTheme="minorHAnsi"/>
      <w:b/>
      <w:bCs/>
      <w:sz w:val="22"/>
      <w:szCs w:val="22"/>
    </w:rPr>
  </w:style>
  <w:style w:type="paragraph" w:styleId="TOC3">
    <w:name w:val="toc 3"/>
    <w:basedOn w:val="Normal"/>
    <w:next w:val="Normal"/>
    <w:autoRedefine/>
    <w:uiPriority w:val="39"/>
    <w:qFormat/>
    <w:rsid w:val="00C74837"/>
    <w:pPr>
      <w:tabs>
        <w:tab w:val="right" w:leader="dot" w:pos="9016"/>
      </w:tabs>
      <w:spacing w:after="0"/>
      <w:ind w:left="1560"/>
    </w:pPr>
    <w:rPr>
      <w:rFonts w:asciiTheme="minorHAnsi" w:hAnsiTheme="minorHAnsi"/>
      <w:sz w:val="20"/>
    </w:rPr>
  </w:style>
  <w:style w:type="paragraph" w:styleId="TOC4">
    <w:name w:val="toc 4"/>
    <w:basedOn w:val="Normal"/>
    <w:next w:val="Normal"/>
    <w:autoRedefine/>
    <w:semiHidden/>
    <w:pPr>
      <w:spacing w:after="0"/>
    </w:pPr>
    <w:rPr>
      <w:rFonts w:asciiTheme="minorHAnsi" w:hAnsiTheme="minorHAnsi"/>
      <w:sz w:val="20"/>
    </w:rPr>
  </w:style>
  <w:style w:type="paragraph" w:styleId="TOC5">
    <w:name w:val="toc 5"/>
    <w:basedOn w:val="Normal"/>
    <w:next w:val="Normal"/>
    <w:autoRedefine/>
    <w:semiHidden/>
    <w:pPr>
      <w:spacing w:after="0"/>
      <w:ind w:left="960"/>
    </w:pPr>
    <w:rPr>
      <w:rFonts w:asciiTheme="minorHAnsi" w:hAnsiTheme="minorHAnsi"/>
      <w:sz w:val="20"/>
    </w:rPr>
  </w:style>
  <w:style w:type="paragraph" w:styleId="TOC6">
    <w:name w:val="toc 6"/>
    <w:basedOn w:val="Normal"/>
    <w:next w:val="Normal"/>
    <w:autoRedefine/>
    <w:semiHidden/>
    <w:pPr>
      <w:spacing w:after="0"/>
      <w:ind w:left="1200"/>
    </w:pPr>
    <w:rPr>
      <w:rFonts w:asciiTheme="minorHAnsi" w:hAnsiTheme="minorHAnsi"/>
      <w:sz w:val="20"/>
    </w:rPr>
  </w:style>
  <w:style w:type="paragraph" w:styleId="TOC7">
    <w:name w:val="toc 7"/>
    <w:basedOn w:val="Normal"/>
    <w:next w:val="Normal"/>
    <w:autoRedefine/>
    <w:semiHidden/>
    <w:pPr>
      <w:spacing w:after="0"/>
      <w:ind w:left="1440"/>
    </w:pPr>
    <w:rPr>
      <w:rFonts w:asciiTheme="minorHAnsi" w:hAnsiTheme="minorHAnsi"/>
      <w:sz w:val="20"/>
    </w:rPr>
  </w:style>
  <w:style w:type="paragraph" w:styleId="TOC8">
    <w:name w:val="toc 8"/>
    <w:basedOn w:val="Normal"/>
    <w:next w:val="Normal"/>
    <w:autoRedefine/>
    <w:semiHidden/>
    <w:pPr>
      <w:spacing w:after="0"/>
      <w:ind w:left="1680"/>
    </w:pPr>
    <w:rPr>
      <w:rFonts w:asciiTheme="minorHAnsi" w:hAnsiTheme="minorHAnsi"/>
      <w:sz w:val="20"/>
    </w:rPr>
  </w:style>
  <w:style w:type="paragraph" w:styleId="TOC9">
    <w:name w:val="toc 9"/>
    <w:basedOn w:val="Normal"/>
    <w:next w:val="Normal"/>
    <w:autoRedefine/>
    <w:semiHidden/>
    <w:rsid w:val="00C4750D"/>
    <w:pPr>
      <w:spacing w:after="0"/>
      <w:ind w:left="1920"/>
    </w:pPr>
    <w:rPr>
      <w:rFonts w:asciiTheme="minorHAnsi" w:hAnsiTheme="minorHAnsi"/>
      <w:sz w:val="20"/>
    </w:rPr>
  </w:style>
  <w:style w:type="paragraph" w:customStyle="1" w:styleId="Dash">
    <w:name w:val="Dash"/>
    <w:basedOn w:val="Normal"/>
    <w:pPr>
      <w:numPr>
        <w:numId w:val="2"/>
      </w:numPr>
    </w:pPr>
  </w:style>
  <w:style w:type="paragraph" w:styleId="Quote">
    <w:name w:val="Quote"/>
    <w:basedOn w:val="Normal"/>
    <w:link w:val="QuoteChar"/>
    <w:qFormat/>
    <w:rsid w:val="00C74837"/>
    <w:pPr>
      <w:keepLines/>
      <w:ind w:left="1440" w:right="720"/>
    </w:pPr>
    <w:rPr>
      <w:sz w:val="22"/>
    </w:rPr>
  </w:style>
  <w:style w:type="paragraph" w:styleId="BodyText">
    <w:name w:val="Body Text"/>
    <w:basedOn w:val="Normal"/>
    <w:link w:val="BodyTextChar"/>
    <w:uiPriority w:val="99"/>
    <w:pPr>
      <w:spacing w:after="0"/>
      <w:ind w:left="0"/>
    </w:pPr>
    <w:rPr>
      <w:rFonts w:ascii="Helv" w:hAnsi="Helv"/>
      <w:b/>
      <w:i/>
      <w:snapToGrid w:val="0"/>
      <w:color w:val="000000"/>
      <w:sz w:val="28"/>
    </w:rPr>
  </w:style>
  <w:style w:type="paragraph" w:styleId="BalloonText">
    <w:name w:val="Balloon Text"/>
    <w:basedOn w:val="Normal"/>
    <w:link w:val="BalloonTextChar"/>
    <w:uiPriority w:val="99"/>
    <w:semiHidden/>
    <w:rsid w:val="00AF06B8"/>
    <w:rPr>
      <w:rFonts w:ascii="Tahoma" w:hAnsi="Tahoma" w:cs="Tahoma"/>
      <w:sz w:val="16"/>
      <w:szCs w:val="16"/>
    </w:rPr>
  </w:style>
  <w:style w:type="character" w:styleId="Hyperlink">
    <w:name w:val="Hyperlink"/>
    <w:uiPriority w:val="99"/>
    <w:rsid w:val="00AF06B8"/>
    <w:rPr>
      <w:color w:val="0000FF"/>
      <w:u w:val="single"/>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C74837"/>
    <w:rPr>
      <w:b/>
      <w:bCs/>
      <w:sz w:val="20"/>
    </w:rPr>
  </w:style>
  <w:style w:type="paragraph" w:customStyle="1" w:styleId="TableHeading0">
    <w:name w:val="Table Heading"/>
    <w:basedOn w:val="Normal"/>
    <w:next w:val="Normal"/>
    <w:rsid w:val="00C9014F"/>
    <w:pPr>
      <w:keepNext/>
      <w:spacing w:before="40" w:after="40"/>
      <w:ind w:left="0"/>
    </w:pPr>
    <w:rPr>
      <w:rFonts w:ascii="Arial" w:hAnsi="Arial"/>
      <w:b/>
      <w:sz w:val="18"/>
      <w:lang w:val="en-GB"/>
    </w:rPr>
  </w:style>
  <w:style w:type="table" w:styleId="TableGrid">
    <w:name w:val="Table Grid"/>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aliases w:val="TT,TE"/>
    <w:basedOn w:val="Normal"/>
    <w:link w:val="TableTextChar0"/>
    <w:uiPriority w:val="99"/>
    <w:rsid w:val="001A4FAC"/>
    <w:pPr>
      <w:keepNext/>
      <w:spacing w:before="40" w:after="40"/>
      <w:ind w:left="0"/>
    </w:pPr>
    <w:rPr>
      <w:rFonts w:ascii="Arial" w:hAnsi="Arial"/>
      <w:sz w:val="18"/>
    </w:rPr>
  </w:style>
  <w:style w:type="character" w:customStyle="1" w:styleId="TableTextChar0">
    <w:name w:val="Table Text Char"/>
    <w:link w:val="TableText0"/>
    <w:rsid w:val="001A4FAC"/>
    <w:rPr>
      <w:rFonts w:ascii="Arial" w:hAnsi="Arial"/>
      <w:sz w:val="18"/>
      <w:lang w:val="en-AU" w:eastAsia="en-US" w:bidi="ar-SA"/>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uiPriority w:val="99"/>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rPr>
  </w:style>
  <w:style w:type="character" w:customStyle="1" w:styleId="BodyTextChar">
    <w:name w:val="Body Text Char"/>
    <w:link w:val="BodyText"/>
    <w:uiPriority w:val="99"/>
    <w:rsid w:val="00E97600"/>
    <w:rPr>
      <w:rFonts w:ascii="Helv" w:hAnsi="Helv"/>
      <w:b/>
      <w:i/>
      <w:snapToGrid w:val="0"/>
      <w:color w:val="000000"/>
      <w:sz w:val="28"/>
      <w:lang w:val="en-AU" w:eastAsia="en-US" w:bidi="ar-SA"/>
    </w:rPr>
  </w:style>
  <w:style w:type="paragraph" w:customStyle="1" w:styleId="CharChar1CharCharCharChar">
    <w:name w:val="Char Char1 Char Char Char Char"/>
    <w:basedOn w:val="Normal"/>
    <w:rsid w:val="00B60AC5"/>
    <w:pPr>
      <w:spacing w:after="0"/>
      <w:ind w:left="0"/>
    </w:pPr>
    <w:rPr>
      <w:rFonts w:ascii="Arial" w:hAnsi="Arial" w:cs="Arial"/>
      <w:sz w:val="22"/>
      <w:szCs w:val="22"/>
    </w:rPr>
  </w:style>
  <w:style w:type="paragraph" w:styleId="ListParagraph">
    <w:name w:val="List Paragraph"/>
    <w:basedOn w:val="Normal"/>
    <w:uiPriority w:val="99"/>
    <w:qFormat/>
    <w:rsid w:val="00C74837"/>
    <w:pPr>
      <w:spacing w:after="0"/>
      <w:contextualSpacing/>
    </w:pPr>
    <w:rPr>
      <w:rFonts w:ascii="Calibri" w:hAnsi="Calibri"/>
      <w:szCs w:val="24"/>
    </w:rPr>
  </w:style>
  <w:style w:type="character" w:customStyle="1" w:styleId="CommentTextChar">
    <w:name w:val="Comment Text Char"/>
    <w:link w:val="CommentText"/>
    <w:uiPriority w:val="99"/>
    <w:rsid w:val="00C4750D"/>
    <w:rPr>
      <w:rFonts w:ascii="Garamond" w:hAnsi="Garamond"/>
    </w:rPr>
  </w:style>
  <w:style w:type="paragraph" w:styleId="NormalWeb">
    <w:name w:val="Normal (Web)"/>
    <w:basedOn w:val="Normal"/>
    <w:uiPriority w:val="99"/>
    <w:unhideWhenUsed/>
    <w:rsid w:val="00E45A4B"/>
    <w:pPr>
      <w:spacing w:before="100" w:beforeAutospacing="1" w:after="100" w:afterAutospacing="1"/>
      <w:ind w:left="0"/>
    </w:pPr>
    <w:rPr>
      <w:rFonts w:ascii="Times New Roman" w:hAnsi="Times New Roman"/>
      <w:szCs w:val="24"/>
    </w:rPr>
  </w:style>
  <w:style w:type="paragraph" w:customStyle="1" w:styleId="fulltext-text">
    <w:name w:val="fulltext-text"/>
    <w:basedOn w:val="Normal"/>
    <w:rsid w:val="00E772E6"/>
    <w:pPr>
      <w:spacing w:before="100" w:beforeAutospacing="1" w:after="360"/>
      <w:ind w:left="0"/>
    </w:pPr>
    <w:rPr>
      <w:rFonts w:ascii="Times New Roman" w:hAnsi="Times New Roman"/>
      <w:szCs w:val="24"/>
    </w:rPr>
  </w:style>
  <w:style w:type="paragraph" w:styleId="BodyText3">
    <w:name w:val="Body Text 3"/>
    <w:basedOn w:val="Normal"/>
    <w:link w:val="BodyText3Char"/>
    <w:rsid w:val="005C6CA0"/>
    <w:pPr>
      <w:spacing w:after="120"/>
    </w:pPr>
    <w:rPr>
      <w:sz w:val="16"/>
      <w:szCs w:val="16"/>
    </w:rPr>
  </w:style>
  <w:style w:type="character" w:customStyle="1" w:styleId="BodyText3Char">
    <w:name w:val="Body Text 3 Char"/>
    <w:basedOn w:val="DefaultParagraphFont"/>
    <w:link w:val="BodyText3"/>
    <w:rsid w:val="005C6CA0"/>
    <w:rPr>
      <w:rFonts w:ascii="Garamond" w:hAnsi="Garamond"/>
      <w:sz w:val="16"/>
      <w:szCs w:val="16"/>
    </w:rPr>
  </w:style>
  <w:style w:type="paragraph" w:customStyle="1" w:styleId="Tabletext1">
    <w:name w:val="Table text"/>
    <w:basedOn w:val="Normal"/>
    <w:link w:val="TabletextChar1"/>
    <w:rsid w:val="005C6CA0"/>
    <w:pPr>
      <w:widowControl w:val="0"/>
      <w:spacing w:after="0" w:line="276" w:lineRule="auto"/>
      <w:ind w:left="0"/>
    </w:pPr>
    <w:rPr>
      <w:rFonts w:ascii="Arial" w:hAnsi="Arial"/>
      <w:sz w:val="20"/>
      <w:lang w:val="en-US"/>
    </w:rPr>
  </w:style>
  <w:style w:type="paragraph" w:customStyle="1" w:styleId="TableNotes0">
    <w:name w:val="TableNotes+0"/>
    <w:basedOn w:val="Normal"/>
    <w:rsid w:val="005C6CA0"/>
    <w:pPr>
      <w:keepNext/>
      <w:keepLines/>
      <w:spacing w:after="0"/>
      <w:ind w:left="0"/>
      <w:jc w:val="both"/>
    </w:pPr>
    <w:rPr>
      <w:rFonts w:ascii="Arial" w:hAnsi="Arial"/>
      <w:sz w:val="20"/>
      <w:szCs w:val="18"/>
      <w:lang w:val="en-US"/>
    </w:rPr>
  </w:style>
  <w:style w:type="character" w:customStyle="1" w:styleId="TabletextChar1">
    <w:name w:val="Table text Char"/>
    <w:link w:val="Tabletext1"/>
    <w:locked/>
    <w:rsid w:val="005C6CA0"/>
    <w:rPr>
      <w:rFonts w:ascii="Arial" w:hAnsi="Arial"/>
      <w:lang w:val="en-US" w:eastAsia="en-US"/>
    </w:rPr>
  </w:style>
  <w:style w:type="numbering" w:customStyle="1" w:styleId="Style1">
    <w:name w:val="Style1"/>
    <w:uiPriority w:val="99"/>
    <w:rsid w:val="004761CF"/>
    <w:pPr>
      <w:numPr>
        <w:numId w:val="5"/>
      </w:numPr>
    </w:pPr>
  </w:style>
  <w:style w:type="character" w:customStyle="1" w:styleId="Heading3Char">
    <w:name w:val="Heading 3 Char"/>
    <w:aliases w:val="H3 Char,Heading 3 Char1 Char Char,Heading 3 Char Char Char Char,Heading 3 Char1 Char Char Char Char,Heading 3 Char Char Char Char Char Char,H3 Char Char Char Char Char Char,Heading 3 Char Char1 Char Char,H31 Char Char,H32 Char Char"/>
    <w:basedOn w:val="DefaultParagraphFont"/>
    <w:link w:val="Heading3"/>
    <w:rsid w:val="00C74837"/>
    <w:rPr>
      <w:rFonts w:ascii="Tahoma" w:hAnsi="Tahoma"/>
      <w:b/>
      <w:sz w:val="32"/>
    </w:rPr>
  </w:style>
  <w:style w:type="character" w:customStyle="1" w:styleId="Heading4Char">
    <w:name w:val="Heading 4 Char"/>
    <w:aliases w:val="H4 Char"/>
    <w:basedOn w:val="DefaultParagraphFont"/>
    <w:link w:val="Heading4"/>
    <w:rsid w:val="00C74837"/>
    <w:rPr>
      <w:rFonts w:ascii="Tahoma" w:hAnsi="Tahoma"/>
      <w:b/>
      <w:sz w:val="26"/>
    </w:rPr>
  </w:style>
  <w:style w:type="character" w:customStyle="1" w:styleId="highlight">
    <w:name w:val="highlight"/>
    <w:basedOn w:val="DefaultParagraphFont"/>
    <w:rsid w:val="00F302BD"/>
  </w:style>
  <w:style w:type="character" w:customStyle="1" w:styleId="apple-converted-space">
    <w:name w:val="apple-converted-space"/>
    <w:basedOn w:val="DefaultParagraphFont"/>
    <w:rsid w:val="00F302BD"/>
  </w:style>
  <w:style w:type="character" w:customStyle="1" w:styleId="Heading1Char">
    <w:name w:val="Heading 1 Char"/>
    <w:aliases w:val="H1 Char"/>
    <w:basedOn w:val="DefaultParagraphFont"/>
    <w:link w:val="Heading1"/>
    <w:rsid w:val="00C74837"/>
    <w:rPr>
      <w:rFonts w:ascii="Tahoma" w:hAnsi="Tahoma" w:cs="Arial"/>
      <w:b/>
      <w:bCs/>
      <w:iCs/>
      <w:sz w:val="48"/>
      <w:szCs w:val="44"/>
    </w:rPr>
  </w:style>
  <w:style w:type="paragraph" w:styleId="NoSpacing">
    <w:name w:val="No Spacing"/>
    <w:basedOn w:val="Normal"/>
    <w:uiPriority w:val="1"/>
    <w:qFormat/>
    <w:rsid w:val="00C74837"/>
    <w:pPr>
      <w:spacing w:after="0"/>
    </w:pPr>
    <w:rPr>
      <w:rFonts w:eastAsiaTheme="minorEastAsia" w:cstheme="majorBidi"/>
    </w:rPr>
  </w:style>
  <w:style w:type="character" w:customStyle="1" w:styleId="Heading5Char">
    <w:name w:val="Heading 5 Char"/>
    <w:aliases w:val="H5 Char"/>
    <w:basedOn w:val="DefaultParagraphFont"/>
    <w:link w:val="Heading5"/>
    <w:rsid w:val="00C74837"/>
    <w:rPr>
      <w:rFonts w:ascii="Tahoma" w:hAnsi="Tahoma"/>
      <w:b/>
      <w:sz w:val="22"/>
    </w:rPr>
  </w:style>
  <w:style w:type="character" w:customStyle="1" w:styleId="Heading6Char">
    <w:name w:val="Heading 6 Char"/>
    <w:basedOn w:val="DefaultParagraphFont"/>
    <w:link w:val="Heading6"/>
    <w:rsid w:val="00C74837"/>
    <w:rPr>
      <w:rFonts w:ascii="Tahoma" w:hAnsi="Tahoma"/>
      <w:b/>
    </w:rPr>
  </w:style>
  <w:style w:type="character" w:customStyle="1" w:styleId="Heading7Char">
    <w:name w:val="Heading 7 Char"/>
    <w:basedOn w:val="DefaultParagraphFont"/>
    <w:link w:val="Heading7"/>
    <w:rsid w:val="00C74837"/>
    <w:rPr>
      <w:rFonts w:ascii="Garamond" w:hAnsi="Garamond"/>
      <w:i/>
      <w:sz w:val="24"/>
    </w:rPr>
  </w:style>
  <w:style w:type="character" w:customStyle="1" w:styleId="Heading8Char">
    <w:name w:val="Heading 8 Char"/>
    <w:basedOn w:val="DefaultParagraphFont"/>
    <w:link w:val="Heading8"/>
    <w:rsid w:val="00C74837"/>
    <w:rPr>
      <w:rFonts w:ascii="Garamond" w:hAnsi="Garamond"/>
      <w:sz w:val="24"/>
      <w:u w:val="single"/>
    </w:rPr>
  </w:style>
  <w:style w:type="character" w:customStyle="1" w:styleId="Heading9Char">
    <w:name w:val="Heading 9 Char"/>
    <w:basedOn w:val="DefaultParagraphFont"/>
    <w:link w:val="Heading9"/>
    <w:rsid w:val="00C74837"/>
    <w:rPr>
      <w:rFonts w:ascii="Garamond" w:hAnsi="Garamond"/>
      <w:sz w:val="24"/>
    </w:rPr>
  </w:style>
  <w:style w:type="character" w:customStyle="1" w:styleId="TitleChar">
    <w:name w:val="Title Char"/>
    <w:basedOn w:val="DefaultParagraphFont"/>
    <w:link w:val="Title"/>
    <w:rsid w:val="00C74837"/>
    <w:rPr>
      <w:rFonts w:ascii="Arial" w:hAnsi="Arial"/>
      <w:b/>
      <w:smallCaps/>
      <w:sz w:val="44"/>
    </w:rPr>
  </w:style>
  <w:style w:type="paragraph" w:styleId="Subtitle">
    <w:name w:val="Subtitle"/>
    <w:basedOn w:val="Normal"/>
    <w:next w:val="Normal"/>
    <w:link w:val="SubtitleChar"/>
    <w:qFormat/>
    <w:rsid w:val="00C74837"/>
    <w:pPr>
      <w:numPr>
        <w:ilvl w:val="1"/>
      </w:numPr>
      <w:ind w:left="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C7483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C74837"/>
    <w:rPr>
      <w:b/>
      <w:bCs/>
    </w:rPr>
  </w:style>
  <w:style w:type="character" w:styleId="Emphasis">
    <w:name w:val="Emphasis"/>
    <w:qFormat/>
    <w:rsid w:val="00C74837"/>
    <w:rPr>
      <w:i/>
      <w:iCs/>
    </w:rPr>
  </w:style>
  <w:style w:type="character" w:customStyle="1" w:styleId="QuoteChar">
    <w:name w:val="Quote Char"/>
    <w:basedOn w:val="DefaultParagraphFont"/>
    <w:link w:val="Quote"/>
    <w:rsid w:val="00C74837"/>
    <w:rPr>
      <w:rFonts w:ascii="Garamond" w:hAnsi="Garamond"/>
      <w:sz w:val="22"/>
    </w:rPr>
  </w:style>
  <w:style w:type="paragraph" w:styleId="IntenseQuote">
    <w:name w:val="Intense Quote"/>
    <w:basedOn w:val="Normal"/>
    <w:next w:val="Normal"/>
    <w:link w:val="IntenseQuoteChar"/>
    <w:uiPriority w:val="30"/>
    <w:qFormat/>
    <w:rsid w:val="00C74837"/>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C74837"/>
    <w:rPr>
      <w:rFonts w:ascii="Garamond" w:eastAsiaTheme="majorEastAsia" w:hAnsi="Garamond" w:cstheme="majorBidi"/>
      <w:b/>
      <w:bCs/>
      <w:i/>
      <w:iCs/>
      <w:color w:val="4F81BD" w:themeColor="accent1"/>
      <w:sz w:val="24"/>
    </w:rPr>
  </w:style>
  <w:style w:type="character" w:styleId="SubtleEmphasis">
    <w:name w:val="Subtle Emphasis"/>
    <w:uiPriority w:val="19"/>
    <w:qFormat/>
    <w:rsid w:val="00C74837"/>
    <w:rPr>
      <w:i/>
      <w:iCs/>
      <w:color w:val="808080" w:themeColor="text1" w:themeTint="7F"/>
    </w:rPr>
  </w:style>
  <w:style w:type="character" w:styleId="IntenseEmphasis">
    <w:name w:val="Intense Emphasis"/>
    <w:uiPriority w:val="21"/>
    <w:qFormat/>
    <w:rsid w:val="00C74837"/>
    <w:rPr>
      <w:b/>
      <w:bCs/>
      <w:i/>
      <w:iCs/>
      <w:color w:val="4F81BD" w:themeColor="accent1"/>
    </w:rPr>
  </w:style>
  <w:style w:type="character" w:styleId="SubtleReference">
    <w:name w:val="Subtle Reference"/>
    <w:uiPriority w:val="31"/>
    <w:qFormat/>
    <w:rsid w:val="00C74837"/>
    <w:rPr>
      <w:smallCaps/>
      <w:color w:val="C0504D" w:themeColor="accent2"/>
      <w:u w:val="single"/>
    </w:rPr>
  </w:style>
  <w:style w:type="character" w:styleId="IntenseReference">
    <w:name w:val="Intense Reference"/>
    <w:uiPriority w:val="32"/>
    <w:qFormat/>
    <w:rsid w:val="00C74837"/>
    <w:rPr>
      <w:b/>
      <w:bCs/>
      <w:smallCaps/>
      <w:color w:val="C0504D" w:themeColor="accent2"/>
      <w:spacing w:val="5"/>
      <w:u w:val="single"/>
    </w:rPr>
  </w:style>
  <w:style w:type="character" w:styleId="BookTitle">
    <w:name w:val="Book Title"/>
    <w:uiPriority w:val="33"/>
    <w:qFormat/>
    <w:rsid w:val="00C74837"/>
    <w:rPr>
      <w:b/>
      <w:bCs/>
      <w:smallCaps/>
      <w:spacing w:val="5"/>
    </w:rPr>
  </w:style>
  <w:style w:type="paragraph" w:styleId="TOCHeading">
    <w:name w:val="TOC Heading"/>
    <w:basedOn w:val="Heading1"/>
    <w:next w:val="Normal"/>
    <w:uiPriority w:val="39"/>
    <w:unhideWhenUsed/>
    <w:qFormat/>
    <w:rsid w:val="00C74837"/>
    <w:pPr>
      <w:keepNext/>
      <w:keepLines/>
      <w:spacing w:before="480" w:after="0"/>
      <w:jc w:val="left"/>
      <w:outlineLvl w:val="9"/>
    </w:pPr>
    <w:rPr>
      <w:rFonts w:asciiTheme="majorHAnsi" w:eastAsiaTheme="majorEastAsia" w:hAnsiTheme="majorHAnsi" w:cstheme="majorBidi"/>
      <w:bCs w:val="0"/>
      <w:color w:val="365F91" w:themeColor="accent1" w:themeShade="BF"/>
      <w:sz w:val="28"/>
      <w:szCs w:val="28"/>
    </w:rPr>
  </w:style>
  <w:style w:type="character" w:customStyle="1" w:styleId="name">
    <w:name w:val="name"/>
    <w:basedOn w:val="DefaultParagraphFont"/>
    <w:rsid w:val="00F302BD"/>
  </w:style>
  <w:style w:type="character" w:customStyle="1" w:styleId="contrib-degrees">
    <w:name w:val="contrib-degrees"/>
    <w:basedOn w:val="DefaultParagraphFont"/>
    <w:rsid w:val="00F302BD"/>
  </w:style>
  <w:style w:type="character" w:customStyle="1" w:styleId="slug-pub-date">
    <w:name w:val="slug-pub-date"/>
    <w:basedOn w:val="DefaultParagraphFont"/>
    <w:rsid w:val="00F302BD"/>
  </w:style>
  <w:style w:type="character" w:customStyle="1" w:styleId="slug-vol">
    <w:name w:val="slug-vol"/>
    <w:basedOn w:val="DefaultParagraphFont"/>
    <w:rsid w:val="00F302BD"/>
  </w:style>
  <w:style w:type="character" w:customStyle="1" w:styleId="slug-pages">
    <w:name w:val="slug-pages"/>
    <w:basedOn w:val="DefaultParagraphFont"/>
    <w:rsid w:val="00F302BD"/>
  </w:style>
  <w:style w:type="character" w:customStyle="1" w:styleId="BalloonTextChar">
    <w:name w:val="Balloon Text Char"/>
    <w:basedOn w:val="DefaultParagraphFont"/>
    <w:link w:val="BalloonText"/>
    <w:uiPriority w:val="99"/>
    <w:semiHidden/>
    <w:rsid w:val="00F302BD"/>
    <w:rPr>
      <w:rFonts w:ascii="Tahoma" w:hAnsi="Tahoma" w:cs="Tahoma"/>
      <w:sz w:val="16"/>
      <w:szCs w:val="16"/>
    </w:rPr>
  </w:style>
  <w:style w:type="character" w:customStyle="1" w:styleId="CommentSubjectChar">
    <w:name w:val="Comment Subject Char"/>
    <w:basedOn w:val="CommentTextChar"/>
    <w:link w:val="CommentSubject"/>
    <w:uiPriority w:val="99"/>
    <w:semiHidden/>
    <w:rsid w:val="00F302BD"/>
    <w:rPr>
      <w:rFonts w:ascii="Garamond" w:hAnsi="Garamond"/>
      <w:b/>
      <w:bCs/>
    </w:rPr>
  </w:style>
  <w:style w:type="paragraph" w:customStyle="1" w:styleId="Title1">
    <w:name w:val="Title1"/>
    <w:basedOn w:val="Normal"/>
    <w:rsid w:val="00F302BD"/>
    <w:pPr>
      <w:spacing w:before="100" w:beforeAutospacing="1" w:after="100" w:afterAutospacing="1"/>
      <w:ind w:left="0"/>
    </w:pPr>
    <w:rPr>
      <w:rFonts w:ascii="Times New Roman" w:hAnsi="Times New Roman"/>
      <w:szCs w:val="24"/>
      <w:lang w:val="en-US"/>
    </w:rPr>
  </w:style>
  <w:style w:type="paragraph" w:customStyle="1" w:styleId="desc">
    <w:name w:val="desc"/>
    <w:basedOn w:val="Normal"/>
    <w:rsid w:val="00F302BD"/>
    <w:pPr>
      <w:spacing w:before="100" w:beforeAutospacing="1" w:after="100" w:afterAutospacing="1"/>
      <w:ind w:left="0"/>
    </w:pPr>
    <w:rPr>
      <w:rFonts w:ascii="Times New Roman" w:hAnsi="Times New Roman"/>
      <w:szCs w:val="24"/>
      <w:lang w:val="en-US"/>
    </w:rPr>
  </w:style>
  <w:style w:type="paragraph" w:customStyle="1" w:styleId="details">
    <w:name w:val="details"/>
    <w:basedOn w:val="Normal"/>
    <w:rsid w:val="00F302BD"/>
    <w:pPr>
      <w:spacing w:before="100" w:beforeAutospacing="1" w:after="100" w:afterAutospacing="1"/>
      <w:ind w:left="0"/>
    </w:pPr>
    <w:rPr>
      <w:rFonts w:ascii="Times New Roman" w:hAnsi="Times New Roman"/>
      <w:szCs w:val="24"/>
      <w:lang w:val="en-US"/>
    </w:rPr>
  </w:style>
  <w:style w:type="character" w:customStyle="1" w:styleId="jrnl">
    <w:name w:val="jrnl"/>
    <w:basedOn w:val="DefaultParagraphFont"/>
    <w:rsid w:val="00F302BD"/>
  </w:style>
  <w:style w:type="character" w:customStyle="1" w:styleId="HeaderChar">
    <w:name w:val="Header Char"/>
    <w:basedOn w:val="DefaultParagraphFont"/>
    <w:link w:val="Header"/>
    <w:uiPriority w:val="99"/>
    <w:rsid w:val="00F302BD"/>
    <w:rPr>
      <w:rFonts w:ascii="Garamond" w:hAnsi="Garamond"/>
      <w:sz w:val="24"/>
    </w:rPr>
  </w:style>
  <w:style w:type="character" w:customStyle="1" w:styleId="FooterChar">
    <w:name w:val="Footer Char"/>
    <w:basedOn w:val="DefaultParagraphFont"/>
    <w:link w:val="Footer"/>
    <w:uiPriority w:val="99"/>
    <w:rsid w:val="00F302BD"/>
    <w:rPr>
      <w:rFonts w:ascii="Arial" w:hAnsi="Arial"/>
      <w:b/>
    </w:rPr>
  </w:style>
  <w:style w:type="paragraph" w:customStyle="1" w:styleId="HeaderOdd">
    <w:name w:val="Header Odd"/>
    <w:basedOn w:val="NoSpacing"/>
    <w:rsid w:val="00140741"/>
    <w:pPr>
      <w:pBdr>
        <w:bottom w:val="single" w:sz="4" w:space="1" w:color="4F81BD" w:themeColor="accent1"/>
      </w:pBdr>
      <w:jc w:val="right"/>
    </w:pPr>
    <w:rPr>
      <w:rFonts w:eastAsiaTheme="minorHAnsi" w:cs="Times New Roman"/>
      <w:b/>
      <w:color w:val="1F497D" w:themeColor="text2"/>
      <w:sz w:val="20"/>
      <w:lang w:val="en-US" w:eastAsia="ja-JP"/>
    </w:rPr>
  </w:style>
  <w:style w:type="paragraph" w:styleId="List">
    <w:name w:val="List"/>
    <w:aliases w:val="L1"/>
    <w:basedOn w:val="Heading1"/>
    <w:uiPriority w:val="99"/>
    <w:rsid w:val="00F302BD"/>
    <w:pPr>
      <w:tabs>
        <w:tab w:val="left" w:pos="450"/>
      </w:tabs>
      <w:spacing w:before="60" w:after="120"/>
      <w:jc w:val="left"/>
      <w:outlineLvl w:val="9"/>
    </w:pPr>
    <w:rPr>
      <w:rFonts w:asciiTheme="minorHAnsi" w:hAnsiTheme="minorHAnsi" w:cs="Times New Roman"/>
      <w:b w:val="0"/>
      <w:i/>
      <w:iCs w:val="0"/>
      <w:kern w:val="28"/>
      <w:sz w:val="28"/>
      <w:szCs w:val="20"/>
      <w:u w:val="single"/>
      <w:lang w:val="en-US"/>
    </w:rPr>
  </w:style>
  <w:style w:type="paragraph" w:customStyle="1" w:styleId="StyleListL1Body11pt">
    <w:name w:val="Style ListL1 + +Body 11 pt"/>
    <w:basedOn w:val="List"/>
    <w:rsid w:val="00F302BD"/>
    <w:pPr>
      <w:ind w:left="720"/>
    </w:pPr>
    <w:rPr>
      <w:sz w:val="22"/>
    </w:rPr>
  </w:style>
  <w:style w:type="paragraph" w:customStyle="1" w:styleId="StyleStyleListL1Body11ptLeft088Before12ptAf">
    <w:name w:val="Style Style ListL1 + +Body 11 pt + Left:  0.88&quot; Before:  12 pt Af..."/>
    <w:basedOn w:val="StyleListL1Body11pt"/>
    <w:rsid w:val="00F302BD"/>
    <w:pPr>
      <w:spacing w:before="480" w:after="480"/>
      <w:ind w:left="1260"/>
    </w:pPr>
  </w:style>
  <w:style w:type="paragraph" w:styleId="ListBullet3">
    <w:name w:val="List Bullet 3"/>
    <w:aliases w:val="B3"/>
    <w:basedOn w:val="List3"/>
    <w:uiPriority w:val="99"/>
    <w:rsid w:val="00F302BD"/>
    <w:pPr>
      <w:tabs>
        <w:tab w:val="num" w:pos="-1296"/>
        <w:tab w:val="num" w:pos="0"/>
        <w:tab w:val="left" w:pos="1260"/>
      </w:tabs>
      <w:spacing w:after="120"/>
      <w:ind w:left="2448" w:hanging="432"/>
      <w:contextualSpacing w:val="0"/>
    </w:pPr>
    <w:rPr>
      <w:rFonts w:eastAsia="Times New Roman" w:cs="Times New Roman"/>
      <w:b/>
      <w:szCs w:val="20"/>
      <w:lang w:val="en-US"/>
    </w:rPr>
  </w:style>
  <w:style w:type="paragraph" w:styleId="List3">
    <w:name w:val="List 3"/>
    <w:basedOn w:val="Normal"/>
    <w:uiPriority w:val="99"/>
    <w:unhideWhenUsed/>
    <w:rsid w:val="00F302BD"/>
    <w:pPr>
      <w:spacing w:after="0"/>
      <w:ind w:left="849" w:hanging="283"/>
      <w:contextualSpacing/>
    </w:pPr>
    <w:rPr>
      <w:rFonts w:asciiTheme="majorBidi" w:eastAsiaTheme="minorEastAsia" w:hAnsiTheme="majorBidi" w:cstheme="majorBidi"/>
      <w:szCs w:val="24"/>
    </w:rPr>
  </w:style>
  <w:style w:type="character" w:customStyle="1" w:styleId="FootnoteTextChar">
    <w:name w:val="Footnote Text Char"/>
    <w:basedOn w:val="DefaultParagraphFont"/>
    <w:link w:val="FootnoteText"/>
    <w:uiPriority w:val="99"/>
    <w:semiHidden/>
    <w:rsid w:val="00F302BD"/>
    <w:rPr>
      <w:rFonts w:ascii="Garamond" w:hAnsi="Garamond"/>
    </w:rPr>
  </w:style>
  <w:style w:type="paragraph" w:customStyle="1" w:styleId="Default">
    <w:name w:val="Default"/>
    <w:rsid w:val="00F302BD"/>
    <w:pPr>
      <w:autoSpaceDE w:val="0"/>
      <w:autoSpaceDN w:val="0"/>
      <w:adjustRightInd w:val="0"/>
    </w:pPr>
    <w:rPr>
      <w:rFonts w:ascii="Plantin" w:hAnsi="Plantin" w:cs="Plantin"/>
      <w:color w:val="000000"/>
      <w:sz w:val="24"/>
      <w:szCs w:val="24"/>
      <w:lang w:val="en-US"/>
    </w:rPr>
  </w:style>
  <w:style w:type="paragraph" w:customStyle="1" w:styleId="Kimtextbody">
    <w:name w:val="Kim text body"/>
    <w:basedOn w:val="Normal"/>
    <w:link w:val="KimtextbodyChar"/>
    <w:rsid w:val="00140741"/>
  </w:style>
  <w:style w:type="character" w:customStyle="1" w:styleId="KimtextbodyChar">
    <w:name w:val="Kim text body Char"/>
    <w:basedOn w:val="DefaultParagraphFont"/>
    <w:link w:val="Kimtextbody"/>
    <w:rsid w:val="00140741"/>
    <w:rPr>
      <w:rFonts w:ascii="Garamond" w:hAnsi="Garamond"/>
      <w:sz w:val="24"/>
    </w:rPr>
  </w:style>
  <w:style w:type="paragraph" w:customStyle="1" w:styleId="Heading2Kim">
    <w:name w:val="Heading 2 Kim"/>
    <w:basedOn w:val="Heading2"/>
    <w:link w:val="Heading2KimChar"/>
    <w:rsid w:val="00140741"/>
    <w:pPr>
      <w:keepLines/>
      <w:pageBreakBefore w:val="0"/>
      <w:pBdr>
        <w:bottom w:val="none" w:sz="0" w:space="0" w:color="auto"/>
      </w:pBdr>
      <w:ind w:left="720" w:firstLine="0"/>
    </w:pPr>
    <w:rPr>
      <w:rFonts w:ascii="Garamond" w:eastAsiaTheme="majorEastAsia" w:hAnsi="Garamond" w:cstheme="majorBidi"/>
      <w:bCs/>
      <w:sz w:val="24"/>
      <w:szCs w:val="26"/>
    </w:rPr>
  </w:style>
  <w:style w:type="character" w:customStyle="1" w:styleId="Heading2KimChar">
    <w:name w:val="Heading 2 Kim Char"/>
    <w:basedOn w:val="Heading2Char"/>
    <w:link w:val="Heading2Kim"/>
    <w:rsid w:val="00140741"/>
    <w:rPr>
      <w:rFonts w:ascii="Garamond" w:eastAsiaTheme="majorEastAsia" w:hAnsi="Garamond" w:cstheme="majorBidi"/>
      <w:b/>
      <w:bCs/>
      <w:sz w:val="24"/>
      <w:szCs w:val="26"/>
    </w:rPr>
  </w:style>
  <w:style w:type="paragraph" w:customStyle="1" w:styleId="NormalKim">
    <w:name w:val="Normal Kim"/>
    <w:basedOn w:val="Normal"/>
    <w:link w:val="NormalKimChar"/>
    <w:rsid w:val="00140741"/>
  </w:style>
  <w:style w:type="character" w:customStyle="1" w:styleId="NormalKimChar">
    <w:name w:val="Normal Kim Char"/>
    <w:basedOn w:val="DefaultParagraphFont"/>
    <w:link w:val="NormalKim"/>
    <w:rsid w:val="00140741"/>
    <w:rPr>
      <w:rFonts w:ascii="Garamond" w:hAnsi="Garamond"/>
      <w:sz w:val="24"/>
    </w:rPr>
  </w:style>
  <w:style w:type="character" w:styleId="PlaceholderText">
    <w:name w:val="Placeholder Text"/>
    <w:basedOn w:val="DefaultParagraphFont"/>
    <w:uiPriority w:val="99"/>
    <w:semiHidden/>
    <w:rsid w:val="001407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17999325">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46946924">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54137281">
      <w:bodyDiv w:val="1"/>
      <w:marLeft w:val="0"/>
      <w:marRight w:val="0"/>
      <w:marTop w:val="0"/>
      <w:marBottom w:val="0"/>
      <w:divBdr>
        <w:top w:val="none" w:sz="0" w:space="0" w:color="auto"/>
        <w:left w:val="none" w:sz="0" w:space="0" w:color="auto"/>
        <w:bottom w:val="none" w:sz="0" w:space="0" w:color="auto"/>
        <w:right w:val="none" w:sz="0" w:space="0" w:color="auto"/>
      </w:divBdr>
      <w:divsChild>
        <w:div w:id="795098642">
          <w:marLeft w:val="547"/>
          <w:marRight w:val="0"/>
          <w:marTop w:val="154"/>
          <w:marBottom w:val="0"/>
          <w:divBdr>
            <w:top w:val="none" w:sz="0" w:space="0" w:color="auto"/>
            <w:left w:val="none" w:sz="0" w:space="0" w:color="auto"/>
            <w:bottom w:val="none" w:sz="0" w:space="0" w:color="auto"/>
            <w:right w:val="none" w:sz="0" w:space="0" w:color="auto"/>
          </w:divBdr>
        </w:div>
        <w:div w:id="1693804493">
          <w:marLeft w:val="547"/>
          <w:marRight w:val="0"/>
          <w:marTop w:val="154"/>
          <w:marBottom w:val="0"/>
          <w:divBdr>
            <w:top w:val="none" w:sz="0" w:space="0" w:color="auto"/>
            <w:left w:val="none" w:sz="0" w:space="0" w:color="auto"/>
            <w:bottom w:val="none" w:sz="0" w:space="0" w:color="auto"/>
            <w:right w:val="none" w:sz="0" w:space="0" w:color="auto"/>
          </w:divBdr>
        </w:div>
      </w:divsChild>
    </w:div>
    <w:div w:id="1454711629">
      <w:bodyDiv w:val="1"/>
      <w:marLeft w:val="0"/>
      <w:marRight w:val="0"/>
      <w:marTop w:val="0"/>
      <w:marBottom w:val="0"/>
      <w:divBdr>
        <w:top w:val="none" w:sz="0" w:space="0" w:color="auto"/>
        <w:left w:val="none" w:sz="0" w:space="0" w:color="auto"/>
        <w:bottom w:val="none" w:sz="0" w:space="0" w:color="auto"/>
        <w:right w:val="none" w:sz="0" w:space="0" w:color="auto"/>
      </w:divBdr>
      <w:divsChild>
        <w:div w:id="1631780876">
          <w:marLeft w:val="547"/>
          <w:marRight w:val="0"/>
          <w:marTop w:val="144"/>
          <w:marBottom w:val="0"/>
          <w:divBdr>
            <w:top w:val="none" w:sz="0" w:space="0" w:color="auto"/>
            <w:left w:val="none" w:sz="0" w:space="0" w:color="auto"/>
            <w:bottom w:val="none" w:sz="0" w:space="0" w:color="auto"/>
            <w:right w:val="none" w:sz="0" w:space="0" w:color="auto"/>
          </w:divBdr>
        </w:div>
      </w:divsChild>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48183309">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38088951">
      <w:bodyDiv w:val="1"/>
      <w:marLeft w:val="0"/>
      <w:marRight w:val="0"/>
      <w:marTop w:val="0"/>
      <w:marBottom w:val="0"/>
      <w:divBdr>
        <w:top w:val="none" w:sz="0" w:space="0" w:color="auto"/>
        <w:left w:val="none" w:sz="0" w:space="0" w:color="auto"/>
        <w:bottom w:val="none" w:sz="0" w:space="0" w:color="auto"/>
        <w:right w:val="none" w:sz="0" w:space="0" w:color="auto"/>
      </w:divBdr>
      <w:divsChild>
        <w:div w:id="1694765035">
          <w:marLeft w:val="547"/>
          <w:marRight w:val="0"/>
          <w:marTop w:val="154"/>
          <w:marBottom w:val="0"/>
          <w:divBdr>
            <w:top w:val="none" w:sz="0" w:space="0" w:color="auto"/>
            <w:left w:val="none" w:sz="0" w:space="0" w:color="auto"/>
            <w:bottom w:val="none" w:sz="0" w:space="0" w:color="auto"/>
            <w:right w:val="none" w:sz="0" w:space="0" w:color="auto"/>
          </w:divBdr>
        </w:div>
        <w:div w:id="871763811">
          <w:marLeft w:val="547"/>
          <w:marRight w:val="0"/>
          <w:marTop w:val="154"/>
          <w:marBottom w:val="0"/>
          <w:divBdr>
            <w:top w:val="none" w:sz="0" w:space="0" w:color="auto"/>
            <w:left w:val="none" w:sz="0" w:space="0" w:color="auto"/>
            <w:bottom w:val="none" w:sz="0" w:space="0" w:color="auto"/>
            <w:right w:val="none" w:sz="0" w:space="0" w:color="auto"/>
          </w:divBdr>
        </w:div>
      </w:divsChild>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tif"/><Relationship Id="rId26" Type="http://schemas.openxmlformats.org/officeDocument/2006/relationships/footer" Target="foot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tif"/><Relationship Id="rId34" Type="http://schemas.openxmlformats.org/officeDocument/2006/relationships/hyperlink" Target="http://www.abs.gov.au/AUSSTATS/abs@.nsf/DetailsPage/3222.02012%20(base)%20to%202101?OpenDocument"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tiff"/><Relationship Id="rId25" Type="http://schemas.openxmlformats.org/officeDocument/2006/relationships/image" Target="media/image8.tif"/><Relationship Id="rId33" Type="http://schemas.openxmlformats.org/officeDocument/2006/relationships/image" Target="media/image13.tif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sac.gov.au" TargetMode="External"/><Relationship Id="rId20" Type="http://schemas.openxmlformats.org/officeDocument/2006/relationships/image" Target="media/image3.png"/><Relationship Id="rId29"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tif"/><Relationship Id="rId32" Type="http://schemas.openxmlformats.org/officeDocument/2006/relationships/image" Target="media/image12.tiff"/><Relationship Id="rId37" Type="http://schemas.openxmlformats.org/officeDocument/2006/relationships/hyperlink" Target="http://www.ranzcp.org/Files/ranzcp-attachments/Resources/College_Statements/Position_Statements/74-Electroconvulsive-Therapy-GC2012-3.aspx" TargetMode="External"/><Relationship Id="rId5" Type="http://schemas.openxmlformats.org/officeDocument/2006/relationships/settings" Target="settings.xml"/><Relationship Id="rId15" Type="http://schemas.openxmlformats.org/officeDocument/2006/relationships/hyperlink" Target="http://www.msac.gov.au" TargetMode="External"/><Relationship Id="rId23" Type="http://schemas.openxmlformats.org/officeDocument/2006/relationships/image" Target="media/image6.tiff"/><Relationship Id="rId28" Type="http://schemas.openxmlformats.org/officeDocument/2006/relationships/hyperlink" Target="http://www.msac.gov.au/internet/msac/publishing.nsf/Content/115CC907F00447B3CA2575AD0082FD6C/$File/1101%20-%20Repetitive%20transcranial%20magnetic%20stimulation%20Report.pdf" TargetMode="External"/><Relationship Id="rId36" Type="http://schemas.openxmlformats.org/officeDocument/2006/relationships/hyperlink" Target="http://www.medicareaustralia.gov.au/statistics/mbs_item.shtml" TargetMode="External"/><Relationship Id="rId49"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hyperlink" Target="http://www.tga.gov.au/industry/artg.htm" TargetMode="External"/><Relationship Id="rId31"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TIF"/><Relationship Id="rId27" Type="http://schemas.openxmlformats.org/officeDocument/2006/relationships/hyperlink" Target="http://www.effectivehealthcare.ahrq.gov/reports/final.cfm" TargetMode="External"/><Relationship Id="rId30" Type="http://schemas.openxmlformats.org/officeDocument/2006/relationships/image" Target="media/image10.tiff"/><Relationship Id="rId35" Type="http://schemas.openxmlformats.org/officeDocument/2006/relationships/hyperlink" Target="http://www.abs.gov.au/AUSSTATS/abs@.nsf/DetailsPage/4326.02007?OpenDocument" TargetMode="External"/><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4B10D-E2F3-4E2E-81B5-EFE5FFABB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94</Pages>
  <Words>32105</Words>
  <Characters>251027</Characters>
  <Application>Microsoft Office Word</Application>
  <DocSecurity>0</DocSecurity>
  <Lines>2091</Lines>
  <Paragraphs>565</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Dept Health And Ageing</Company>
  <LinksUpToDate>false</LinksUpToDate>
  <CharactersWithSpaces>282567</CharactersWithSpaces>
  <SharedDoc>false</SharedDoc>
  <HLinks>
    <vt:vector size="360" baseType="variant">
      <vt:variant>
        <vt:i4>1245236</vt:i4>
      </vt:variant>
      <vt:variant>
        <vt:i4>359</vt:i4>
      </vt:variant>
      <vt:variant>
        <vt:i4>0</vt:i4>
      </vt:variant>
      <vt:variant>
        <vt:i4>5</vt:i4>
      </vt:variant>
      <vt:variant>
        <vt:lpwstr/>
      </vt:variant>
      <vt:variant>
        <vt:lpwstr>_Toc204743604</vt:lpwstr>
      </vt:variant>
      <vt:variant>
        <vt:i4>1376313</vt:i4>
      </vt:variant>
      <vt:variant>
        <vt:i4>350</vt:i4>
      </vt:variant>
      <vt:variant>
        <vt:i4>0</vt:i4>
      </vt:variant>
      <vt:variant>
        <vt:i4>5</vt:i4>
      </vt:variant>
      <vt:variant>
        <vt:lpwstr/>
      </vt:variant>
      <vt:variant>
        <vt:lpwstr>_Toc209512356</vt:lpwstr>
      </vt:variant>
      <vt:variant>
        <vt:i4>1376313</vt:i4>
      </vt:variant>
      <vt:variant>
        <vt:i4>344</vt:i4>
      </vt:variant>
      <vt:variant>
        <vt:i4>0</vt:i4>
      </vt:variant>
      <vt:variant>
        <vt:i4>5</vt:i4>
      </vt:variant>
      <vt:variant>
        <vt:lpwstr/>
      </vt:variant>
      <vt:variant>
        <vt:lpwstr>_Toc209512355</vt:lpwstr>
      </vt:variant>
      <vt:variant>
        <vt:i4>1376313</vt:i4>
      </vt:variant>
      <vt:variant>
        <vt:i4>338</vt:i4>
      </vt:variant>
      <vt:variant>
        <vt:i4>0</vt:i4>
      </vt:variant>
      <vt:variant>
        <vt:i4>5</vt:i4>
      </vt:variant>
      <vt:variant>
        <vt:lpwstr/>
      </vt:variant>
      <vt:variant>
        <vt:lpwstr>_Toc209512354</vt:lpwstr>
      </vt:variant>
      <vt:variant>
        <vt:i4>1376313</vt:i4>
      </vt:variant>
      <vt:variant>
        <vt:i4>332</vt:i4>
      </vt:variant>
      <vt:variant>
        <vt:i4>0</vt:i4>
      </vt:variant>
      <vt:variant>
        <vt:i4>5</vt:i4>
      </vt:variant>
      <vt:variant>
        <vt:lpwstr/>
      </vt:variant>
      <vt:variant>
        <vt:lpwstr>_Toc209512353</vt:lpwstr>
      </vt:variant>
      <vt:variant>
        <vt:i4>1376313</vt:i4>
      </vt:variant>
      <vt:variant>
        <vt:i4>326</vt:i4>
      </vt:variant>
      <vt:variant>
        <vt:i4>0</vt:i4>
      </vt:variant>
      <vt:variant>
        <vt:i4>5</vt:i4>
      </vt:variant>
      <vt:variant>
        <vt:lpwstr/>
      </vt:variant>
      <vt:variant>
        <vt:lpwstr>_Toc209512352</vt:lpwstr>
      </vt:variant>
      <vt:variant>
        <vt:i4>1376313</vt:i4>
      </vt:variant>
      <vt:variant>
        <vt:i4>320</vt:i4>
      </vt:variant>
      <vt:variant>
        <vt:i4>0</vt:i4>
      </vt:variant>
      <vt:variant>
        <vt:i4>5</vt:i4>
      </vt:variant>
      <vt:variant>
        <vt:lpwstr/>
      </vt:variant>
      <vt:variant>
        <vt:lpwstr>_Toc209512351</vt:lpwstr>
      </vt:variant>
      <vt:variant>
        <vt:i4>1114167</vt:i4>
      </vt:variant>
      <vt:variant>
        <vt:i4>311</vt:i4>
      </vt:variant>
      <vt:variant>
        <vt:i4>0</vt:i4>
      </vt:variant>
      <vt:variant>
        <vt:i4>5</vt:i4>
      </vt:variant>
      <vt:variant>
        <vt:lpwstr/>
      </vt:variant>
      <vt:variant>
        <vt:lpwstr>_Toc370118584</vt:lpwstr>
      </vt:variant>
      <vt:variant>
        <vt:i4>1114167</vt:i4>
      </vt:variant>
      <vt:variant>
        <vt:i4>305</vt:i4>
      </vt:variant>
      <vt:variant>
        <vt:i4>0</vt:i4>
      </vt:variant>
      <vt:variant>
        <vt:i4>5</vt:i4>
      </vt:variant>
      <vt:variant>
        <vt:lpwstr/>
      </vt:variant>
      <vt:variant>
        <vt:lpwstr>_Toc370118583</vt:lpwstr>
      </vt:variant>
      <vt:variant>
        <vt:i4>1114167</vt:i4>
      </vt:variant>
      <vt:variant>
        <vt:i4>299</vt:i4>
      </vt:variant>
      <vt:variant>
        <vt:i4>0</vt:i4>
      </vt:variant>
      <vt:variant>
        <vt:i4>5</vt:i4>
      </vt:variant>
      <vt:variant>
        <vt:lpwstr/>
      </vt:variant>
      <vt:variant>
        <vt:lpwstr>_Toc370118582</vt:lpwstr>
      </vt:variant>
      <vt:variant>
        <vt:i4>1114167</vt:i4>
      </vt:variant>
      <vt:variant>
        <vt:i4>293</vt:i4>
      </vt:variant>
      <vt:variant>
        <vt:i4>0</vt:i4>
      </vt:variant>
      <vt:variant>
        <vt:i4>5</vt:i4>
      </vt:variant>
      <vt:variant>
        <vt:lpwstr/>
      </vt:variant>
      <vt:variant>
        <vt:lpwstr>_Toc370118581</vt:lpwstr>
      </vt:variant>
      <vt:variant>
        <vt:i4>1114167</vt:i4>
      </vt:variant>
      <vt:variant>
        <vt:i4>287</vt:i4>
      </vt:variant>
      <vt:variant>
        <vt:i4>0</vt:i4>
      </vt:variant>
      <vt:variant>
        <vt:i4>5</vt:i4>
      </vt:variant>
      <vt:variant>
        <vt:lpwstr/>
      </vt:variant>
      <vt:variant>
        <vt:lpwstr>_Toc370118580</vt:lpwstr>
      </vt:variant>
      <vt:variant>
        <vt:i4>1966135</vt:i4>
      </vt:variant>
      <vt:variant>
        <vt:i4>281</vt:i4>
      </vt:variant>
      <vt:variant>
        <vt:i4>0</vt:i4>
      </vt:variant>
      <vt:variant>
        <vt:i4>5</vt:i4>
      </vt:variant>
      <vt:variant>
        <vt:lpwstr/>
      </vt:variant>
      <vt:variant>
        <vt:lpwstr>_Toc370118579</vt:lpwstr>
      </vt:variant>
      <vt:variant>
        <vt:i4>1966135</vt:i4>
      </vt:variant>
      <vt:variant>
        <vt:i4>275</vt:i4>
      </vt:variant>
      <vt:variant>
        <vt:i4>0</vt:i4>
      </vt:variant>
      <vt:variant>
        <vt:i4>5</vt:i4>
      </vt:variant>
      <vt:variant>
        <vt:lpwstr/>
      </vt:variant>
      <vt:variant>
        <vt:lpwstr>_Toc370118578</vt:lpwstr>
      </vt:variant>
      <vt:variant>
        <vt:i4>1966135</vt:i4>
      </vt:variant>
      <vt:variant>
        <vt:i4>269</vt:i4>
      </vt:variant>
      <vt:variant>
        <vt:i4>0</vt:i4>
      </vt:variant>
      <vt:variant>
        <vt:i4>5</vt:i4>
      </vt:variant>
      <vt:variant>
        <vt:lpwstr/>
      </vt:variant>
      <vt:variant>
        <vt:lpwstr>_Toc370118577</vt:lpwstr>
      </vt:variant>
      <vt:variant>
        <vt:i4>1966135</vt:i4>
      </vt:variant>
      <vt:variant>
        <vt:i4>263</vt:i4>
      </vt:variant>
      <vt:variant>
        <vt:i4>0</vt:i4>
      </vt:variant>
      <vt:variant>
        <vt:i4>5</vt:i4>
      </vt:variant>
      <vt:variant>
        <vt:lpwstr/>
      </vt:variant>
      <vt:variant>
        <vt:lpwstr>_Toc370118576</vt:lpwstr>
      </vt:variant>
      <vt:variant>
        <vt:i4>1966135</vt:i4>
      </vt:variant>
      <vt:variant>
        <vt:i4>257</vt:i4>
      </vt:variant>
      <vt:variant>
        <vt:i4>0</vt:i4>
      </vt:variant>
      <vt:variant>
        <vt:i4>5</vt:i4>
      </vt:variant>
      <vt:variant>
        <vt:lpwstr/>
      </vt:variant>
      <vt:variant>
        <vt:lpwstr>_Toc370118575</vt:lpwstr>
      </vt:variant>
      <vt:variant>
        <vt:i4>1966135</vt:i4>
      </vt:variant>
      <vt:variant>
        <vt:i4>251</vt:i4>
      </vt:variant>
      <vt:variant>
        <vt:i4>0</vt:i4>
      </vt:variant>
      <vt:variant>
        <vt:i4>5</vt:i4>
      </vt:variant>
      <vt:variant>
        <vt:lpwstr/>
      </vt:variant>
      <vt:variant>
        <vt:lpwstr>_Toc370118574</vt:lpwstr>
      </vt:variant>
      <vt:variant>
        <vt:i4>1966135</vt:i4>
      </vt:variant>
      <vt:variant>
        <vt:i4>245</vt:i4>
      </vt:variant>
      <vt:variant>
        <vt:i4>0</vt:i4>
      </vt:variant>
      <vt:variant>
        <vt:i4>5</vt:i4>
      </vt:variant>
      <vt:variant>
        <vt:lpwstr/>
      </vt:variant>
      <vt:variant>
        <vt:lpwstr>_Toc370118573</vt:lpwstr>
      </vt:variant>
      <vt:variant>
        <vt:i4>1966135</vt:i4>
      </vt:variant>
      <vt:variant>
        <vt:i4>239</vt:i4>
      </vt:variant>
      <vt:variant>
        <vt:i4>0</vt:i4>
      </vt:variant>
      <vt:variant>
        <vt:i4>5</vt:i4>
      </vt:variant>
      <vt:variant>
        <vt:lpwstr/>
      </vt:variant>
      <vt:variant>
        <vt:lpwstr>_Toc370118572</vt:lpwstr>
      </vt:variant>
      <vt:variant>
        <vt:i4>1966135</vt:i4>
      </vt:variant>
      <vt:variant>
        <vt:i4>233</vt:i4>
      </vt:variant>
      <vt:variant>
        <vt:i4>0</vt:i4>
      </vt:variant>
      <vt:variant>
        <vt:i4>5</vt:i4>
      </vt:variant>
      <vt:variant>
        <vt:lpwstr/>
      </vt:variant>
      <vt:variant>
        <vt:lpwstr>_Toc370118571</vt:lpwstr>
      </vt:variant>
      <vt:variant>
        <vt:i4>1966135</vt:i4>
      </vt:variant>
      <vt:variant>
        <vt:i4>227</vt:i4>
      </vt:variant>
      <vt:variant>
        <vt:i4>0</vt:i4>
      </vt:variant>
      <vt:variant>
        <vt:i4>5</vt:i4>
      </vt:variant>
      <vt:variant>
        <vt:lpwstr/>
      </vt:variant>
      <vt:variant>
        <vt:lpwstr>_Toc370118570</vt:lpwstr>
      </vt:variant>
      <vt:variant>
        <vt:i4>2031671</vt:i4>
      </vt:variant>
      <vt:variant>
        <vt:i4>221</vt:i4>
      </vt:variant>
      <vt:variant>
        <vt:i4>0</vt:i4>
      </vt:variant>
      <vt:variant>
        <vt:i4>5</vt:i4>
      </vt:variant>
      <vt:variant>
        <vt:lpwstr/>
      </vt:variant>
      <vt:variant>
        <vt:lpwstr>_Toc370118569</vt:lpwstr>
      </vt:variant>
      <vt:variant>
        <vt:i4>2031671</vt:i4>
      </vt:variant>
      <vt:variant>
        <vt:i4>215</vt:i4>
      </vt:variant>
      <vt:variant>
        <vt:i4>0</vt:i4>
      </vt:variant>
      <vt:variant>
        <vt:i4>5</vt:i4>
      </vt:variant>
      <vt:variant>
        <vt:lpwstr/>
      </vt:variant>
      <vt:variant>
        <vt:lpwstr>_Toc370118568</vt:lpwstr>
      </vt:variant>
      <vt:variant>
        <vt:i4>2031671</vt:i4>
      </vt:variant>
      <vt:variant>
        <vt:i4>209</vt:i4>
      </vt:variant>
      <vt:variant>
        <vt:i4>0</vt:i4>
      </vt:variant>
      <vt:variant>
        <vt:i4>5</vt:i4>
      </vt:variant>
      <vt:variant>
        <vt:lpwstr/>
      </vt:variant>
      <vt:variant>
        <vt:lpwstr>_Toc370118567</vt:lpwstr>
      </vt:variant>
      <vt:variant>
        <vt:i4>2031671</vt:i4>
      </vt:variant>
      <vt:variant>
        <vt:i4>203</vt:i4>
      </vt:variant>
      <vt:variant>
        <vt:i4>0</vt:i4>
      </vt:variant>
      <vt:variant>
        <vt:i4>5</vt:i4>
      </vt:variant>
      <vt:variant>
        <vt:lpwstr/>
      </vt:variant>
      <vt:variant>
        <vt:lpwstr>_Toc370118566</vt:lpwstr>
      </vt:variant>
      <vt:variant>
        <vt:i4>2031671</vt:i4>
      </vt:variant>
      <vt:variant>
        <vt:i4>197</vt:i4>
      </vt:variant>
      <vt:variant>
        <vt:i4>0</vt:i4>
      </vt:variant>
      <vt:variant>
        <vt:i4>5</vt:i4>
      </vt:variant>
      <vt:variant>
        <vt:lpwstr/>
      </vt:variant>
      <vt:variant>
        <vt:lpwstr>_Toc370118565</vt:lpwstr>
      </vt:variant>
      <vt:variant>
        <vt:i4>2031671</vt:i4>
      </vt:variant>
      <vt:variant>
        <vt:i4>191</vt:i4>
      </vt:variant>
      <vt:variant>
        <vt:i4>0</vt:i4>
      </vt:variant>
      <vt:variant>
        <vt:i4>5</vt:i4>
      </vt:variant>
      <vt:variant>
        <vt:lpwstr/>
      </vt:variant>
      <vt:variant>
        <vt:lpwstr>_Toc370118564</vt:lpwstr>
      </vt:variant>
      <vt:variant>
        <vt:i4>2031671</vt:i4>
      </vt:variant>
      <vt:variant>
        <vt:i4>185</vt:i4>
      </vt:variant>
      <vt:variant>
        <vt:i4>0</vt:i4>
      </vt:variant>
      <vt:variant>
        <vt:i4>5</vt:i4>
      </vt:variant>
      <vt:variant>
        <vt:lpwstr/>
      </vt:variant>
      <vt:variant>
        <vt:lpwstr>_Toc370118563</vt:lpwstr>
      </vt:variant>
      <vt:variant>
        <vt:i4>2031671</vt:i4>
      </vt:variant>
      <vt:variant>
        <vt:i4>179</vt:i4>
      </vt:variant>
      <vt:variant>
        <vt:i4>0</vt:i4>
      </vt:variant>
      <vt:variant>
        <vt:i4>5</vt:i4>
      </vt:variant>
      <vt:variant>
        <vt:lpwstr/>
      </vt:variant>
      <vt:variant>
        <vt:lpwstr>_Toc370118562</vt:lpwstr>
      </vt:variant>
      <vt:variant>
        <vt:i4>2031671</vt:i4>
      </vt:variant>
      <vt:variant>
        <vt:i4>173</vt:i4>
      </vt:variant>
      <vt:variant>
        <vt:i4>0</vt:i4>
      </vt:variant>
      <vt:variant>
        <vt:i4>5</vt:i4>
      </vt:variant>
      <vt:variant>
        <vt:lpwstr/>
      </vt:variant>
      <vt:variant>
        <vt:lpwstr>_Toc370118561</vt:lpwstr>
      </vt:variant>
      <vt:variant>
        <vt:i4>2031671</vt:i4>
      </vt:variant>
      <vt:variant>
        <vt:i4>167</vt:i4>
      </vt:variant>
      <vt:variant>
        <vt:i4>0</vt:i4>
      </vt:variant>
      <vt:variant>
        <vt:i4>5</vt:i4>
      </vt:variant>
      <vt:variant>
        <vt:lpwstr/>
      </vt:variant>
      <vt:variant>
        <vt:lpwstr>_Toc370118560</vt:lpwstr>
      </vt:variant>
      <vt:variant>
        <vt:i4>1835063</vt:i4>
      </vt:variant>
      <vt:variant>
        <vt:i4>161</vt:i4>
      </vt:variant>
      <vt:variant>
        <vt:i4>0</vt:i4>
      </vt:variant>
      <vt:variant>
        <vt:i4>5</vt:i4>
      </vt:variant>
      <vt:variant>
        <vt:lpwstr/>
      </vt:variant>
      <vt:variant>
        <vt:lpwstr>_Toc370118559</vt:lpwstr>
      </vt:variant>
      <vt:variant>
        <vt:i4>1835063</vt:i4>
      </vt:variant>
      <vt:variant>
        <vt:i4>155</vt:i4>
      </vt:variant>
      <vt:variant>
        <vt:i4>0</vt:i4>
      </vt:variant>
      <vt:variant>
        <vt:i4>5</vt:i4>
      </vt:variant>
      <vt:variant>
        <vt:lpwstr/>
      </vt:variant>
      <vt:variant>
        <vt:lpwstr>_Toc370118558</vt:lpwstr>
      </vt:variant>
      <vt:variant>
        <vt:i4>1835063</vt:i4>
      </vt:variant>
      <vt:variant>
        <vt:i4>149</vt:i4>
      </vt:variant>
      <vt:variant>
        <vt:i4>0</vt:i4>
      </vt:variant>
      <vt:variant>
        <vt:i4>5</vt:i4>
      </vt:variant>
      <vt:variant>
        <vt:lpwstr/>
      </vt:variant>
      <vt:variant>
        <vt:lpwstr>_Toc370118557</vt:lpwstr>
      </vt:variant>
      <vt:variant>
        <vt:i4>1835063</vt:i4>
      </vt:variant>
      <vt:variant>
        <vt:i4>143</vt:i4>
      </vt:variant>
      <vt:variant>
        <vt:i4>0</vt:i4>
      </vt:variant>
      <vt:variant>
        <vt:i4>5</vt:i4>
      </vt:variant>
      <vt:variant>
        <vt:lpwstr/>
      </vt:variant>
      <vt:variant>
        <vt:lpwstr>_Toc370118556</vt:lpwstr>
      </vt:variant>
      <vt:variant>
        <vt:i4>1835063</vt:i4>
      </vt:variant>
      <vt:variant>
        <vt:i4>137</vt:i4>
      </vt:variant>
      <vt:variant>
        <vt:i4>0</vt:i4>
      </vt:variant>
      <vt:variant>
        <vt:i4>5</vt:i4>
      </vt:variant>
      <vt:variant>
        <vt:lpwstr/>
      </vt:variant>
      <vt:variant>
        <vt:lpwstr>_Toc370118555</vt:lpwstr>
      </vt:variant>
      <vt:variant>
        <vt:i4>1835063</vt:i4>
      </vt:variant>
      <vt:variant>
        <vt:i4>131</vt:i4>
      </vt:variant>
      <vt:variant>
        <vt:i4>0</vt:i4>
      </vt:variant>
      <vt:variant>
        <vt:i4>5</vt:i4>
      </vt:variant>
      <vt:variant>
        <vt:lpwstr/>
      </vt:variant>
      <vt:variant>
        <vt:lpwstr>_Toc370118554</vt:lpwstr>
      </vt:variant>
      <vt:variant>
        <vt:i4>1835063</vt:i4>
      </vt:variant>
      <vt:variant>
        <vt:i4>125</vt:i4>
      </vt:variant>
      <vt:variant>
        <vt:i4>0</vt:i4>
      </vt:variant>
      <vt:variant>
        <vt:i4>5</vt:i4>
      </vt:variant>
      <vt:variant>
        <vt:lpwstr/>
      </vt:variant>
      <vt:variant>
        <vt:lpwstr>_Toc370118553</vt:lpwstr>
      </vt:variant>
      <vt:variant>
        <vt:i4>1835063</vt:i4>
      </vt:variant>
      <vt:variant>
        <vt:i4>119</vt:i4>
      </vt:variant>
      <vt:variant>
        <vt:i4>0</vt:i4>
      </vt:variant>
      <vt:variant>
        <vt:i4>5</vt:i4>
      </vt:variant>
      <vt:variant>
        <vt:lpwstr/>
      </vt:variant>
      <vt:variant>
        <vt:lpwstr>_Toc370118552</vt:lpwstr>
      </vt:variant>
      <vt:variant>
        <vt:i4>1835063</vt:i4>
      </vt:variant>
      <vt:variant>
        <vt:i4>113</vt:i4>
      </vt:variant>
      <vt:variant>
        <vt:i4>0</vt:i4>
      </vt:variant>
      <vt:variant>
        <vt:i4>5</vt:i4>
      </vt:variant>
      <vt:variant>
        <vt:lpwstr/>
      </vt:variant>
      <vt:variant>
        <vt:lpwstr>_Toc370118551</vt:lpwstr>
      </vt:variant>
      <vt:variant>
        <vt:i4>1835063</vt:i4>
      </vt:variant>
      <vt:variant>
        <vt:i4>107</vt:i4>
      </vt:variant>
      <vt:variant>
        <vt:i4>0</vt:i4>
      </vt:variant>
      <vt:variant>
        <vt:i4>5</vt:i4>
      </vt:variant>
      <vt:variant>
        <vt:lpwstr/>
      </vt:variant>
      <vt:variant>
        <vt:lpwstr>_Toc370118550</vt:lpwstr>
      </vt:variant>
      <vt:variant>
        <vt:i4>1900599</vt:i4>
      </vt:variant>
      <vt:variant>
        <vt:i4>101</vt:i4>
      </vt:variant>
      <vt:variant>
        <vt:i4>0</vt:i4>
      </vt:variant>
      <vt:variant>
        <vt:i4>5</vt:i4>
      </vt:variant>
      <vt:variant>
        <vt:lpwstr/>
      </vt:variant>
      <vt:variant>
        <vt:lpwstr>_Toc370118549</vt:lpwstr>
      </vt:variant>
      <vt:variant>
        <vt:i4>1900599</vt:i4>
      </vt:variant>
      <vt:variant>
        <vt:i4>95</vt:i4>
      </vt:variant>
      <vt:variant>
        <vt:i4>0</vt:i4>
      </vt:variant>
      <vt:variant>
        <vt:i4>5</vt:i4>
      </vt:variant>
      <vt:variant>
        <vt:lpwstr/>
      </vt:variant>
      <vt:variant>
        <vt:lpwstr>_Toc370118548</vt:lpwstr>
      </vt:variant>
      <vt:variant>
        <vt:i4>1900599</vt:i4>
      </vt:variant>
      <vt:variant>
        <vt:i4>89</vt:i4>
      </vt:variant>
      <vt:variant>
        <vt:i4>0</vt:i4>
      </vt:variant>
      <vt:variant>
        <vt:i4>5</vt:i4>
      </vt:variant>
      <vt:variant>
        <vt:lpwstr/>
      </vt:variant>
      <vt:variant>
        <vt:lpwstr>_Toc370118547</vt:lpwstr>
      </vt:variant>
      <vt:variant>
        <vt:i4>1900599</vt:i4>
      </vt:variant>
      <vt:variant>
        <vt:i4>83</vt:i4>
      </vt:variant>
      <vt:variant>
        <vt:i4>0</vt:i4>
      </vt:variant>
      <vt:variant>
        <vt:i4>5</vt:i4>
      </vt:variant>
      <vt:variant>
        <vt:lpwstr/>
      </vt:variant>
      <vt:variant>
        <vt:lpwstr>_Toc370118546</vt:lpwstr>
      </vt:variant>
      <vt:variant>
        <vt:i4>1900599</vt:i4>
      </vt:variant>
      <vt:variant>
        <vt:i4>77</vt:i4>
      </vt:variant>
      <vt:variant>
        <vt:i4>0</vt:i4>
      </vt:variant>
      <vt:variant>
        <vt:i4>5</vt:i4>
      </vt:variant>
      <vt:variant>
        <vt:lpwstr/>
      </vt:variant>
      <vt:variant>
        <vt:lpwstr>_Toc370118545</vt:lpwstr>
      </vt:variant>
      <vt:variant>
        <vt:i4>1900599</vt:i4>
      </vt:variant>
      <vt:variant>
        <vt:i4>71</vt:i4>
      </vt:variant>
      <vt:variant>
        <vt:i4>0</vt:i4>
      </vt:variant>
      <vt:variant>
        <vt:i4>5</vt:i4>
      </vt:variant>
      <vt:variant>
        <vt:lpwstr/>
      </vt:variant>
      <vt:variant>
        <vt:lpwstr>_Toc370118544</vt:lpwstr>
      </vt:variant>
      <vt:variant>
        <vt:i4>1900599</vt:i4>
      </vt:variant>
      <vt:variant>
        <vt:i4>65</vt:i4>
      </vt:variant>
      <vt:variant>
        <vt:i4>0</vt:i4>
      </vt:variant>
      <vt:variant>
        <vt:i4>5</vt:i4>
      </vt:variant>
      <vt:variant>
        <vt:lpwstr/>
      </vt:variant>
      <vt:variant>
        <vt:lpwstr>_Toc370118543</vt:lpwstr>
      </vt:variant>
      <vt:variant>
        <vt:i4>1900599</vt:i4>
      </vt:variant>
      <vt:variant>
        <vt:i4>59</vt:i4>
      </vt:variant>
      <vt:variant>
        <vt:i4>0</vt:i4>
      </vt:variant>
      <vt:variant>
        <vt:i4>5</vt:i4>
      </vt:variant>
      <vt:variant>
        <vt:lpwstr/>
      </vt:variant>
      <vt:variant>
        <vt:lpwstr>_Toc370118542</vt:lpwstr>
      </vt:variant>
      <vt:variant>
        <vt:i4>1900599</vt:i4>
      </vt:variant>
      <vt:variant>
        <vt:i4>53</vt:i4>
      </vt:variant>
      <vt:variant>
        <vt:i4>0</vt:i4>
      </vt:variant>
      <vt:variant>
        <vt:i4>5</vt:i4>
      </vt:variant>
      <vt:variant>
        <vt:lpwstr/>
      </vt:variant>
      <vt:variant>
        <vt:lpwstr>_Toc370118541</vt:lpwstr>
      </vt:variant>
      <vt:variant>
        <vt:i4>1900599</vt:i4>
      </vt:variant>
      <vt:variant>
        <vt:i4>47</vt:i4>
      </vt:variant>
      <vt:variant>
        <vt:i4>0</vt:i4>
      </vt:variant>
      <vt:variant>
        <vt:i4>5</vt:i4>
      </vt:variant>
      <vt:variant>
        <vt:lpwstr/>
      </vt:variant>
      <vt:variant>
        <vt:lpwstr>_Toc370118540</vt:lpwstr>
      </vt:variant>
      <vt:variant>
        <vt:i4>1703991</vt:i4>
      </vt:variant>
      <vt:variant>
        <vt:i4>41</vt:i4>
      </vt:variant>
      <vt:variant>
        <vt:i4>0</vt:i4>
      </vt:variant>
      <vt:variant>
        <vt:i4>5</vt:i4>
      </vt:variant>
      <vt:variant>
        <vt:lpwstr/>
      </vt:variant>
      <vt:variant>
        <vt:lpwstr>_Toc370118539</vt:lpwstr>
      </vt:variant>
      <vt:variant>
        <vt:i4>1703991</vt:i4>
      </vt:variant>
      <vt:variant>
        <vt:i4>35</vt:i4>
      </vt:variant>
      <vt:variant>
        <vt:i4>0</vt:i4>
      </vt:variant>
      <vt:variant>
        <vt:i4>5</vt:i4>
      </vt:variant>
      <vt:variant>
        <vt:lpwstr/>
      </vt:variant>
      <vt:variant>
        <vt:lpwstr>_Toc370118538</vt:lpwstr>
      </vt:variant>
      <vt:variant>
        <vt:i4>1703991</vt:i4>
      </vt:variant>
      <vt:variant>
        <vt:i4>29</vt:i4>
      </vt:variant>
      <vt:variant>
        <vt:i4>0</vt:i4>
      </vt:variant>
      <vt:variant>
        <vt:i4>5</vt:i4>
      </vt:variant>
      <vt:variant>
        <vt:lpwstr/>
      </vt:variant>
      <vt:variant>
        <vt:lpwstr>_Toc370118537</vt:lpwstr>
      </vt:variant>
      <vt:variant>
        <vt:i4>1703991</vt:i4>
      </vt:variant>
      <vt:variant>
        <vt:i4>23</vt:i4>
      </vt:variant>
      <vt:variant>
        <vt:i4>0</vt:i4>
      </vt:variant>
      <vt:variant>
        <vt:i4>5</vt:i4>
      </vt:variant>
      <vt:variant>
        <vt:lpwstr/>
      </vt:variant>
      <vt:variant>
        <vt:lpwstr>_Toc370118536</vt:lpwstr>
      </vt:variant>
      <vt:variant>
        <vt:i4>1703991</vt:i4>
      </vt:variant>
      <vt:variant>
        <vt:i4>17</vt:i4>
      </vt:variant>
      <vt:variant>
        <vt:i4>0</vt:i4>
      </vt:variant>
      <vt:variant>
        <vt:i4>5</vt:i4>
      </vt:variant>
      <vt:variant>
        <vt:lpwstr/>
      </vt:variant>
      <vt:variant>
        <vt:lpwstr>_Toc370118535</vt:lpwstr>
      </vt:variant>
      <vt:variant>
        <vt:i4>1703991</vt:i4>
      </vt:variant>
      <vt:variant>
        <vt:i4>11</vt:i4>
      </vt:variant>
      <vt:variant>
        <vt:i4>0</vt:i4>
      </vt:variant>
      <vt:variant>
        <vt:i4>5</vt:i4>
      </vt:variant>
      <vt:variant>
        <vt:lpwstr/>
      </vt:variant>
      <vt:variant>
        <vt:lpwstr>_Toc370118534</vt:lpwstr>
      </vt:variant>
      <vt:variant>
        <vt:i4>1703991</vt:i4>
      </vt:variant>
      <vt:variant>
        <vt:i4>5</vt:i4>
      </vt:variant>
      <vt:variant>
        <vt:i4>0</vt:i4>
      </vt:variant>
      <vt:variant>
        <vt:i4>5</vt:i4>
      </vt:variant>
      <vt:variant>
        <vt:lpwstr/>
      </vt:variant>
      <vt:variant>
        <vt:lpwstr>_Toc370118533</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leditb</dc:creator>
  <cp:lastModifiedBy>McCandless Sean</cp:lastModifiedBy>
  <cp:revision>5</cp:revision>
  <cp:lastPrinted>2015-04-15T21:08:00Z</cp:lastPrinted>
  <dcterms:created xsi:type="dcterms:W3CDTF">2015-04-15T03:56:00Z</dcterms:created>
  <dcterms:modified xsi:type="dcterms:W3CDTF">2015-04-15T21:38:00Z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Mendeley Document_1">
    <vt:lpwstr>True</vt:lpwstr>
  </property>
  <property fmtid="{D5CDD505-2E9C-101B-9397-08002B2CF9AE}" pid="9" name="Mendeley User Name_1">
    <vt:lpwstr>kimhuongnguyen.healthecon@gmail.com@www.mendeley.com</vt:lpwstr>
  </property>
  <property fmtid="{D5CDD505-2E9C-101B-9397-08002B2CF9AE}" pid="10" name="Mendeley Citation Style_1">
    <vt:lpwstr>http://www.zotero.org/styles/journal-of-development-economics</vt:lpwstr>
  </property>
  <property fmtid="{D5CDD505-2E9C-101B-9397-08002B2CF9AE}" pid="11" name="Mendeley Recent Style Id 0_1">
    <vt:lpwstr>http://www.zotero.org/styles/apa</vt:lpwstr>
  </property>
  <property fmtid="{D5CDD505-2E9C-101B-9397-08002B2CF9AE}" pid="12" name="Mendeley Recent Style Name 0_1">
    <vt:lpwstr>American Psychological Association 6th edition</vt:lpwstr>
  </property>
  <property fmtid="{D5CDD505-2E9C-101B-9397-08002B2CF9AE}" pid="13" name="Mendeley Recent Style Id 1_1">
    <vt:lpwstr>http://www.zotero.org/styles/applied-health-economics-and-health-policy</vt:lpwstr>
  </property>
  <property fmtid="{D5CDD505-2E9C-101B-9397-08002B2CF9AE}" pid="14" name="Mendeley Recent Style Name 1_1">
    <vt:lpwstr>Applied Health Economics and Health Policy</vt:lpwstr>
  </property>
  <property fmtid="{D5CDD505-2E9C-101B-9397-08002B2CF9AE}" pid="15" name="Mendeley Recent Style Id 2_1">
    <vt:lpwstr>http://www.zotero.org/styles/chicago-author-date</vt:lpwstr>
  </property>
  <property fmtid="{D5CDD505-2E9C-101B-9397-08002B2CF9AE}" pid="16" name="Mendeley Recent Style Name 2_1">
    <vt:lpwstr>Chicago Manual of Style 16th edition (author-date)</vt:lpwstr>
  </property>
  <property fmtid="{D5CDD505-2E9C-101B-9397-08002B2CF9AE}" pid="17" name="Mendeley Recent Style Id 3_1">
    <vt:lpwstr>http://www.zotero.org/styles/harvard1</vt:lpwstr>
  </property>
  <property fmtid="{D5CDD505-2E9C-101B-9397-08002B2CF9AE}" pid="18" name="Mendeley Recent Style Name 3_1">
    <vt:lpwstr>Harvard Reference format 1 (author-date)</vt:lpwstr>
  </property>
  <property fmtid="{D5CDD505-2E9C-101B-9397-08002B2CF9AE}" pid="19" name="Mendeley Recent Style Id 4_1">
    <vt:lpwstr>http://www.zotero.org/styles/health-economics-policy-and-law</vt:lpwstr>
  </property>
  <property fmtid="{D5CDD505-2E9C-101B-9397-08002B2CF9AE}" pid="20" name="Mendeley Recent Style Name 4_1">
    <vt:lpwstr>Health Economics, Policy and Law</vt:lpwstr>
  </property>
  <property fmtid="{D5CDD505-2E9C-101B-9397-08002B2CF9AE}" pid="21" name="Mendeley Recent Style Id 5_1">
    <vt:lpwstr>http://www.zotero.org/styles/ieee</vt:lpwstr>
  </property>
  <property fmtid="{D5CDD505-2E9C-101B-9397-08002B2CF9AE}" pid="22" name="Mendeley Recent Style Name 5_1">
    <vt:lpwstr>IEEE</vt:lpwstr>
  </property>
  <property fmtid="{D5CDD505-2E9C-101B-9397-08002B2CF9AE}" pid="23" name="Mendeley Recent Style Id 6_1">
    <vt:lpwstr>http://www.zotero.org/styles/journal-of-development-economics</vt:lpwstr>
  </property>
  <property fmtid="{D5CDD505-2E9C-101B-9397-08002B2CF9AE}" pid="24" name="Mendeley Recent Style Name 6_1">
    <vt:lpwstr>Journal of Development Economics</vt:lpwstr>
  </property>
  <property fmtid="{D5CDD505-2E9C-101B-9397-08002B2CF9AE}" pid="25" name="Mendeley Recent Style Id 7_1">
    <vt:lpwstr>http://www.zotero.org/styles/journal-of-mathematical-economics</vt:lpwstr>
  </property>
  <property fmtid="{D5CDD505-2E9C-101B-9397-08002B2CF9AE}" pid="26" name="Mendeley Recent Style Name 7_1">
    <vt:lpwstr>Journal of Mathematical Economics</vt:lpwstr>
  </property>
  <property fmtid="{D5CDD505-2E9C-101B-9397-08002B2CF9AE}" pid="27" name="Mendeley Recent Style Id 8_1">
    <vt:lpwstr>http://www.zotero.org/styles/the-lancet</vt:lpwstr>
  </property>
  <property fmtid="{D5CDD505-2E9C-101B-9397-08002B2CF9AE}" pid="28" name="Mendeley Recent Style Name 8_1">
    <vt:lpwstr>The Lancet</vt:lpwstr>
  </property>
  <property fmtid="{D5CDD505-2E9C-101B-9397-08002B2CF9AE}" pid="29" name="Mendeley Recent Style Id 9_1">
    <vt:lpwstr>http://www.zotero.org/styles/vancouver</vt:lpwstr>
  </property>
  <property fmtid="{D5CDD505-2E9C-101B-9397-08002B2CF9AE}" pid="30" name="Mendeley Recent Style Name 9_1">
    <vt:lpwstr>Vancouver</vt:lpwstr>
  </property>
</Properties>
</file>