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053A" w14:textId="77777777" w:rsidR="00E44B80" w:rsidRPr="00F637B3" w:rsidRDefault="00E44B80" w:rsidP="00E44B80">
      <w:pPr>
        <w:jc w:val="center"/>
        <w:rPr>
          <w:b/>
          <w:szCs w:val="20"/>
        </w:rPr>
      </w:pPr>
      <w:r w:rsidRPr="00F637B3">
        <w:rPr>
          <w:b/>
          <w:noProof/>
          <w:szCs w:val="20"/>
          <w:lang w:eastAsia="en-AU"/>
        </w:rPr>
        <w:drawing>
          <wp:inline distT="0" distB="0" distL="0" distR="0" wp14:anchorId="464B6014" wp14:editId="54B1C44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FA35992" w14:textId="79965D3D" w:rsidR="004E3C2D" w:rsidRDefault="003F4443" w:rsidP="003F4443">
      <w:pPr>
        <w:pStyle w:val="Title"/>
        <w:spacing w:before="2600"/>
      </w:pPr>
      <w:r>
        <w:t xml:space="preserve">MSAC </w:t>
      </w:r>
      <w:r w:rsidR="008B2610" w:rsidRPr="001906CD">
        <w:t xml:space="preserve">Application </w:t>
      </w:r>
      <w:r w:rsidR="001C6225">
        <w:t>1690</w:t>
      </w:r>
    </w:p>
    <w:p w14:paraId="27F99ED2" w14:textId="0EE6AD03" w:rsidR="003013A9" w:rsidRPr="003F4443" w:rsidRDefault="00C4465C" w:rsidP="003F4443">
      <w:pPr>
        <w:pStyle w:val="TitleBlue"/>
        <w:spacing w:before="840" w:after="840"/>
      </w:pPr>
      <w:proofErr w:type="spellStart"/>
      <w:r>
        <w:rPr>
          <w:bCs/>
        </w:rPr>
        <w:t>C</w:t>
      </w:r>
      <w:r w:rsidR="001C298B" w:rsidRPr="001C298B">
        <w:rPr>
          <w:bCs/>
        </w:rPr>
        <w:t>iltacabtagene</w:t>
      </w:r>
      <w:proofErr w:type="spellEnd"/>
      <w:r w:rsidR="001C298B" w:rsidRPr="001C298B">
        <w:rPr>
          <w:bCs/>
        </w:rPr>
        <w:t xml:space="preserve"> </w:t>
      </w:r>
      <w:proofErr w:type="spellStart"/>
      <w:r w:rsidR="001C298B">
        <w:rPr>
          <w:bCs/>
        </w:rPr>
        <w:t>a</w:t>
      </w:r>
      <w:r w:rsidR="001C298B" w:rsidRPr="001C298B">
        <w:rPr>
          <w:bCs/>
        </w:rPr>
        <w:t>utoleucel</w:t>
      </w:r>
      <w:proofErr w:type="spellEnd"/>
      <w:r w:rsidR="001C298B">
        <w:rPr>
          <w:szCs w:val="20"/>
        </w:rPr>
        <w:t>, a B-cell maturation antigen-directed chimeric antigen receptor T cell to treat refractory or relapsed multiple myeloma</w:t>
      </w:r>
    </w:p>
    <w:p w14:paraId="2E4E9BB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8B92CAD"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2F3B73A"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AC8DF66" w14:textId="77777777" w:rsidR="009F5758" w:rsidRPr="00154B00" w:rsidRDefault="009F5758" w:rsidP="003F7CB9">
      <w:pPr>
        <w:spacing w:before="0" w:after="0"/>
      </w:pPr>
    </w:p>
    <w:p w14:paraId="772F0FC9"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637D9A0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B28E9E9" w14:textId="77777777" w:rsidR="002C2D77" w:rsidRPr="00C776B1" w:rsidRDefault="00D73646" w:rsidP="003A540A">
      <w:pPr>
        <w:pStyle w:val="Heading1"/>
        <w:ind w:left="0" w:firstLine="0"/>
      </w:pPr>
      <w:bookmarkStart w:id="0" w:name="_Toc443555803"/>
      <w:r>
        <w:rPr>
          <w:rStyle w:val="IntenseReference"/>
        </w:rPr>
        <w:br w:type="page"/>
      </w:r>
      <w:bookmarkEnd w:id="0"/>
      <w:r w:rsidR="002C2D77">
        <w:lastRenderedPageBreak/>
        <w:t xml:space="preserve">PART 1 – </w:t>
      </w:r>
      <w:r w:rsidR="002C2D77" w:rsidRPr="00C776B1">
        <w:t>APPLICANT DETAILS</w:t>
      </w:r>
    </w:p>
    <w:p w14:paraId="5BA24B10" w14:textId="77777777" w:rsidR="002C2D77" w:rsidRDefault="002C2D77" w:rsidP="002C2D77">
      <w:pPr>
        <w:pStyle w:val="Heading2"/>
      </w:pPr>
      <w:r w:rsidRPr="00A8732C">
        <w:t>Applicant details (primary and alternative contacts)</w:t>
      </w:r>
    </w:p>
    <w:p w14:paraId="7C268039" w14:textId="5E0EEE0D" w:rsidR="002C2D77" w:rsidRDefault="002C2D77" w:rsidP="002C2D77">
      <w:pPr>
        <w:pBdr>
          <w:top w:val="single" w:sz="4" w:space="1" w:color="auto"/>
          <w:left w:val="single" w:sz="4" w:space="4" w:color="auto"/>
          <w:bottom w:val="single" w:sz="4" w:space="1" w:color="auto"/>
          <w:right w:val="single" w:sz="4" w:space="4" w:color="auto"/>
        </w:pBdr>
      </w:pPr>
      <w:r>
        <w:t xml:space="preserve">Corporation / partnership details (where relevant): </w:t>
      </w:r>
      <w:r w:rsidR="00381272" w:rsidRPr="00381272">
        <w:t>Janssen Australia and New Zealand (Janssen-</w:t>
      </w:r>
      <w:proofErr w:type="spellStart"/>
      <w:r w:rsidR="00381272" w:rsidRPr="00381272">
        <w:t>Cilag</w:t>
      </w:r>
      <w:proofErr w:type="spellEnd"/>
      <w:r w:rsidR="00381272" w:rsidRPr="00381272">
        <w:t xml:space="preserve"> Pty Ltd)</w:t>
      </w:r>
    </w:p>
    <w:p w14:paraId="6C11FB9F" w14:textId="26484498" w:rsidR="002C2D77" w:rsidRDefault="002C2D77" w:rsidP="002C2D77">
      <w:pPr>
        <w:pBdr>
          <w:top w:val="single" w:sz="4" w:space="1" w:color="auto"/>
          <w:left w:val="single" w:sz="4" w:space="4" w:color="auto"/>
          <w:bottom w:val="single" w:sz="4" w:space="1" w:color="auto"/>
          <w:right w:val="single" w:sz="4" w:space="4" w:color="auto"/>
        </w:pBdr>
      </w:pPr>
      <w:r>
        <w:t xml:space="preserve">Corporation name: </w:t>
      </w:r>
      <w:r w:rsidR="00381272" w:rsidRPr="00381272">
        <w:t>Janssen Australia and New Zealand (Janssen-</w:t>
      </w:r>
      <w:proofErr w:type="spellStart"/>
      <w:r w:rsidR="00381272" w:rsidRPr="00381272">
        <w:t>Cilag</w:t>
      </w:r>
      <w:proofErr w:type="spellEnd"/>
      <w:r w:rsidR="00381272" w:rsidRPr="00381272">
        <w:t xml:space="preserve"> Pty Ltd)</w:t>
      </w:r>
    </w:p>
    <w:p w14:paraId="08EEF8C7" w14:textId="4157D041" w:rsidR="002C2D77" w:rsidRDefault="002C2D77" w:rsidP="002C2D77">
      <w:pPr>
        <w:pBdr>
          <w:top w:val="single" w:sz="4" w:space="1" w:color="auto"/>
          <w:left w:val="single" w:sz="4" w:space="4" w:color="auto"/>
          <w:bottom w:val="single" w:sz="4" w:space="1" w:color="auto"/>
          <w:right w:val="single" w:sz="4" w:space="4" w:color="auto"/>
        </w:pBdr>
      </w:pPr>
      <w:r>
        <w:t xml:space="preserve">ABN: </w:t>
      </w:r>
      <w:r w:rsidR="00381272" w:rsidRPr="00381272">
        <w:t>47 000 129 975</w:t>
      </w:r>
    </w:p>
    <w:p w14:paraId="52CAA111" w14:textId="3A413240" w:rsidR="002C2D77" w:rsidRDefault="002C2D77" w:rsidP="002C2D77">
      <w:pPr>
        <w:pBdr>
          <w:top w:val="single" w:sz="4" w:space="1" w:color="auto"/>
          <w:left w:val="single" w:sz="4" w:space="4" w:color="auto"/>
          <w:bottom w:val="single" w:sz="4" w:space="1" w:color="auto"/>
          <w:right w:val="single" w:sz="4" w:space="4" w:color="auto"/>
        </w:pBdr>
      </w:pPr>
      <w:r>
        <w:t xml:space="preserve">Business trading name: </w:t>
      </w:r>
      <w:r w:rsidR="00381272" w:rsidRPr="00381272">
        <w:t>Janssen-</w:t>
      </w:r>
      <w:proofErr w:type="spellStart"/>
      <w:r w:rsidR="00381272" w:rsidRPr="00381272">
        <w:t>Cilag</w:t>
      </w:r>
      <w:proofErr w:type="spellEnd"/>
      <w:r w:rsidR="00381272" w:rsidRPr="00381272">
        <w:t xml:space="preserve"> Pty Ltd</w:t>
      </w:r>
    </w:p>
    <w:p w14:paraId="4291DA8C" w14:textId="77777777" w:rsidR="002C2D77" w:rsidRPr="00C171FB" w:rsidRDefault="002C2D77" w:rsidP="002C2D77"/>
    <w:p w14:paraId="707A10BC" w14:textId="7403F630" w:rsidR="002C2D77" w:rsidRPr="00112E0C" w:rsidRDefault="002C2D77" w:rsidP="002C2D77">
      <w:pPr>
        <w:rPr>
          <w:b/>
        </w:rPr>
      </w:pPr>
      <w:r w:rsidRPr="00112E0C">
        <w:rPr>
          <w:b/>
        </w:rPr>
        <w:t xml:space="preserve">Primary contact name: </w:t>
      </w:r>
      <w:r w:rsidR="00206809" w:rsidRPr="00112E0C">
        <w:rPr>
          <w:b/>
          <w:bCs/>
          <w:sz w:val="22"/>
        </w:rPr>
        <w:t>REDACTED</w:t>
      </w:r>
    </w:p>
    <w:p w14:paraId="15E1015F" w14:textId="77777777"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Primary contact numbers</w:t>
      </w:r>
    </w:p>
    <w:p w14:paraId="73FE63C3" w14:textId="2DCDF993"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 xml:space="preserve">Business: </w:t>
      </w:r>
      <w:r w:rsidR="00381272" w:rsidRPr="00112E0C">
        <w:t>Janssen Australia and New Zealand (Janssen-</w:t>
      </w:r>
      <w:proofErr w:type="spellStart"/>
      <w:r w:rsidR="00381272" w:rsidRPr="00112E0C">
        <w:t>Cilag</w:t>
      </w:r>
      <w:proofErr w:type="spellEnd"/>
      <w:r w:rsidR="00381272" w:rsidRPr="00112E0C">
        <w:t xml:space="preserve"> Pty Ltd)</w:t>
      </w:r>
    </w:p>
    <w:p w14:paraId="01463045" w14:textId="5E475879"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 xml:space="preserve">Mobile: </w:t>
      </w:r>
      <w:r w:rsidR="00206809" w:rsidRPr="00112E0C">
        <w:rPr>
          <w:b/>
          <w:bCs/>
          <w:sz w:val="22"/>
        </w:rPr>
        <w:t>REDACTED</w:t>
      </w:r>
    </w:p>
    <w:p w14:paraId="017661EE" w14:textId="3B33CCDF" w:rsidR="002C2D77" w:rsidRPr="00112E0C" w:rsidRDefault="002C2D77" w:rsidP="00206809">
      <w:pPr>
        <w:pBdr>
          <w:top w:val="single" w:sz="4" w:space="1" w:color="auto"/>
          <w:left w:val="single" w:sz="4" w:space="4" w:color="auto"/>
          <w:bottom w:val="single" w:sz="4" w:space="1" w:color="auto"/>
          <w:right w:val="single" w:sz="4" w:space="4" w:color="auto"/>
        </w:pBdr>
        <w:rPr>
          <w:b/>
        </w:rPr>
      </w:pPr>
      <w:r w:rsidRPr="00112E0C">
        <w:t xml:space="preserve">Email: </w:t>
      </w:r>
      <w:r w:rsidR="00206809" w:rsidRPr="00112E0C">
        <w:rPr>
          <w:b/>
          <w:bCs/>
          <w:sz w:val="22"/>
        </w:rPr>
        <w:t>REDACTED</w:t>
      </w:r>
    </w:p>
    <w:p w14:paraId="359793BF" w14:textId="302C5B4F" w:rsidR="002C2D77" w:rsidRPr="00112E0C" w:rsidRDefault="002C2D77" w:rsidP="002C2D77">
      <w:pPr>
        <w:rPr>
          <w:b/>
        </w:rPr>
      </w:pPr>
      <w:r w:rsidRPr="00112E0C">
        <w:rPr>
          <w:b/>
        </w:rPr>
        <w:t xml:space="preserve">Alternative contact name: </w:t>
      </w:r>
      <w:r w:rsidR="00206809" w:rsidRPr="00112E0C">
        <w:rPr>
          <w:b/>
          <w:bCs/>
          <w:sz w:val="22"/>
        </w:rPr>
        <w:t>REDACTED</w:t>
      </w:r>
    </w:p>
    <w:p w14:paraId="130BC747" w14:textId="77777777"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Alternative contact numbers</w:t>
      </w:r>
      <w:r w:rsidRPr="00112E0C">
        <w:tab/>
      </w:r>
    </w:p>
    <w:p w14:paraId="45E8B946" w14:textId="48FBE49A"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 xml:space="preserve">Business: </w:t>
      </w:r>
      <w:r w:rsidR="00381272" w:rsidRPr="00112E0C">
        <w:t>Janssen Australia and New Zealand (Janssen-</w:t>
      </w:r>
      <w:proofErr w:type="spellStart"/>
      <w:r w:rsidR="00381272" w:rsidRPr="00112E0C">
        <w:t>Cilag</w:t>
      </w:r>
      <w:proofErr w:type="spellEnd"/>
      <w:r w:rsidR="00381272" w:rsidRPr="00112E0C">
        <w:t xml:space="preserve"> Pty Ltd)</w:t>
      </w:r>
    </w:p>
    <w:p w14:paraId="0C187B0A" w14:textId="293BD81C" w:rsidR="002C2D77" w:rsidRPr="00112E0C" w:rsidRDefault="002C2D77" w:rsidP="002C2D77">
      <w:pPr>
        <w:pBdr>
          <w:top w:val="single" w:sz="4" w:space="1" w:color="auto"/>
          <w:left w:val="single" w:sz="4" w:space="4" w:color="auto"/>
          <w:bottom w:val="single" w:sz="4" w:space="1" w:color="auto"/>
          <w:right w:val="single" w:sz="4" w:space="4" w:color="auto"/>
        </w:pBdr>
      </w:pPr>
      <w:r w:rsidRPr="00112E0C">
        <w:t xml:space="preserve">Mobile: </w:t>
      </w:r>
      <w:r w:rsidR="00206809" w:rsidRPr="00112E0C">
        <w:rPr>
          <w:b/>
          <w:bCs/>
          <w:sz w:val="22"/>
        </w:rPr>
        <w:t>REDACTED</w:t>
      </w:r>
    </w:p>
    <w:p w14:paraId="2234E27C" w14:textId="28763E7E" w:rsidR="002C2D77" w:rsidRDefault="002C2D77" w:rsidP="002C2D77">
      <w:pPr>
        <w:pBdr>
          <w:top w:val="single" w:sz="4" w:space="1" w:color="auto"/>
          <w:left w:val="single" w:sz="4" w:space="4" w:color="auto"/>
          <w:bottom w:val="single" w:sz="4" w:space="1" w:color="auto"/>
          <w:right w:val="single" w:sz="4" w:space="4" w:color="auto"/>
        </w:pBdr>
      </w:pPr>
      <w:r w:rsidRPr="00112E0C">
        <w:t xml:space="preserve">Email: </w:t>
      </w:r>
      <w:r w:rsidR="00206809" w:rsidRPr="00112E0C">
        <w:rPr>
          <w:b/>
          <w:bCs/>
          <w:sz w:val="22"/>
        </w:rPr>
        <w:t>REDACTED</w:t>
      </w:r>
    </w:p>
    <w:p w14:paraId="61E17D32" w14:textId="77777777" w:rsidR="002C2D77" w:rsidRPr="00C171FB" w:rsidRDefault="002C2D77" w:rsidP="002C2D77"/>
    <w:p w14:paraId="228CD250" w14:textId="77777777" w:rsidR="002C2D77" w:rsidRPr="00154B00" w:rsidRDefault="002C2D77" w:rsidP="002C2D77">
      <w:pPr>
        <w:pStyle w:val="Heading2"/>
      </w:pPr>
      <w:r>
        <w:t>(a) Are you a lobbyist acting on behalf of an Applicant?</w:t>
      </w:r>
    </w:p>
    <w:p w14:paraId="0F6D172A" w14:textId="77777777" w:rsidR="002C2D77" w:rsidRDefault="002C2D77" w:rsidP="002C2D77">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D3A0A">
        <w:rPr>
          <w:szCs w:val="20"/>
        </w:rPr>
      </w:r>
      <w:r w:rsidR="005D3A0A">
        <w:rPr>
          <w:szCs w:val="20"/>
        </w:rPr>
        <w:fldChar w:fldCharType="separate"/>
      </w:r>
      <w:r w:rsidRPr="00753C44">
        <w:rPr>
          <w:szCs w:val="20"/>
        </w:rPr>
        <w:fldChar w:fldCharType="end"/>
      </w:r>
      <w:r>
        <w:rPr>
          <w:szCs w:val="20"/>
        </w:rPr>
        <w:t xml:space="preserve"> Yes</w:t>
      </w:r>
    </w:p>
    <w:p w14:paraId="671E6066" w14:textId="77777777" w:rsidR="002C2D77" w:rsidRPr="00753C44" w:rsidRDefault="002C2D77" w:rsidP="002C2D77">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5D3A0A">
        <w:rPr>
          <w:szCs w:val="20"/>
        </w:rPr>
      </w:r>
      <w:r w:rsidR="005D3A0A">
        <w:rPr>
          <w:szCs w:val="20"/>
        </w:rPr>
        <w:fldChar w:fldCharType="separate"/>
      </w:r>
      <w:r>
        <w:rPr>
          <w:szCs w:val="20"/>
        </w:rPr>
        <w:fldChar w:fldCharType="end"/>
      </w:r>
      <w:bookmarkEnd w:id="1"/>
      <w:r>
        <w:rPr>
          <w:szCs w:val="20"/>
        </w:rPr>
        <w:t xml:space="preserve"> No</w:t>
      </w:r>
      <w:r w:rsidRPr="00753C44">
        <w:rPr>
          <w:szCs w:val="20"/>
        </w:rPr>
        <w:t xml:space="preserve">  </w:t>
      </w:r>
    </w:p>
    <w:p w14:paraId="13652776" w14:textId="77777777" w:rsidR="002C2D77" w:rsidRPr="00154B00" w:rsidRDefault="002C2D77" w:rsidP="002C2D77">
      <w:pPr>
        <w:pStyle w:val="Heading2"/>
        <w:numPr>
          <w:ilvl w:val="0"/>
          <w:numId w:val="23"/>
        </w:numPr>
      </w:pPr>
      <w:r w:rsidRPr="00154B00">
        <w:t xml:space="preserve">If yes, </w:t>
      </w:r>
      <w:r>
        <w:t xml:space="preserve">are </w:t>
      </w:r>
      <w:r w:rsidRPr="00FE33A6">
        <w:t>you</w:t>
      </w:r>
      <w:r>
        <w:t xml:space="preserve"> listed on the Register of Lobbyists?</w:t>
      </w:r>
    </w:p>
    <w:p w14:paraId="2AA79DC1" w14:textId="77777777" w:rsidR="002C2D77" w:rsidRDefault="002C2D77" w:rsidP="002C2D77">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D3A0A">
        <w:rPr>
          <w:szCs w:val="20"/>
        </w:rPr>
      </w:r>
      <w:r w:rsidR="005D3A0A">
        <w:rPr>
          <w:szCs w:val="20"/>
        </w:rPr>
        <w:fldChar w:fldCharType="separate"/>
      </w:r>
      <w:r w:rsidRPr="00753C44">
        <w:rPr>
          <w:szCs w:val="20"/>
        </w:rPr>
        <w:fldChar w:fldCharType="end"/>
      </w:r>
      <w:r>
        <w:rPr>
          <w:szCs w:val="20"/>
        </w:rPr>
        <w:t xml:space="preserve"> Yes</w:t>
      </w:r>
    </w:p>
    <w:p w14:paraId="7B5BBE51" w14:textId="77777777" w:rsidR="002C2D77" w:rsidRPr="00753C44" w:rsidRDefault="002C2D77" w:rsidP="002C2D77">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No</w:t>
      </w:r>
      <w:r w:rsidRPr="00753C44">
        <w:rPr>
          <w:szCs w:val="20"/>
        </w:rPr>
        <w:t xml:space="preserve">  </w:t>
      </w:r>
    </w:p>
    <w:p w14:paraId="09A11507" w14:textId="77777777" w:rsidR="002C2D77" w:rsidRDefault="002C2D77" w:rsidP="002C2D77">
      <w:pPr>
        <w:spacing w:before="0" w:after="0"/>
        <w:ind w:left="426"/>
        <w:rPr>
          <w:b/>
          <w:szCs w:val="20"/>
        </w:rPr>
      </w:pPr>
      <w:r w:rsidRPr="00154B00">
        <w:rPr>
          <w:b/>
          <w:szCs w:val="20"/>
        </w:rPr>
        <w:br w:type="page"/>
      </w:r>
    </w:p>
    <w:p w14:paraId="03B05ABB" w14:textId="77777777" w:rsidR="002C2D77" w:rsidRPr="00C776B1" w:rsidRDefault="002C2D77" w:rsidP="002C2D77">
      <w:pPr>
        <w:pStyle w:val="Heading1"/>
      </w:pPr>
      <w:r>
        <w:lastRenderedPageBreak/>
        <w:t xml:space="preserve">PART 2 – </w:t>
      </w:r>
      <w:r w:rsidRPr="00C776B1">
        <w:t xml:space="preserve">INFORMATION ABOUT THE PROPOSED MEDICAL </w:t>
      </w:r>
      <w:r w:rsidRPr="0056015F">
        <w:t>SERVICE</w:t>
      </w:r>
    </w:p>
    <w:p w14:paraId="1F95595B" w14:textId="77777777" w:rsidR="002C2D77" w:rsidRDefault="002C2D77" w:rsidP="00112E0C">
      <w:pPr>
        <w:pStyle w:val="Heading2"/>
      </w:pPr>
      <w:r w:rsidRPr="00154B00">
        <w:t>Application title</w:t>
      </w:r>
      <w:r>
        <w:t xml:space="preserve"> </w:t>
      </w:r>
    </w:p>
    <w:p w14:paraId="6C1DBAA9" w14:textId="1A36F936" w:rsidR="009003CF" w:rsidRDefault="002C2D77" w:rsidP="00112E0C">
      <w:pPr>
        <w:ind w:left="360"/>
      </w:pPr>
      <w:proofErr w:type="spellStart"/>
      <w:r>
        <w:t>C</w:t>
      </w:r>
      <w:r w:rsidRPr="001C298B">
        <w:t>iltacabtagene</w:t>
      </w:r>
      <w:proofErr w:type="spellEnd"/>
      <w:r w:rsidRPr="001C298B">
        <w:t xml:space="preserve"> </w:t>
      </w:r>
      <w:proofErr w:type="spellStart"/>
      <w:r>
        <w:t>a</w:t>
      </w:r>
      <w:r w:rsidRPr="001C298B">
        <w:t>utoleucel</w:t>
      </w:r>
      <w:proofErr w:type="spellEnd"/>
      <w:r w:rsidR="00BB04B9">
        <w:t xml:space="preserve"> (referred to as </w:t>
      </w:r>
      <w:proofErr w:type="spellStart"/>
      <w:r w:rsidR="00BB04B9">
        <w:t>cilta-cel</w:t>
      </w:r>
      <w:proofErr w:type="spellEnd"/>
      <w:r w:rsidR="00BB04B9">
        <w:t xml:space="preserve"> herein)</w:t>
      </w:r>
      <w:r>
        <w:t xml:space="preserve"> </w:t>
      </w:r>
      <w:r w:rsidRPr="00611111">
        <w:t>for the treatment of adult patients with refractory or relapsed multiple myeloma who have received at least 3 prior lines of therapy (including a proteasome inhibitor, an immunomodulatory agent and an anti-CD38 antibody).</w:t>
      </w:r>
    </w:p>
    <w:p w14:paraId="08B5DBCA" w14:textId="77777777" w:rsidR="002C2D77" w:rsidRDefault="002C2D77" w:rsidP="00112E0C">
      <w:pPr>
        <w:pStyle w:val="Heading2"/>
      </w:pPr>
      <w:r w:rsidRPr="00154B00">
        <w:t>Provide a succinct description of the medical condition relevant to the proposed service (no more than 150 words</w:t>
      </w:r>
      <w:r>
        <w:t xml:space="preserve"> – further information will be requested at Part F of the Application Form</w:t>
      </w:r>
      <w:r w:rsidRPr="00154B00">
        <w:t>)</w:t>
      </w:r>
    </w:p>
    <w:p w14:paraId="43BD7E7E" w14:textId="191335E4" w:rsidR="002C2D77" w:rsidRDefault="002C2D77" w:rsidP="00112E0C">
      <w:pPr>
        <w:ind w:left="360"/>
      </w:pPr>
      <w:r>
        <w:t xml:space="preserve">Multiple myeloma (MM) is a cytogenetically heterogeneous clonal plasma cell proliferative disorder characterised by an abnormal serum and/or urine immunoglobulin (known as M protein). As </w:t>
      </w:r>
      <w:r w:rsidR="00BB04B9">
        <w:t>MM</w:t>
      </w:r>
      <w:r>
        <w:t xml:space="preserve"> progresses and patients relapse following initial treatment, the presence of sub</w:t>
      </w:r>
      <w:r w:rsidR="00BB04B9">
        <w:t>-</w:t>
      </w:r>
      <w:r>
        <w:t xml:space="preserve">clonal populations of malignant plasma cells becomes increasingly prevalent. Typical clinical features include bone disease (and bone loss) with skeletal pain, impaired renal function, anaemia, fatigue, hypercalcaemia, recurrent and/or persistent bacterial infection, and/or </w:t>
      </w:r>
      <w:proofErr w:type="spellStart"/>
      <w:r>
        <w:t>hyperviscosity</w:t>
      </w:r>
      <w:proofErr w:type="spellEnd"/>
      <w:r>
        <w:t xml:space="preserve"> of the blood (</w:t>
      </w:r>
      <w:r w:rsidR="001013AF" w:rsidRPr="001013AF">
        <w:t>Quach</w:t>
      </w:r>
      <w:r w:rsidR="001013AF">
        <w:t xml:space="preserve"> et al </w:t>
      </w:r>
      <w:r w:rsidR="001013AF" w:rsidRPr="001013AF">
        <w:t>2019</w:t>
      </w:r>
      <w:r>
        <w:t>).</w:t>
      </w:r>
      <w:r w:rsidRPr="00497354">
        <w:t xml:space="preserve"> </w:t>
      </w:r>
      <w:r>
        <w:t xml:space="preserve">Together, these </w:t>
      </w:r>
      <w:r w:rsidRPr="0009589C">
        <w:t>symptoms are associated with significant morbidity and can result in death in patients who are unable to receive or no longer responsive to available therapies</w:t>
      </w:r>
      <w:r>
        <w:t>.</w:t>
      </w:r>
    </w:p>
    <w:p w14:paraId="57AA84C2" w14:textId="1C1798C8" w:rsidR="002C2D77" w:rsidRDefault="002C2D77" w:rsidP="00112E0C">
      <w:pPr>
        <w:ind w:left="360"/>
      </w:pPr>
      <w:r>
        <w:t xml:space="preserve">MM follows a relapsing and remitting course as patients receive multiple lines of therapy. Although current standard treatments for MM may result in remission, most patients will relapse as there is no cure for the disease. The duration of response and remission typically gets shorter with each line of therapy, and is the result of plasma cell clonal evolution, acquiring mutations that can confer high risk features and resistance to standard therapy. </w:t>
      </w:r>
      <w:bookmarkStart w:id="2" w:name="_Hlk77241055"/>
      <w:r>
        <w:t>Furthermore, there is significant patient attrition at each line, as patients become unsuitable for further therapy and succumb to the disease (Zhao</w:t>
      </w:r>
      <w:r w:rsidR="001013AF">
        <w:t xml:space="preserve"> et al</w:t>
      </w:r>
      <w:r>
        <w:t xml:space="preserve"> 2019</w:t>
      </w:r>
      <w:bookmarkEnd w:id="2"/>
      <w:r w:rsidR="001013AF">
        <w:t>)</w:t>
      </w:r>
    </w:p>
    <w:p w14:paraId="7CB0942E" w14:textId="77777777" w:rsidR="002C2D77" w:rsidRPr="008C0630" w:rsidRDefault="002C2D77" w:rsidP="00112E0C">
      <w:pPr>
        <w:pStyle w:val="Heading2"/>
      </w:pPr>
      <w:r w:rsidRPr="00154B00">
        <w:t>Provide a succinct description of the proposed medical service (no more than 150 words</w:t>
      </w:r>
      <w:r>
        <w:t xml:space="preserve"> – further information will be requested at Part 6 of the Application Form</w:t>
      </w:r>
      <w:r w:rsidRPr="00154B00">
        <w:t>)</w:t>
      </w:r>
    </w:p>
    <w:p w14:paraId="1D31A060" w14:textId="6346C1B8" w:rsidR="002C2D77" w:rsidRDefault="002C2D77" w:rsidP="00112E0C">
      <w:pPr>
        <w:ind w:left="360"/>
        <w:rPr>
          <w:szCs w:val="20"/>
        </w:rPr>
      </w:pPr>
      <w:proofErr w:type="spellStart"/>
      <w:r>
        <w:t>C</w:t>
      </w:r>
      <w:r w:rsidRPr="001C298B">
        <w:t>iltacabtagene</w:t>
      </w:r>
      <w:proofErr w:type="spellEnd"/>
      <w:r w:rsidRPr="001C298B">
        <w:t xml:space="preserve"> </w:t>
      </w:r>
      <w:proofErr w:type="spellStart"/>
      <w:r>
        <w:t>a</w:t>
      </w:r>
      <w:r w:rsidRPr="001C298B">
        <w:t>utoleucel</w:t>
      </w:r>
      <w:proofErr w:type="spellEnd"/>
      <w:r>
        <w:t xml:space="preserve"> [referred herein as </w:t>
      </w:r>
      <w:proofErr w:type="spellStart"/>
      <w:r>
        <w:t>cilta-cel</w:t>
      </w:r>
      <w:proofErr w:type="spellEnd"/>
      <w:r>
        <w:t xml:space="preserve">] </w:t>
      </w:r>
      <w:r>
        <w:rPr>
          <w:szCs w:val="20"/>
        </w:rPr>
        <w:t xml:space="preserve">is a </w:t>
      </w:r>
      <w:r>
        <w:t>chimeric antigen receptor T (CAR-T)</w:t>
      </w:r>
      <w:r w:rsidR="00BB04B9">
        <w:t xml:space="preserve"> cell</w:t>
      </w:r>
      <w:r>
        <w:t xml:space="preserve"> therapy that </w:t>
      </w:r>
      <w:r>
        <w:rPr>
          <w:szCs w:val="20"/>
        </w:rPr>
        <w:t>will address a high unmet clinical need for effective therapies in patients with heavily pre-treated (&gt;3 prior lines) and refractory MM where few treatment options remain.</w:t>
      </w:r>
    </w:p>
    <w:p w14:paraId="13E23980" w14:textId="3FFF312E" w:rsidR="002C2D77" w:rsidRDefault="002C2D77" w:rsidP="00112E0C">
      <w:pPr>
        <w:ind w:left="360"/>
      </w:pPr>
      <w:proofErr w:type="spellStart"/>
      <w:r>
        <w:t>Cilta-cel</w:t>
      </w:r>
      <w:proofErr w:type="spellEnd"/>
      <w:r>
        <w:t xml:space="preserve"> </w:t>
      </w:r>
      <w:r w:rsidRPr="006E0EE4">
        <w:t>is</w:t>
      </w:r>
      <w:r>
        <w:t xml:space="preserve"> a B cell maturation antigen (BCMA)-directed genetically modified autologous T cell immunotherapy. </w:t>
      </w:r>
      <w:r w:rsidRPr="006E0EE4">
        <w:t xml:space="preserve"> </w:t>
      </w:r>
      <w:proofErr w:type="spellStart"/>
      <w:r>
        <w:rPr>
          <w:szCs w:val="20"/>
        </w:rPr>
        <w:t>Cilta-cel</w:t>
      </w:r>
      <w:proofErr w:type="spellEnd"/>
      <w:r>
        <w:rPr>
          <w:szCs w:val="20"/>
        </w:rPr>
        <w:t xml:space="preserve"> </w:t>
      </w:r>
      <w:r>
        <w:t>i</w:t>
      </w:r>
      <w:r w:rsidRPr="006E0EE4">
        <w:t>s prepared from the patient’s peripheral blood mononuclear cells</w:t>
      </w:r>
      <w:r>
        <w:t xml:space="preserve"> </w:t>
      </w:r>
      <w:r w:rsidRPr="006E0EE4">
        <w:t>obtained via a leukapheresis</w:t>
      </w:r>
      <w:r>
        <w:t xml:space="preserve">. </w:t>
      </w:r>
      <w:r w:rsidRPr="006E0EE4">
        <w:t xml:space="preserve">The mononuclear cells are enriched for T-cells and genetically modified </w:t>
      </w:r>
      <w:r w:rsidRPr="00924F22">
        <w:rPr>
          <w:i/>
          <w:iCs/>
        </w:rPr>
        <w:t>ex vivo</w:t>
      </w:r>
      <w:r w:rsidRPr="006E0EE4">
        <w:t xml:space="preserve"> by transduction with a replication incompetent lentiviral vector to express a chimeric antigen receptor (CAR) comprising an anti-BCMA targeting domai</w:t>
      </w:r>
      <w:r>
        <w:t>n. The transduced anti-BCMA CAR T-cell</w:t>
      </w:r>
      <w:r w:rsidR="00BB04B9">
        <w:t>s</w:t>
      </w:r>
      <w:r>
        <w:t xml:space="preserve"> are then expanded and infused </w:t>
      </w:r>
      <w:r w:rsidR="00673C41">
        <w:t>and formulated into a suspension prior to infusion back into the patient</w:t>
      </w:r>
      <w:r>
        <w:t xml:space="preserve">, where the anti-BCMA CAR T-cells can recognise and eliminate BCMA expressing target cells. </w:t>
      </w:r>
    </w:p>
    <w:p w14:paraId="74340444" w14:textId="57D02FBC" w:rsidR="00381272" w:rsidRPr="00924F22" w:rsidRDefault="002C2D77" w:rsidP="00112E0C">
      <w:pPr>
        <w:ind w:left="360"/>
      </w:pPr>
      <w:r>
        <w:t xml:space="preserve">Janssen notes that </w:t>
      </w:r>
      <w:r w:rsidR="00BB04B9">
        <w:t xml:space="preserve">other </w:t>
      </w:r>
      <w:r>
        <w:t>CAR-T</w:t>
      </w:r>
      <w:r w:rsidR="00BB04B9">
        <w:t xml:space="preserve"> therapies</w:t>
      </w:r>
      <w:r>
        <w:t xml:space="preserve"> ha</w:t>
      </w:r>
      <w:r w:rsidR="00BB04B9">
        <w:t>ve</w:t>
      </w:r>
      <w:r>
        <w:t xml:space="preserve"> already been approved by the TGA and MSAC for use in a</w:t>
      </w:r>
      <w:r w:rsidRPr="00924F22">
        <w:t>cute lymphoblastic leukaemia</w:t>
      </w:r>
      <w:r w:rsidR="00BB04B9">
        <w:t xml:space="preserve"> (ALL)</w:t>
      </w:r>
      <w:r>
        <w:t xml:space="preserve">, </w:t>
      </w:r>
      <w:r w:rsidRPr="00924F22">
        <w:t>diffuse large B-cell lymphoma</w:t>
      </w:r>
      <w:r>
        <w:t xml:space="preserve"> </w:t>
      </w:r>
      <w:r w:rsidR="00BB04B9">
        <w:t xml:space="preserve">(DLBCL) </w:t>
      </w:r>
      <w:r>
        <w:t>and primary mediastinal B cell lymphoma</w:t>
      </w:r>
      <w:r w:rsidR="00BB04B9">
        <w:t xml:space="preserve"> (PMBCL)</w:t>
      </w:r>
      <w:r>
        <w:t xml:space="preserve">. These therapies target CD-19. </w:t>
      </w:r>
    </w:p>
    <w:p w14:paraId="02C1C3E1" w14:textId="77777777" w:rsidR="002C2D77" w:rsidRPr="0011036E" w:rsidRDefault="002C2D77" w:rsidP="002C2D77">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Pr="0011036E">
        <w:rPr>
          <w:rStyle w:val="Strong"/>
          <w:rFonts w:asciiTheme="minorHAnsi" w:eastAsiaTheme="minorHAnsi" w:hAnsiTheme="minorHAnsi" w:cstheme="minorBidi"/>
          <w:b/>
        </w:rPr>
        <w:t>Is this a request for MBS funding?</w:t>
      </w:r>
    </w:p>
    <w:p w14:paraId="5E8439AC" w14:textId="77777777" w:rsidR="002C2D77" w:rsidRDefault="002C2D77" w:rsidP="00112E0C">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Yes</w:t>
      </w:r>
    </w:p>
    <w:p w14:paraId="11A55867" w14:textId="77777777" w:rsidR="002C2D77" w:rsidRDefault="002C2D77" w:rsidP="00112E0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No</w:t>
      </w:r>
      <w:r w:rsidRPr="00753C44">
        <w:rPr>
          <w:szCs w:val="20"/>
        </w:rPr>
        <w:t xml:space="preserve">  </w:t>
      </w:r>
    </w:p>
    <w:p w14:paraId="0F3D1487" w14:textId="77777777" w:rsidR="002C2D77" w:rsidRDefault="002C2D77" w:rsidP="002C2D77">
      <w:pPr>
        <w:spacing w:before="0" w:after="0"/>
        <w:ind w:left="284"/>
        <w:rPr>
          <w:szCs w:val="20"/>
        </w:rPr>
      </w:pPr>
    </w:p>
    <w:p w14:paraId="35493FDB" w14:textId="741452EA" w:rsidR="002C2D77" w:rsidRPr="00753C44" w:rsidRDefault="002C2D77" w:rsidP="00112E0C">
      <w:pPr>
        <w:spacing w:before="0" w:after="0"/>
        <w:ind w:left="360"/>
        <w:rPr>
          <w:szCs w:val="20"/>
        </w:rPr>
      </w:pPr>
      <w:r>
        <w:rPr>
          <w:szCs w:val="20"/>
        </w:rPr>
        <w:t>In accordance with CAR-Ts that have been previously evaluated by MSAC and are currently funded (i.e., Kymriah</w:t>
      </w:r>
      <w:r w:rsidR="00E01B1A">
        <w:rPr>
          <w:rFonts w:cstheme="minorHAnsi"/>
          <w:szCs w:val="20"/>
        </w:rPr>
        <w:t>®</w:t>
      </w:r>
      <w:r>
        <w:rPr>
          <w:szCs w:val="20"/>
        </w:rPr>
        <w:t xml:space="preserve">), Janssen understands that </w:t>
      </w:r>
      <w:proofErr w:type="spellStart"/>
      <w:r>
        <w:rPr>
          <w:szCs w:val="20"/>
        </w:rPr>
        <w:t>cilta-cel</w:t>
      </w:r>
      <w:proofErr w:type="spellEnd"/>
      <w:r>
        <w:rPr>
          <w:szCs w:val="20"/>
        </w:rPr>
        <w:t xml:space="preserve"> will not be funded through the MBS but the </w:t>
      </w:r>
      <w:r>
        <w:t xml:space="preserve">National Health Reform Agreement (NHRA) (see response to </w:t>
      </w:r>
      <w:r w:rsidR="00955C4A">
        <w:t>P</w:t>
      </w:r>
      <w:r>
        <w:t xml:space="preserve">art (g)).  </w:t>
      </w:r>
    </w:p>
    <w:p w14:paraId="3AE3C7EB" w14:textId="77777777" w:rsidR="00E662DF" w:rsidRDefault="00E662DF">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68288CD0" w14:textId="0C3CDA9A" w:rsidR="00BB04B9" w:rsidRPr="00112E0C" w:rsidRDefault="002C2D77" w:rsidP="00112E0C">
      <w:pPr>
        <w:pStyle w:val="Heading2"/>
        <w:numPr>
          <w:ilvl w:val="0"/>
          <w:numId w:val="24"/>
        </w:numPr>
      </w:pPr>
      <w:r w:rsidRPr="0011036E">
        <w:rPr>
          <w:rStyle w:val="Strong"/>
          <w:rFonts w:asciiTheme="minorHAnsi" w:eastAsiaTheme="minorHAnsi" w:hAnsiTheme="minorHAnsi" w:cstheme="minorBidi"/>
          <w:b/>
        </w:rPr>
        <w:lastRenderedPageBreak/>
        <w:t>If yes, is the medical service(s) proposed to be covered under an existing MBS item number(s) or is a new MBS item(s) being sought altogether?</w:t>
      </w:r>
    </w:p>
    <w:p w14:paraId="3B5FCFF6" w14:textId="5B806827" w:rsidR="002C2D77" w:rsidRPr="00E01B1A" w:rsidRDefault="002C2D77" w:rsidP="00112E0C">
      <w:pPr>
        <w:spacing w:before="0" w:after="0"/>
        <w:ind w:left="284" w:firstLine="76"/>
        <w:rPr>
          <w:szCs w:val="20"/>
        </w:rPr>
      </w:pPr>
      <w:r w:rsidRPr="00E01B1A">
        <w:rPr>
          <w:szCs w:val="20"/>
        </w:rPr>
        <w:t>Not applicable</w:t>
      </w:r>
    </w:p>
    <w:p w14:paraId="288BA2BB" w14:textId="56C8A361" w:rsidR="002C2D77" w:rsidRDefault="002C2D77" w:rsidP="00E01B1A">
      <w:pPr>
        <w:pStyle w:val="Heading2"/>
        <w:numPr>
          <w:ilvl w:val="0"/>
          <w:numId w:val="24"/>
        </w:numPr>
      </w:pPr>
      <w:r w:rsidRPr="0011036E">
        <w:rPr>
          <w:rStyle w:val="Strong"/>
          <w:rFonts w:asciiTheme="minorHAnsi" w:eastAsiaTheme="minorHAnsi" w:hAnsiTheme="minorHAnsi" w:cstheme="minorBidi"/>
          <w:b/>
        </w:rPr>
        <w:t xml:space="preserve">If an amendment to an existing item(s) is being sought, please list the relevant MBS item number(s) that are to be amended to include the proposed medical service: </w:t>
      </w:r>
    </w:p>
    <w:p w14:paraId="0FEE99A2" w14:textId="77777777" w:rsidR="002C2D77" w:rsidRPr="00E01B1A" w:rsidRDefault="002C2D77" w:rsidP="00112E0C">
      <w:pPr>
        <w:ind w:left="284" w:firstLine="76"/>
      </w:pPr>
      <w:r w:rsidRPr="00E01B1A">
        <w:t>Not applicable</w:t>
      </w:r>
    </w:p>
    <w:p w14:paraId="4F888A15" w14:textId="77777777" w:rsidR="002C2D77" w:rsidRDefault="002C2D77" w:rsidP="002C2D77">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item(s) is being sought, what is the nature of the amendment(s)?</w:t>
      </w:r>
    </w:p>
    <w:p w14:paraId="4426243E" w14:textId="77777777" w:rsidR="002C2D77" w:rsidRPr="00E01B1A" w:rsidRDefault="002C2D77" w:rsidP="00112E0C">
      <w:pPr>
        <w:ind w:firstLine="360"/>
      </w:pPr>
      <w:r w:rsidRPr="00E01B1A">
        <w:t>Not applicable</w:t>
      </w:r>
    </w:p>
    <w:p w14:paraId="504A8ABB" w14:textId="77777777" w:rsidR="002C2D77" w:rsidRDefault="002C2D77" w:rsidP="002C2D77">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item(s) is being requested, what is the nature of the change to the MBS being sought?</w:t>
      </w:r>
    </w:p>
    <w:p w14:paraId="56B90046" w14:textId="77777777" w:rsidR="002C2D77" w:rsidRPr="0062710C" w:rsidRDefault="002C2D77" w:rsidP="002C2D77">
      <w:pPr>
        <w:ind w:left="360"/>
      </w:pPr>
      <w:r>
        <w:t>Not relevant</w:t>
      </w:r>
    </w:p>
    <w:p w14:paraId="5686C72E" w14:textId="77777777" w:rsidR="002C2D77" w:rsidRPr="007E39E4" w:rsidRDefault="002C2D77" w:rsidP="002C2D77">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B94117F" w14:textId="77777777" w:rsidR="002C2D77" w:rsidRDefault="002C2D77" w:rsidP="00112E0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Pr="000A5B32">
        <w:rPr>
          <w:szCs w:val="20"/>
        </w:rPr>
        <w:t xml:space="preserve"> Yes</w:t>
      </w:r>
    </w:p>
    <w:p w14:paraId="4277FDFE" w14:textId="159B0ABB" w:rsidR="002C2D77" w:rsidRDefault="002C2D77" w:rsidP="00112E0C">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D3A0A">
        <w:rPr>
          <w:szCs w:val="20"/>
        </w:rPr>
      </w:r>
      <w:r w:rsidR="005D3A0A">
        <w:rPr>
          <w:szCs w:val="20"/>
        </w:rPr>
        <w:fldChar w:fldCharType="separate"/>
      </w:r>
      <w:r w:rsidRPr="000A5B32">
        <w:rPr>
          <w:szCs w:val="20"/>
        </w:rPr>
        <w:fldChar w:fldCharType="end"/>
      </w:r>
      <w:r w:rsidRPr="000A5B32">
        <w:rPr>
          <w:szCs w:val="20"/>
        </w:rPr>
        <w:t xml:space="preserve"> No</w:t>
      </w:r>
    </w:p>
    <w:p w14:paraId="1057C8DA" w14:textId="77777777" w:rsidR="002C2D77" w:rsidRPr="007E39E4" w:rsidRDefault="002C2D77" w:rsidP="002C2D77">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0D1D15C2" w14:textId="4F21355D" w:rsidR="00E01B1A" w:rsidRDefault="00C41CC4" w:rsidP="00112E0C">
      <w:pPr>
        <w:spacing w:before="0" w:after="0"/>
        <w:ind w:left="360"/>
        <w:rPr>
          <w:szCs w:val="20"/>
        </w:rPr>
      </w:pPr>
      <w:r w:rsidRPr="00C41CC4">
        <w:rPr>
          <w:szCs w:val="20"/>
        </w:rPr>
        <w:t>The public funding mechanism determined for previous CAR-T therapies (</w:t>
      </w:r>
      <w:proofErr w:type="spellStart"/>
      <w:r w:rsidRPr="00C41CC4">
        <w:rPr>
          <w:szCs w:val="20"/>
        </w:rPr>
        <w:t>Yescarta</w:t>
      </w:r>
      <w:proofErr w:type="spellEnd"/>
      <w:r w:rsidRPr="00C41CC4">
        <w:rPr>
          <w:szCs w:val="20"/>
        </w:rPr>
        <w:t xml:space="preserve"> and Kymriah) is the </w:t>
      </w:r>
      <w:bookmarkStart w:id="3" w:name="_Hlk77251728"/>
      <w:r w:rsidRPr="00C41CC4">
        <w:rPr>
          <w:szCs w:val="20"/>
        </w:rPr>
        <w:t xml:space="preserve">National Health Reform Agreement </w:t>
      </w:r>
      <w:bookmarkEnd w:id="3"/>
      <w:r w:rsidRPr="00C41CC4">
        <w:rPr>
          <w:szCs w:val="20"/>
        </w:rPr>
        <w:t xml:space="preserve">(NHRA) which includes </w:t>
      </w:r>
      <w:bookmarkStart w:id="4" w:name="_Hlk77251747"/>
      <w:r w:rsidRPr="00C41CC4">
        <w:rPr>
          <w:szCs w:val="20"/>
        </w:rPr>
        <w:t xml:space="preserve">funding from both the Commonwealth Government (50%) and the governments of the relevant states and territories </w:t>
      </w:r>
      <w:bookmarkEnd w:id="4"/>
      <w:r w:rsidRPr="00C41CC4">
        <w:rPr>
          <w:szCs w:val="20"/>
        </w:rPr>
        <w:t xml:space="preserve">(50%). The same joint funding mechanism is requested for </w:t>
      </w:r>
      <w:proofErr w:type="spellStart"/>
      <w:r w:rsidRPr="00C41CC4">
        <w:rPr>
          <w:szCs w:val="20"/>
        </w:rPr>
        <w:t>cilta-cel</w:t>
      </w:r>
      <w:proofErr w:type="spellEnd"/>
      <w:r w:rsidRPr="00C41CC4">
        <w:rPr>
          <w:szCs w:val="20"/>
        </w:rPr>
        <w:t xml:space="preserve">. </w:t>
      </w:r>
    </w:p>
    <w:p w14:paraId="480909BA" w14:textId="77777777" w:rsidR="00E662DF" w:rsidRPr="00E662DF" w:rsidRDefault="00E662DF" w:rsidP="00E662DF">
      <w:pPr>
        <w:spacing w:before="0" w:after="0"/>
        <w:jc w:val="both"/>
        <w:rPr>
          <w:szCs w:val="20"/>
        </w:rPr>
      </w:pPr>
    </w:p>
    <w:p w14:paraId="5DE31763" w14:textId="07ACD968" w:rsidR="002C2D77" w:rsidRDefault="002C2D77" w:rsidP="002C2D77">
      <w:pPr>
        <w:pStyle w:val="Heading2"/>
      </w:pPr>
      <w:r w:rsidRPr="00154B00">
        <w:t xml:space="preserve">What is the type of </w:t>
      </w:r>
      <w:proofErr w:type="gramStart"/>
      <w:r w:rsidRPr="00154B00">
        <w:t>service:</w:t>
      </w:r>
      <w:proofErr w:type="gramEnd"/>
    </w:p>
    <w:p w14:paraId="6C0512D2"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Therapeutic medical service</w:t>
      </w:r>
    </w:p>
    <w:p w14:paraId="19AFE4AC"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Investigative medical service</w:t>
      </w:r>
    </w:p>
    <w:p w14:paraId="0BE460FF"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Single consultation medical service</w:t>
      </w:r>
    </w:p>
    <w:p w14:paraId="5369C730"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Global consultation medical service</w:t>
      </w:r>
    </w:p>
    <w:p w14:paraId="1C0B7141"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Allied health service</w:t>
      </w:r>
    </w:p>
    <w:p w14:paraId="7E0484E7"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Co-dependent technology</w:t>
      </w:r>
    </w:p>
    <w:p w14:paraId="73154CE0" w14:textId="5AFEEDA0" w:rsidR="000A5658" w:rsidRDefault="002C2D77" w:rsidP="00112E0C">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5D3A0A">
        <w:rPr>
          <w:b/>
          <w:szCs w:val="20"/>
        </w:rPr>
      </w:r>
      <w:r w:rsidR="005D3A0A">
        <w:rPr>
          <w:b/>
          <w:szCs w:val="20"/>
        </w:rPr>
        <w:fldChar w:fldCharType="separate"/>
      </w:r>
      <w:r>
        <w:rPr>
          <w:b/>
          <w:szCs w:val="20"/>
        </w:rPr>
        <w:fldChar w:fldCharType="end"/>
      </w:r>
      <w:r w:rsidRPr="0027105F">
        <w:rPr>
          <w:b/>
          <w:szCs w:val="20"/>
        </w:rPr>
        <w:t xml:space="preserve"> </w:t>
      </w:r>
      <w:r>
        <w:t>Hybrid health technology</w:t>
      </w:r>
    </w:p>
    <w:p w14:paraId="00EEF06A" w14:textId="77777777" w:rsidR="00B940A9" w:rsidRDefault="00B940A9" w:rsidP="00B940A9">
      <w:pPr>
        <w:spacing w:before="0" w:after="0"/>
        <w:ind w:left="284"/>
      </w:pPr>
    </w:p>
    <w:p w14:paraId="51A32C0F" w14:textId="1DC6EF5A" w:rsidR="002C2D77" w:rsidRDefault="002C2D77" w:rsidP="002C2D77">
      <w:pPr>
        <w:pStyle w:val="Heading2"/>
      </w:pPr>
      <w:r w:rsidRPr="00154B00">
        <w:t xml:space="preserve">For investigative services, advise the specific purpose of performing the service </w:t>
      </w:r>
      <w:r w:rsidRPr="00154B00">
        <w:rPr>
          <w:i/>
        </w:rPr>
        <w:t>(which could be one or more of the following)</w:t>
      </w:r>
      <w:r w:rsidRPr="00154B00">
        <w:t>:</w:t>
      </w:r>
    </w:p>
    <w:p w14:paraId="7BDE0C5E" w14:textId="77777777" w:rsidR="002C2D77" w:rsidRPr="00E01B1A" w:rsidRDefault="002C2D77" w:rsidP="00112E0C">
      <w:pPr>
        <w:ind w:firstLine="360"/>
      </w:pPr>
      <w:r w:rsidRPr="00E01B1A">
        <w:t>Not applicable</w:t>
      </w:r>
    </w:p>
    <w:p w14:paraId="0D3CC177" w14:textId="77777777" w:rsidR="002C2D77" w:rsidRDefault="002C2D77" w:rsidP="002C2D77">
      <w:pPr>
        <w:pStyle w:val="Heading2"/>
      </w:pPr>
      <w:r w:rsidRPr="00154B00">
        <w:t xml:space="preserve">Does </w:t>
      </w:r>
      <w:r>
        <w:t>your</w:t>
      </w:r>
      <w:r w:rsidRPr="00154B00">
        <w:t xml:space="preserve"> service rely on another medical </w:t>
      </w:r>
      <w:r>
        <w:t>product</w:t>
      </w:r>
      <w:r w:rsidRPr="00154B00">
        <w:t xml:space="preserve"> to achieve or to enhance its intended effect?</w:t>
      </w:r>
    </w:p>
    <w:p w14:paraId="6ED6A388" w14:textId="77777777" w:rsidR="002C2D77" w:rsidRPr="007241FA" w:rsidRDefault="002C2D77" w:rsidP="00112E0C">
      <w:pPr>
        <w:spacing w:before="0" w:after="0"/>
        <w:ind w:left="360"/>
        <w:rPr>
          <w:color w:val="000000" w:themeColor="text1"/>
        </w:rPr>
      </w:pPr>
      <w:r>
        <w:rPr>
          <w:b/>
          <w:color w:val="000000" w:themeColor="text1"/>
          <w:szCs w:val="20"/>
        </w:rPr>
        <w:fldChar w:fldCharType="begin">
          <w:ffData>
            <w:name w:val=""/>
            <w:enabled/>
            <w:calcOnExit w:val="0"/>
            <w:checkBox>
              <w:sizeAuto/>
              <w:default w:val="1"/>
            </w:checkBox>
          </w:ffData>
        </w:fldChar>
      </w:r>
      <w:r>
        <w:rPr>
          <w:b/>
          <w:color w:val="000000" w:themeColor="text1"/>
          <w:szCs w:val="20"/>
        </w:rPr>
        <w:instrText xml:space="preserve"> FORMCHECKBOX </w:instrText>
      </w:r>
      <w:r w:rsidR="005D3A0A">
        <w:rPr>
          <w:b/>
          <w:color w:val="000000" w:themeColor="text1"/>
          <w:szCs w:val="20"/>
        </w:rPr>
      </w:r>
      <w:r w:rsidR="005D3A0A">
        <w:rPr>
          <w:b/>
          <w:color w:val="000000" w:themeColor="text1"/>
          <w:szCs w:val="20"/>
        </w:rPr>
        <w:fldChar w:fldCharType="separate"/>
      </w:r>
      <w:r>
        <w:rPr>
          <w:b/>
          <w:color w:val="000000" w:themeColor="text1"/>
          <w:szCs w:val="20"/>
        </w:rPr>
        <w:fldChar w:fldCharType="end"/>
      </w:r>
      <w:r w:rsidRPr="007241FA">
        <w:rPr>
          <w:b/>
          <w:color w:val="000000" w:themeColor="text1"/>
          <w:szCs w:val="20"/>
        </w:rPr>
        <w:t xml:space="preserve"> </w:t>
      </w:r>
      <w:r w:rsidRPr="007241FA">
        <w:rPr>
          <w:color w:val="000000" w:themeColor="text1"/>
        </w:rPr>
        <w:t>Pharmaceutical / Biological</w:t>
      </w:r>
    </w:p>
    <w:p w14:paraId="3B4C862D" w14:textId="77777777" w:rsidR="002C2D77" w:rsidRDefault="002C2D77" w:rsidP="00112E0C">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D3A0A">
        <w:rPr>
          <w:b/>
          <w:szCs w:val="20"/>
        </w:rPr>
      </w:r>
      <w:r w:rsidR="005D3A0A">
        <w:rPr>
          <w:b/>
          <w:szCs w:val="20"/>
        </w:rPr>
        <w:fldChar w:fldCharType="separate"/>
      </w:r>
      <w:r w:rsidRPr="0027105F">
        <w:rPr>
          <w:b/>
          <w:szCs w:val="20"/>
        </w:rPr>
        <w:fldChar w:fldCharType="end"/>
      </w:r>
      <w:r w:rsidRPr="0027105F">
        <w:rPr>
          <w:b/>
          <w:szCs w:val="20"/>
        </w:rPr>
        <w:t xml:space="preserve"> </w:t>
      </w:r>
      <w:r>
        <w:t>Prosthesis or device</w:t>
      </w:r>
    </w:p>
    <w:p w14:paraId="69B192E0" w14:textId="49800417" w:rsidR="00E01B1A" w:rsidRPr="00FE16C1" w:rsidRDefault="002C2D77" w:rsidP="00112E0C">
      <w:pPr>
        <w:spacing w:before="0" w:after="0"/>
        <w:ind w:left="360"/>
      </w:pPr>
      <w:r>
        <w:rPr>
          <w:b/>
          <w:szCs w:val="20"/>
        </w:rPr>
        <w:fldChar w:fldCharType="begin">
          <w:ffData>
            <w:name w:val=""/>
            <w:enabled/>
            <w:calcOnExit w:val="0"/>
            <w:checkBox>
              <w:sizeAuto/>
              <w:default w:val="0"/>
            </w:checkBox>
          </w:ffData>
        </w:fldChar>
      </w:r>
      <w:r>
        <w:rPr>
          <w:b/>
          <w:szCs w:val="20"/>
        </w:rPr>
        <w:instrText xml:space="preserve"> FORMCHECKBOX </w:instrText>
      </w:r>
      <w:r w:rsidR="005D3A0A">
        <w:rPr>
          <w:b/>
          <w:szCs w:val="20"/>
        </w:rPr>
      </w:r>
      <w:r w:rsidR="005D3A0A">
        <w:rPr>
          <w:b/>
          <w:szCs w:val="20"/>
        </w:rPr>
        <w:fldChar w:fldCharType="separate"/>
      </w:r>
      <w:r>
        <w:rPr>
          <w:b/>
          <w:szCs w:val="20"/>
        </w:rPr>
        <w:fldChar w:fldCharType="end"/>
      </w:r>
      <w:r w:rsidRPr="0027105F">
        <w:rPr>
          <w:b/>
          <w:szCs w:val="20"/>
        </w:rPr>
        <w:t xml:space="preserve"> </w:t>
      </w:r>
      <w:r>
        <w:t>No</w:t>
      </w:r>
    </w:p>
    <w:p w14:paraId="6260AA20" w14:textId="76777D89" w:rsidR="002C2D77" w:rsidRPr="001E6958" w:rsidRDefault="002C2D77" w:rsidP="002C2D77">
      <w:pPr>
        <w:pStyle w:val="Heading2"/>
      </w:pPr>
      <w:r>
        <w:t xml:space="preserve">(a)  </w:t>
      </w:r>
      <w:r w:rsidRPr="001E6958">
        <w:t xml:space="preserve">If the proposed service has a </w:t>
      </w:r>
      <w:r w:rsidR="009B142D" w:rsidRPr="001E6958">
        <w:t xml:space="preserve">pharmaceutical component </w:t>
      </w:r>
      <w:r w:rsidRPr="001E6958">
        <w:t>to it, is it already covered under an existing Pharmaceutical Benefits Scheme (PBS) listing?</w:t>
      </w:r>
    </w:p>
    <w:p w14:paraId="316B6EA9" w14:textId="77777777" w:rsidR="002C2D77" w:rsidRDefault="002C2D77" w:rsidP="00112E0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Pr="000A5B32">
        <w:rPr>
          <w:szCs w:val="20"/>
        </w:rPr>
        <w:t xml:space="preserve"> Yes</w:t>
      </w:r>
    </w:p>
    <w:p w14:paraId="01811C7F" w14:textId="77777777" w:rsidR="002C2D77" w:rsidRDefault="002C2D77" w:rsidP="00112E0C">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No  </w:t>
      </w:r>
    </w:p>
    <w:p w14:paraId="512ED21B" w14:textId="77777777" w:rsidR="002C2D77" w:rsidRDefault="002C2D77" w:rsidP="002C2D77">
      <w:pPr>
        <w:spacing w:before="0" w:after="0"/>
        <w:ind w:left="284"/>
        <w:jc w:val="both"/>
        <w:rPr>
          <w:szCs w:val="20"/>
          <w:u w:val="single"/>
        </w:rPr>
      </w:pPr>
    </w:p>
    <w:p w14:paraId="0C3F48D4" w14:textId="77777777" w:rsidR="002C2D77" w:rsidRPr="0013396C" w:rsidRDefault="002C2D77" w:rsidP="00112E0C">
      <w:pPr>
        <w:spacing w:before="0" w:after="0"/>
        <w:ind w:left="360"/>
        <w:rPr>
          <w:szCs w:val="20"/>
          <w:u w:val="single"/>
        </w:rPr>
      </w:pPr>
      <w:r>
        <w:rPr>
          <w:szCs w:val="20"/>
          <w:u w:val="single"/>
        </w:rPr>
        <w:t>Lymphodepletion</w:t>
      </w:r>
    </w:p>
    <w:p w14:paraId="224AEC4B" w14:textId="52D8C8E4" w:rsidR="00B7615C" w:rsidRDefault="002C2D77" w:rsidP="00112E0C">
      <w:pPr>
        <w:spacing w:before="0" w:after="0"/>
        <w:ind w:left="360"/>
        <w:rPr>
          <w:szCs w:val="20"/>
        </w:rPr>
      </w:pPr>
      <w:r w:rsidRPr="00E74E99">
        <w:rPr>
          <w:szCs w:val="20"/>
        </w:rPr>
        <w:t xml:space="preserve">A lymphodepleting chemotherapy regimen consisting of </w:t>
      </w:r>
      <w:r w:rsidRPr="001D057B">
        <w:rPr>
          <w:szCs w:val="20"/>
        </w:rPr>
        <w:t xml:space="preserve">cyclophosphamide 300 mg/m2 intravenously daily and fludarabine 30 mg/m2 intravenously </w:t>
      </w:r>
      <w:r>
        <w:rPr>
          <w:szCs w:val="20"/>
        </w:rPr>
        <w:t xml:space="preserve">is administered </w:t>
      </w:r>
      <w:r w:rsidRPr="001D057B">
        <w:rPr>
          <w:szCs w:val="20"/>
        </w:rPr>
        <w:t>daily for 3 days</w:t>
      </w:r>
      <w:r>
        <w:rPr>
          <w:szCs w:val="20"/>
        </w:rPr>
        <w:t xml:space="preserve">. </w:t>
      </w:r>
      <w:proofErr w:type="spellStart"/>
      <w:r>
        <w:rPr>
          <w:szCs w:val="20"/>
        </w:rPr>
        <w:t>Cilta-cel</w:t>
      </w:r>
      <w:proofErr w:type="spellEnd"/>
      <w:r>
        <w:rPr>
          <w:szCs w:val="20"/>
        </w:rPr>
        <w:t xml:space="preserve"> infusion is administered 5 to 7 days after the start of the </w:t>
      </w:r>
      <w:r w:rsidRPr="00E74E99">
        <w:rPr>
          <w:szCs w:val="20"/>
        </w:rPr>
        <w:t>lymphodepleting</w:t>
      </w:r>
      <w:r>
        <w:rPr>
          <w:szCs w:val="20"/>
        </w:rPr>
        <w:t xml:space="preserve"> regimen.</w:t>
      </w:r>
    </w:p>
    <w:p w14:paraId="619FB07D" w14:textId="77777777" w:rsidR="008C3ABD" w:rsidRPr="008C3ABD" w:rsidRDefault="008C3ABD" w:rsidP="00112E0C">
      <w:pPr>
        <w:spacing w:before="0" w:after="0"/>
        <w:ind w:left="360"/>
        <w:rPr>
          <w:szCs w:val="20"/>
        </w:rPr>
      </w:pPr>
    </w:p>
    <w:p w14:paraId="2EB34020" w14:textId="77777777" w:rsidR="00E16BDF" w:rsidRDefault="00E16BDF">
      <w:pPr>
        <w:spacing w:before="0" w:after="200" w:line="276" w:lineRule="auto"/>
        <w:rPr>
          <w:szCs w:val="20"/>
          <w:u w:val="single"/>
        </w:rPr>
      </w:pPr>
      <w:r>
        <w:rPr>
          <w:szCs w:val="20"/>
          <w:u w:val="single"/>
        </w:rPr>
        <w:br w:type="page"/>
      </w:r>
    </w:p>
    <w:p w14:paraId="3AB36765" w14:textId="4686713E" w:rsidR="002C2D77" w:rsidRPr="0013396C" w:rsidRDefault="002C2D77" w:rsidP="00112E0C">
      <w:pPr>
        <w:spacing w:before="0" w:after="0"/>
        <w:ind w:left="360"/>
        <w:rPr>
          <w:szCs w:val="20"/>
          <w:u w:val="single"/>
        </w:rPr>
      </w:pPr>
      <w:r>
        <w:rPr>
          <w:szCs w:val="20"/>
          <w:u w:val="single"/>
        </w:rPr>
        <w:lastRenderedPageBreak/>
        <w:t>Management of severe adverse reactions</w:t>
      </w:r>
    </w:p>
    <w:p w14:paraId="0F9259F9" w14:textId="63D1B0A1" w:rsidR="002C2D77" w:rsidRDefault="002C2D77" w:rsidP="00112E0C">
      <w:pPr>
        <w:spacing w:before="0" w:after="0"/>
        <w:ind w:left="360"/>
        <w:rPr>
          <w:szCs w:val="20"/>
        </w:rPr>
      </w:pPr>
      <w:r w:rsidRPr="00E74E99">
        <w:rPr>
          <w:szCs w:val="20"/>
        </w:rPr>
        <w:t>Tocilizumab</w:t>
      </w:r>
      <w:r>
        <w:rPr>
          <w:szCs w:val="20"/>
        </w:rPr>
        <w:t xml:space="preserve"> (</w:t>
      </w:r>
      <w:r w:rsidRPr="005E3185">
        <w:t>8</w:t>
      </w:r>
      <w:r>
        <w:t> </w:t>
      </w:r>
      <w:r w:rsidRPr="005E3185">
        <w:t>mg/kg intravenously over 1</w:t>
      </w:r>
      <w:r>
        <w:t> </w:t>
      </w:r>
      <w:r w:rsidRPr="005E3185">
        <w:t>hou</w:t>
      </w:r>
      <w:r>
        <w:t xml:space="preserve">r; max </w:t>
      </w:r>
      <w:r w:rsidRPr="005E3185">
        <w:t>800</w:t>
      </w:r>
      <w:r>
        <w:t> </w:t>
      </w:r>
      <w:r w:rsidRPr="005E3185">
        <w:t>mg)</w:t>
      </w:r>
      <w:r>
        <w:t xml:space="preserve"> or corticosteroids (</w:t>
      </w:r>
      <w:r w:rsidRPr="004E48B9">
        <w:t>methylprednisolone 1 mg/kg intravenously twice daily or equivalent dexamethasone</w:t>
      </w:r>
      <w:r>
        <w:t xml:space="preserve"> for Grade 1-3; </w:t>
      </w:r>
      <w:r w:rsidRPr="005E3185">
        <w:t>methylprednisolone 1000</w:t>
      </w:r>
      <w:r>
        <w:t> </w:t>
      </w:r>
      <w:r w:rsidRPr="005E3185">
        <w:t>mg intravenously per day for 3 days</w:t>
      </w:r>
      <w:r>
        <w:t xml:space="preserve"> for Grade 4) </w:t>
      </w:r>
      <w:r w:rsidRPr="00E74E99">
        <w:rPr>
          <w:szCs w:val="20"/>
        </w:rPr>
        <w:t>may be administered for the management of cytokine</w:t>
      </w:r>
      <w:r>
        <w:rPr>
          <w:szCs w:val="20"/>
        </w:rPr>
        <w:t xml:space="preserve"> </w:t>
      </w:r>
      <w:r w:rsidRPr="00E74E99">
        <w:rPr>
          <w:szCs w:val="20"/>
        </w:rPr>
        <w:t xml:space="preserve">release syndrome (CRS), a </w:t>
      </w:r>
      <w:r>
        <w:rPr>
          <w:szCs w:val="20"/>
        </w:rPr>
        <w:t>severe adverse reaction</w:t>
      </w:r>
      <w:r w:rsidRPr="00E74E99">
        <w:rPr>
          <w:szCs w:val="20"/>
        </w:rPr>
        <w:t xml:space="preserve"> that may occur following treatment with</w:t>
      </w:r>
      <w:r>
        <w:rPr>
          <w:szCs w:val="20"/>
        </w:rPr>
        <w:t xml:space="preserve"> </w:t>
      </w:r>
      <w:proofErr w:type="spellStart"/>
      <w:r>
        <w:rPr>
          <w:szCs w:val="20"/>
        </w:rPr>
        <w:t>cilta-cel</w:t>
      </w:r>
      <w:proofErr w:type="spellEnd"/>
      <w:r w:rsidRPr="00E74E99">
        <w:rPr>
          <w:szCs w:val="20"/>
        </w:rPr>
        <w:t xml:space="preserve">. </w:t>
      </w:r>
      <w:r w:rsidR="00BB04B9">
        <w:rPr>
          <w:szCs w:val="20"/>
        </w:rPr>
        <w:t>The use of tocilizumab to manage CRS is consistent with previously recommended CAR-T cell therapies.</w:t>
      </w:r>
    </w:p>
    <w:p w14:paraId="7C92557C" w14:textId="77777777" w:rsidR="002C2D77" w:rsidRDefault="002C2D77" w:rsidP="00112E0C">
      <w:pPr>
        <w:spacing w:before="0" w:after="0"/>
        <w:ind w:left="360"/>
        <w:rPr>
          <w:szCs w:val="20"/>
        </w:rPr>
      </w:pPr>
    </w:p>
    <w:p w14:paraId="14E66073" w14:textId="7E71EFA5" w:rsidR="002C2D77" w:rsidRDefault="002C2D77" w:rsidP="00112E0C">
      <w:pPr>
        <w:spacing w:before="0" w:after="0"/>
        <w:ind w:left="360"/>
        <w:rPr>
          <w:szCs w:val="20"/>
        </w:rPr>
      </w:pPr>
      <w:r w:rsidRPr="00E74E99">
        <w:rPr>
          <w:szCs w:val="20"/>
        </w:rPr>
        <w:t>Tocilizumab</w:t>
      </w:r>
      <w:r>
        <w:rPr>
          <w:szCs w:val="20"/>
        </w:rPr>
        <w:t xml:space="preserve"> (</w:t>
      </w:r>
      <w:r w:rsidRPr="005E3185">
        <w:t>8</w:t>
      </w:r>
      <w:r>
        <w:t> </w:t>
      </w:r>
      <w:r w:rsidRPr="005E3185">
        <w:t>mg/kg intravenously over 1</w:t>
      </w:r>
      <w:r>
        <w:t> </w:t>
      </w:r>
      <w:r w:rsidRPr="005E3185">
        <w:t>hou</w:t>
      </w:r>
      <w:r>
        <w:t xml:space="preserve">r; max </w:t>
      </w:r>
      <w:r w:rsidRPr="005E3185">
        <w:t>800</w:t>
      </w:r>
      <w:r>
        <w:t> </w:t>
      </w:r>
      <w:r w:rsidRPr="005E3185">
        <w:t>mg)</w:t>
      </w:r>
      <w:r>
        <w:t xml:space="preserve"> or corticosteroids (</w:t>
      </w:r>
      <w:r w:rsidRPr="0013396C">
        <w:t>10 mg IV dexamethasone every 6 hours</w:t>
      </w:r>
      <w:r>
        <w:t xml:space="preserve"> (Grade 1-3) or IV </w:t>
      </w:r>
      <w:r w:rsidRPr="00976CEC">
        <w:t>methylprednisolone 1000</w:t>
      </w:r>
      <w:r>
        <w:t> </w:t>
      </w:r>
      <w:r w:rsidRPr="00976CEC">
        <w:t>mg per day for 3</w:t>
      </w:r>
      <w:r>
        <w:t> </w:t>
      </w:r>
      <w:r w:rsidRPr="00976CEC">
        <w:t>days</w:t>
      </w:r>
      <w:r>
        <w:t xml:space="preserve"> (Grade 4)) </w:t>
      </w:r>
      <w:r w:rsidRPr="00E74E99">
        <w:rPr>
          <w:szCs w:val="20"/>
        </w:rPr>
        <w:t xml:space="preserve">may be administered for the management of </w:t>
      </w:r>
      <w:r w:rsidRPr="0013396C">
        <w:rPr>
          <w:szCs w:val="20"/>
        </w:rPr>
        <w:t>Immune Effector Cell-Associated Neurotoxicity Syndrome (ICANS)</w:t>
      </w:r>
      <w:r>
        <w:rPr>
          <w:szCs w:val="20"/>
        </w:rPr>
        <w:t xml:space="preserve">, </w:t>
      </w:r>
      <w:r w:rsidRPr="00E74E99">
        <w:rPr>
          <w:szCs w:val="20"/>
        </w:rPr>
        <w:t>a se</w:t>
      </w:r>
      <w:r>
        <w:rPr>
          <w:szCs w:val="20"/>
        </w:rPr>
        <w:t>vere</w:t>
      </w:r>
      <w:r w:rsidRPr="00E74E99">
        <w:rPr>
          <w:szCs w:val="20"/>
        </w:rPr>
        <w:t xml:space="preserve"> adverse </w:t>
      </w:r>
      <w:r>
        <w:rPr>
          <w:szCs w:val="20"/>
        </w:rPr>
        <w:t xml:space="preserve">reaction </w:t>
      </w:r>
      <w:r w:rsidRPr="00E74E99">
        <w:rPr>
          <w:szCs w:val="20"/>
        </w:rPr>
        <w:t>that may occur following treatment with</w:t>
      </w:r>
      <w:r>
        <w:rPr>
          <w:szCs w:val="20"/>
        </w:rPr>
        <w:t xml:space="preserve"> </w:t>
      </w:r>
      <w:proofErr w:type="spellStart"/>
      <w:r>
        <w:rPr>
          <w:szCs w:val="20"/>
        </w:rPr>
        <w:t>cilta-cel</w:t>
      </w:r>
      <w:proofErr w:type="spellEnd"/>
      <w:r w:rsidRPr="00E74E99">
        <w:rPr>
          <w:szCs w:val="20"/>
        </w:rPr>
        <w:t xml:space="preserve">. </w:t>
      </w:r>
    </w:p>
    <w:p w14:paraId="74038101" w14:textId="4578EB24" w:rsidR="00BB04B9" w:rsidRDefault="00BB04B9" w:rsidP="00112E0C">
      <w:pPr>
        <w:spacing w:before="0" w:after="0"/>
        <w:ind w:left="360"/>
        <w:rPr>
          <w:szCs w:val="20"/>
        </w:rPr>
      </w:pPr>
    </w:p>
    <w:p w14:paraId="4D7E1004" w14:textId="0EEA5969" w:rsidR="00E662DF" w:rsidRPr="00112E0C" w:rsidRDefault="00BB04B9" w:rsidP="00112E0C">
      <w:pPr>
        <w:spacing w:before="0" w:after="0"/>
        <w:ind w:left="360"/>
        <w:rPr>
          <w:szCs w:val="20"/>
        </w:rPr>
      </w:pPr>
      <w:r>
        <w:rPr>
          <w:szCs w:val="20"/>
        </w:rPr>
        <w:t>It is noted that tocilizumab is not PBS funded for the above uses.</w:t>
      </w:r>
    </w:p>
    <w:p w14:paraId="650ECC8E" w14:textId="257D2841" w:rsidR="002C2D77" w:rsidRDefault="002C2D77" w:rsidP="002C2D77">
      <w:pPr>
        <w:pStyle w:val="Heading2"/>
        <w:numPr>
          <w:ilvl w:val="0"/>
          <w:numId w:val="25"/>
        </w:numPr>
      </w:pPr>
      <w:r w:rsidRPr="001E6958">
        <w:t>If yes, please list the relevant PBS item code(s):</w:t>
      </w:r>
    </w:p>
    <w:p w14:paraId="661ECD13" w14:textId="6CED6B3F" w:rsidR="00555713" w:rsidRPr="00555713" w:rsidRDefault="00555713" w:rsidP="00555713">
      <w:pPr>
        <w:keepNext/>
        <w:spacing w:before="0"/>
        <w:ind w:left="284"/>
        <w:jc w:val="both"/>
        <w:rPr>
          <w:b/>
          <w:bCs/>
          <w:szCs w:val="20"/>
        </w:rPr>
      </w:pPr>
      <w:r w:rsidRPr="00555713">
        <w:rPr>
          <w:b/>
          <w:bCs/>
          <w:szCs w:val="20"/>
        </w:rPr>
        <w:t xml:space="preserve">Table 1: List of relevant PBS item codes for medicines that may be required for the delivery of </w:t>
      </w:r>
      <w:proofErr w:type="spellStart"/>
      <w:r w:rsidRPr="00555713">
        <w:rPr>
          <w:b/>
          <w:bCs/>
          <w:szCs w:val="20"/>
        </w:rPr>
        <w:t>cilta-cel</w:t>
      </w:r>
      <w:proofErr w:type="spellEnd"/>
    </w:p>
    <w:tbl>
      <w:tblPr>
        <w:tblStyle w:val="TableGrid"/>
        <w:tblW w:w="9067" w:type="dxa"/>
        <w:tblInd w:w="284" w:type="dxa"/>
        <w:tblLook w:val="04A0" w:firstRow="1" w:lastRow="0" w:firstColumn="1" w:lastColumn="0" w:noHBand="0" w:noVBand="1"/>
      </w:tblPr>
      <w:tblGrid>
        <w:gridCol w:w="2121"/>
        <w:gridCol w:w="3402"/>
        <w:gridCol w:w="3544"/>
      </w:tblGrid>
      <w:tr w:rsidR="002C2D77" w14:paraId="48D0607C" w14:textId="77777777" w:rsidTr="00112E0C">
        <w:trPr>
          <w:trHeight w:val="81"/>
          <w:tblHeader/>
        </w:trPr>
        <w:tc>
          <w:tcPr>
            <w:tcW w:w="2121" w:type="dxa"/>
            <w:shd w:val="clear" w:color="auto" w:fill="F2F2F2" w:themeFill="background1" w:themeFillShade="F2"/>
          </w:tcPr>
          <w:p w14:paraId="03CA46F2" w14:textId="77777777" w:rsidR="002C2D77" w:rsidRDefault="002C2D77" w:rsidP="00770C63">
            <w:pPr>
              <w:rPr>
                <w:b/>
                <w:szCs w:val="20"/>
              </w:rPr>
            </w:pPr>
            <w:r>
              <w:rPr>
                <w:b/>
                <w:szCs w:val="20"/>
              </w:rPr>
              <w:t>Pharmaceutical</w:t>
            </w:r>
          </w:p>
        </w:tc>
        <w:tc>
          <w:tcPr>
            <w:tcW w:w="3402" w:type="dxa"/>
            <w:shd w:val="clear" w:color="auto" w:fill="F2F2F2" w:themeFill="background1" w:themeFillShade="F2"/>
          </w:tcPr>
          <w:p w14:paraId="02105FD9" w14:textId="77777777" w:rsidR="002C2D77" w:rsidRDefault="002C2D77" w:rsidP="00770C63">
            <w:pPr>
              <w:rPr>
                <w:b/>
                <w:szCs w:val="20"/>
              </w:rPr>
            </w:pPr>
            <w:r>
              <w:rPr>
                <w:b/>
                <w:szCs w:val="20"/>
              </w:rPr>
              <w:t>Usage</w:t>
            </w:r>
          </w:p>
        </w:tc>
        <w:tc>
          <w:tcPr>
            <w:tcW w:w="3544" w:type="dxa"/>
            <w:shd w:val="clear" w:color="auto" w:fill="F2F2F2" w:themeFill="background1" w:themeFillShade="F2"/>
          </w:tcPr>
          <w:p w14:paraId="4939C892" w14:textId="77777777" w:rsidR="002C2D77" w:rsidRDefault="002C2D77" w:rsidP="00770C63">
            <w:pPr>
              <w:rPr>
                <w:b/>
                <w:szCs w:val="20"/>
              </w:rPr>
            </w:pPr>
            <w:r>
              <w:rPr>
                <w:b/>
                <w:szCs w:val="20"/>
              </w:rPr>
              <w:t>PBS item code</w:t>
            </w:r>
          </w:p>
        </w:tc>
      </w:tr>
      <w:tr w:rsidR="002C2D77" w:rsidRPr="003B5746" w14:paraId="6F46D1D4" w14:textId="77777777" w:rsidTr="00112E0C">
        <w:trPr>
          <w:trHeight w:val="278"/>
        </w:trPr>
        <w:tc>
          <w:tcPr>
            <w:tcW w:w="2121" w:type="dxa"/>
          </w:tcPr>
          <w:p w14:paraId="7D123E8C" w14:textId="77777777" w:rsidR="002C2D77" w:rsidRPr="003B5746" w:rsidRDefault="002C2D77" w:rsidP="00112E0C">
            <w:pPr>
              <w:spacing w:before="60" w:after="60"/>
              <w:rPr>
                <w:bCs/>
                <w:szCs w:val="20"/>
              </w:rPr>
            </w:pPr>
            <w:r w:rsidRPr="003B5746">
              <w:rPr>
                <w:bCs/>
                <w:szCs w:val="20"/>
              </w:rPr>
              <w:t>Cyclophosphamide</w:t>
            </w:r>
          </w:p>
        </w:tc>
        <w:tc>
          <w:tcPr>
            <w:tcW w:w="3402" w:type="dxa"/>
          </w:tcPr>
          <w:p w14:paraId="3FF68854" w14:textId="77777777" w:rsidR="002C2D77" w:rsidRPr="003B5746" w:rsidRDefault="002C2D77" w:rsidP="00112E0C">
            <w:pPr>
              <w:spacing w:before="60" w:after="60"/>
              <w:rPr>
                <w:bCs/>
                <w:szCs w:val="20"/>
              </w:rPr>
            </w:pPr>
            <w:r w:rsidRPr="003B5746">
              <w:rPr>
                <w:bCs/>
                <w:szCs w:val="20"/>
              </w:rPr>
              <w:t>Chemotherapy for public hospital use, alkylating</w:t>
            </w:r>
            <w:r>
              <w:rPr>
                <w:bCs/>
                <w:szCs w:val="20"/>
              </w:rPr>
              <w:t xml:space="preserve"> </w:t>
            </w:r>
            <w:r w:rsidRPr="003B5746">
              <w:rPr>
                <w:bCs/>
                <w:szCs w:val="20"/>
              </w:rPr>
              <w:t>agent</w:t>
            </w:r>
          </w:p>
        </w:tc>
        <w:tc>
          <w:tcPr>
            <w:tcW w:w="3544" w:type="dxa"/>
          </w:tcPr>
          <w:p w14:paraId="6FD8E7F0" w14:textId="77777777" w:rsidR="002C2D77" w:rsidRPr="003B5746" w:rsidRDefault="002C2D77" w:rsidP="00112E0C">
            <w:pPr>
              <w:spacing w:before="60" w:after="60"/>
              <w:rPr>
                <w:bCs/>
                <w:szCs w:val="20"/>
              </w:rPr>
            </w:pPr>
            <w:r w:rsidRPr="003B5746">
              <w:rPr>
                <w:bCs/>
                <w:szCs w:val="20"/>
              </w:rPr>
              <w:t>4327R (unrestricted</w:t>
            </w:r>
            <w:r>
              <w:rPr>
                <w:bCs/>
                <w:szCs w:val="20"/>
              </w:rPr>
              <w:t xml:space="preserve"> </w:t>
            </w:r>
            <w:r w:rsidRPr="003B5746">
              <w:rPr>
                <w:bCs/>
                <w:szCs w:val="20"/>
              </w:rPr>
              <w:t>item)</w:t>
            </w:r>
          </w:p>
        </w:tc>
      </w:tr>
      <w:tr w:rsidR="002C2D77" w:rsidRPr="003B5746" w14:paraId="18CE7C17" w14:textId="77777777" w:rsidTr="00112E0C">
        <w:trPr>
          <w:trHeight w:val="278"/>
        </w:trPr>
        <w:tc>
          <w:tcPr>
            <w:tcW w:w="2121" w:type="dxa"/>
          </w:tcPr>
          <w:p w14:paraId="0AECA4BC" w14:textId="77777777" w:rsidR="002C2D77" w:rsidRPr="003B5746" w:rsidRDefault="002C2D77" w:rsidP="00112E0C">
            <w:pPr>
              <w:spacing w:before="60" w:after="60"/>
              <w:rPr>
                <w:bCs/>
                <w:szCs w:val="20"/>
              </w:rPr>
            </w:pPr>
            <w:r w:rsidRPr="003B5746">
              <w:rPr>
                <w:bCs/>
                <w:szCs w:val="20"/>
              </w:rPr>
              <w:t>Fludarabine</w:t>
            </w:r>
          </w:p>
        </w:tc>
        <w:tc>
          <w:tcPr>
            <w:tcW w:w="3402" w:type="dxa"/>
          </w:tcPr>
          <w:p w14:paraId="3378775F" w14:textId="77777777" w:rsidR="002C2D77" w:rsidRPr="003B5746" w:rsidRDefault="002C2D77" w:rsidP="00112E0C">
            <w:pPr>
              <w:spacing w:before="60" w:after="60"/>
              <w:rPr>
                <w:bCs/>
                <w:szCs w:val="20"/>
              </w:rPr>
            </w:pPr>
            <w:r w:rsidRPr="003B5746">
              <w:rPr>
                <w:bCs/>
                <w:szCs w:val="20"/>
              </w:rPr>
              <w:t>Chemotherapy for public hospital use,</w:t>
            </w:r>
            <w:r>
              <w:rPr>
                <w:bCs/>
                <w:szCs w:val="20"/>
              </w:rPr>
              <w:t xml:space="preserve"> </w:t>
            </w:r>
            <w:r w:rsidRPr="003B5746">
              <w:rPr>
                <w:bCs/>
                <w:szCs w:val="20"/>
              </w:rPr>
              <w:t>antimetabolite</w:t>
            </w:r>
          </w:p>
        </w:tc>
        <w:tc>
          <w:tcPr>
            <w:tcW w:w="3544" w:type="dxa"/>
          </w:tcPr>
          <w:p w14:paraId="2F883E65" w14:textId="77777777" w:rsidR="002C2D77" w:rsidRPr="003B5746" w:rsidRDefault="002C2D77" w:rsidP="00112E0C">
            <w:pPr>
              <w:spacing w:before="60" w:after="60"/>
              <w:rPr>
                <w:bCs/>
                <w:szCs w:val="20"/>
              </w:rPr>
            </w:pPr>
            <w:r w:rsidRPr="003B5746">
              <w:rPr>
                <w:bCs/>
                <w:szCs w:val="20"/>
              </w:rPr>
              <w:t>4393F (unrestricted</w:t>
            </w:r>
            <w:r>
              <w:rPr>
                <w:bCs/>
                <w:szCs w:val="20"/>
              </w:rPr>
              <w:t xml:space="preserve"> </w:t>
            </w:r>
            <w:r w:rsidRPr="003B5746">
              <w:rPr>
                <w:bCs/>
                <w:szCs w:val="20"/>
              </w:rPr>
              <w:t>item)</w:t>
            </w:r>
          </w:p>
        </w:tc>
      </w:tr>
      <w:tr w:rsidR="002C2D77" w:rsidRPr="003B5746" w14:paraId="6A7C32F5" w14:textId="77777777" w:rsidTr="00112E0C">
        <w:trPr>
          <w:trHeight w:val="278"/>
        </w:trPr>
        <w:tc>
          <w:tcPr>
            <w:tcW w:w="2121" w:type="dxa"/>
          </w:tcPr>
          <w:p w14:paraId="447B3833" w14:textId="77777777" w:rsidR="002C2D77" w:rsidRPr="003B5746" w:rsidRDefault="002C2D77" w:rsidP="00112E0C">
            <w:pPr>
              <w:spacing w:before="60" w:after="60"/>
              <w:rPr>
                <w:bCs/>
                <w:szCs w:val="20"/>
              </w:rPr>
            </w:pPr>
            <w:r w:rsidRPr="003B5746">
              <w:rPr>
                <w:bCs/>
                <w:szCs w:val="20"/>
              </w:rPr>
              <w:t>Tocilizumab</w:t>
            </w:r>
          </w:p>
        </w:tc>
        <w:tc>
          <w:tcPr>
            <w:tcW w:w="3402" w:type="dxa"/>
          </w:tcPr>
          <w:p w14:paraId="4627DF0F" w14:textId="77777777" w:rsidR="002C2D77" w:rsidRPr="003B5746" w:rsidRDefault="002C2D77" w:rsidP="00112E0C">
            <w:pPr>
              <w:spacing w:before="60" w:after="60"/>
              <w:rPr>
                <w:bCs/>
                <w:szCs w:val="20"/>
              </w:rPr>
            </w:pPr>
            <w:r w:rsidRPr="003B5746">
              <w:rPr>
                <w:bCs/>
                <w:szCs w:val="20"/>
              </w:rPr>
              <w:t>Treatment of cytokine release syndrome</w:t>
            </w:r>
            <w:r>
              <w:rPr>
                <w:bCs/>
                <w:szCs w:val="20"/>
              </w:rPr>
              <w:t xml:space="preserve"> (CRS) and</w:t>
            </w:r>
            <w:r w:rsidRPr="003B5746">
              <w:rPr>
                <w:bCs/>
                <w:szCs w:val="20"/>
              </w:rPr>
              <w:t xml:space="preserve"> </w:t>
            </w:r>
            <w:r w:rsidRPr="0004443B">
              <w:rPr>
                <w:bCs/>
                <w:szCs w:val="20"/>
              </w:rPr>
              <w:t>Immune Effector Cell-Associated Neurotoxicity Syndrome</w:t>
            </w:r>
            <w:r>
              <w:rPr>
                <w:bCs/>
                <w:szCs w:val="20"/>
              </w:rPr>
              <w:t xml:space="preserve"> (ICANS)</w:t>
            </w:r>
          </w:p>
        </w:tc>
        <w:tc>
          <w:tcPr>
            <w:tcW w:w="3544" w:type="dxa"/>
          </w:tcPr>
          <w:p w14:paraId="02A516D3" w14:textId="77777777" w:rsidR="002C2D77" w:rsidRPr="003B5746" w:rsidRDefault="002C2D77" w:rsidP="00112E0C">
            <w:pPr>
              <w:spacing w:before="60" w:after="60"/>
              <w:rPr>
                <w:bCs/>
                <w:szCs w:val="20"/>
              </w:rPr>
            </w:pPr>
            <w:r w:rsidRPr="003B5746">
              <w:rPr>
                <w:bCs/>
                <w:szCs w:val="20"/>
              </w:rPr>
              <w:t>Funding costs based on</w:t>
            </w:r>
            <w:r>
              <w:rPr>
                <w:bCs/>
                <w:szCs w:val="20"/>
              </w:rPr>
              <w:t xml:space="preserve"> </w:t>
            </w:r>
            <w:r w:rsidRPr="003B5746">
              <w:rPr>
                <w:bCs/>
                <w:szCs w:val="20"/>
              </w:rPr>
              <w:t>PBS codes:1056G,</w:t>
            </w:r>
            <w:r>
              <w:rPr>
                <w:bCs/>
                <w:szCs w:val="20"/>
              </w:rPr>
              <w:t xml:space="preserve"> </w:t>
            </w:r>
            <w:r w:rsidRPr="003B5746">
              <w:rPr>
                <w:bCs/>
                <w:szCs w:val="20"/>
              </w:rPr>
              <w:t>1058J, 10060L,</w:t>
            </w:r>
            <w:r>
              <w:rPr>
                <w:bCs/>
                <w:szCs w:val="20"/>
              </w:rPr>
              <w:t xml:space="preserve"> </w:t>
            </w:r>
            <w:r w:rsidRPr="003B5746">
              <w:rPr>
                <w:bCs/>
                <w:szCs w:val="20"/>
              </w:rPr>
              <w:t>10064Q, 10068X,</w:t>
            </w:r>
            <w:r>
              <w:rPr>
                <w:bCs/>
                <w:szCs w:val="20"/>
              </w:rPr>
              <w:t xml:space="preserve"> </w:t>
            </w:r>
            <w:r w:rsidRPr="003B5746">
              <w:rPr>
                <w:bCs/>
                <w:szCs w:val="20"/>
              </w:rPr>
              <w:t>10071C, 10072D,</w:t>
            </w:r>
            <w:r>
              <w:rPr>
                <w:bCs/>
                <w:szCs w:val="20"/>
              </w:rPr>
              <w:t xml:space="preserve"> </w:t>
            </w:r>
            <w:r w:rsidRPr="003B5746">
              <w:rPr>
                <w:bCs/>
                <w:szCs w:val="20"/>
              </w:rPr>
              <w:t>10073E, 10077J,</w:t>
            </w:r>
            <w:r>
              <w:rPr>
                <w:bCs/>
                <w:szCs w:val="20"/>
              </w:rPr>
              <w:t xml:space="preserve"> </w:t>
            </w:r>
            <w:r w:rsidRPr="003B5746">
              <w:rPr>
                <w:bCs/>
                <w:szCs w:val="20"/>
              </w:rPr>
              <w:t>10078K, 10079L,</w:t>
            </w:r>
            <w:r>
              <w:rPr>
                <w:bCs/>
                <w:szCs w:val="20"/>
              </w:rPr>
              <w:t xml:space="preserve"> </w:t>
            </w:r>
            <w:r w:rsidRPr="003B5746">
              <w:rPr>
                <w:bCs/>
                <w:szCs w:val="20"/>
              </w:rPr>
              <w:t>10081N</w:t>
            </w:r>
          </w:p>
          <w:p w14:paraId="12693E00" w14:textId="2B9B40B7" w:rsidR="002C2D77" w:rsidRPr="003B5746" w:rsidRDefault="002C2D77" w:rsidP="00112E0C">
            <w:pPr>
              <w:spacing w:before="60" w:after="60"/>
              <w:rPr>
                <w:bCs/>
                <w:i/>
                <w:iCs/>
                <w:szCs w:val="20"/>
              </w:rPr>
            </w:pPr>
            <w:r w:rsidRPr="003B5746">
              <w:rPr>
                <w:bCs/>
                <w:i/>
                <w:iCs/>
                <w:szCs w:val="20"/>
              </w:rPr>
              <w:t>Note: The above PBS item numbers are not indicated for CRS</w:t>
            </w:r>
            <w:r w:rsidR="00673C41">
              <w:rPr>
                <w:bCs/>
                <w:i/>
                <w:iCs/>
                <w:szCs w:val="20"/>
              </w:rPr>
              <w:t xml:space="preserve"> or ICANS</w:t>
            </w:r>
            <w:r w:rsidRPr="003B5746">
              <w:rPr>
                <w:bCs/>
                <w:i/>
                <w:iCs/>
                <w:szCs w:val="20"/>
              </w:rPr>
              <w:t>.</w:t>
            </w:r>
          </w:p>
        </w:tc>
      </w:tr>
      <w:tr w:rsidR="002C2D77" w:rsidRPr="003B5746" w14:paraId="139EB401" w14:textId="77777777" w:rsidTr="00112E0C">
        <w:trPr>
          <w:trHeight w:val="278"/>
        </w:trPr>
        <w:tc>
          <w:tcPr>
            <w:tcW w:w="2121" w:type="dxa"/>
          </w:tcPr>
          <w:p w14:paraId="39BBD13F" w14:textId="77777777" w:rsidR="002C2D77" w:rsidRPr="003B5746" w:rsidRDefault="002C2D77" w:rsidP="00112E0C">
            <w:pPr>
              <w:spacing w:before="60" w:after="60"/>
              <w:rPr>
                <w:bCs/>
                <w:szCs w:val="20"/>
              </w:rPr>
            </w:pPr>
            <w:r>
              <w:t>M</w:t>
            </w:r>
            <w:r w:rsidRPr="004E48B9">
              <w:t>ethylprednisolone</w:t>
            </w:r>
          </w:p>
        </w:tc>
        <w:tc>
          <w:tcPr>
            <w:tcW w:w="3402" w:type="dxa"/>
          </w:tcPr>
          <w:p w14:paraId="75573B78" w14:textId="77777777" w:rsidR="002C2D77" w:rsidRPr="003B5746" w:rsidRDefault="002C2D77" w:rsidP="00112E0C">
            <w:pPr>
              <w:spacing w:before="60" w:after="60"/>
              <w:rPr>
                <w:bCs/>
                <w:szCs w:val="20"/>
              </w:rPr>
            </w:pPr>
            <w:r w:rsidRPr="003B5746">
              <w:rPr>
                <w:bCs/>
                <w:szCs w:val="20"/>
              </w:rPr>
              <w:t>Treatment of cytokine release syndrome</w:t>
            </w:r>
            <w:r>
              <w:rPr>
                <w:bCs/>
                <w:szCs w:val="20"/>
              </w:rPr>
              <w:t xml:space="preserve"> (CRS) and</w:t>
            </w:r>
            <w:r w:rsidRPr="003B5746">
              <w:rPr>
                <w:bCs/>
                <w:szCs w:val="20"/>
              </w:rPr>
              <w:t xml:space="preserve"> </w:t>
            </w:r>
            <w:r w:rsidRPr="0004443B">
              <w:rPr>
                <w:bCs/>
                <w:szCs w:val="20"/>
              </w:rPr>
              <w:t>Immune Effector Cell-Associated Neurotoxicity Syndrome</w:t>
            </w:r>
            <w:r>
              <w:rPr>
                <w:bCs/>
                <w:szCs w:val="20"/>
              </w:rPr>
              <w:t xml:space="preserve"> (ICANS)</w:t>
            </w:r>
          </w:p>
        </w:tc>
        <w:tc>
          <w:tcPr>
            <w:tcW w:w="3544" w:type="dxa"/>
          </w:tcPr>
          <w:p w14:paraId="2E9165C7" w14:textId="77777777" w:rsidR="002C2D77" w:rsidRDefault="002C2D77" w:rsidP="00112E0C">
            <w:pPr>
              <w:spacing w:before="60" w:after="60"/>
              <w:rPr>
                <w:bCs/>
                <w:szCs w:val="20"/>
              </w:rPr>
            </w:pPr>
            <w:r w:rsidRPr="003B5746">
              <w:rPr>
                <w:bCs/>
                <w:szCs w:val="20"/>
              </w:rPr>
              <w:t>5263B</w:t>
            </w:r>
            <w:r>
              <w:rPr>
                <w:bCs/>
                <w:szCs w:val="20"/>
              </w:rPr>
              <w:t xml:space="preserve"> (unrestricted item)</w:t>
            </w:r>
          </w:p>
          <w:p w14:paraId="1AFA4E73" w14:textId="77777777" w:rsidR="002C2D77" w:rsidRDefault="002C2D77" w:rsidP="00112E0C">
            <w:pPr>
              <w:spacing w:before="60" w:after="60"/>
              <w:rPr>
                <w:bCs/>
                <w:szCs w:val="20"/>
              </w:rPr>
            </w:pPr>
            <w:r w:rsidRPr="003B5746">
              <w:rPr>
                <w:bCs/>
                <w:szCs w:val="20"/>
              </w:rPr>
              <w:t>11739W</w:t>
            </w:r>
            <w:r>
              <w:rPr>
                <w:bCs/>
                <w:szCs w:val="20"/>
              </w:rPr>
              <w:t xml:space="preserve"> (unrestricted item)</w:t>
            </w:r>
          </w:p>
          <w:p w14:paraId="0FA04C60" w14:textId="77777777" w:rsidR="002C2D77" w:rsidRPr="003B5746" w:rsidRDefault="002C2D77" w:rsidP="00112E0C">
            <w:pPr>
              <w:spacing w:before="60" w:after="60"/>
              <w:rPr>
                <w:bCs/>
                <w:szCs w:val="20"/>
              </w:rPr>
            </w:pPr>
            <w:r w:rsidRPr="003B5746">
              <w:rPr>
                <w:bCs/>
                <w:szCs w:val="20"/>
              </w:rPr>
              <w:t>5264C</w:t>
            </w:r>
            <w:r>
              <w:rPr>
                <w:bCs/>
                <w:szCs w:val="20"/>
              </w:rPr>
              <w:t xml:space="preserve"> (unrestricted item)</w:t>
            </w:r>
          </w:p>
        </w:tc>
      </w:tr>
    </w:tbl>
    <w:p w14:paraId="344E2122" w14:textId="0C3A4022" w:rsidR="002C2D77" w:rsidRDefault="002C2D77" w:rsidP="002C2D77">
      <w:pPr>
        <w:pStyle w:val="Heading2"/>
        <w:numPr>
          <w:ilvl w:val="0"/>
          <w:numId w:val="25"/>
        </w:numPr>
      </w:pPr>
      <w:r w:rsidRPr="001E6958">
        <w:t>If no, is an application (submission) in the process of being considered by the Pharmaceutical Benefits Advisory Committee (PBAC)?</w:t>
      </w:r>
    </w:p>
    <w:p w14:paraId="6EB7A10A" w14:textId="4F74C239" w:rsidR="00E01B1A" w:rsidRPr="00112E0C" w:rsidRDefault="00E01B1A" w:rsidP="00112E0C">
      <w:pPr>
        <w:spacing w:before="0"/>
        <w:ind w:left="284" w:firstLine="74"/>
      </w:pPr>
      <w:r w:rsidRPr="00E01B1A">
        <w:t>Not applicable</w:t>
      </w:r>
    </w:p>
    <w:p w14:paraId="7BC6166E" w14:textId="77777777" w:rsidR="002C2D77" w:rsidRDefault="002C2D77" w:rsidP="002C2D77">
      <w:pPr>
        <w:pStyle w:val="Heading2"/>
        <w:numPr>
          <w:ilvl w:val="0"/>
          <w:numId w:val="25"/>
        </w:numPr>
      </w:pPr>
      <w:r w:rsidRPr="007E39E4">
        <w:t>If you are seeking both MBS and PBS listing, what is the trade name and generic name of the pharmaceutical?</w:t>
      </w:r>
    </w:p>
    <w:p w14:paraId="131F91A1" w14:textId="23246333" w:rsidR="00E01B1A" w:rsidRPr="00E01B1A" w:rsidRDefault="002C2D77" w:rsidP="00112E0C">
      <w:pPr>
        <w:spacing w:before="0" w:after="0"/>
        <w:ind w:left="284" w:firstLine="76"/>
      </w:pPr>
      <w:r w:rsidRPr="00E01B1A">
        <w:t>Not applicable</w:t>
      </w:r>
    </w:p>
    <w:p w14:paraId="026F398B" w14:textId="77777777" w:rsidR="002C2D77" w:rsidRDefault="002C2D77" w:rsidP="002C2D77">
      <w:pPr>
        <w:pStyle w:val="Heading2"/>
      </w:pPr>
      <w:r>
        <w:t xml:space="preserve">(a) </w:t>
      </w:r>
      <w:r w:rsidRPr="00154B00">
        <w:t xml:space="preserve">If the proposed service </w:t>
      </w:r>
      <w:r>
        <w:t xml:space="preserve">is dependent on the use of a prosthesis, </w:t>
      </w:r>
      <w:r w:rsidRPr="00154B00">
        <w:t>is it already included on the Prosthes</w:t>
      </w:r>
      <w:r>
        <w:t>e</w:t>
      </w:r>
      <w:r w:rsidRPr="00154B00">
        <w:t>s List?</w:t>
      </w:r>
    </w:p>
    <w:p w14:paraId="636C889D" w14:textId="45FE66FB" w:rsidR="002C2D77" w:rsidRPr="001E6958" w:rsidRDefault="00E01B1A" w:rsidP="00112E0C">
      <w:pPr>
        <w:spacing w:before="0" w:after="0"/>
        <w:ind w:left="284" w:firstLine="76"/>
        <w:rPr>
          <w:szCs w:val="20"/>
        </w:rPr>
      </w:pPr>
      <w:r w:rsidRPr="00E01B1A">
        <w:rPr>
          <w:szCs w:val="20"/>
        </w:rPr>
        <w:t>Not applicable</w:t>
      </w:r>
    </w:p>
    <w:p w14:paraId="55C1CB92" w14:textId="77777777" w:rsidR="002C2D77" w:rsidRDefault="002C2D77" w:rsidP="002C2D77">
      <w:pPr>
        <w:pStyle w:val="Heading2"/>
        <w:numPr>
          <w:ilvl w:val="0"/>
          <w:numId w:val="26"/>
        </w:numPr>
      </w:pPr>
      <w:r w:rsidRPr="001E6958">
        <w:t xml:space="preserve">If yes, please provide the following information (where relevant): </w:t>
      </w:r>
    </w:p>
    <w:p w14:paraId="2367035F" w14:textId="18E7CF91" w:rsidR="00E01B1A" w:rsidRPr="00112E0C" w:rsidRDefault="002C2D77" w:rsidP="00112E0C">
      <w:pPr>
        <w:spacing w:before="0"/>
        <w:ind w:left="284" w:firstLine="74"/>
      </w:pPr>
      <w:r w:rsidRPr="00E01B1A">
        <w:t>Not applicable</w:t>
      </w:r>
    </w:p>
    <w:p w14:paraId="7C4D82E6" w14:textId="49999146" w:rsidR="002C2D77" w:rsidRDefault="002C2D77" w:rsidP="002C2D77">
      <w:pPr>
        <w:pStyle w:val="Heading2"/>
        <w:numPr>
          <w:ilvl w:val="0"/>
          <w:numId w:val="26"/>
        </w:numPr>
      </w:pPr>
      <w:r w:rsidRPr="001E6958">
        <w:t>If no, is an application in the process of being considered by a Clinical Advisory Group or the Prostheses List Advisory Committee (PLAC)?</w:t>
      </w:r>
    </w:p>
    <w:p w14:paraId="60236B14" w14:textId="001D2B16" w:rsidR="00E01B1A" w:rsidRPr="00112E0C" w:rsidRDefault="002C2D77" w:rsidP="00112E0C">
      <w:pPr>
        <w:ind w:left="284" w:firstLine="76"/>
      </w:pPr>
      <w:r w:rsidRPr="00E01B1A">
        <w:t>Not applicable</w:t>
      </w:r>
    </w:p>
    <w:p w14:paraId="1FD4AB4E" w14:textId="77777777" w:rsidR="002C2D77" w:rsidRDefault="002C2D77" w:rsidP="002C2D77">
      <w:pPr>
        <w:pStyle w:val="Heading2"/>
        <w:numPr>
          <w:ilvl w:val="0"/>
          <w:numId w:val="26"/>
        </w:numPr>
      </w:pPr>
      <w:r w:rsidRPr="009939DC">
        <w:lastRenderedPageBreak/>
        <w:t xml:space="preserve">Are there any other sponsor(s) and / or manufacturer(s) that have a similar prosthesis or device component in the Australian </w:t>
      </w:r>
      <w:proofErr w:type="gramStart"/>
      <w:r w:rsidRPr="009939DC">
        <w:t>market place</w:t>
      </w:r>
      <w:proofErr w:type="gramEnd"/>
      <w:r w:rsidRPr="009939DC">
        <w:t xml:space="preserve"> which this application is relevant to?</w:t>
      </w:r>
    </w:p>
    <w:p w14:paraId="51E79F0E" w14:textId="7A0AACED" w:rsidR="00E01B1A" w:rsidRPr="00112E0C" w:rsidRDefault="002C2D77" w:rsidP="00112E0C">
      <w:pPr>
        <w:ind w:left="284" w:firstLine="76"/>
      </w:pPr>
      <w:r w:rsidRPr="00E01B1A">
        <w:t>Not applicable</w:t>
      </w:r>
    </w:p>
    <w:p w14:paraId="1423F4A2" w14:textId="77777777" w:rsidR="002C2D77" w:rsidRDefault="002C2D77" w:rsidP="002C2D77">
      <w:pPr>
        <w:pStyle w:val="Heading2"/>
        <w:numPr>
          <w:ilvl w:val="0"/>
          <w:numId w:val="26"/>
        </w:numPr>
      </w:pPr>
      <w:r w:rsidRPr="009939DC">
        <w:t>If yes, please provide the name(s) of the spon</w:t>
      </w:r>
      <w:r>
        <w:t>sor(s) and / or manufacturer(s):</w:t>
      </w:r>
    </w:p>
    <w:p w14:paraId="3DB6F0AE" w14:textId="0698FA50" w:rsidR="009B142D" w:rsidRPr="009939DC" w:rsidRDefault="00E01B1A" w:rsidP="00112E0C">
      <w:pPr>
        <w:ind w:left="284" w:firstLine="76"/>
      </w:pPr>
      <w:r w:rsidRPr="00E01B1A">
        <w:t>Not applicable</w:t>
      </w:r>
    </w:p>
    <w:p w14:paraId="5E72921F" w14:textId="2B2AC4D0" w:rsidR="002C2D77" w:rsidRPr="009939DC" w:rsidRDefault="002C2D77" w:rsidP="002C2D77">
      <w:pPr>
        <w:pStyle w:val="Heading2"/>
      </w:pPr>
      <w:r w:rsidRPr="009939DC">
        <w:t xml:space="preserve">Please </w:t>
      </w:r>
      <w:r w:rsidR="009B142D" w:rsidRPr="009939DC">
        <w:t>identify any single and / or multi-use consumables delivered as part of the service?</w:t>
      </w:r>
    </w:p>
    <w:p w14:paraId="0AC258FB" w14:textId="77777777" w:rsidR="006D511B" w:rsidRPr="00971547" w:rsidRDefault="006D511B" w:rsidP="00112E0C">
      <w:proofErr w:type="spellStart"/>
      <w:r w:rsidRPr="00971547">
        <w:t>Cilta-cel</w:t>
      </w:r>
      <w:proofErr w:type="spellEnd"/>
      <w:r w:rsidRPr="00971547">
        <w:t xml:space="preserve"> is prepared from the patient’s peripheral blood mononuclear cells, which are obtained via a standard leukapheresis procedure. A replication incompetent lentiviral vector is used to introduce an anti-BCMA CAR gene into patient derived human T-cells.</w:t>
      </w:r>
      <w:r>
        <w:t xml:space="preserve"> </w:t>
      </w:r>
      <w:r w:rsidRPr="00971547">
        <w:rPr>
          <w:b/>
          <w:bCs/>
        </w:rPr>
        <w:t xml:space="preserve">The CAR-T process for </w:t>
      </w:r>
      <w:proofErr w:type="spellStart"/>
      <w:r w:rsidRPr="00971547">
        <w:rPr>
          <w:b/>
          <w:bCs/>
        </w:rPr>
        <w:t>cilta-cel</w:t>
      </w:r>
      <w:proofErr w:type="spellEnd"/>
      <w:r w:rsidRPr="00971547">
        <w:rPr>
          <w:b/>
          <w:bCs/>
        </w:rPr>
        <w:t xml:space="preserve"> is consistent with what currently has been </w:t>
      </w:r>
      <w:r>
        <w:rPr>
          <w:b/>
          <w:bCs/>
        </w:rPr>
        <w:t>considered</w:t>
      </w:r>
      <w:r w:rsidRPr="00971547">
        <w:rPr>
          <w:b/>
          <w:bCs/>
        </w:rPr>
        <w:t xml:space="preserve"> </w:t>
      </w:r>
      <w:r>
        <w:rPr>
          <w:b/>
          <w:bCs/>
        </w:rPr>
        <w:t xml:space="preserve">by MSAC </w:t>
      </w:r>
      <w:r w:rsidRPr="00971547">
        <w:rPr>
          <w:b/>
          <w:bCs/>
        </w:rPr>
        <w:t xml:space="preserve">for other CAR-T cells therapy, such as Kymriah® and </w:t>
      </w:r>
      <w:proofErr w:type="spellStart"/>
      <w:r w:rsidRPr="00971547">
        <w:rPr>
          <w:b/>
          <w:bCs/>
        </w:rPr>
        <w:t>Yescarta</w:t>
      </w:r>
      <w:proofErr w:type="spellEnd"/>
      <w:r w:rsidRPr="00971547">
        <w:rPr>
          <w:b/>
          <w:bCs/>
        </w:rPr>
        <w:t>®.</w:t>
      </w:r>
    </w:p>
    <w:p w14:paraId="4FE7C5EB" w14:textId="75DD3DFD" w:rsidR="002A00CF" w:rsidRDefault="00F902FA" w:rsidP="00112E0C">
      <w:r>
        <w:t xml:space="preserve">The diagram presented in Figure </w:t>
      </w:r>
      <w:r w:rsidR="00555713">
        <w:t>1</w:t>
      </w:r>
      <w:r>
        <w:t xml:space="preserve"> below summarises the steps involved in the proposed medical service (also included in the response to Q27)</w:t>
      </w:r>
      <w:bookmarkStart w:id="5" w:name="_Hlk77323717"/>
      <w:r w:rsidR="00555713">
        <w:t xml:space="preserve">. </w:t>
      </w:r>
      <w:r w:rsidR="006A1E4F" w:rsidRPr="00112E0C">
        <w:t xml:space="preserve">Most of the medical service will be rendered in Australia.  The exception Is the manufacturing of </w:t>
      </w:r>
      <w:proofErr w:type="spellStart"/>
      <w:r w:rsidR="006A1E4F" w:rsidRPr="00112E0C">
        <w:t>cilta-cel</w:t>
      </w:r>
      <w:proofErr w:type="spellEnd"/>
      <w:r w:rsidR="006A1E4F" w:rsidRPr="00112E0C">
        <w:t xml:space="preserve"> CAR-T product which occurs in the Janssen manufacturing centre in Raritan (NJ, USA).</w:t>
      </w:r>
      <w:r w:rsidR="00897012" w:rsidRPr="00112E0C">
        <w:t xml:space="preserve"> </w:t>
      </w:r>
      <w:r w:rsidR="002A00CF">
        <w:t xml:space="preserve">The steps involved and resources used at each step are similar for </w:t>
      </w:r>
      <w:proofErr w:type="spellStart"/>
      <w:r w:rsidR="002A00CF">
        <w:t>cilta-cel</w:t>
      </w:r>
      <w:proofErr w:type="spellEnd"/>
      <w:r w:rsidR="002A00CF">
        <w:t xml:space="preserve"> to previously approved CAR-Ts.</w:t>
      </w:r>
      <w:r w:rsidR="00555713">
        <w:t xml:space="preserve"> </w:t>
      </w:r>
      <w:r w:rsidR="002C2D77">
        <w:t>The consumables for each st</w:t>
      </w:r>
      <w:r>
        <w:t>ep</w:t>
      </w:r>
      <w:r w:rsidR="002C2D77">
        <w:t xml:space="preserve"> are presented below: </w:t>
      </w:r>
      <w:bookmarkEnd w:id="5"/>
    </w:p>
    <w:p w14:paraId="493EAE18" w14:textId="1469F8CE" w:rsidR="00555713" w:rsidRPr="003414B4" w:rsidRDefault="002C2D77" w:rsidP="00112E0C">
      <w:pPr>
        <w:pStyle w:val="ListParagraph"/>
        <w:numPr>
          <w:ilvl w:val="0"/>
          <w:numId w:val="69"/>
        </w:numPr>
        <w:tabs>
          <w:tab w:val="left" w:pos="683"/>
        </w:tabs>
        <w:spacing w:before="0"/>
        <w:ind w:left="714" w:hanging="357"/>
        <w:contextualSpacing w:val="0"/>
      </w:pPr>
      <w:bookmarkStart w:id="6" w:name="_Hlk77323703"/>
      <w:r>
        <w:rPr>
          <w:b/>
          <w:bCs/>
          <w:lang w:eastAsia="en-GB"/>
        </w:rPr>
        <w:t xml:space="preserve">Step 1 – </w:t>
      </w:r>
      <w:r w:rsidRPr="003414B4">
        <w:rPr>
          <w:b/>
          <w:bCs/>
          <w:lang w:eastAsia="en-GB"/>
        </w:rPr>
        <w:t xml:space="preserve">Apheresis: </w:t>
      </w:r>
      <w:r>
        <w:rPr>
          <w:lang w:eastAsia="en-GB"/>
        </w:rPr>
        <w:t xml:space="preserve">a standard </w:t>
      </w:r>
      <w:r>
        <w:t>leukapheresis procedure is used to obtain a patient’s peripheral blood mononuclear cells. Various specialised apheresis systems are available for this process.</w:t>
      </w:r>
      <w:r w:rsidR="006D511B">
        <w:t xml:space="preserve"> </w:t>
      </w:r>
      <w:r>
        <w:t xml:space="preserve">The apheresis machine is a multi-use consumable. Single-use consumables include tubing, sets, bowls, anticoagulant and replacement </w:t>
      </w:r>
      <w:r w:rsidR="00C41CC4">
        <w:t>fluids.</w:t>
      </w:r>
    </w:p>
    <w:p w14:paraId="134B066E" w14:textId="6BAA75D1" w:rsidR="002C2D77" w:rsidRPr="004C60BD" w:rsidRDefault="002C2D77" w:rsidP="00112E0C">
      <w:pPr>
        <w:pStyle w:val="ListParagraph"/>
        <w:numPr>
          <w:ilvl w:val="0"/>
          <w:numId w:val="69"/>
        </w:numPr>
        <w:tabs>
          <w:tab w:val="left" w:pos="683"/>
        </w:tabs>
        <w:spacing w:before="0"/>
        <w:ind w:left="714" w:hanging="357"/>
        <w:contextualSpacing w:val="0"/>
      </w:pPr>
      <w:r>
        <w:rPr>
          <w:b/>
          <w:bCs/>
        </w:rPr>
        <w:t xml:space="preserve">Step 2 – Manufacture of </w:t>
      </w:r>
      <w:proofErr w:type="spellStart"/>
      <w:r>
        <w:rPr>
          <w:b/>
          <w:bCs/>
        </w:rPr>
        <w:t>cilta-</w:t>
      </w:r>
      <w:r w:rsidR="00C41CC4">
        <w:rPr>
          <w:b/>
          <w:bCs/>
        </w:rPr>
        <w:t>cel</w:t>
      </w:r>
      <w:proofErr w:type="spellEnd"/>
      <w:r>
        <w:rPr>
          <w:b/>
          <w:bCs/>
        </w:rPr>
        <w:t>:</w:t>
      </w:r>
      <w:r w:rsidR="006D0B4F">
        <w:rPr>
          <w:b/>
          <w:bCs/>
        </w:rPr>
        <w:t xml:space="preserve"> </w:t>
      </w:r>
      <w:r w:rsidR="006A1E4F" w:rsidRPr="00112E0C">
        <w:t xml:space="preserve">The mononuclear cells are enriched for T-cells and genetically modified ex vivo by transduction with a replication incompetent lentiviral vector to express a chimeric antigen receptor (CAR) comprising an anti-BCMA targeting domain. The transduced anti-BCMA CAR T-cells are expanded in cell culture, washed, formulated into a </w:t>
      </w:r>
      <w:proofErr w:type="gramStart"/>
      <w:r w:rsidR="006A1E4F" w:rsidRPr="00112E0C">
        <w:t>suspension</w:t>
      </w:r>
      <w:proofErr w:type="gramEnd"/>
      <w:r w:rsidR="006A1E4F" w:rsidRPr="00112E0C">
        <w:t xml:space="preserve"> and cryopreserved. The product must pass a sterility test before release for shipping as a frozen suspension in a patient-specific infusion bag. The drug product infusion bag is individually packed in an aluminium </w:t>
      </w:r>
      <w:proofErr w:type="spellStart"/>
      <w:r w:rsidR="006A1E4F" w:rsidRPr="00112E0C">
        <w:t>cryo</w:t>
      </w:r>
      <w:proofErr w:type="spellEnd"/>
      <w:r w:rsidR="006A1E4F" w:rsidRPr="00112E0C">
        <w:t xml:space="preserve"> cassette prior to cryopreservation. Once the CAR-T product is manufactured, it will undergo full QA release at Raritan, then transported directly to hospital in Australia.</w:t>
      </w:r>
    </w:p>
    <w:p w14:paraId="404264B4" w14:textId="77777777" w:rsidR="002C2D77" w:rsidRDefault="002C2D77" w:rsidP="00112E0C">
      <w:pPr>
        <w:pStyle w:val="ListParagraph"/>
        <w:numPr>
          <w:ilvl w:val="0"/>
          <w:numId w:val="69"/>
        </w:numPr>
        <w:tabs>
          <w:tab w:val="left" w:pos="683"/>
        </w:tabs>
        <w:spacing w:before="0" w:after="0"/>
      </w:pPr>
      <w:r>
        <w:rPr>
          <w:b/>
          <w:bCs/>
        </w:rPr>
        <w:t>Step 3 – Conditioning (lymphodepletion):</w:t>
      </w:r>
      <w:r w:rsidRPr="004C60BD">
        <w:t xml:space="preserve"> </w:t>
      </w:r>
      <w:r w:rsidRPr="00FA710F">
        <w:t xml:space="preserve">A lymphodepleting chemotherapy regimen consisting of cyclophosphamide 300 mg/m2 intravenously daily and fludarabine 30 mg/m2 intravenously is administered daily for 3 days. </w:t>
      </w:r>
      <w:proofErr w:type="spellStart"/>
      <w:r w:rsidRPr="00FA710F">
        <w:t>Cilta-cel</w:t>
      </w:r>
      <w:proofErr w:type="spellEnd"/>
      <w:r w:rsidRPr="00FA710F">
        <w:t xml:space="preserve"> infusion is administered 5 to 7 days after the start of the lymphodepleting regimen. </w:t>
      </w:r>
      <w:r>
        <w:t>Standard single-use consumables for an IV infusion include sterile alcohol wipes, plastic wrap, film dressing, gauze wipes, tubing adhesive tape, spill kit, preparation mats, labels, transport bag, and latex gloves.</w:t>
      </w:r>
    </w:p>
    <w:p w14:paraId="4E1E36D0" w14:textId="77777777" w:rsidR="002C2D77" w:rsidRPr="008B492A" w:rsidRDefault="002C2D77" w:rsidP="00000635">
      <w:pPr>
        <w:tabs>
          <w:tab w:val="left" w:pos="683"/>
        </w:tabs>
        <w:spacing w:before="0" w:after="0"/>
        <w:jc w:val="both"/>
      </w:pPr>
    </w:p>
    <w:p w14:paraId="73B2F274" w14:textId="3DB0CD2A" w:rsidR="002C2D77" w:rsidRPr="004C60BD" w:rsidRDefault="002C2D77" w:rsidP="00112E0C">
      <w:pPr>
        <w:pStyle w:val="ListParagraph"/>
        <w:numPr>
          <w:ilvl w:val="0"/>
          <w:numId w:val="69"/>
        </w:numPr>
        <w:tabs>
          <w:tab w:val="left" w:pos="683"/>
        </w:tabs>
        <w:spacing w:before="0"/>
        <w:ind w:left="714" w:hanging="357"/>
        <w:contextualSpacing w:val="0"/>
        <w:jc w:val="both"/>
      </w:pPr>
      <w:r>
        <w:rPr>
          <w:b/>
          <w:bCs/>
        </w:rPr>
        <w:t xml:space="preserve">Step 4 – </w:t>
      </w:r>
      <w:proofErr w:type="spellStart"/>
      <w:r>
        <w:rPr>
          <w:b/>
          <w:bCs/>
        </w:rPr>
        <w:t>Cilta-cel</w:t>
      </w:r>
      <w:proofErr w:type="spellEnd"/>
      <w:r>
        <w:rPr>
          <w:b/>
          <w:bCs/>
        </w:rPr>
        <w:t xml:space="preserve"> infusion: </w:t>
      </w:r>
      <w:proofErr w:type="spellStart"/>
      <w:r>
        <w:t>Cilta-cel</w:t>
      </w:r>
      <w:proofErr w:type="spellEnd"/>
      <w:r>
        <w:t xml:space="preserve"> infusion includes standard single-use consumables typical to an IV infusion, as listed above. </w:t>
      </w:r>
    </w:p>
    <w:p w14:paraId="5C09ACBE" w14:textId="7B61BF69" w:rsidR="00A034BC" w:rsidRDefault="002C2D77" w:rsidP="00000635">
      <w:pPr>
        <w:pStyle w:val="ListParagraph"/>
        <w:numPr>
          <w:ilvl w:val="0"/>
          <w:numId w:val="69"/>
        </w:numPr>
        <w:tabs>
          <w:tab w:val="left" w:pos="683"/>
        </w:tabs>
        <w:spacing w:before="0"/>
        <w:ind w:left="714" w:hanging="357"/>
        <w:jc w:val="both"/>
      </w:pPr>
      <w:r>
        <w:rPr>
          <w:b/>
          <w:bCs/>
        </w:rPr>
        <w:t xml:space="preserve">Step 5 – Monitoring after infusion: </w:t>
      </w:r>
      <w:r>
        <w:t>A</w:t>
      </w:r>
      <w:r w:rsidRPr="00FA710F">
        <w:t xml:space="preserve">s outlined in the response to Q10, tocilizumab or </w:t>
      </w:r>
      <w:r>
        <w:t>m</w:t>
      </w:r>
      <w:r w:rsidRPr="00FA710F">
        <w:t>ethylprednisolone may be administered via IV infusion for the management of CRS or ICANS. Standard single-use consumables for an IV infusion will be required, as listed above.</w:t>
      </w:r>
      <w:bookmarkEnd w:id="6"/>
    </w:p>
    <w:p w14:paraId="331E5A07" w14:textId="2DAFD4FB" w:rsidR="006A1E4F" w:rsidRPr="00E16BDF" w:rsidRDefault="00F902FA" w:rsidP="00E16BDF">
      <w:pPr>
        <w:keepNext/>
        <w:spacing w:before="240"/>
        <w:ind w:left="425"/>
        <w:jc w:val="both"/>
        <w:rPr>
          <w:b/>
          <w:bCs/>
        </w:rPr>
      </w:pPr>
      <w:r w:rsidRPr="00165ED7">
        <w:rPr>
          <w:b/>
          <w:bCs/>
        </w:rPr>
        <w:t xml:space="preserve">Figure </w:t>
      </w:r>
      <w:r w:rsidR="00555713">
        <w:rPr>
          <w:b/>
          <w:bCs/>
        </w:rPr>
        <w:t>1</w:t>
      </w:r>
      <w:r w:rsidRPr="00165ED7">
        <w:rPr>
          <w:b/>
          <w:bCs/>
        </w:rPr>
        <w:t xml:space="preserve">: </w:t>
      </w:r>
      <w:r w:rsidR="00897012" w:rsidRPr="00B57B78">
        <w:rPr>
          <w:b/>
          <w:bCs/>
          <w:sz w:val="22"/>
        </w:rPr>
        <w:t>REDACTED</w:t>
      </w:r>
      <w:r w:rsidR="00897012" w:rsidRPr="00B57B78">
        <w:t>.</w:t>
      </w:r>
    </w:p>
    <w:p w14:paraId="61E4AF58" w14:textId="1EA67CBA" w:rsidR="00A034BC" w:rsidRDefault="00A034BC" w:rsidP="00E01B1A">
      <w:pPr>
        <w:tabs>
          <w:tab w:val="left" w:pos="683"/>
        </w:tabs>
        <w:spacing w:before="0" w:after="0"/>
        <w:jc w:val="both"/>
      </w:pPr>
    </w:p>
    <w:p w14:paraId="585DD614" w14:textId="4C67E2D4" w:rsidR="00F902FA" w:rsidRDefault="00F902FA" w:rsidP="00E01B1A">
      <w:pPr>
        <w:tabs>
          <w:tab w:val="left" w:pos="683"/>
        </w:tabs>
        <w:spacing w:before="0" w:after="0"/>
        <w:jc w:val="both"/>
      </w:pPr>
    </w:p>
    <w:p w14:paraId="518653B8" w14:textId="492A1C2C" w:rsidR="00555713" w:rsidRDefault="00555713">
      <w:pPr>
        <w:spacing w:before="0" w:after="200" w:line="276" w:lineRule="auto"/>
        <w:rPr>
          <w:bCs/>
          <w:color w:val="4F81BD" w:themeColor="accent1"/>
          <w:sz w:val="40"/>
          <w:szCs w:val="32"/>
        </w:rPr>
      </w:pPr>
      <w:r>
        <w:br w:type="page"/>
      </w:r>
    </w:p>
    <w:p w14:paraId="3793F48F" w14:textId="420B9600" w:rsidR="002C2D77" w:rsidRPr="00C776B1" w:rsidRDefault="002C2D77" w:rsidP="002C2D77">
      <w:pPr>
        <w:pStyle w:val="Heading1"/>
      </w:pPr>
      <w:r>
        <w:lastRenderedPageBreak/>
        <w:t xml:space="preserve">PART 3 – </w:t>
      </w:r>
      <w:r w:rsidRPr="00C776B1">
        <w:t>INFORMATION ABOUT REGULATORY REQUIREMENTS</w:t>
      </w:r>
    </w:p>
    <w:p w14:paraId="4219E74B" w14:textId="77777777" w:rsidR="002C2D77" w:rsidRPr="00A6491A" w:rsidRDefault="002C2D77" w:rsidP="002C2D77">
      <w:pPr>
        <w:pStyle w:val="Heading2"/>
      </w:pPr>
      <w:r>
        <w:t xml:space="preserve">(a) </w:t>
      </w:r>
      <w:r w:rsidRPr="00A6491A">
        <w:t xml:space="preserve">If the proposed medical service involves the use of a medical device, in-vitro diagnostic test, </w:t>
      </w:r>
      <w:r w:rsidRPr="0043654D">
        <w:t>pharmaceutical</w:t>
      </w:r>
      <w:r w:rsidRPr="00A6491A">
        <w:t xml:space="preserve"> product, radioactive </w:t>
      </w:r>
      <w:proofErr w:type="gramStart"/>
      <w:r w:rsidRPr="00A6491A">
        <w:t>tracer</w:t>
      </w:r>
      <w:proofErr w:type="gramEnd"/>
      <w:r w:rsidRPr="00A6491A">
        <w:t xml:space="preserve"> or any other type of therapeutic good, please provide the following details:</w:t>
      </w:r>
    </w:p>
    <w:p w14:paraId="76CAFDD0" w14:textId="77777777" w:rsidR="002C2D77" w:rsidRPr="00A26343" w:rsidRDefault="002C2D77" w:rsidP="00112E0C">
      <w:pPr>
        <w:spacing w:before="0" w:after="0"/>
        <w:ind w:left="360"/>
        <w:rPr>
          <w:szCs w:val="20"/>
        </w:rPr>
      </w:pPr>
      <w:r w:rsidRPr="00A26343">
        <w:rPr>
          <w:szCs w:val="20"/>
        </w:rPr>
        <w:t>Type of therapeutic good</w:t>
      </w:r>
      <w:r>
        <w:rPr>
          <w:szCs w:val="20"/>
        </w:rPr>
        <w:t xml:space="preserve">: </w:t>
      </w:r>
      <w:r>
        <w:t>Class 4 biological product</w:t>
      </w:r>
    </w:p>
    <w:p w14:paraId="6477FF09" w14:textId="77777777" w:rsidR="002C2D77" w:rsidRPr="00A26343" w:rsidRDefault="002C2D77" w:rsidP="00112E0C">
      <w:pPr>
        <w:spacing w:before="0" w:after="0"/>
        <w:ind w:left="360"/>
        <w:rPr>
          <w:szCs w:val="20"/>
        </w:rPr>
      </w:pPr>
      <w:r w:rsidRPr="00A26343">
        <w:rPr>
          <w:szCs w:val="20"/>
        </w:rPr>
        <w:t>Manufacturer’s name</w:t>
      </w:r>
      <w:r>
        <w:rPr>
          <w:szCs w:val="20"/>
        </w:rPr>
        <w:t xml:space="preserve">: </w:t>
      </w:r>
      <w:r>
        <w:t>Janssen</w:t>
      </w:r>
    </w:p>
    <w:p w14:paraId="784525A6" w14:textId="74525FA8" w:rsidR="0076395D" w:rsidRPr="00112E0C" w:rsidRDefault="002C2D77" w:rsidP="00112E0C">
      <w:pPr>
        <w:spacing w:before="0" w:after="0"/>
        <w:ind w:left="360"/>
      </w:pPr>
      <w:r w:rsidRPr="00A26343">
        <w:rPr>
          <w:szCs w:val="20"/>
        </w:rPr>
        <w:t>Sponsor’s name</w:t>
      </w:r>
      <w:r>
        <w:rPr>
          <w:szCs w:val="20"/>
        </w:rPr>
        <w:t xml:space="preserve">: </w:t>
      </w:r>
      <w:r w:rsidR="0076395D" w:rsidRPr="0076395D">
        <w:t>Janssen</w:t>
      </w:r>
    </w:p>
    <w:p w14:paraId="45EC7A58" w14:textId="77777777" w:rsidR="002C2D77" w:rsidRPr="00154B00" w:rsidRDefault="002C2D77" w:rsidP="002C2D77">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C1E5285" w14:textId="77777777" w:rsidR="002C2D77" w:rsidRPr="00615F42" w:rsidRDefault="002C2D77" w:rsidP="00112E0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D3A0A">
        <w:rPr>
          <w:szCs w:val="20"/>
        </w:rPr>
      </w:r>
      <w:r w:rsidR="005D3A0A">
        <w:rPr>
          <w:szCs w:val="20"/>
        </w:rPr>
        <w:fldChar w:fldCharType="separate"/>
      </w:r>
      <w:r w:rsidRPr="000A5B32">
        <w:rPr>
          <w:szCs w:val="20"/>
        </w:rPr>
        <w:fldChar w:fldCharType="end"/>
      </w:r>
      <w:r w:rsidRPr="000A5B32">
        <w:rPr>
          <w:szCs w:val="20"/>
        </w:rPr>
        <w:t xml:space="preserve"> </w:t>
      </w:r>
      <w:r w:rsidRPr="00615F42">
        <w:rPr>
          <w:szCs w:val="20"/>
        </w:rPr>
        <w:t>Class III</w:t>
      </w:r>
    </w:p>
    <w:p w14:paraId="525075E8" w14:textId="77777777" w:rsidR="002C2D77" w:rsidRPr="00615F42" w:rsidRDefault="002C2D77" w:rsidP="00112E0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D3A0A">
        <w:rPr>
          <w:szCs w:val="20"/>
        </w:rPr>
      </w:r>
      <w:r w:rsidR="005D3A0A">
        <w:rPr>
          <w:szCs w:val="20"/>
        </w:rPr>
        <w:fldChar w:fldCharType="separate"/>
      </w:r>
      <w:r w:rsidRPr="000A5B32">
        <w:rPr>
          <w:szCs w:val="20"/>
        </w:rPr>
        <w:fldChar w:fldCharType="end"/>
      </w:r>
      <w:r w:rsidRPr="000A5B32">
        <w:rPr>
          <w:szCs w:val="20"/>
        </w:rPr>
        <w:t xml:space="preserve"> </w:t>
      </w:r>
      <w:r w:rsidRPr="00615F42">
        <w:rPr>
          <w:szCs w:val="20"/>
        </w:rPr>
        <w:t>AIMD</w:t>
      </w:r>
    </w:p>
    <w:p w14:paraId="73C82AF5" w14:textId="104A083A" w:rsidR="002C2D77" w:rsidRDefault="002C2D77" w:rsidP="00112E0C">
      <w:pPr>
        <w:spacing w:before="0" w:after="0"/>
        <w:ind w:left="360"/>
        <w:rPr>
          <w:szCs w:val="20"/>
        </w:rPr>
      </w:pPr>
      <w:r>
        <w:rPr>
          <w:szCs w:val="20"/>
        </w:rPr>
        <w:fldChar w:fldCharType="begin">
          <w:ffData>
            <w:name w:val="Check1"/>
            <w:enabled/>
            <w:calcOnExit w:val="0"/>
            <w:checkBox>
              <w:sizeAuto/>
              <w:default w:val="1"/>
            </w:checkBox>
          </w:ffData>
        </w:fldChar>
      </w:r>
      <w:bookmarkStart w:id="7" w:name="Check1"/>
      <w:r>
        <w:rPr>
          <w:szCs w:val="20"/>
        </w:rPr>
        <w:instrText xml:space="preserve"> FORMCHECKBOX </w:instrText>
      </w:r>
      <w:r w:rsidR="005D3A0A">
        <w:rPr>
          <w:szCs w:val="20"/>
        </w:rPr>
      </w:r>
      <w:r w:rsidR="005D3A0A">
        <w:rPr>
          <w:szCs w:val="20"/>
        </w:rPr>
        <w:fldChar w:fldCharType="separate"/>
      </w:r>
      <w:r>
        <w:rPr>
          <w:szCs w:val="20"/>
        </w:rPr>
        <w:fldChar w:fldCharType="end"/>
      </w:r>
      <w:bookmarkEnd w:id="7"/>
      <w:r w:rsidRPr="000A5B32">
        <w:rPr>
          <w:szCs w:val="20"/>
        </w:rPr>
        <w:t xml:space="preserve"> </w:t>
      </w:r>
      <w:r w:rsidRPr="00615F42">
        <w:rPr>
          <w:szCs w:val="20"/>
        </w:rPr>
        <w:t>N/A</w:t>
      </w:r>
    </w:p>
    <w:p w14:paraId="032A5DC9" w14:textId="77777777" w:rsidR="0076395D" w:rsidRPr="00154B00" w:rsidRDefault="0076395D" w:rsidP="002C2D77">
      <w:pPr>
        <w:spacing w:before="0" w:after="0"/>
        <w:ind w:left="284"/>
        <w:rPr>
          <w:szCs w:val="20"/>
        </w:rPr>
      </w:pPr>
    </w:p>
    <w:p w14:paraId="6124E580" w14:textId="77777777" w:rsidR="002C2D77" w:rsidRPr="00A6491A" w:rsidRDefault="002C2D77" w:rsidP="002C2D77">
      <w:pPr>
        <w:pStyle w:val="Heading2"/>
      </w:pPr>
      <w:r>
        <w:t xml:space="preserve">(a) </w:t>
      </w:r>
      <w:r w:rsidRPr="00A6491A">
        <w:t xml:space="preserve">Is the </w:t>
      </w:r>
      <w:r w:rsidRPr="0043654D">
        <w:t>therapeutic</w:t>
      </w:r>
      <w:r w:rsidRPr="00A6491A">
        <w:t xml:space="preserve"> good to be used in the service exempt from the regulatory requirements of the </w:t>
      </w:r>
      <w:r w:rsidRPr="00A6491A">
        <w:rPr>
          <w:i/>
        </w:rPr>
        <w:t>Therapeutic Goods Act 1989</w:t>
      </w:r>
      <w:r w:rsidRPr="00A6491A">
        <w:t>?</w:t>
      </w:r>
    </w:p>
    <w:p w14:paraId="5F8539F0" w14:textId="77777777" w:rsidR="002C2D77" w:rsidRDefault="002C2D77" w:rsidP="00112E0C">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D3A0A">
        <w:rPr>
          <w:szCs w:val="20"/>
        </w:rPr>
      </w:r>
      <w:r w:rsidR="005D3A0A">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F440A40" w14:textId="0F9C8CB5" w:rsidR="0076395D" w:rsidRPr="00112E0C" w:rsidRDefault="002C2D77" w:rsidP="00112E0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No</w:t>
      </w:r>
    </w:p>
    <w:p w14:paraId="1DE01C4F" w14:textId="77777777" w:rsidR="002C2D77" w:rsidRDefault="002C2D77" w:rsidP="002C2D77">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t>?</w:t>
      </w:r>
    </w:p>
    <w:p w14:paraId="39AAD3EC" w14:textId="77777777" w:rsidR="002C2D77" w:rsidRDefault="002C2D77" w:rsidP="00112E0C">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Yes (if yes, please provide details below)</w:t>
      </w:r>
    </w:p>
    <w:p w14:paraId="6990DAAD" w14:textId="77777777" w:rsidR="002C2D77" w:rsidRDefault="002C2D77" w:rsidP="00112E0C">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Pr>
          <w:szCs w:val="20"/>
        </w:rPr>
        <w:t xml:space="preserve"> No</w:t>
      </w:r>
    </w:p>
    <w:p w14:paraId="245E4A65" w14:textId="77777777" w:rsidR="002C2D77" w:rsidRPr="0043654D" w:rsidRDefault="002C2D77" w:rsidP="002C2D77">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514A656F" w14:textId="03CEC1D1" w:rsidR="006A1E4F" w:rsidRPr="00112E0C" w:rsidRDefault="00206809" w:rsidP="00112E0C">
      <w:pPr>
        <w:spacing w:before="0" w:after="0"/>
        <w:ind w:left="284" w:firstLine="76"/>
        <w:rPr>
          <w:b/>
          <w:bCs/>
          <w:sz w:val="22"/>
        </w:rPr>
      </w:pPr>
      <w:r w:rsidRPr="00112E0C">
        <w:rPr>
          <w:b/>
          <w:bCs/>
          <w:sz w:val="22"/>
        </w:rPr>
        <w:t>REDACTED</w:t>
      </w:r>
    </w:p>
    <w:p w14:paraId="2276C9B2" w14:textId="39A7472D" w:rsidR="002C2D77" w:rsidRPr="00112E0C" w:rsidRDefault="002C2D77" w:rsidP="00112E0C">
      <w:pPr>
        <w:pStyle w:val="Heading2"/>
      </w:pPr>
      <w:r>
        <w:t>I</w:t>
      </w:r>
      <w:r w:rsidRPr="000A110D">
        <w:t xml:space="preserve">f </w:t>
      </w:r>
      <w:r w:rsidR="009B142D">
        <w:t xml:space="preserve">the </w:t>
      </w:r>
      <w:r w:rsidR="009B142D" w:rsidRPr="000A110D">
        <w:t xml:space="preserve">therapeutic good is not in the process of being considered for listing, </w:t>
      </w:r>
      <w:proofErr w:type="gramStart"/>
      <w:r w:rsidR="009B142D" w:rsidRPr="000A110D">
        <w:t>registration</w:t>
      </w:r>
      <w:proofErr w:type="gramEnd"/>
      <w:r w:rsidR="009B142D" w:rsidRPr="000A110D">
        <w:t xml:space="preserve"> or inclusion by the TGA, is an application to the TGA being prepared?</w:t>
      </w:r>
    </w:p>
    <w:p w14:paraId="7AA9DFB2" w14:textId="391B891A" w:rsidR="006A1E4F" w:rsidRPr="00112E0C" w:rsidRDefault="006A1E4F" w:rsidP="00112E0C">
      <w:pPr>
        <w:spacing w:before="0" w:after="0"/>
        <w:ind w:left="284" w:firstLine="76"/>
        <w:rPr>
          <w:szCs w:val="20"/>
        </w:rPr>
        <w:sectPr w:rsidR="006A1E4F" w:rsidRPr="00112E0C" w:rsidSect="00991EE4">
          <w:footerReference w:type="default" r:id="rId11"/>
          <w:pgSz w:w="11906" w:h="16838"/>
          <w:pgMar w:top="1440" w:right="1440" w:bottom="1440" w:left="1440" w:header="708" w:footer="708" w:gutter="0"/>
          <w:pgNumType w:start="0"/>
          <w:cols w:space="708"/>
          <w:titlePg/>
          <w:docGrid w:linePitch="360"/>
        </w:sectPr>
      </w:pPr>
      <w:r w:rsidRPr="00112E0C">
        <w:rPr>
          <w:szCs w:val="20"/>
        </w:rPr>
        <w:t>Not applicable</w:t>
      </w:r>
    </w:p>
    <w:p w14:paraId="61F7A3BA" w14:textId="77777777" w:rsidR="002C2D77" w:rsidRPr="00C776B1" w:rsidRDefault="002C2D77" w:rsidP="002C2D77">
      <w:pPr>
        <w:pStyle w:val="Heading1"/>
      </w:pPr>
      <w:r>
        <w:lastRenderedPageBreak/>
        <w:t>PART 4 – SUMMARY</w:t>
      </w:r>
      <w:r w:rsidRPr="00C776B1">
        <w:t xml:space="preserve"> OF EVIDENCE</w:t>
      </w:r>
    </w:p>
    <w:p w14:paraId="7450FE58" w14:textId="77777777" w:rsidR="002C2D77" w:rsidRPr="00832B31" w:rsidRDefault="002C2D77" w:rsidP="002C2D77">
      <w:pPr>
        <w:pStyle w:val="Heading2"/>
        <w:rPr>
          <w:i/>
        </w:rPr>
      </w:pPr>
      <w:r w:rsidRPr="00F222BE">
        <w:t xml:space="preserve">Provide an overview of </w:t>
      </w:r>
      <w:r w:rsidRPr="0016774B">
        <w:rPr>
          <w:u w:val="single"/>
        </w:rPr>
        <w:t>all key journal articles or research published in the public domain</w:t>
      </w:r>
      <w:r w:rsidRPr="00F222BE">
        <w:t xml:space="preserve"> related to the proposed service that is for your application (limiting these to the English language only).  </w:t>
      </w:r>
      <w:r w:rsidRPr="00832B31">
        <w:rPr>
          <w:i/>
        </w:rPr>
        <w:t>Please do not attach full text articles, this is just intended to be a summary.</w:t>
      </w:r>
    </w:p>
    <w:tbl>
      <w:tblPr>
        <w:tblStyle w:val="TableGrid"/>
        <w:tblW w:w="5436" w:type="pct"/>
        <w:tblLayout w:type="fixed"/>
        <w:tblLook w:val="04A0" w:firstRow="1" w:lastRow="0" w:firstColumn="1" w:lastColumn="0" w:noHBand="0" w:noVBand="1"/>
        <w:tblCaption w:val="Summary of Evidence - Published"/>
      </w:tblPr>
      <w:tblGrid>
        <w:gridCol w:w="367"/>
        <w:gridCol w:w="2038"/>
        <w:gridCol w:w="2693"/>
        <w:gridCol w:w="6378"/>
        <w:gridCol w:w="2126"/>
        <w:gridCol w:w="1562"/>
      </w:tblGrid>
      <w:tr w:rsidR="002C2D77" w:rsidRPr="00C92231" w14:paraId="7440911E" w14:textId="77777777" w:rsidTr="00770C63">
        <w:trPr>
          <w:tblHeader/>
        </w:trPr>
        <w:tc>
          <w:tcPr>
            <w:tcW w:w="121" w:type="pct"/>
            <w:shd w:val="pct20" w:color="auto" w:fill="auto"/>
          </w:tcPr>
          <w:p w14:paraId="623A65C3" w14:textId="77777777" w:rsidR="002C2D77" w:rsidRPr="00C92231" w:rsidRDefault="002C2D77" w:rsidP="00770C63">
            <w:pPr>
              <w:pStyle w:val="TableHEADER"/>
              <w:widowControl w:val="0"/>
              <w:spacing w:before="0"/>
            </w:pPr>
          </w:p>
        </w:tc>
        <w:tc>
          <w:tcPr>
            <w:tcW w:w="672" w:type="pct"/>
            <w:shd w:val="pct20" w:color="auto" w:fill="auto"/>
          </w:tcPr>
          <w:p w14:paraId="755EC3FA" w14:textId="3FD8FFFA" w:rsidR="002C2D77" w:rsidRPr="00C92231" w:rsidRDefault="002C2D77" w:rsidP="00770C63">
            <w:pPr>
              <w:pStyle w:val="TableHEADER"/>
              <w:widowControl w:val="0"/>
              <w:spacing w:before="0"/>
            </w:pPr>
            <w:r w:rsidRPr="00C92231">
              <w:t>Type of study design</w:t>
            </w:r>
          </w:p>
        </w:tc>
        <w:tc>
          <w:tcPr>
            <w:tcW w:w="888" w:type="pct"/>
            <w:shd w:val="pct20" w:color="auto" w:fill="auto"/>
          </w:tcPr>
          <w:p w14:paraId="4F913B5D" w14:textId="02E0E8CC" w:rsidR="002C2D77" w:rsidRPr="00C92231" w:rsidRDefault="002C2D77" w:rsidP="00770C63">
            <w:pPr>
              <w:pStyle w:val="TableHEADER"/>
              <w:widowControl w:val="0"/>
              <w:spacing w:before="0"/>
            </w:pPr>
            <w:r w:rsidRPr="00C92231">
              <w:t xml:space="preserve">Title of journal article or research project </w:t>
            </w:r>
          </w:p>
        </w:tc>
        <w:tc>
          <w:tcPr>
            <w:tcW w:w="2103" w:type="pct"/>
            <w:shd w:val="pct20" w:color="auto" w:fill="auto"/>
          </w:tcPr>
          <w:p w14:paraId="119F4E35" w14:textId="4E8CA76C" w:rsidR="002C2D77" w:rsidRPr="00C92231" w:rsidRDefault="002C2D77" w:rsidP="00770C63">
            <w:pPr>
              <w:pStyle w:val="TableHEADER"/>
              <w:widowControl w:val="0"/>
              <w:spacing w:before="0"/>
              <w:ind w:left="273" w:hanging="273"/>
            </w:pPr>
            <w:r w:rsidRPr="00C92231">
              <w:t xml:space="preserve">Short description of </w:t>
            </w:r>
            <w:r w:rsidRPr="00BE2940">
              <w:t>research</w:t>
            </w:r>
          </w:p>
        </w:tc>
        <w:tc>
          <w:tcPr>
            <w:tcW w:w="701" w:type="pct"/>
            <w:shd w:val="pct20" w:color="auto" w:fill="auto"/>
          </w:tcPr>
          <w:p w14:paraId="2787FE8E" w14:textId="6F26DA45" w:rsidR="002C2D77" w:rsidRPr="00C92231" w:rsidRDefault="002C2D77" w:rsidP="00770C63">
            <w:pPr>
              <w:pStyle w:val="TableHEADER"/>
              <w:widowControl w:val="0"/>
              <w:spacing w:before="0"/>
            </w:pPr>
            <w:r w:rsidRPr="00C92231">
              <w:t>Website link to journal article or research</w:t>
            </w:r>
          </w:p>
        </w:tc>
        <w:tc>
          <w:tcPr>
            <w:tcW w:w="515" w:type="pct"/>
            <w:shd w:val="pct20" w:color="auto" w:fill="auto"/>
          </w:tcPr>
          <w:p w14:paraId="273D4303" w14:textId="7259740B" w:rsidR="002C2D77" w:rsidRPr="00C92231" w:rsidRDefault="002C2D77" w:rsidP="00770C63">
            <w:pPr>
              <w:pStyle w:val="TableHEADER"/>
              <w:widowControl w:val="0"/>
              <w:spacing w:before="0"/>
            </w:pPr>
            <w:r w:rsidRPr="00C92231">
              <w:t>Date of publication</w:t>
            </w:r>
          </w:p>
        </w:tc>
      </w:tr>
      <w:tr w:rsidR="00A51E40" w:rsidRPr="00C92231" w14:paraId="6E0977A6" w14:textId="77777777" w:rsidTr="00770C63">
        <w:tc>
          <w:tcPr>
            <w:tcW w:w="121" w:type="pct"/>
          </w:tcPr>
          <w:p w14:paraId="6C0C3397" w14:textId="77777777" w:rsidR="00A51E40" w:rsidRPr="00C92231" w:rsidRDefault="00A51E40" w:rsidP="00770C63">
            <w:pPr>
              <w:widowControl w:val="0"/>
              <w:spacing w:before="0"/>
              <w:rPr>
                <w:szCs w:val="20"/>
              </w:rPr>
            </w:pPr>
            <w:r>
              <w:rPr>
                <w:szCs w:val="20"/>
              </w:rPr>
              <w:t>1</w:t>
            </w:r>
          </w:p>
        </w:tc>
        <w:tc>
          <w:tcPr>
            <w:tcW w:w="672" w:type="pct"/>
            <w:vMerge w:val="restart"/>
          </w:tcPr>
          <w:p w14:paraId="2B242643" w14:textId="77777777" w:rsidR="00A51E40" w:rsidRDefault="00A51E40" w:rsidP="00770C63">
            <w:pPr>
              <w:widowControl w:val="0"/>
              <w:spacing w:before="0"/>
              <w:rPr>
                <w:b/>
                <w:szCs w:val="20"/>
              </w:rPr>
            </w:pPr>
            <w:r>
              <w:rPr>
                <w:b/>
                <w:szCs w:val="20"/>
              </w:rPr>
              <w:t>PIVOTAL STUDY</w:t>
            </w:r>
            <w:r w:rsidRPr="00C92231">
              <w:rPr>
                <w:b/>
                <w:szCs w:val="20"/>
              </w:rPr>
              <w:t xml:space="preserve"> </w:t>
            </w:r>
          </w:p>
          <w:p w14:paraId="24DC9C4D" w14:textId="77777777" w:rsidR="00A51E40" w:rsidRDefault="00A51E40" w:rsidP="00770C63">
            <w:pPr>
              <w:widowControl w:val="0"/>
              <w:spacing w:before="0"/>
              <w:rPr>
                <w:b/>
                <w:szCs w:val="20"/>
              </w:rPr>
            </w:pPr>
            <w:r w:rsidRPr="00C92231">
              <w:rPr>
                <w:b/>
                <w:szCs w:val="20"/>
              </w:rPr>
              <w:t xml:space="preserve">Phase </w:t>
            </w:r>
            <w:proofErr w:type="spellStart"/>
            <w:r w:rsidRPr="00C92231">
              <w:rPr>
                <w:b/>
                <w:szCs w:val="20"/>
              </w:rPr>
              <w:t>Ib</w:t>
            </w:r>
            <w:proofErr w:type="spellEnd"/>
            <w:r w:rsidRPr="00C92231">
              <w:rPr>
                <w:b/>
                <w:szCs w:val="20"/>
              </w:rPr>
              <w:t>/II, Single arm, open label, multi-</w:t>
            </w:r>
            <w:proofErr w:type="spellStart"/>
            <w:r w:rsidRPr="00C92231">
              <w:rPr>
                <w:b/>
                <w:szCs w:val="20"/>
              </w:rPr>
              <w:t>center</w:t>
            </w:r>
            <w:proofErr w:type="spellEnd"/>
            <w:r w:rsidRPr="00C92231">
              <w:rPr>
                <w:b/>
                <w:szCs w:val="20"/>
              </w:rPr>
              <w:t xml:space="preserve"> study</w:t>
            </w:r>
            <w:r>
              <w:rPr>
                <w:b/>
                <w:szCs w:val="20"/>
              </w:rPr>
              <w:t xml:space="preserve"> in patients with </w:t>
            </w:r>
            <w:r w:rsidRPr="001F115A">
              <w:rPr>
                <w:b/>
                <w:bCs/>
                <w:szCs w:val="20"/>
              </w:rPr>
              <w:t>relapsed/refractory multiple myeloma</w:t>
            </w:r>
            <w:r>
              <w:rPr>
                <w:b/>
                <w:bCs/>
                <w:szCs w:val="20"/>
              </w:rPr>
              <w:t xml:space="preserve"> (RRMM) </w:t>
            </w:r>
            <w:r w:rsidRPr="006C7BF5">
              <w:rPr>
                <w:szCs w:val="20"/>
              </w:rPr>
              <w:t xml:space="preserve">(i.e., patients who received </w:t>
            </w:r>
            <w:r>
              <w:rPr>
                <w:rFonts w:cstheme="minorHAnsi"/>
                <w:szCs w:val="20"/>
              </w:rPr>
              <w:t>≥</w:t>
            </w:r>
            <w:r w:rsidRPr="002D0379">
              <w:rPr>
                <w:szCs w:val="20"/>
              </w:rPr>
              <w:t xml:space="preserve">3 prior lines of therapy (including PI, </w:t>
            </w:r>
            <w:proofErr w:type="spellStart"/>
            <w:r w:rsidRPr="002D0379">
              <w:rPr>
                <w:szCs w:val="20"/>
              </w:rPr>
              <w:t>iMiD</w:t>
            </w:r>
            <w:proofErr w:type="spellEnd"/>
            <w:r w:rsidRPr="002D0379">
              <w:rPr>
                <w:szCs w:val="20"/>
              </w:rPr>
              <w:t xml:space="preserve"> and anti-CD38 antibody) or double refractory to PI and </w:t>
            </w:r>
            <w:proofErr w:type="spellStart"/>
            <w:r w:rsidRPr="002D0379">
              <w:rPr>
                <w:szCs w:val="20"/>
              </w:rPr>
              <w:t>iMiD</w:t>
            </w:r>
            <w:proofErr w:type="spellEnd"/>
            <w:r w:rsidRPr="002D0379">
              <w:rPr>
                <w:szCs w:val="20"/>
              </w:rPr>
              <w:t>).</w:t>
            </w:r>
          </w:p>
          <w:p w14:paraId="3E650625" w14:textId="77777777" w:rsidR="00A51E40" w:rsidRPr="00C92231" w:rsidRDefault="00A51E40" w:rsidP="00770C63">
            <w:pPr>
              <w:widowControl w:val="0"/>
              <w:spacing w:before="0"/>
              <w:rPr>
                <w:b/>
                <w:szCs w:val="20"/>
              </w:rPr>
            </w:pPr>
          </w:p>
        </w:tc>
        <w:tc>
          <w:tcPr>
            <w:tcW w:w="888" w:type="pct"/>
          </w:tcPr>
          <w:p w14:paraId="44A9A0EB" w14:textId="77777777" w:rsidR="00A51E40" w:rsidRDefault="00A51E40" w:rsidP="00770C63">
            <w:pPr>
              <w:widowControl w:val="0"/>
              <w:spacing w:before="0"/>
              <w:rPr>
                <w:b/>
                <w:bCs/>
                <w:szCs w:val="20"/>
              </w:rPr>
            </w:pPr>
            <w:r>
              <w:rPr>
                <w:b/>
                <w:bCs/>
                <w:szCs w:val="20"/>
              </w:rPr>
              <w:t>CARTITUDE-1</w:t>
            </w:r>
          </w:p>
          <w:p w14:paraId="3A8F2B4B" w14:textId="77777777" w:rsidR="00A51E40" w:rsidRDefault="00A51E40" w:rsidP="00770C63">
            <w:pPr>
              <w:widowControl w:val="0"/>
              <w:spacing w:before="0"/>
              <w:rPr>
                <w:b/>
                <w:bCs/>
                <w:szCs w:val="20"/>
              </w:rPr>
            </w:pPr>
            <w:r w:rsidRPr="00C92231">
              <w:rPr>
                <w:bCs/>
                <w:szCs w:val="20"/>
              </w:rPr>
              <w:t xml:space="preserve">Clinical trial identifier: </w:t>
            </w:r>
            <w:hyperlink r:id="rId12" w:tooltip="Current version of study NCT03548207 on ClinicalTrials.gov" w:history="1">
              <w:r w:rsidRPr="00C92231">
                <w:rPr>
                  <w:rStyle w:val="Hyperlink"/>
                  <w:bCs/>
                  <w:szCs w:val="20"/>
                </w:rPr>
                <w:t>NCT03548207</w:t>
              </w:r>
            </w:hyperlink>
          </w:p>
          <w:p w14:paraId="493B6378" w14:textId="44E7C24C" w:rsidR="00A51E40" w:rsidRDefault="00A51E40" w:rsidP="0076395D">
            <w:pPr>
              <w:widowControl w:val="0"/>
              <w:spacing w:before="0"/>
              <w:rPr>
                <w:bCs/>
                <w:szCs w:val="20"/>
              </w:rPr>
            </w:pPr>
            <w:proofErr w:type="spellStart"/>
            <w:r w:rsidRPr="0027371A">
              <w:rPr>
                <w:szCs w:val="20"/>
              </w:rPr>
              <w:t>Berdeja</w:t>
            </w:r>
            <w:proofErr w:type="spellEnd"/>
            <w:r w:rsidRPr="0027371A">
              <w:rPr>
                <w:szCs w:val="20"/>
              </w:rPr>
              <w:t xml:space="preserve">, J. G., </w:t>
            </w:r>
            <w:proofErr w:type="spellStart"/>
            <w:r w:rsidRPr="0027371A">
              <w:rPr>
                <w:szCs w:val="20"/>
              </w:rPr>
              <w:t>Madduri</w:t>
            </w:r>
            <w:proofErr w:type="spellEnd"/>
            <w:r w:rsidRPr="0027371A">
              <w:rPr>
                <w:szCs w:val="20"/>
              </w:rPr>
              <w:t xml:space="preserve">, D., </w:t>
            </w:r>
            <w:proofErr w:type="spellStart"/>
            <w:r w:rsidRPr="0027371A">
              <w:rPr>
                <w:szCs w:val="20"/>
              </w:rPr>
              <w:t>Usmani</w:t>
            </w:r>
            <w:proofErr w:type="spellEnd"/>
            <w:r w:rsidRPr="0027371A">
              <w:rPr>
                <w:szCs w:val="20"/>
              </w:rPr>
              <w:t xml:space="preserve">, S. Z., </w:t>
            </w:r>
            <w:proofErr w:type="spellStart"/>
            <w:r w:rsidRPr="0027371A">
              <w:rPr>
                <w:szCs w:val="20"/>
              </w:rPr>
              <w:t>Jakubowiak</w:t>
            </w:r>
            <w:proofErr w:type="spellEnd"/>
            <w:r w:rsidRPr="0027371A">
              <w:rPr>
                <w:szCs w:val="20"/>
              </w:rPr>
              <w:t xml:space="preserve">, A., Agha, M., Cohen, A. D., ... &amp; Jagannath, S. (2021). </w:t>
            </w:r>
            <w:proofErr w:type="spellStart"/>
            <w:r w:rsidRPr="0027371A">
              <w:rPr>
                <w:szCs w:val="20"/>
              </w:rPr>
              <w:t>Ciltacabtagene</w:t>
            </w:r>
            <w:proofErr w:type="spellEnd"/>
            <w:r w:rsidRPr="0027371A">
              <w:rPr>
                <w:szCs w:val="20"/>
              </w:rPr>
              <w:t xml:space="preserve"> </w:t>
            </w:r>
            <w:proofErr w:type="spellStart"/>
            <w:r w:rsidRPr="0027371A">
              <w:rPr>
                <w:szCs w:val="20"/>
              </w:rPr>
              <w:t>autoleucel</w:t>
            </w:r>
            <w:proofErr w:type="spellEnd"/>
            <w:r w:rsidRPr="0027371A">
              <w:rPr>
                <w:szCs w:val="20"/>
              </w:rPr>
              <w:t xml:space="preserve">, a B-cell maturation antigen-directed chimeric antigen receptor T-cell therapy in patients with relapsed or refractory multiple myeloma (CARTITUDE-1): a phase 1b/2 open-label study. </w:t>
            </w:r>
            <w:r w:rsidRPr="0027371A">
              <w:rPr>
                <w:i/>
                <w:iCs/>
                <w:szCs w:val="20"/>
              </w:rPr>
              <w:t>The Lancet.</w:t>
            </w:r>
            <w:r>
              <w:rPr>
                <w:i/>
                <w:iCs/>
                <w:szCs w:val="20"/>
              </w:rPr>
              <w:t xml:space="preserve"> </w:t>
            </w:r>
            <w:r w:rsidRPr="005873CD">
              <w:rPr>
                <w:bCs/>
                <w:szCs w:val="20"/>
              </w:rPr>
              <w:t>Published online</w:t>
            </w:r>
            <w:r>
              <w:rPr>
                <w:b/>
                <w:bCs/>
                <w:szCs w:val="20"/>
              </w:rPr>
              <w:t xml:space="preserve"> </w:t>
            </w:r>
            <w:r w:rsidRPr="005873CD">
              <w:rPr>
                <w:bCs/>
                <w:szCs w:val="20"/>
              </w:rPr>
              <w:t xml:space="preserve">June 24, 2021 </w:t>
            </w:r>
            <w:hyperlink r:id="rId13" w:history="1">
              <w:r w:rsidRPr="00BF394C">
                <w:rPr>
                  <w:rStyle w:val="Hyperlink"/>
                  <w:bCs/>
                  <w:szCs w:val="20"/>
                </w:rPr>
                <w:t>https://doi.org/10.1016/S0140-6736(21)00933-8</w:t>
              </w:r>
            </w:hyperlink>
          </w:p>
          <w:p w14:paraId="463F527C" w14:textId="3FA21CE5" w:rsidR="00A51E40" w:rsidRPr="0076395D" w:rsidRDefault="00A51E40" w:rsidP="0076395D">
            <w:pPr>
              <w:widowControl w:val="0"/>
              <w:spacing w:before="0"/>
              <w:rPr>
                <w:szCs w:val="20"/>
              </w:rPr>
            </w:pPr>
          </w:p>
        </w:tc>
        <w:tc>
          <w:tcPr>
            <w:tcW w:w="2103" w:type="pct"/>
            <w:vMerge w:val="restart"/>
          </w:tcPr>
          <w:p w14:paraId="36ECBA18" w14:textId="77777777" w:rsidR="00A51E40" w:rsidRPr="009B521D" w:rsidRDefault="00A51E40" w:rsidP="00770C63">
            <w:pPr>
              <w:widowControl w:val="0"/>
              <w:spacing w:before="0"/>
              <w:rPr>
                <w:bCs/>
                <w:szCs w:val="20"/>
              </w:rPr>
            </w:pPr>
            <w:r w:rsidRPr="009B521D">
              <w:rPr>
                <w:bCs/>
                <w:szCs w:val="20"/>
              </w:rPr>
              <w:t xml:space="preserve">Evaluation of efficacy and safety of </w:t>
            </w:r>
            <w:proofErr w:type="spellStart"/>
            <w:r w:rsidRPr="009B521D">
              <w:rPr>
                <w:bCs/>
                <w:szCs w:val="20"/>
              </w:rPr>
              <w:t>cilta-cel</w:t>
            </w:r>
            <w:proofErr w:type="spellEnd"/>
            <w:r w:rsidRPr="009B521D">
              <w:rPr>
                <w:bCs/>
                <w:szCs w:val="20"/>
              </w:rPr>
              <w:t xml:space="preserve"> in patients with RR MM (n=19 in Phase 1b; n=68 in Phase 2). </w:t>
            </w:r>
          </w:p>
          <w:p w14:paraId="46934969" w14:textId="77777777" w:rsidR="009B142D" w:rsidRPr="009B521D" w:rsidRDefault="009B142D" w:rsidP="009B142D">
            <w:pPr>
              <w:widowControl w:val="0"/>
              <w:spacing w:before="0"/>
              <w:rPr>
                <w:bCs/>
                <w:szCs w:val="20"/>
              </w:rPr>
            </w:pPr>
            <w:r w:rsidRPr="009B521D">
              <w:rPr>
                <w:bCs/>
                <w:szCs w:val="20"/>
              </w:rPr>
              <w:t>Primary endpoint: Phase 1b- incidence and severity of adverse events; Phase 2- overall response rate, defined as the proportion of patients who achieved a partial response or better according to the IMWG criteria</w:t>
            </w:r>
            <w:r>
              <w:rPr>
                <w:bCs/>
                <w:szCs w:val="20"/>
              </w:rPr>
              <w:t xml:space="preserve">. </w:t>
            </w:r>
          </w:p>
          <w:p w14:paraId="48B47B37" w14:textId="63B461FC" w:rsidR="00A51E40" w:rsidRPr="0076395D" w:rsidRDefault="00A51E40" w:rsidP="00770C63">
            <w:pPr>
              <w:widowControl w:val="0"/>
              <w:spacing w:before="0"/>
              <w:rPr>
                <w:bCs/>
                <w:szCs w:val="20"/>
              </w:rPr>
            </w:pPr>
            <w:r>
              <w:rPr>
                <w:bCs/>
                <w:szCs w:val="20"/>
              </w:rPr>
              <w:t>M</w:t>
            </w:r>
            <w:r w:rsidRPr="006C7BF5">
              <w:rPr>
                <w:bCs/>
                <w:szCs w:val="20"/>
              </w:rPr>
              <w:t>edian follow-up was 12·4 months (IQR 10·6</w:t>
            </w:r>
            <w:r>
              <w:rPr>
                <w:bCs/>
                <w:szCs w:val="20"/>
              </w:rPr>
              <w:t>-</w:t>
            </w:r>
            <w:r w:rsidRPr="006C7BF5">
              <w:rPr>
                <w:bCs/>
                <w:szCs w:val="20"/>
              </w:rPr>
              <w:t>15·2)</w:t>
            </w:r>
          </w:p>
        </w:tc>
        <w:tc>
          <w:tcPr>
            <w:tcW w:w="701" w:type="pct"/>
          </w:tcPr>
          <w:p w14:paraId="4EE7D5A8" w14:textId="77777777" w:rsidR="00A51E40" w:rsidRDefault="00A51E40" w:rsidP="00770C63">
            <w:pPr>
              <w:widowControl w:val="0"/>
              <w:spacing w:before="0"/>
              <w:rPr>
                <w:bCs/>
                <w:szCs w:val="20"/>
              </w:rPr>
            </w:pPr>
            <w:r>
              <w:rPr>
                <w:bCs/>
                <w:szCs w:val="20"/>
              </w:rPr>
              <w:t xml:space="preserve">Primary Publication (also included in the TGA application) </w:t>
            </w:r>
          </w:p>
          <w:p w14:paraId="6ED86F27" w14:textId="67426147" w:rsidR="00A51E40" w:rsidRPr="0076395D" w:rsidRDefault="005D3A0A" w:rsidP="00770C63">
            <w:pPr>
              <w:widowControl w:val="0"/>
              <w:spacing w:before="0"/>
              <w:rPr>
                <w:bCs/>
                <w:szCs w:val="20"/>
              </w:rPr>
            </w:pPr>
            <w:hyperlink r:id="rId14" w:history="1">
              <w:r w:rsidR="00A51E40" w:rsidRPr="00A04226">
                <w:rPr>
                  <w:rStyle w:val="Hyperlink"/>
                  <w:bCs/>
                  <w:szCs w:val="20"/>
                </w:rPr>
                <w:t>https://doi.org/10.1016/S0140-6736(21)00933-8</w:t>
              </w:r>
            </w:hyperlink>
          </w:p>
        </w:tc>
        <w:tc>
          <w:tcPr>
            <w:tcW w:w="515" w:type="pct"/>
          </w:tcPr>
          <w:p w14:paraId="0484EE2B" w14:textId="0842018E" w:rsidR="00A51E40" w:rsidRDefault="00A51E40" w:rsidP="00770C63">
            <w:pPr>
              <w:widowControl w:val="0"/>
              <w:spacing w:before="0"/>
              <w:rPr>
                <w:bCs/>
                <w:szCs w:val="20"/>
              </w:rPr>
            </w:pPr>
            <w:r>
              <w:rPr>
                <w:bCs/>
                <w:szCs w:val="20"/>
              </w:rPr>
              <w:t>June 24, 2021</w:t>
            </w:r>
          </w:p>
          <w:p w14:paraId="7AB19E17" w14:textId="77777777" w:rsidR="00A51E40" w:rsidRDefault="00A51E40" w:rsidP="00770C63">
            <w:pPr>
              <w:widowControl w:val="0"/>
              <w:spacing w:before="0"/>
              <w:rPr>
                <w:bCs/>
                <w:szCs w:val="20"/>
              </w:rPr>
            </w:pPr>
          </w:p>
          <w:p w14:paraId="0B0ADA96" w14:textId="77777777" w:rsidR="00A51E40" w:rsidRDefault="00A51E40" w:rsidP="00770C63">
            <w:pPr>
              <w:widowControl w:val="0"/>
              <w:spacing w:before="0"/>
              <w:rPr>
                <w:bCs/>
                <w:szCs w:val="20"/>
              </w:rPr>
            </w:pPr>
          </w:p>
          <w:p w14:paraId="3A705448" w14:textId="77777777" w:rsidR="00A51E40" w:rsidRDefault="00A51E40" w:rsidP="00770C63">
            <w:pPr>
              <w:widowControl w:val="0"/>
              <w:spacing w:before="0"/>
              <w:rPr>
                <w:bCs/>
                <w:szCs w:val="20"/>
              </w:rPr>
            </w:pPr>
          </w:p>
          <w:p w14:paraId="025E12F2" w14:textId="18D1400E" w:rsidR="00A51E40" w:rsidRPr="0095434B" w:rsidRDefault="00A51E40" w:rsidP="00770C63">
            <w:pPr>
              <w:widowControl w:val="0"/>
              <w:spacing w:before="0"/>
              <w:rPr>
                <w:szCs w:val="20"/>
              </w:rPr>
            </w:pPr>
          </w:p>
        </w:tc>
      </w:tr>
      <w:tr w:rsidR="00A51E40" w:rsidRPr="00C92231" w14:paraId="5DBCD1A9" w14:textId="77777777" w:rsidTr="00770C63">
        <w:tc>
          <w:tcPr>
            <w:tcW w:w="121" w:type="pct"/>
          </w:tcPr>
          <w:p w14:paraId="327CCBEE" w14:textId="04D14089" w:rsidR="00A51E40" w:rsidRDefault="00A51E40" w:rsidP="00770C63">
            <w:pPr>
              <w:widowControl w:val="0"/>
              <w:spacing w:before="0"/>
              <w:rPr>
                <w:szCs w:val="20"/>
              </w:rPr>
            </w:pPr>
            <w:r>
              <w:rPr>
                <w:szCs w:val="20"/>
              </w:rPr>
              <w:t>2</w:t>
            </w:r>
          </w:p>
        </w:tc>
        <w:tc>
          <w:tcPr>
            <w:tcW w:w="672" w:type="pct"/>
            <w:vMerge/>
          </w:tcPr>
          <w:p w14:paraId="78A82F24" w14:textId="77777777" w:rsidR="00A51E40" w:rsidRDefault="00A51E40" w:rsidP="00770C63">
            <w:pPr>
              <w:widowControl w:val="0"/>
              <w:spacing w:before="0"/>
              <w:rPr>
                <w:b/>
                <w:szCs w:val="20"/>
              </w:rPr>
            </w:pPr>
          </w:p>
        </w:tc>
        <w:tc>
          <w:tcPr>
            <w:tcW w:w="888" w:type="pct"/>
          </w:tcPr>
          <w:p w14:paraId="121D8D11" w14:textId="7CB307FB" w:rsidR="00A51E40" w:rsidRPr="00CA47E3" w:rsidRDefault="009B142D" w:rsidP="0076395D">
            <w:pPr>
              <w:widowControl w:val="0"/>
              <w:spacing w:before="0"/>
              <w:rPr>
                <w:bCs/>
                <w:i/>
                <w:iCs/>
                <w:szCs w:val="20"/>
              </w:rPr>
            </w:pPr>
            <w:proofErr w:type="spellStart"/>
            <w:r w:rsidRPr="00CA47E3">
              <w:rPr>
                <w:bCs/>
                <w:szCs w:val="20"/>
              </w:rPr>
              <w:t>Berdeja</w:t>
            </w:r>
            <w:proofErr w:type="spellEnd"/>
            <w:r w:rsidRPr="00CA47E3">
              <w:rPr>
                <w:bCs/>
                <w:szCs w:val="20"/>
              </w:rPr>
              <w:t xml:space="preserve">, Jesus G., et al. "Update of CARTITUDE-1: A phase </w:t>
            </w:r>
            <w:proofErr w:type="spellStart"/>
            <w:r w:rsidRPr="00CA47E3">
              <w:rPr>
                <w:bCs/>
                <w:szCs w:val="20"/>
              </w:rPr>
              <w:t>Ib</w:t>
            </w:r>
            <w:proofErr w:type="spellEnd"/>
            <w:r w:rsidRPr="00CA47E3">
              <w:rPr>
                <w:bCs/>
                <w:szCs w:val="20"/>
              </w:rPr>
              <w:t xml:space="preserve">/II study of JNJ-4528, a B-cell maturation </w:t>
            </w:r>
            <w:proofErr w:type="gramStart"/>
            <w:r w:rsidRPr="00CA47E3">
              <w:rPr>
                <w:bCs/>
                <w:szCs w:val="20"/>
              </w:rPr>
              <w:t xml:space="preserve">antigen  </w:t>
            </w:r>
            <w:r w:rsidR="00A51E40" w:rsidRPr="00CA47E3">
              <w:rPr>
                <w:bCs/>
                <w:szCs w:val="20"/>
              </w:rPr>
              <w:t>(</w:t>
            </w:r>
            <w:proofErr w:type="gramEnd"/>
            <w:r w:rsidR="00A51E40" w:rsidRPr="00CA47E3">
              <w:rPr>
                <w:bCs/>
                <w:szCs w:val="20"/>
              </w:rPr>
              <w:t xml:space="preserve">BCMA)-directed CAR-T-cell </w:t>
            </w:r>
            <w:r w:rsidR="00A51E40" w:rsidRPr="00CA47E3">
              <w:rPr>
                <w:bCs/>
                <w:szCs w:val="20"/>
              </w:rPr>
              <w:lastRenderedPageBreak/>
              <w:t>therapy, in relapsed/refractory multiple myeloma." (2020):</w:t>
            </w:r>
            <w:r w:rsidR="00A51E40">
              <w:rPr>
                <w:bCs/>
                <w:szCs w:val="20"/>
              </w:rPr>
              <w:t xml:space="preserve"> </w:t>
            </w:r>
            <w:r w:rsidR="00A51E40" w:rsidRPr="000F1597">
              <w:rPr>
                <w:bCs/>
                <w:i/>
                <w:iCs/>
                <w:szCs w:val="20"/>
              </w:rPr>
              <w:t>Journal of Clinical Oncology</w:t>
            </w:r>
            <w:r w:rsidR="00A51E40" w:rsidRPr="000F1597">
              <w:rPr>
                <w:bCs/>
                <w:szCs w:val="20"/>
              </w:rPr>
              <w:t> 38, no. 15_suppl 8505-8505.</w:t>
            </w:r>
          </w:p>
          <w:p w14:paraId="6725756E" w14:textId="77777777" w:rsidR="00A51E40" w:rsidRDefault="00A51E40" w:rsidP="00770C63">
            <w:pPr>
              <w:widowControl w:val="0"/>
              <w:spacing w:before="0"/>
              <w:rPr>
                <w:b/>
                <w:bCs/>
                <w:szCs w:val="20"/>
              </w:rPr>
            </w:pPr>
          </w:p>
        </w:tc>
        <w:tc>
          <w:tcPr>
            <w:tcW w:w="2103" w:type="pct"/>
            <w:vMerge/>
          </w:tcPr>
          <w:p w14:paraId="2316F8D2" w14:textId="77777777" w:rsidR="00A51E40" w:rsidRPr="009B521D" w:rsidRDefault="00A51E40" w:rsidP="00770C63">
            <w:pPr>
              <w:widowControl w:val="0"/>
              <w:spacing w:before="0"/>
              <w:rPr>
                <w:bCs/>
                <w:szCs w:val="20"/>
              </w:rPr>
            </w:pPr>
          </w:p>
        </w:tc>
        <w:tc>
          <w:tcPr>
            <w:tcW w:w="701" w:type="pct"/>
          </w:tcPr>
          <w:p w14:paraId="0CC9B8D3" w14:textId="77777777" w:rsidR="00A51E40" w:rsidRDefault="005D3A0A" w:rsidP="0076395D">
            <w:pPr>
              <w:widowControl w:val="0"/>
              <w:spacing w:before="0"/>
              <w:rPr>
                <w:bCs/>
                <w:szCs w:val="20"/>
              </w:rPr>
            </w:pPr>
            <w:hyperlink r:id="rId15" w:history="1">
              <w:r w:rsidR="00A51E40" w:rsidRPr="00A04226">
                <w:rPr>
                  <w:rStyle w:val="Hyperlink"/>
                  <w:bCs/>
                  <w:szCs w:val="20"/>
                </w:rPr>
                <w:t>https://ascopubs.org/doi/abs/10.1200/JCO.2020.38.15_suppl.8505</w:t>
              </w:r>
            </w:hyperlink>
            <w:r w:rsidR="00A51E40" w:rsidRPr="00C92231">
              <w:rPr>
                <w:bCs/>
                <w:szCs w:val="20"/>
              </w:rPr>
              <w:t xml:space="preserve"> </w:t>
            </w:r>
          </w:p>
          <w:p w14:paraId="31C42D34" w14:textId="5C467AF6" w:rsidR="00A51E40" w:rsidRDefault="00A51E40" w:rsidP="0076395D">
            <w:pPr>
              <w:widowControl w:val="0"/>
              <w:spacing w:before="0"/>
              <w:rPr>
                <w:bCs/>
                <w:szCs w:val="20"/>
              </w:rPr>
            </w:pPr>
            <w:r>
              <w:rPr>
                <w:bCs/>
                <w:szCs w:val="20"/>
              </w:rPr>
              <w:t>(Previous interim publication</w:t>
            </w:r>
            <w:r w:rsidR="009B142D">
              <w:rPr>
                <w:bCs/>
                <w:szCs w:val="20"/>
              </w:rPr>
              <w:t xml:space="preserve">; </w:t>
            </w:r>
            <w:r w:rsidR="009B142D">
              <w:rPr>
                <w:bCs/>
                <w:szCs w:val="20"/>
              </w:rPr>
              <w:lastRenderedPageBreak/>
              <w:t>conference abstract</w:t>
            </w:r>
            <w:r>
              <w:rPr>
                <w:bCs/>
                <w:szCs w:val="20"/>
              </w:rPr>
              <w:t xml:space="preserve">) </w:t>
            </w:r>
          </w:p>
          <w:p w14:paraId="43544D6E" w14:textId="77777777" w:rsidR="00A51E40" w:rsidRDefault="00A51E40" w:rsidP="0076395D">
            <w:pPr>
              <w:widowControl w:val="0"/>
              <w:spacing w:before="0"/>
              <w:rPr>
                <w:bCs/>
                <w:szCs w:val="20"/>
              </w:rPr>
            </w:pPr>
          </w:p>
        </w:tc>
        <w:tc>
          <w:tcPr>
            <w:tcW w:w="515" w:type="pct"/>
          </w:tcPr>
          <w:p w14:paraId="142B5732" w14:textId="2E9311CF" w:rsidR="00A51E40" w:rsidRDefault="00A51E40" w:rsidP="00770C63">
            <w:pPr>
              <w:widowControl w:val="0"/>
              <w:spacing w:before="0"/>
              <w:rPr>
                <w:bCs/>
                <w:szCs w:val="20"/>
              </w:rPr>
            </w:pPr>
            <w:r w:rsidRPr="000F1597">
              <w:rPr>
                <w:bCs/>
                <w:szCs w:val="20"/>
              </w:rPr>
              <w:lastRenderedPageBreak/>
              <w:t>May 20, 2020</w:t>
            </w:r>
          </w:p>
        </w:tc>
      </w:tr>
      <w:tr w:rsidR="0076395D" w:rsidRPr="00C92231" w14:paraId="22F5D243" w14:textId="77777777" w:rsidTr="00770C63">
        <w:tc>
          <w:tcPr>
            <w:tcW w:w="121" w:type="pct"/>
          </w:tcPr>
          <w:p w14:paraId="169FAB65" w14:textId="5FF6F81E" w:rsidR="0076395D" w:rsidRDefault="0076395D" w:rsidP="00770C63">
            <w:pPr>
              <w:widowControl w:val="0"/>
              <w:spacing w:before="0"/>
              <w:rPr>
                <w:szCs w:val="20"/>
              </w:rPr>
            </w:pPr>
            <w:r>
              <w:rPr>
                <w:szCs w:val="20"/>
              </w:rPr>
              <w:t>3</w:t>
            </w:r>
          </w:p>
        </w:tc>
        <w:tc>
          <w:tcPr>
            <w:tcW w:w="672" w:type="pct"/>
            <w:vMerge/>
          </w:tcPr>
          <w:p w14:paraId="067F11A5" w14:textId="77777777" w:rsidR="0076395D" w:rsidRDefault="0076395D" w:rsidP="00770C63">
            <w:pPr>
              <w:widowControl w:val="0"/>
              <w:spacing w:before="0"/>
              <w:rPr>
                <w:b/>
                <w:szCs w:val="20"/>
              </w:rPr>
            </w:pPr>
          </w:p>
        </w:tc>
        <w:tc>
          <w:tcPr>
            <w:tcW w:w="888" w:type="pct"/>
          </w:tcPr>
          <w:p w14:paraId="53D49326" w14:textId="490B39D5" w:rsidR="0076395D" w:rsidRPr="0076395D" w:rsidRDefault="0076395D" w:rsidP="0076395D">
            <w:pPr>
              <w:pStyle w:val="CommentText"/>
            </w:pPr>
            <w:proofErr w:type="spellStart"/>
            <w:r w:rsidRPr="006C7BF5">
              <w:rPr>
                <w:bCs/>
              </w:rPr>
              <w:t>Usmani</w:t>
            </w:r>
            <w:proofErr w:type="spellEnd"/>
            <w:r w:rsidRPr="006C7BF5">
              <w:rPr>
                <w:bCs/>
              </w:rPr>
              <w:t>, Saad Zafar, et al. "</w:t>
            </w:r>
            <w:proofErr w:type="spellStart"/>
            <w:r w:rsidRPr="006C7BF5">
              <w:rPr>
                <w:bCs/>
              </w:rPr>
              <w:t>Ciltacabtagene</w:t>
            </w:r>
            <w:proofErr w:type="spellEnd"/>
            <w:r w:rsidRPr="006C7BF5">
              <w:rPr>
                <w:bCs/>
              </w:rPr>
              <w:t xml:space="preserve"> </w:t>
            </w:r>
            <w:proofErr w:type="spellStart"/>
            <w:r w:rsidRPr="006C7BF5">
              <w:rPr>
                <w:bCs/>
              </w:rPr>
              <w:t>autoleucel</w:t>
            </w:r>
            <w:proofErr w:type="spellEnd"/>
            <w:r w:rsidRPr="006C7BF5">
              <w:rPr>
                <w:bCs/>
              </w:rPr>
              <w:t>, a B-cell maturation antigen (BCMA)-directed chimeric antigen receptor T-cell (CAR-T) therapy, in</w:t>
            </w:r>
            <w:r>
              <w:rPr>
                <w:bCs/>
              </w:rPr>
              <w:t xml:space="preserve"> </w:t>
            </w:r>
            <w:r w:rsidRPr="006C7BF5">
              <w:rPr>
                <w:bCs/>
              </w:rPr>
              <w:t>relapsed/refractory multiple myeloma (R/R MM): Updated results from CARTITUDE-1." (2021): 8005-8005.</w:t>
            </w:r>
            <w:r w:rsidRPr="00AF214F">
              <w:rPr>
                <w:lang w:val="en-US"/>
              </w:rPr>
              <w:t xml:space="preserve"> ASCO 2021 conference. </w:t>
            </w:r>
            <w:r w:rsidRPr="00AF214F">
              <w:rPr>
                <w:i/>
                <w:iCs/>
                <w:lang w:val="en-US"/>
              </w:rPr>
              <w:t>Data cut-off Feb 11, 2021.</w:t>
            </w:r>
          </w:p>
        </w:tc>
        <w:tc>
          <w:tcPr>
            <w:tcW w:w="2103" w:type="pct"/>
          </w:tcPr>
          <w:p w14:paraId="1D1DF917" w14:textId="648584B2" w:rsidR="0076395D" w:rsidRPr="009B521D" w:rsidRDefault="00E03F3E" w:rsidP="00770C63">
            <w:pPr>
              <w:widowControl w:val="0"/>
              <w:spacing w:before="0"/>
              <w:rPr>
                <w:bCs/>
                <w:szCs w:val="20"/>
              </w:rPr>
            </w:pPr>
            <w:r>
              <w:rPr>
                <w:bCs/>
                <w:szCs w:val="20"/>
              </w:rPr>
              <w:t>Publication is a follow-up to the initial publica</w:t>
            </w:r>
            <w:r w:rsidR="00A51E40">
              <w:rPr>
                <w:bCs/>
                <w:szCs w:val="20"/>
              </w:rPr>
              <w:t xml:space="preserve">tions (1 and 2). Follow-up was reported after median of 18.0 months. Data presented in the abstract was updated ahead of its presentation at ASCO 2021 (see Q43 for a </w:t>
            </w:r>
            <w:r w:rsidR="00473A78">
              <w:rPr>
                <w:bCs/>
                <w:szCs w:val="20"/>
              </w:rPr>
              <w:t xml:space="preserve">top-line </w:t>
            </w:r>
            <w:r w:rsidR="00A51E40">
              <w:rPr>
                <w:bCs/>
                <w:szCs w:val="20"/>
              </w:rPr>
              <w:t>overview of the results).</w:t>
            </w:r>
          </w:p>
        </w:tc>
        <w:tc>
          <w:tcPr>
            <w:tcW w:w="701" w:type="pct"/>
          </w:tcPr>
          <w:p w14:paraId="6A384EDC" w14:textId="77777777" w:rsidR="0076395D" w:rsidRDefault="005D3A0A" w:rsidP="0076395D">
            <w:pPr>
              <w:widowControl w:val="0"/>
              <w:spacing w:before="0"/>
              <w:rPr>
                <w:bCs/>
                <w:szCs w:val="20"/>
              </w:rPr>
            </w:pPr>
            <w:hyperlink r:id="rId16" w:history="1">
              <w:r w:rsidR="0076395D" w:rsidRPr="00E15A59">
                <w:rPr>
                  <w:rStyle w:val="Hyperlink"/>
                  <w:bCs/>
                  <w:szCs w:val="20"/>
                </w:rPr>
                <w:t>https://ascopubs.org/doi/abs/10.1200/JCO.2021.39.15_suppl.8005</w:t>
              </w:r>
            </w:hyperlink>
            <w:r w:rsidR="0076395D">
              <w:rPr>
                <w:bCs/>
                <w:szCs w:val="20"/>
              </w:rPr>
              <w:t xml:space="preserve"> </w:t>
            </w:r>
          </w:p>
          <w:p w14:paraId="0D363D1E" w14:textId="77777777" w:rsidR="0076395D" w:rsidRDefault="0076395D" w:rsidP="0076395D">
            <w:pPr>
              <w:widowControl w:val="0"/>
              <w:spacing w:before="0"/>
              <w:rPr>
                <w:bCs/>
                <w:szCs w:val="20"/>
              </w:rPr>
            </w:pPr>
            <w:r>
              <w:rPr>
                <w:bCs/>
                <w:szCs w:val="20"/>
              </w:rPr>
              <w:t xml:space="preserve">(Conference abstract) </w:t>
            </w:r>
          </w:p>
          <w:p w14:paraId="21E9AA7E" w14:textId="77777777" w:rsidR="0076395D" w:rsidRDefault="0076395D" w:rsidP="00770C63">
            <w:pPr>
              <w:widowControl w:val="0"/>
              <w:spacing w:before="0"/>
              <w:rPr>
                <w:bCs/>
                <w:szCs w:val="20"/>
              </w:rPr>
            </w:pPr>
          </w:p>
        </w:tc>
        <w:tc>
          <w:tcPr>
            <w:tcW w:w="515" w:type="pct"/>
          </w:tcPr>
          <w:p w14:paraId="65A83F18" w14:textId="77777777" w:rsidR="0076395D" w:rsidRDefault="0076395D" w:rsidP="0076395D">
            <w:pPr>
              <w:widowControl w:val="0"/>
              <w:spacing w:before="0"/>
              <w:rPr>
                <w:bCs/>
                <w:szCs w:val="20"/>
              </w:rPr>
            </w:pPr>
            <w:r>
              <w:rPr>
                <w:bCs/>
                <w:szCs w:val="20"/>
              </w:rPr>
              <w:t>May 28, 2021</w:t>
            </w:r>
          </w:p>
          <w:p w14:paraId="1C3E7406" w14:textId="77777777" w:rsidR="0076395D" w:rsidRDefault="0076395D" w:rsidP="00770C63">
            <w:pPr>
              <w:widowControl w:val="0"/>
              <w:spacing w:before="0"/>
              <w:rPr>
                <w:bCs/>
                <w:szCs w:val="20"/>
              </w:rPr>
            </w:pPr>
          </w:p>
        </w:tc>
      </w:tr>
    </w:tbl>
    <w:p w14:paraId="0CF2F3E0" w14:textId="6029D4E3" w:rsidR="002C2D77" w:rsidRDefault="002C2D77" w:rsidP="002C2D77">
      <w:pPr>
        <w:rPr>
          <w:i/>
          <w:szCs w:val="20"/>
        </w:rPr>
      </w:pPr>
    </w:p>
    <w:p w14:paraId="2E083E32" w14:textId="77777777" w:rsidR="002C2D77" w:rsidRDefault="002C2D77" w:rsidP="002C2D77">
      <w:pPr>
        <w:pStyle w:val="Heading2"/>
      </w:pPr>
      <w:r w:rsidRPr="00E82F54">
        <w:t xml:space="preserve">Identify </w:t>
      </w:r>
      <w:r w:rsidRPr="0016774B">
        <w:rPr>
          <w:u w:val="single"/>
        </w:rPr>
        <w:t>yet to be published research</w:t>
      </w:r>
      <w:r w:rsidRPr="00E82F54">
        <w:t xml:space="preserve">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436" w:type="pct"/>
        <w:tblLook w:val="04A0" w:firstRow="1" w:lastRow="0" w:firstColumn="1" w:lastColumn="0" w:noHBand="0" w:noVBand="1"/>
        <w:tblCaption w:val="Summary of Evidence - Yet to be Published"/>
      </w:tblPr>
      <w:tblGrid>
        <w:gridCol w:w="349"/>
        <w:gridCol w:w="1805"/>
        <w:gridCol w:w="2705"/>
        <w:gridCol w:w="4731"/>
        <w:gridCol w:w="4188"/>
        <w:gridCol w:w="1386"/>
      </w:tblGrid>
      <w:tr w:rsidR="002C2D77" w14:paraId="786D7C73" w14:textId="77777777" w:rsidTr="002C2D77">
        <w:trPr>
          <w:cantSplit/>
          <w:tblHeader/>
        </w:trPr>
        <w:tc>
          <w:tcPr>
            <w:tcW w:w="115" w:type="pct"/>
            <w:shd w:val="pct20" w:color="auto" w:fill="auto"/>
          </w:tcPr>
          <w:p w14:paraId="0D46DB02" w14:textId="77777777" w:rsidR="002C2D77" w:rsidRDefault="002C2D77" w:rsidP="00770C63">
            <w:pPr>
              <w:pStyle w:val="TableHEADER"/>
            </w:pPr>
          </w:p>
        </w:tc>
        <w:tc>
          <w:tcPr>
            <w:tcW w:w="595" w:type="pct"/>
            <w:shd w:val="pct20" w:color="auto" w:fill="auto"/>
          </w:tcPr>
          <w:p w14:paraId="724CA335" w14:textId="3B28E6E8" w:rsidR="002C2D77" w:rsidRDefault="002C2D77" w:rsidP="00770C63">
            <w:pPr>
              <w:pStyle w:val="TableHEADER"/>
            </w:pPr>
            <w:r>
              <w:t>Type of study design</w:t>
            </w:r>
          </w:p>
        </w:tc>
        <w:tc>
          <w:tcPr>
            <w:tcW w:w="892" w:type="pct"/>
            <w:shd w:val="pct20" w:color="auto" w:fill="auto"/>
          </w:tcPr>
          <w:p w14:paraId="011E0D09" w14:textId="7ABCE1A1" w:rsidR="002C2D77" w:rsidRDefault="002C2D77" w:rsidP="00770C63">
            <w:pPr>
              <w:pStyle w:val="TableHEADER"/>
            </w:pPr>
            <w:r>
              <w:t>Title of research</w:t>
            </w:r>
          </w:p>
        </w:tc>
        <w:tc>
          <w:tcPr>
            <w:tcW w:w="1560" w:type="pct"/>
            <w:shd w:val="pct20" w:color="auto" w:fill="auto"/>
          </w:tcPr>
          <w:p w14:paraId="78E6D195" w14:textId="05C28618" w:rsidR="002C2D77" w:rsidRDefault="002C2D77" w:rsidP="00770C63">
            <w:pPr>
              <w:pStyle w:val="TableHEADER"/>
            </w:pPr>
            <w:r>
              <w:t>Short description of research</w:t>
            </w:r>
          </w:p>
        </w:tc>
        <w:tc>
          <w:tcPr>
            <w:tcW w:w="1381" w:type="pct"/>
            <w:shd w:val="pct20" w:color="auto" w:fill="auto"/>
          </w:tcPr>
          <w:p w14:paraId="4A032DA0" w14:textId="13AA5758" w:rsidR="002C2D77" w:rsidRDefault="002C2D77" w:rsidP="00770C63">
            <w:pPr>
              <w:pStyle w:val="TableHEADER"/>
            </w:pPr>
            <w:r w:rsidRPr="00E82F54">
              <w:t xml:space="preserve">Website link to </w:t>
            </w:r>
            <w:r>
              <w:t>research</w:t>
            </w:r>
          </w:p>
        </w:tc>
        <w:tc>
          <w:tcPr>
            <w:tcW w:w="457" w:type="pct"/>
            <w:shd w:val="pct20" w:color="auto" w:fill="auto"/>
          </w:tcPr>
          <w:p w14:paraId="76FA3919" w14:textId="34CF7C92" w:rsidR="002C2D77" w:rsidRDefault="002C2D77" w:rsidP="00770C63">
            <w:pPr>
              <w:pStyle w:val="TableHEADER"/>
            </w:pPr>
            <w:r w:rsidRPr="00E82F54">
              <w:t>Date</w:t>
            </w:r>
          </w:p>
        </w:tc>
      </w:tr>
      <w:tr w:rsidR="00206809" w14:paraId="641F2DCE" w14:textId="77777777" w:rsidTr="002C2D77">
        <w:trPr>
          <w:cantSplit/>
        </w:trPr>
        <w:tc>
          <w:tcPr>
            <w:tcW w:w="115" w:type="pct"/>
          </w:tcPr>
          <w:p w14:paraId="1E9DEE99" w14:textId="79022E42" w:rsidR="00206809" w:rsidRPr="00965B6B" w:rsidRDefault="00112E0C" w:rsidP="00206809">
            <w:pPr>
              <w:rPr>
                <w:szCs w:val="20"/>
              </w:rPr>
            </w:pPr>
            <w:r>
              <w:rPr>
                <w:szCs w:val="20"/>
              </w:rPr>
              <w:t>1</w:t>
            </w:r>
          </w:p>
        </w:tc>
        <w:tc>
          <w:tcPr>
            <w:tcW w:w="595" w:type="pct"/>
          </w:tcPr>
          <w:p w14:paraId="0A6A450E" w14:textId="552B1CA5" w:rsidR="00206809" w:rsidRPr="00112E0C" w:rsidRDefault="00206809" w:rsidP="00206809">
            <w:r w:rsidRPr="00112E0C">
              <w:rPr>
                <w:b/>
                <w:bCs/>
                <w:sz w:val="22"/>
              </w:rPr>
              <w:t>REDACTED</w:t>
            </w:r>
          </w:p>
        </w:tc>
        <w:tc>
          <w:tcPr>
            <w:tcW w:w="892" w:type="pct"/>
          </w:tcPr>
          <w:p w14:paraId="1E6105C2" w14:textId="71F6C3D3" w:rsidR="00206809" w:rsidRPr="00112E0C" w:rsidRDefault="00206809" w:rsidP="00206809">
            <w:pPr>
              <w:rPr>
                <w:b/>
                <w:szCs w:val="20"/>
              </w:rPr>
            </w:pPr>
            <w:r w:rsidRPr="00112E0C">
              <w:rPr>
                <w:b/>
                <w:bCs/>
                <w:sz w:val="22"/>
              </w:rPr>
              <w:t>REDACTED</w:t>
            </w:r>
          </w:p>
        </w:tc>
        <w:tc>
          <w:tcPr>
            <w:tcW w:w="1560" w:type="pct"/>
          </w:tcPr>
          <w:p w14:paraId="0B269828" w14:textId="3D3A1F00" w:rsidR="00206809" w:rsidRPr="00112E0C" w:rsidRDefault="00206809" w:rsidP="00206809">
            <w:pPr>
              <w:rPr>
                <w:bCs/>
                <w:szCs w:val="20"/>
              </w:rPr>
            </w:pPr>
            <w:r w:rsidRPr="00112E0C">
              <w:rPr>
                <w:b/>
                <w:bCs/>
                <w:sz w:val="22"/>
              </w:rPr>
              <w:t>REDACTED</w:t>
            </w:r>
          </w:p>
        </w:tc>
        <w:tc>
          <w:tcPr>
            <w:tcW w:w="1381" w:type="pct"/>
          </w:tcPr>
          <w:p w14:paraId="62A7DE3E" w14:textId="74DDC6E7" w:rsidR="00206809" w:rsidRPr="00112E0C" w:rsidRDefault="00206809" w:rsidP="00206809">
            <w:pPr>
              <w:rPr>
                <w:bCs/>
                <w:szCs w:val="20"/>
              </w:rPr>
            </w:pPr>
            <w:r w:rsidRPr="00112E0C">
              <w:rPr>
                <w:b/>
                <w:bCs/>
                <w:sz w:val="22"/>
              </w:rPr>
              <w:t>REDACTED</w:t>
            </w:r>
          </w:p>
        </w:tc>
        <w:tc>
          <w:tcPr>
            <w:tcW w:w="457" w:type="pct"/>
          </w:tcPr>
          <w:p w14:paraId="43BDD19C" w14:textId="4209AB10" w:rsidR="00206809" w:rsidRPr="00112E0C" w:rsidRDefault="00206809" w:rsidP="00206809">
            <w:pPr>
              <w:rPr>
                <w:bCs/>
                <w:szCs w:val="20"/>
              </w:rPr>
            </w:pPr>
            <w:r w:rsidRPr="00112E0C">
              <w:rPr>
                <w:b/>
                <w:bCs/>
                <w:sz w:val="22"/>
              </w:rPr>
              <w:t>REDACTED</w:t>
            </w:r>
          </w:p>
        </w:tc>
      </w:tr>
    </w:tbl>
    <w:p w14:paraId="5790FE22" w14:textId="4FA2628B" w:rsidR="00DD308E" w:rsidRDefault="00DD308E" w:rsidP="002C2D77">
      <w:pPr>
        <w:pStyle w:val="Heading1"/>
        <w:rPr>
          <w:b/>
          <w:sz w:val="32"/>
        </w:rPr>
        <w:sectPr w:rsidR="00DD308E" w:rsidSect="00DD308E">
          <w:footerReference w:type="default" r:id="rId17"/>
          <w:pgSz w:w="16838" w:h="11906" w:orient="landscape"/>
          <w:pgMar w:top="1440" w:right="1440" w:bottom="1440" w:left="1440" w:header="708" w:footer="708" w:gutter="0"/>
          <w:cols w:space="708"/>
          <w:docGrid w:linePitch="360"/>
        </w:sectPr>
      </w:pPr>
    </w:p>
    <w:p w14:paraId="70723DCF"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69BA17C5"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4132122" w14:textId="792FA629" w:rsidR="00E16E0A" w:rsidRDefault="00E16E0A" w:rsidP="00815E23">
      <w:pPr>
        <w:pStyle w:val="ListParagraph"/>
        <w:numPr>
          <w:ilvl w:val="0"/>
          <w:numId w:val="65"/>
        </w:numPr>
        <w:jc w:val="both"/>
      </w:pPr>
      <w:r w:rsidRPr="00E16E0A">
        <w:t>Australia and New Zealand Transplant and Cellular Therapies</w:t>
      </w:r>
      <w:r>
        <w:t xml:space="preserve"> (ANZTCT)</w:t>
      </w:r>
    </w:p>
    <w:p w14:paraId="29399A94" w14:textId="7C62E672" w:rsidR="00D9322C" w:rsidRDefault="00D9322C" w:rsidP="00815E23">
      <w:pPr>
        <w:pStyle w:val="ListParagraph"/>
        <w:numPr>
          <w:ilvl w:val="0"/>
          <w:numId w:val="65"/>
        </w:numPr>
        <w:jc w:val="both"/>
      </w:pPr>
      <w:r>
        <w:t>Haematology society of Australia and New Zealand</w:t>
      </w:r>
      <w:r w:rsidR="00E16E0A">
        <w:t xml:space="preserve"> (HSANZ)</w:t>
      </w:r>
    </w:p>
    <w:p w14:paraId="31E82284" w14:textId="3DC652CA" w:rsidR="00520CB9" w:rsidRDefault="00520CB9" w:rsidP="00815E23">
      <w:pPr>
        <w:pStyle w:val="ListParagraph"/>
        <w:numPr>
          <w:ilvl w:val="0"/>
          <w:numId w:val="65"/>
        </w:numPr>
        <w:jc w:val="both"/>
      </w:pPr>
      <w:r w:rsidRPr="00520CB9">
        <w:t>Myeloma Australia’s Medical and Scientific Advisory Group (MSAG)</w:t>
      </w:r>
    </w:p>
    <w:p w14:paraId="048EAD81" w14:textId="7AC574D7" w:rsidR="00487A04" w:rsidRDefault="00487A04" w:rsidP="00815E23">
      <w:pPr>
        <w:ind w:left="426"/>
        <w:jc w:val="both"/>
      </w:pPr>
      <w:r>
        <w:t>Statements of clinical relevance and support for the application are provided as attachments.</w:t>
      </w:r>
    </w:p>
    <w:p w14:paraId="3BC9D25D" w14:textId="71A97D02" w:rsidR="00EA06D8" w:rsidRPr="00112E0C" w:rsidRDefault="00EA173C" w:rsidP="00112E0C">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8E58D56" w14:textId="6DB3699A" w:rsidR="006A1E4F" w:rsidRPr="00112E0C" w:rsidRDefault="006A1E4F" w:rsidP="00EA06D8">
      <w:pPr>
        <w:ind w:left="426"/>
        <w:rPr>
          <w:szCs w:val="20"/>
        </w:rPr>
      </w:pPr>
      <w:r w:rsidRPr="00112E0C">
        <w:rPr>
          <w:szCs w:val="20"/>
        </w:rPr>
        <w:t>Same as above</w:t>
      </w:r>
    </w:p>
    <w:p w14:paraId="47CC7822" w14:textId="7E4845E5" w:rsidR="00E82F54" w:rsidRDefault="00E82F54" w:rsidP="00E16E0A">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6469A27" w14:textId="27AB5602" w:rsidR="00E16E0A" w:rsidRDefault="00E16E0A" w:rsidP="00E16E0A">
      <w:pPr>
        <w:pStyle w:val="ListParagraph"/>
        <w:numPr>
          <w:ilvl w:val="0"/>
          <w:numId w:val="66"/>
        </w:numPr>
      </w:pPr>
      <w:r>
        <w:t>Myeloma Australia</w:t>
      </w:r>
    </w:p>
    <w:p w14:paraId="0C616A87" w14:textId="340671C0" w:rsidR="00703BAE" w:rsidRDefault="00703BAE" w:rsidP="00E16E0A">
      <w:pPr>
        <w:pStyle w:val="ListParagraph"/>
        <w:numPr>
          <w:ilvl w:val="0"/>
          <w:numId w:val="66"/>
        </w:numPr>
      </w:pPr>
      <w:r>
        <w:t xml:space="preserve">Leukaemia Foundation </w:t>
      </w:r>
    </w:p>
    <w:p w14:paraId="0F9F6720" w14:textId="61C093BD" w:rsidR="00487A04" w:rsidRPr="00561DE1" w:rsidRDefault="00487A04" w:rsidP="00561DE1">
      <w:pPr>
        <w:ind w:left="426"/>
      </w:pPr>
      <w:r>
        <w:t>Letters of support are provided as attachments to this application.</w:t>
      </w:r>
    </w:p>
    <w:p w14:paraId="782B5A03" w14:textId="1BEFF970" w:rsidR="00EE6450" w:rsidRDefault="003433D1" w:rsidP="00112E0C">
      <w:pPr>
        <w:pStyle w:val="Heading2"/>
      </w:pPr>
      <w:r>
        <w:t xml:space="preserve">List the relevant </w:t>
      </w:r>
      <w:r w:rsidRPr="00EE6450">
        <w:t>sponsor</w:t>
      </w:r>
      <w:r>
        <w:t xml:space="preserve">(s) and / or manufacturer(s) who produce similar products relevant </w:t>
      </w:r>
      <w:r w:rsidR="00197D29">
        <w:t>to the proposed medical service:</w:t>
      </w:r>
    </w:p>
    <w:p w14:paraId="45D61BDF" w14:textId="303D1CBF" w:rsidR="00C265E1" w:rsidRDefault="00C265E1" w:rsidP="00112E0C">
      <w:pPr>
        <w:ind w:left="426"/>
        <w:rPr>
          <w:szCs w:val="20"/>
        </w:rPr>
      </w:pPr>
      <w:r>
        <w:t xml:space="preserve">There are no relevant sponsors or manufacturers who produce similar products relevant to </w:t>
      </w:r>
      <w:proofErr w:type="spellStart"/>
      <w:r>
        <w:t>cilta-cel</w:t>
      </w:r>
      <w:proofErr w:type="spellEnd"/>
      <w:r>
        <w:t xml:space="preserve"> in MM. However, MSAC has previously considered other CAR-T therapies before (</w:t>
      </w:r>
      <w:proofErr w:type="spellStart"/>
      <w:r>
        <w:t>Yescarta</w:t>
      </w:r>
      <w:proofErr w:type="spellEnd"/>
      <w:r>
        <w:rPr>
          <w:rFonts w:cstheme="minorHAnsi"/>
        </w:rPr>
        <w:t>®</w:t>
      </w:r>
      <w:r>
        <w:t xml:space="preserve"> [Gilead Sciences] and Kymriah</w:t>
      </w:r>
      <w:r>
        <w:rPr>
          <w:rFonts w:cstheme="minorHAnsi"/>
        </w:rPr>
        <w:t>®</w:t>
      </w:r>
      <w:r>
        <w:t xml:space="preserve"> [Novartis]) and others are currently in the process (</w:t>
      </w:r>
      <w:proofErr w:type="spellStart"/>
      <w:r>
        <w:t>Tecartus</w:t>
      </w:r>
      <w:proofErr w:type="spellEnd"/>
      <w:r>
        <w:rPr>
          <w:rFonts w:cstheme="minorHAnsi"/>
        </w:rPr>
        <w:t>®</w:t>
      </w:r>
      <w:r>
        <w:t xml:space="preserve"> [Gilead Sciences]).</w:t>
      </w:r>
    </w:p>
    <w:p w14:paraId="6C9481EE" w14:textId="1EAD22C0" w:rsidR="00A96329" w:rsidRPr="00A96329" w:rsidRDefault="00E82F54" w:rsidP="00A96329">
      <w:pPr>
        <w:pStyle w:val="Heading2"/>
      </w:pPr>
      <w:r w:rsidRPr="00154B00">
        <w:t>Nominate two experts who could be approached about the proposed medical service and the current clinical management of the service(s):</w:t>
      </w:r>
    </w:p>
    <w:p w14:paraId="50FC36FE" w14:textId="33AAB77F" w:rsidR="00E16E0A" w:rsidRPr="00112E0C" w:rsidRDefault="00112E0C" w:rsidP="00206809">
      <w:pPr>
        <w:ind w:left="426"/>
        <w:jc w:val="both"/>
        <w:rPr>
          <w:b/>
          <w:bCs/>
          <w:i/>
          <w:szCs w:val="20"/>
        </w:rPr>
      </w:pPr>
      <w:r w:rsidRPr="00112E0C">
        <w:rPr>
          <w:b/>
          <w:bCs/>
          <w:szCs w:val="20"/>
        </w:rPr>
        <w:t>REDACTED</w:t>
      </w:r>
    </w:p>
    <w:p w14:paraId="5590C623" w14:textId="77777777" w:rsidR="00112E0C" w:rsidRDefault="00112E0C">
      <w:pPr>
        <w:spacing w:before="0" w:after="200" w:line="276" w:lineRule="auto"/>
        <w:rPr>
          <w:bCs/>
          <w:color w:val="4F81BD" w:themeColor="accent1"/>
          <w:sz w:val="40"/>
          <w:szCs w:val="32"/>
        </w:rPr>
      </w:pPr>
      <w:r>
        <w:br w:type="page"/>
      </w:r>
    </w:p>
    <w:p w14:paraId="1A93FA44" w14:textId="374E654B"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9F4D427" w14:textId="77777777" w:rsidR="0021185D" w:rsidRPr="005C3AE7" w:rsidRDefault="005C3AE7" w:rsidP="00112E0C">
      <w:pPr>
        <w:pStyle w:val="Subtitle"/>
        <w:ind w:left="0"/>
      </w:pPr>
      <w:r w:rsidRPr="005C3AE7">
        <w:t xml:space="preserve">PART 6a – </w:t>
      </w:r>
      <w:r w:rsidR="0021185D" w:rsidRPr="005C3AE7">
        <w:t>INFORMATION ABOUT THE PROPOSED POPULATION</w:t>
      </w:r>
    </w:p>
    <w:p w14:paraId="61238EF5" w14:textId="560792F7" w:rsidR="001915B9" w:rsidRDefault="0021185D" w:rsidP="001915B9">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1915B9">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54AB6A44" w14:textId="37C1B7CB" w:rsidR="00C41CC4" w:rsidRDefault="00C41CC4" w:rsidP="00112E0C">
      <w:pPr>
        <w:ind w:left="284"/>
      </w:pPr>
      <w:r>
        <w:t>Multiple myeloma (MM)</w:t>
      </w:r>
      <w:r w:rsidR="00955C4A">
        <w:t xml:space="preserve"> i</w:t>
      </w:r>
      <w:r>
        <w:t>s a malignant tumour characterised by proliferation of plasma cells in bone marrow, often with the presence of monoclonal Ig in serum/urine sample.</w:t>
      </w:r>
      <w:r w:rsidR="00695608">
        <w:t xml:space="preserve"> </w:t>
      </w:r>
      <w:r>
        <w:t xml:space="preserve">A </w:t>
      </w:r>
      <w:r w:rsidRPr="0007746C">
        <w:t xml:space="preserve">diagnosis of multiple myeloma is based on the clinical assessment of myeloma-related end-organ impairment in the presence of an M-protein and/or monoclonal plasma cells </w:t>
      </w:r>
      <w:r>
        <w:t>(Rajkumar et al., 201</w:t>
      </w:r>
      <w:r w:rsidR="001013AF">
        <w:t>6</w:t>
      </w:r>
      <w:r>
        <w:t>).</w:t>
      </w:r>
    </w:p>
    <w:p w14:paraId="5EB09C6E" w14:textId="281F900D" w:rsidR="00462EE8" w:rsidRDefault="004E5694" w:rsidP="00112E0C">
      <w:pPr>
        <w:ind w:left="284"/>
      </w:pPr>
      <w:r>
        <w:t xml:space="preserve">Patients with MM typically present with the following clinical features; bone disease (and bone loss) with skeletal pain, impaired renal function, anaemia, fatigue, hypercalcaemia, recurrent and/or persistent bacterial infection, and/or </w:t>
      </w:r>
      <w:proofErr w:type="spellStart"/>
      <w:r>
        <w:t>hyperviscosity</w:t>
      </w:r>
      <w:proofErr w:type="spellEnd"/>
      <w:r>
        <w:t xml:space="preserve"> of the blood. </w:t>
      </w:r>
      <w:r w:rsidR="001B1875">
        <w:t>These</w:t>
      </w:r>
      <w:r w:rsidR="001B1875" w:rsidRPr="001B1875">
        <w:t xml:space="preserve"> symptoms are associated with significant morbidity and can result in </w:t>
      </w:r>
      <w:r w:rsidR="001B1875">
        <w:t>mortality</w:t>
      </w:r>
      <w:r w:rsidR="001B1875" w:rsidRPr="001B1875">
        <w:t xml:space="preserve"> in patients who are unable to receive or no longer responsive to available therapies</w:t>
      </w:r>
      <w:r w:rsidR="001B1875">
        <w:t>.</w:t>
      </w:r>
    </w:p>
    <w:p w14:paraId="24E910F2" w14:textId="41F8CC53" w:rsidR="0035410B" w:rsidRDefault="001B1875" w:rsidP="00112E0C">
      <w:pPr>
        <w:ind w:left="284"/>
      </w:pPr>
      <w:r>
        <w:t>MM</w:t>
      </w:r>
      <w:r w:rsidR="007E3BE1">
        <w:t xml:space="preserve"> follows a relapsing and remitting course as patients receive multiple lines of therapy. Although current standard treatments for </w:t>
      </w:r>
      <w:r w:rsidR="00F66387">
        <w:t xml:space="preserve">MM </w:t>
      </w:r>
      <w:r w:rsidR="007E3BE1">
        <w:t xml:space="preserve">may result in remission, most patients will relapse as there is no cure for the disease. Therefore, additional effective treatment options for this disease remains critical for prolonging patient survival. </w:t>
      </w:r>
      <w:r w:rsidR="008C0630">
        <w:t xml:space="preserve">Relapsed </w:t>
      </w:r>
      <w:r w:rsidR="00F66387">
        <w:t xml:space="preserve">MM </w:t>
      </w:r>
      <w:r w:rsidR="008C0630">
        <w:t xml:space="preserve">is defined as the reoccurrence of the disease after partial or complete remission </w:t>
      </w:r>
      <w:r w:rsidR="00921859" w:rsidRPr="00D81053">
        <w:rPr>
          <w:color w:val="000000" w:themeColor="text1"/>
        </w:rPr>
        <w:t xml:space="preserve">and </w:t>
      </w:r>
      <w:r w:rsidR="000813E1">
        <w:t xml:space="preserve">refractory MM is defined as disease that is nonresponsive while on primary or salvage </w:t>
      </w:r>
      <w:proofErr w:type="gramStart"/>
      <w:r w:rsidR="000813E1">
        <w:t>therapy, or</w:t>
      </w:r>
      <w:proofErr w:type="gramEnd"/>
      <w:r w:rsidR="000813E1">
        <w:t xml:space="preserve"> progresses within 60 days of last therapy. Nonresponsive disease is defined as either failure to achieve minimal response or development of progressive disease while on therapy</w:t>
      </w:r>
      <w:r w:rsidR="009B142D">
        <w:t>.</w:t>
      </w:r>
      <w:r w:rsidR="00956375">
        <w:t xml:space="preserve"> Further the in the PBS restrictions for MM therapies</w:t>
      </w:r>
      <w:r w:rsidR="0035410B">
        <w:t>, progressive disease is defined as at least 1 of the following:</w:t>
      </w:r>
    </w:p>
    <w:p w14:paraId="3FEF2FE0" w14:textId="54D7C261" w:rsidR="0035410B" w:rsidRDefault="0035410B" w:rsidP="00E16BDF">
      <w:pPr>
        <w:ind w:left="993" w:hanging="273"/>
      </w:pPr>
      <w:r>
        <w:t>(a) at least a 25% increase and an absolute increase of at least 5 g per L in serum M protein (monoclonal protein); or</w:t>
      </w:r>
    </w:p>
    <w:p w14:paraId="3755E109" w14:textId="2C5B82A9" w:rsidR="0035410B" w:rsidRDefault="0035410B" w:rsidP="00E16BDF">
      <w:pPr>
        <w:ind w:left="993" w:hanging="273"/>
      </w:pPr>
      <w:r>
        <w:t>(b) at least a 25% increase in 24-hour urinary light chain M protein excretion, and an absolute increase of at least 200 mg per 24 hours; or</w:t>
      </w:r>
    </w:p>
    <w:p w14:paraId="402018D5" w14:textId="0E28B73C" w:rsidR="0035410B" w:rsidRDefault="0035410B" w:rsidP="00E16BDF">
      <w:pPr>
        <w:ind w:left="993" w:hanging="273"/>
      </w:pPr>
      <w:r>
        <w:t xml:space="preserve">(c) in oligo-secretory and non-secretory myeloma patients only, at least a 50% increase in the difference between involved free light chain and uninvolved free light </w:t>
      </w:r>
      <w:proofErr w:type="gramStart"/>
      <w:r>
        <w:t>chain;</w:t>
      </w:r>
      <w:proofErr w:type="gramEnd"/>
      <w:r>
        <w:t xml:space="preserve"> or</w:t>
      </w:r>
    </w:p>
    <w:p w14:paraId="10D83229" w14:textId="1DCDB548" w:rsidR="0035410B" w:rsidRDefault="0035410B" w:rsidP="00E16BDF">
      <w:pPr>
        <w:ind w:left="993" w:hanging="273"/>
      </w:pPr>
      <w:r>
        <w:t>(d) at least a 25% relative increase and at least a 10% absolute increase in plasma cells in a bone marrow aspirate or on biopsy; or</w:t>
      </w:r>
    </w:p>
    <w:p w14:paraId="61060FAF" w14:textId="77B04419" w:rsidR="0035410B" w:rsidRDefault="0035410B" w:rsidP="00E16BDF">
      <w:pPr>
        <w:ind w:left="993" w:hanging="273"/>
      </w:pPr>
      <w:r>
        <w:t>(e) an increase in the size or number of lytic bone lesions (not including compression fractures); or</w:t>
      </w:r>
    </w:p>
    <w:p w14:paraId="1E3753B3" w14:textId="40317515" w:rsidR="0035410B" w:rsidRDefault="0035410B" w:rsidP="00E16BDF">
      <w:pPr>
        <w:ind w:left="993" w:hanging="273"/>
      </w:pPr>
      <w:r>
        <w:t>(f) at least a 25% increase in the size of an existing or the development of a new soft tissue plasmacytoma (determined by clinical examination or diagnostic imaging); or</w:t>
      </w:r>
    </w:p>
    <w:p w14:paraId="62B8EA08" w14:textId="4465862A" w:rsidR="0035410B" w:rsidRDefault="0035410B" w:rsidP="00E16BDF">
      <w:pPr>
        <w:ind w:left="993" w:hanging="273"/>
      </w:pPr>
      <w:r>
        <w:t>(g) development of hypercalcaemia (corrected serum calcium greater than 2.65 mmol per L not attributable to any other cause).</w:t>
      </w:r>
    </w:p>
    <w:p w14:paraId="5B99D766" w14:textId="1DE8D9D4" w:rsidR="00C41CC4" w:rsidRDefault="00C41CC4" w:rsidP="00112E0C">
      <w:pPr>
        <w:ind w:left="284"/>
      </w:pPr>
      <w:r>
        <w:t>This application focuses on late stage MM, after a person’s myeloma has been treated with at least three prior lines of therapies (i.e. fourth line plus).</w:t>
      </w:r>
      <w:r w:rsidRPr="007E3BE1">
        <w:t xml:space="preserve"> </w:t>
      </w:r>
      <w:r>
        <w:t xml:space="preserve">Compared with the number of patients diagnosed and receiving first line treatment for MM, the number of patients reaching the fourth line setting is small and is the result of significant rates of attrition at each line of therapy (as indicated above in Q4). The treatment options available on the PBS in this setting are extremely limited for Australian patients and include </w:t>
      </w:r>
      <w:r w:rsidR="00294556">
        <w:t>pomalidomide, carfilzomib, lenalidomide, bortezomib and thalidomide</w:t>
      </w:r>
      <w:r>
        <w:t>.</w:t>
      </w:r>
      <w:r w:rsidRPr="007E3BE1">
        <w:t xml:space="preserve"> </w:t>
      </w:r>
      <w:r w:rsidR="002F4CE8">
        <w:t>However, by the time patients reach fourth-line therapy they have previously been treated with most of these therapies. Further, a</w:t>
      </w:r>
      <w:r>
        <w:t>s the duration of response and remission typically gets shorter with each line of therapy (as discussed in response to Q4), the benefits of currently available therapies in the fourth line pl</w:t>
      </w:r>
      <w:r w:rsidR="002F4CE8">
        <w:t>u</w:t>
      </w:r>
      <w:r>
        <w:t>s setting a</w:t>
      </w:r>
      <w:r w:rsidR="002F4CE8">
        <w:t>re</w:t>
      </w:r>
      <w:r>
        <w:t xml:space="preserve"> very limited. </w:t>
      </w:r>
    </w:p>
    <w:p w14:paraId="231547D1" w14:textId="2D72A337" w:rsidR="007E3BE1" w:rsidRDefault="007E3BE1" w:rsidP="00112E0C">
      <w:pPr>
        <w:ind w:left="426"/>
      </w:pPr>
      <w:r>
        <w:lastRenderedPageBreak/>
        <w:t>Multiple data sources</w:t>
      </w:r>
      <w:r w:rsidR="00F66387">
        <w:t xml:space="preserve"> from clinical trials and the real world</w:t>
      </w:r>
      <w:r w:rsidR="00E241E7">
        <w:t xml:space="preserve"> (in Australia and overseas)</w:t>
      </w:r>
      <w:r>
        <w:t xml:space="preserve"> support that survival prognosis in this setting is very short</w:t>
      </w:r>
      <w:r w:rsidR="00F66387">
        <w:t xml:space="preserve">. </w:t>
      </w:r>
      <w:r w:rsidR="00206809" w:rsidRPr="00112E0C">
        <w:rPr>
          <w:b/>
          <w:bCs/>
          <w:sz w:val="22"/>
        </w:rPr>
        <w:t>REDACTED</w:t>
      </w:r>
      <w:r w:rsidR="00206809">
        <w:rPr>
          <w:b/>
          <w:bCs/>
          <w:sz w:val="22"/>
        </w:rPr>
        <w:t xml:space="preserve">. </w:t>
      </w:r>
      <w:r w:rsidR="00494F17" w:rsidRPr="0095241D">
        <w:t>This</w:t>
      </w:r>
      <w:r w:rsidR="00494F17">
        <w:t xml:space="preserve"> is further supported by other data, including the pomalidomide clinical trial (which was conducted in patients who had previously received and failed bortezomib and lenalidomide) and real world outcomes in the MAMMOTH study in the US which included a </w:t>
      </w:r>
      <w:r w:rsidR="00494F17" w:rsidRPr="0095241D">
        <w:t xml:space="preserve">cohort of patients who were refractory to a PI, </w:t>
      </w:r>
      <w:proofErr w:type="spellStart"/>
      <w:r w:rsidR="00494F17" w:rsidRPr="0095241D">
        <w:t>IMiD</w:t>
      </w:r>
      <w:proofErr w:type="spellEnd"/>
      <w:r w:rsidR="00494F17" w:rsidRPr="0095241D">
        <w:t xml:space="preserve"> and an anti-CD38 inhibitor (consistent with the proposed indication). </w:t>
      </w:r>
      <w:r w:rsidR="0095241D" w:rsidRPr="0095241D">
        <w:t xml:space="preserve">Both the pomalidomide clinical trial and MAMMOTH study included populations who had received a similar number of prior lines of therapy to those enrolled in CARTITUDE-1. </w:t>
      </w:r>
      <w:r w:rsidR="00494F17" w:rsidRPr="0095241D">
        <w:t xml:space="preserve">In these data sources the </w:t>
      </w:r>
      <w:r w:rsidRPr="0095241D">
        <w:t xml:space="preserve">estimated median overall survival of </w:t>
      </w:r>
      <w:r w:rsidR="00494F17" w:rsidRPr="0095241D">
        <w:t xml:space="preserve">these patients is </w:t>
      </w:r>
      <w:r w:rsidRPr="0095241D">
        <w:t xml:space="preserve">approximately </w:t>
      </w:r>
      <w:r w:rsidR="004C5150" w:rsidRPr="0095241D">
        <w:t>9</w:t>
      </w:r>
      <w:r w:rsidR="0009128D" w:rsidRPr="0095241D">
        <w:t xml:space="preserve"> to </w:t>
      </w:r>
      <w:r w:rsidR="004C5150" w:rsidRPr="0095241D">
        <w:t>13</w:t>
      </w:r>
      <w:r w:rsidRPr="0095241D">
        <w:t xml:space="preserve"> months (see Figure</w:t>
      </w:r>
      <w:r w:rsidR="0009128D" w:rsidRPr="0095241D">
        <w:t>s</w:t>
      </w:r>
      <w:r w:rsidRPr="0095241D">
        <w:t xml:space="preserve"> </w:t>
      </w:r>
      <w:r w:rsidR="0095241D" w:rsidRPr="0095241D">
        <w:t>3</w:t>
      </w:r>
      <w:r w:rsidR="004C5150" w:rsidRPr="0095241D">
        <w:t xml:space="preserve"> and </w:t>
      </w:r>
      <w:r w:rsidR="0095241D" w:rsidRPr="0095241D">
        <w:t>4</w:t>
      </w:r>
      <w:r w:rsidR="004C5150" w:rsidRPr="0095241D">
        <w:t>)</w:t>
      </w:r>
      <w:r w:rsidRPr="0095241D">
        <w:t>.</w:t>
      </w:r>
    </w:p>
    <w:p w14:paraId="478E98D0" w14:textId="2A351E16" w:rsidR="00B57B78" w:rsidRDefault="009B142D" w:rsidP="00E16BDF">
      <w:pPr>
        <w:ind w:left="426"/>
      </w:pPr>
      <w:bookmarkStart w:id="8" w:name="_Hlk77754131"/>
      <w:r w:rsidRPr="009A0B1D">
        <w:t xml:space="preserve">Increasing resistance </w:t>
      </w:r>
      <w:bookmarkEnd w:id="8"/>
      <w:r w:rsidRPr="009A0B1D">
        <w:t xml:space="preserve">to previously used therapies is an important problem in the treatment of patients with </w:t>
      </w:r>
      <w:r>
        <w:t xml:space="preserve">relapsed and refractory (RR) </w:t>
      </w:r>
      <w:r w:rsidRPr="009A0B1D">
        <w:t xml:space="preserve">MM. There remains an ongoing need for novel therapies with new mechanisms of action that are effective in the treatment of </w:t>
      </w:r>
      <w:r>
        <w:t xml:space="preserve">late stage </w:t>
      </w:r>
      <w:r w:rsidRPr="009A0B1D">
        <w:t>RRMM</w:t>
      </w:r>
      <w:r>
        <w:t xml:space="preserve"> that can extend survival. </w:t>
      </w:r>
      <w:r w:rsidR="00ED4AA9" w:rsidRPr="00ED4AA9">
        <w:t xml:space="preserve"> </w:t>
      </w:r>
      <w:r w:rsidR="00ED4AA9">
        <w:t xml:space="preserve">Further, </w:t>
      </w:r>
      <w:proofErr w:type="spellStart"/>
      <w:r w:rsidR="00ED4AA9">
        <w:t>cilta-cel</w:t>
      </w:r>
      <w:proofErr w:type="spellEnd"/>
      <w:r w:rsidR="00ED4AA9">
        <w:t xml:space="preserve"> is a </w:t>
      </w:r>
      <w:r w:rsidR="00ED4AA9" w:rsidRPr="00ED4AA9">
        <w:t xml:space="preserve">one-off procedure </w:t>
      </w:r>
      <w:r w:rsidR="00ED4AA9">
        <w:t>and thus patients with RRMM will no longer need to receive continuous therapy until progression.</w:t>
      </w:r>
    </w:p>
    <w:p w14:paraId="10B94F32" w14:textId="77777777" w:rsidR="00E16BDF" w:rsidRDefault="00E16BDF" w:rsidP="00B57B78">
      <w:pPr>
        <w:keepNext/>
        <w:ind w:left="493"/>
        <w:rPr>
          <w:b/>
          <w:bCs/>
        </w:rPr>
      </w:pPr>
    </w:p>
    <w:p w14:paraId="693653A2" w14:textId="52D000BE" w:rsidR="00112E0C" w:rsidRDefault="006A1E4F" w:rsidP="00B57B78">
      <w:pPr>
        <w:keepNext/>
        <w:ind w:left="493"/>
        <w:rPr>
          <w:b/>
          <w:bCs/>
          <w:sz w:val="22"/>
        </w:rPr>
      </w:pPr>
      <w:r w:rsidRPr="00B20F4A">
        <w:rPr>
          <w:b/>
          <w:bCs/>
        </w:rPr>
        <w:t xml:space="preserve">Figure </w:t>
      </w:r>
      <w:r>
        <w:rPr>
          <w:b/>
          <w:bCs/>
        </w:rPr>
        <w:t>2</w:t>
      </w:r>
      <w:r w:rsidRPr="00B20F4A">
        <w:rPr>
          <w:b/>
          <w:bCs/>
        </w:rPr>
        <w:t xml:space="preserve">: </w:t>
      </w:r>
      <w:r w:rsidRPr="00112E0C">
        <w:rPr>
          <w:b/>
          <w:bCs/>
          <w:sz w:val="22"/>
        </w:rPr>
        <w:t>REDACTED</w:t>
      </w:r>
    </w:p>
    <w:p w14:paraId="3DEC453F" w14:textId="77777777" w:rsidR="00B57B78" w:rsidRDefault="00B57B78" w:rsidP="00B57B78">
      <w:pPr>
        <w:keepNext/>
        <w:ind w:left="493"/>
        <w:rPr>
          <w:b/>
          <w:bCs/>
        </w:rPr>
      </w:pPr>
    </w:p>
    <w:p w14:paraId="71CCD227" w14:textId="2249184F" w:rsidR="0009128D" w:rsidRPr="0009128D" w:rsidRDefault="0009128D" w:rsidP="00206809">
      <w:pPr>
        <w:keepNext/>
        <w:ind w:left="493"/>
        <w:rPr>
          <w:b/>
          <w:bCs/>
        </w:rPr>
      </w:pPr>
      <w:r w:rsidRPr="00B20F4A">
        <w:rPr>
          <w:b/>
          <w:bCs/>
        </w:rPr>
        <w:t>Figure</w:t>
      </w:r>
      <w:r w:rsidR="008333E3">
        <w:rPr>
          <w:b/>
          <w:bCs/>
        </w:rPr>
        <w:t xml:space="preserve"> 3</w:t>
      </w:r>
      <w:r w:rsidRPr="00B20F4A">
        <w:rPr>
          <w:b/>
          <w:bCs/>
        </w:rPr>
        <w:t xml:space="preserve">: </w:t>
      </w:r>
      <w:r w:rsidRPr="0009128D">
        <w:rPr>
          <w:b/>
          <w:bCs/>
        </w:rPr>
        <w:t xml:space="preserve">Kaplan–Meier estimates for </w:t>
      </w:r>
      <w:r>
        <w:rPr>
          <w:b/>
          <w:bCs/>
        </w:rPr>
        <w:t xml:space="preserve">overall survival </w:t>
      </w:r>
      <w:r w:rsidR="00A13CEA">
        <w:rPr>
          <w:b/>
          <w:bCs/>
        </w:rPr>
        <w:t>based on the pivotal</w:t>
      </w:r>
      <w:r>
        <w:rPr>
          <w:b/>
          <w:bCs/>
        </w:rPr>
        <w:t xml:space="preserve"> pomalidomide MM-003 trial</w:t>
      </w:r>
    </w:p>
    <w:p w14:paraId="4627EB3D" w14:textId="6C93E084" w:rsidR="0009128D" w:rsidRDefault="00A277AB" w:rsidP="00E16BDF">
      <w:pPr>
        <w:keepNext/>
        <w:ind w:left="493"/>
      </w:pPr>
      <w:r>
        <w:rPr>
          <w:noProof/>
        </w:rPr>
        <w:drawing>
          <wp:inline distT="0" distB="0" distL="0" distR="0" wp14:anchorId="001912E1" wp14:editId="2B480407">
            <wp:extent cx="5731510" cy="3341370"/>
            <wp:effectExtent l="0" t="0" r="2540" b="0"/>
            <wp:docPr id="18" name="Picture 1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icture"/>
                    <pic:cNvPicPr/>
                  </pic:nvPicPr>
                  <pic:blipFill>
                    <a:blip r:embed="rId18"/>
                    <a:stretch>
                      <a:fillRect/>
                    </a:stretch>
                  </pic:blipFill>
                  <pic:spPr>
                    <a:xfrm>
                      <a:off x="0" y="0"/>
                      <a:ext cx="5731510" cy="3341370"/>
                    </a:xfrm>
                    <a:prstGeom prst="rect">
                      <a:avLst/>
                    </a:prstGeom>
                  </pic:spPr>
                </pic:pic>
              </a:graphicData>
            </a:graphic>
          </wp:inline>
        </w:drawing>
      </w:r>
    </w:p>
    <w:p w14:paraId="276BF6AE" w14:textId="5CB66265" w:rsidR="0009128D" w:rsidRDefault="0009128D" w:rsidP="00A30430">
      <w:pPr>
        <w:keepNext/>
        <w:spacing w:before="0" w:after="0"/>
        <w:ind w:left="493"/>
        <w:jc w:val="both"/>
        <w:rPr>
          <w:sz w:val="16"/>
          <w:szCs w:val="16"/>
        </w:rPr>
      </w:pPr>
      <w:r>
        <w:rPr>
          <w:sz w:val="16"/>
          <w:szCs w:val="16"/>
        </w:rPr>
        <w:t xml:space="preserve">Note: Median OS for POM + </w:t>
      </w:r>
      <w:proofErr w:type="spellStart"/>
      <w:r>
        <w:rPr>
          <w:sz w:val="16"/>
          <w:szCs w:val="16"/>
        </w:rPr>
        <w:t>LoDex</w:t>
      </w:r>
      <w:proofErr w:type="spellEnd"/>
      <w:r>
        <w:rPr>
          <w:sz w:val="16"/>
          <w:szCs w:val="16"/>
        </w:rPr>
        <w:t xml:space="preserve"> was 12.7 months.</w:t>
      </w:r>
      <w:r w:rsidR="00A277AB">
        <w:rPr>
          <w:sz w:val="16"/>
          <w:szCs w:val="16"/>
        </w:rPr>
        <w:t xml:space="preserve"> </w:t>
      </w:r>
      <w:r>
        <w:rPr>
          <w:sz w:val="16"/>
          <w:szCs w:val="16"/>
        </w:rPr>
        <w:t xml:space="preserve">Abbreviations: </w:t>
      </w:r>
      <w:r w:rsidRPr="0009128D">
        <w:rPr>
          <w:sz w:val="16"/>
          <w:szCs w:val="16"/>
        </w:rPr>
        <w:t>CI, confidence</w:t>
      </w:r>
      <w:r>
        <w:rPr>
          <w:sz w:val="16"/>
          <w:szCs w:val="16"/>
        </w:rPr>
        <w:t xml:space="preserve"> </w:t>
      </w:r>
      <w:r w:rsidRPr="0009128D">
        <w:rPr>
          <w:sz w:val="16"/>
          <w:szCs w:val="16"/>
        </w:rPr>
        <w:t xml:space="preserve">interval; </w:t>
      </w:r>
      <w:proofErr w:type="spellStart"/>
      <w:r w:rsidRPr="0009128D">
        <w:rPr>
          <w:sz w:val="16"/>
          <w:szCs w:val="16"/>
        </w:rPr>
        <w:t>HiDEX</w:t>
      </w:r>
      <w:proofErr w:type="spellEnd"/>
      <w:r w:rsidRPr="0009128D">
        <w:rPr>
          <w:sz w:val="16"/>
          <w:szCs w:val="16"/>
        </w:rPr>
        <w:t xml:space="preserve">, high-dose dexamethasone; </w:t>
      </w:r>
      <w:proofErr w:type="spellStart"/>
      <w:r w:rsidRPr="0009128D">
        <w:rPr>
          <w:sz w:val="16"/>
          <w:szCs w:val="16"/>
        </w:rPr>
        <w:t>LoDEX</w:t>
      </w:r>
      <w:proofErr w:type="spellEnd"/>
      <w:r w:rsidRPr="0009128D">
        <w:rPr>
          <w:sz w:val="16"/>
          <w:szCs w:val="16"/>
        </w:rPr>
        <w:t>, low-dose dexamethasone; OS, overall survival; POM, pomalidomide.</w:t>
      </w:r>
    </w:p>
    <w:p w14:paraId="6F96AB53" w14:textId="0D52012D" w:rsidR="008333E3" w:rsidRDefault="001F04C7" w:rsidP="002B05B8">
      <w:pPr>
        <w:spacing w:before="0" w:after="0"/>
        <w:ind w:left="493"/>
        <w:jc w:val="both"/>
        <w:rPr>
          <w:sz w:val="16"/>
          <w:szCs w:val="16"/>
        </w:rPr>
      </w:pPr>
      <w:r>
        <w:rPr>
          <w:sz w:val="16"/>
          <w:szCs w:val="16"/>
        </w:rPr>
        <w:t xml:space="preserve">Source: </w:t>
      </w:r>
      <w:r w:rsidR="00A277AB">
        <w:rPr>
          <w:sz w:val="16"/>
          <w:szCs w:val="18"/>
        </w:rPr>
        <w:t xml:space="preserve">Miguel et al. 2013. </w:t>
      </w:r>
      <w:r w:rsidR="00A277AB" w:rsidRPr="00A277AB">
        <w:rPr>
          <w:sz w:val="16"/>
          <w:szCs w:val="18"/>
        </w:rPr>
        <w:t>Pomalidomide plus low-dose dexamethasone versus</w:t>
      </w:r>
      <w:r w:rsidR="00A277AB">
        <w:rPr>
          <w:sz w:val="16"/>
          <w:szCs w:val="18"/>
        </w:rPr>
        <w:t xml:space="preserve"> </w:t>
      </w:r>
      <w:r w:rsidR="00A277AB" w:rsidRPr="00A277AB">
        <w:rPr>
          <w:sz w:val="16"/>
          <w:szCs w:val="18"/>
        </w:rPr>
        <w:t>high-dose dexamethasone alone for patients with relapsed</w:t>
      </w:r>
      <w:r w:rsidR="00A277AB">
        <w:rPr>
          <w:sz w:val="16"/>
          <w:szCs w:val="18"/>
        </w:rPr>
        <w:t xml:space="preserve"> </w:t>
      </w:r>
      <w:r w:rsidR="00A277AB" w:rsidRPr="00A277AB">
        <w:rPr>
          <w:sz w:val="16"/>
          <w:szCs w:val="18"/>
        </w:rPr>
        <w:t>and refractory multiple myeloma (MM-003): a randomised,</w:t>
      </w:r>
      <w:r w:rsidR="00A277AB">
        <w:rPr>
          <w:sz w:val="16"/>
          <w:szCs w:val="18"/>
        </w:rPr>
        <w:t xml:space="preserve"> </w:t>
      </w:r>
      <w:r w:rsidR="00A277AB" w:rsidRPr="00A277AB">
        <w:rPr>
          <w:sz w:val="16"/>
          <w:szCs w:val="18"/>
        </w:rPr>
        <w:t>open-label, phase 3 trial</w:t>
      </w:r>
      <w:r w:rsidR="00A277AB">
        <w:rPr>
          <w:sz w:val="16"/>
          <w:szCs w:val="18"/>
        </w:rPr>
        <w:t xml:space="preserve">. </w:t>
      </w:r>
      <w:r w:rsidR="00A277AB" w:rsidRPr="00A277AB">
        <w:rPr>
          <w:sz w:val="16"/>
          <w:szCs w:val="18"/>
        </w:rPr>
        <w:t>Lancet Oncol 2013; 14: 1055–66</w:t>
      </w:r>
      <w:r w:rsidR="00A277AB">
        <w:rPr>
          <w:sz w:val="16"/>
          <w:szCs w:val="18"/>
        </w:rPr>
        <w:t>.</w:t>
      </w:r>
    </w:p>
    <w:p w14:paraId="0D6B37B2" w14:textId="192A2304" w:rsidR="00A13CEA" w:rsidRPr="00A13CEA" w:rsidRDefault="00A13CEA" w:rsidP="00A13CEA">
      <w:pPr>
        <w:keepNext/>
        <w:ind w:left="493"/>
        <w:rPr>
          <w:b/>
          <w:bCs/>
        </w:rPr>
      </w:pPr>
      <w:r w:rsidRPr="00B20F4A">
        <w:rPr>
          <w:b/>
          <w:bCs/>
        </w:rPr>
        <w:lastRenderedPageBreak/>
        <w:t xml:space="preserve">Figure </w:t>
      </w:r>
      <w:r w:rsidR="008333E3">
        <w:rPr>
          <w:b/>
          <w:bCs/>
        </w:rPr>
        <w:t>4</w:t>
      </w:r>
      <w:r w:rsidRPr="00B20F4A">
        <w:rPr>
          <w:b/>
          <w:bCs/>
        </w:rPr>
        <w:t xml:space="preserve">: </w:t>
      </w:r>
      <w:r w:rsidRPr="0009128D">
        <w:rPr>
          <w:b/>
          <w:bCs/>
        </w:rPr>
        <w:t xml:space="preserve">Kaplan–Meier estimates for </w:t>
      </w:r>
      <w:r w:rsidRPr="00A13CEA">
        <w:rPr>
          <w:b/>
          <w:bCs/>
        </w:rPr>
        <w:t xml:space="preserve">overall survival of MM </w:t>
      </w:r>
      <w:proofErr w:type="gramStart"/>
      <w:r w:rsidRPr="00A13CEA">
        <w:rPr>
          <w:b/>
          <w:bCs/>
        </w:rPr>
        <w:t>patients</w:t>
      </w:r>
      <w:proofErr w:type="gramEnd"/>
      <w:r w:rsidRPr="00A13CEA">
        <w:rPr>
          <w:b/>
          <w:bCs/>
        </w:rPr>
        <w:t xml:space="preserve"> refractory to anti-CD38</w:t>
      </w:r>
      <w:r>
        <w:rPr>
          <w:b/>
          <w:bCs/>
        </w:rPr>
        <w:t xml:space="preserve">s </w:t>
      </w:r>
      <w:r w:rsidRPr="00A13CEA">
        <w:rPr>
          <w:b/>
          <w:bCs/>
        </w:rPr>
        <w:t xml:space="preserve">according to refractoriness to PIs and </w:t>
      </w:r>
      <w:proofErr w:type="spellStart"/>
      <w:r w:rsidRPr="00A13CEA">
        <w:rPr>
          <w:b/>
          <w:bCs/>
        </w:rPr>
        <w:t>IMiDs</w:t>
      </w:r>
      <w:proofErr w:type="spellEnd"/>
      <w:r w:rsidRPr="00A13CEA">
        <w:rPr>
          <w:b/>
          <w:bCs/>
        </w:rPr>
        <w:t xml:space="preserve"> </w:t>
      </w:r>
      <w:r>
        <w:rPr>
          <w:b/>
          <w:bCs/>
        </w:rPr>
        <w:t>(United States MAMMOTH study)</w:t>
      </w:r>
    </w:p>
    <w:p w14:paraId="468A1B79" w14:textId="26BB850A" w:rsidR="00A13CEA" w:rsidRDefault="00A13CEA" w:rsidP="00E16BDF">
      <w:pPr>
        <w:ind w:left="491"/>
        <w:rPr>
          <w:sz w:val="16"/>
          <w:szCs w:val="16"/>
        </w:rPr>
      </w:pPr>
      <w:r w:rsidRPr="00A13CEA">
        <w:rPr>
          <w:noProof/>
        </w:rPr>
        <w:drawing>
          <wp:inline distT="0" distB="0" distL="0" distR="0" wp14:anchorId="037816A7" wp14:editId="47361816">
            <wp:extent cx="3412067" cy="3412067"/>
            <wp:effectExtent l="0" t="0" r="0"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pic:cNvPicPr/>
                  </pic:nvPicPr>
                  <pic:blipFill>
                    <a:blip r:embed="rId19"/>
                    <a:stretch>
                      <a:fillRect/>
                    </a:stretch>
                  </pic:blipFill>
                  <pic:spPr>
                    <a:xfrm>
                      <a:off x="0" y="0"/>
                      <a:ext cx="3430956" cy="3430956"/>
                    </a:xfrm>
                    <a:prstGeom prst="rect">
                      <a:avLst/>
                    </a:prstGeom>
                  </pic:spPr>
                </pic:pic>
              </a:graphicData>
            </a:graphic>
          </wp:inline>
        </w:drawing>
      </w:r>
    </w:p>
    <w:p w14:paraId="36681743" w14:textId="398E1BC4" w:rsidR="00A13CEA" w:rsidRDefault="00A13CEA" w:rsidP="002B05B8">
      <w:pPr>
        <w:spacing w:before="0" w:after="0"/>
        <w:ind w:left="493"/>
        <w:rPr>
          <w:sz w:val="16"/>
          <w:szCs w:val="16"/>
        </w:rPr>
      </w:pPr>
      <w:r>
        <w:rPr>
          <w:sz w:val="16"/>
          <w:szCs w:val="16"/>
        </w:rPr>
        <w:t xml:space="preserve">Note: </w:t>
      </w:r>
      <w:r w:rsidRPr="00A13CEA">
        <w:rPr>
          <w:sz w:val="16"/>
          <w:szCs w:val="16"/>
        </w:rPr>
        <w:t>Median follow-up (from T0) of survivors was 10.6 months (range 1.9–42.3 months). The median OS (</w:t>
      </w:r>
      <w:proofErr w:type="spellStart"/>
      <w:r w:rsidRPr="00A13CEA">
        <w:rPr>
          <w:sz w:val="16"/>
          <w:szCs w:val="16"/>
        </w:rPr>
        <w:t>mOS</w:t>
      </w:r>
      <w:proofErr w:type="spellEnd"/>
      <w:r w:rsidRPr="00A13CEA">
        <w:rPr>
          <w:sz w:val="16"/>
          <w:szCs w:val="16"/>
        </w:rPr>
        <w:t xml:space="preserve">) from T0 for the entire cohort was 8.6 months (95% C.I. 7.2–9.9). OS according to refractoriness group is shown in </w:t>
      </w:r>
      <w:r>
        <w:rPr>
          <w:sz w:val="16"/>
          <w:szCs w:val="16"/>
        </w:rPr>
        <w:t xml:space="preserve">the </w:t>
      </w:r>
      <w:r w:rsidRPr="00A13CEA">
        <w:rPr>
          <w:sz w:val="16"/>
          <w:szCs w:val="16"/>
        </w:rPr>
        <w:t xml:space="preserve">Figure. </w:t>
      </w:r>
      <w:proofErr w:type="spellStart"/>
      <w:r w:rsidRPr="00A13CEA">
        <w:rPr>
          <w:sz w:val="16"/>
          <w:szCs w:val="16"/>
        </w:rPr>
        <w:t>mOS</w:t>
      </w:r>
      <w:proofErr w:type="spellEnd"/>
      <w:r w:rsidRPr="00A13CEA">
        <w:rPr>
          <w:sz w:val="16"/>
          <w:szCs w:val="16"/>
        </w:rPr>
        <w:t xml:space="preserve"> was 11.2 months (95% C.I. 5.4–17.1) for “not triple-refractory” group, 9.2 months (95% C.I. 7.1–11.2) for “triple-and quad-refractory” and 5.6 months (95% C.I. 3.5–7.8) for “penta-refractory” groups</w:t>
      </w:r>
      <w:r>
        <w:rPr>
          <w:sz w:val="16"/>
          <w:szCs w:val="16"/>
        </w:rPr>
        <w:t>.</w:t>
      </w:r>
    </w:p>
    <w:p w14:paraId="0BC7C8E3" w14:textId="17A03345" w:rsidR="00A13CEA" w:rsidRPr="0009128D" w:rsidRDefault="00A13CEA" w:rsidP="002B05B8">
      <w:pPr>
        <w:spacing w:before="0" w:after="240"/>
        <w:ind w:left="493"/>
        <w:rPr>
          <w:sz w:val="16"/>
          <w:szCs w:val="16"/>
        </w:rPr>
      </w:pPr>
      <w:r>
        <w:rPr>
          <w:sz w:val="16"/>
          <w:szCs w:val="16"/>
        </w:rPr>
        <w:t xml:space="preserve">Source: Gandhi et al. 2019. Outcomes of patients with multiple myeloma refractory to CD38-targeted monoclonal antibody therapy. </w:t>
      </w:r>
      <w:r w:rsidRPr="00A13CEA">
        <w:rPr>
          <w:sz w:val="16"/>
          <w:szCs w:val="16"/>
        </w:rPr>
        <w:t xml:space="preserve">Leukemia 2019 Sep;33(9):2266-2275. </w:t>
      </w:r>
      <w:proofErr w:type="spellStart"/>
      <w:r w:rsidRPr="00A13CEA">
        <w:rPr>
          <w:sz w:val="16"/>
          <w:szCs w:val="16"/>
        </w:rPr>
        <w:t>doi</w:t>
      </w:r>
      <w:proofErr w:type="spellEnd"/>
      <w:r w:rsidRPr="00A13CEA">
        <w:rPr>
          <w:sz w:val="16"/>
          <w:szCs w:val="16"/>
        </w:rPr>
        <w:t>: 10.1038/s41375-019-0435-7</w:t>
      </w:r>
    </w:p>
    <w:p w14:paraId="15EC3F6F" w14:textId="5E194956" w:rsidR="00C41CC4" w:rsidRPr="00BD149C" w:rsidRDefault="00AA5FDA" w:rsidP="00C41CC4">
      <w:pPr>
        <w:pStyle w:val="Heading2"/>
        <w:jc w:val="both"/>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3554891" w14:textId="37CEDC75" w:rsidR="00C41CC4" w:rsidRPr="00956375" w:rsidRDefault="00C41CC4" w:rsidP="00112E0C">
      <w:pPr>
        <w:ind w:left="426"/>
        <w:rPr>
          <w:i/>
          <w:iCs/>
          <w:szCs w:val="20"/>
        </w:rPr>
      </w:pPr>
      <w:r w:rsidRPr="00956375">
        <w:rPr>
          <w:i/>
          <w:iCs/>
          <w:szCs w:val="20"/>
        </w:rPr>
        <w:t xml:space="preserve">Referral for </w:t>
      </w:r>
      <w:proofErr w:type="spellStart"/>
      <w:r w:rsidRPr="00956375">
        <w:rPr>
          <w:i/>
          <w:iCs/>
          <w:szCs w:val="20"/>
        </w:rPr>
        <w:t>cilta-cel</w:t>
      </w:r>
      <w:proofErr w:type="spellEnd"/>
    </w:p>
    <w:p w14:paraId="3FD3EBA5" w14:textId="1B5A97C7" w:rsidR="00C41CC4" w:rsidRDefault="00C41CC4" w:rsidP="00112E0C">
      <w:pPr>
        <w:ind w:left="426"/>
        <w:rPr>
          <w:szCs w:val="20"/>
        </w:rPr>
      </w:pPr>
      <w:r>
        <w:rPr>
          <w:szCs w:val="20"/>
        </w:rPr>
        <w:t>P</w:t>
      </w:r>
      <w:r w:rsidRPr="00031A9F">
        <w:rPr>
          <w:szCs w:val="20"/>
        </w:rPr>
        <w:t xml:space="preserve">atients will be monitored by </w:t>
      </w:r>
      <w:r>
        <w:rPr>
          <w:szCs w:val="20"/>
        </w:rPr>
        <w:t xml:space="preserve">their </w:t>
      </w:r>
      <w:r w:rsidRPr="00031A9F">
        <w:rPr>
          <w:szCs w:val="20"/>
        </w:rPr>
        <w:t>haematologists throughout MM treatment to determine remission and relapse status</w:t>
      </w:r>
      <w:r>
        <w:rPr>
          <w:szCs w:val="20"/>
        </w:rPr>
        <w:t xml:space="preserve"> (determined using objective measurement of response, as per the PBAC rules for continuation and cessation</w:t>
      </w:r>
      <w:r w:rsidR="001345EB">
        <w:rPr>
          <w:szCs w:val="20"/>
        </w:rPr>
        <w:t>; refer to Q24 for the definition of progressive disease [MM] included in PBS restrictions for MM therapies</w:t>
      </w:r>
      <w:r>
        <w:rPr>
          <w:szCs w:val="20"/>
        </w:rPr>
        <w:t xml:space="preserve">). </w:t>
      </w:r>
      <w:r w:rsidRPr="00031A9F">
        <w:rPr>
          <w:szCs w:val="20"/>
        </w:rPr>
        <w:t xml:space="preserve">If patients reach the </w:t>
      </w:r>
      <w:r>
        <w:rPr>
          <w:szCs w:val="20"/>
        </w:rPr>
        <w:t>fourth</w:t>
      </w:r>
      <w:r w:rsidRPr="00031A9F">
        <w:rPr>
          <w:szCs w:val="20"/>
        </w:rPr>
        <w:t xml:space="preserve"> line setting, they may be assessed for eligibility for </w:t>
      </w:r>
      <w:proofErr w:type="spellStart"/>
      <w:r w:rsidRPr="00031A9F">
        <w:rPr>
          <w:szCs w:val="20"/>
        </w:rPr>
        <w:t>cilta-cel</w:t>
      </w:r>
      <w:proofErr w:type="spellEnd"/>
      <w:r w:rsidRPr="00031A9F">
        <w:rPr>
          <w:szCs w:val="20"/>
        </w:rPr>
        <w:t xml:space="preserve"> and referred to a treating public hospital </w:t>
      </w:r>
      <w:r>
        <w:rPr>
          <w:szCs w:val="20"/>
        </w:rPr>
        <w:t>by their haematologist or haematological oncologist</w:t>
      </w:r>
      <w:r w:rsidRPr="00031A9F">
        <w:rPr>
          <w:szCs w:val="20"/>
        </w:rPr>
        <w:t>.</w:t>
      </w:r>
      <w:r w:rsidR="001345EB">
        <w:rPr>
          <w:szCs w:val="20"/>
        </w:rPr>
        <w:t xml:space="preserve"> Further, </w:t>
      </w:r>
      <w:r w:rsidR="0061428A">
        <w:rPr>
          <w:szCs w:val="20"/>
        </w:rPr>
        <w:t>patient selection and</w:t>
      </w:r>
      <w:r w:rsidR="001345EB">
        <w:rPr>
          <w:szCs w:val="20"/>
        </w:rPr>
        <w:t xml:space="preserve"> referral decision</w:t>
      </w:r>
      <w:r w:rsidR="0061428A">
        <w:rPr>
          <w:szCs w:val="20"/>
        </w:rPr>
        <w:t>s</w:t>
      </w:r>
      <w:r w:rsidR="001345EB">
        <w:rPr>
          <w:szCs w:val="20"/>
        </w:rPr>
        <w:t xml:space="preserve"> will be determined by </w:t>
      </w:r>
      <w:proofErr w:type="gramStart"/>
      <w:r w:rsidR="001345EB">
        <w:rPr>
          <w:szCs w:val="20"/>
        </w:rPr>
        <w:t>a</w:t>
      </w:r>
      <w:proofErr w:type="gramEnd"/>
      <w:r w:rsidR="001345EB">
        <w:rPr>
          <w:szCs w:val="20"/>
        </w:rPr>
        <w:t xml:space="preserve"> MDT.</w:t>
      </w:r>
    </w:p>
    <w:p w14:paraId="0EA8AF54" w14:textId="052213CB" w:rsidR="0042300E" w:rsidRPr="0042300E" w:rsidRDefault="0018630F" w:rsidP="0042300E">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w:t>
      </w:r>
      <w:r w:rsidR="00F33F1A" w:rsidRPr="00F21080">
        <w:t xml:space="preserve">flowchart </w:t>
      </w:r>
      <w:r w:rsidR="00DF0C51">
        <w:t xml:space="preserve">[as an attachment to the Application Form] </w:t>
      </w:r>
      <w:r w:rsidR="00F33F1A" w:rsidRPr="00154B00">
        <w:t>dep</w:t>
      </w:r>
      <w:r w:rsidRPr="00154B00">
        <w:t>icting the current clinical manag</w:t>
      </w:r>
      <w:r w:rsidR="00197D29">
        <w:t xml:space="preserve">ement pathway up to this </w:t>
      </w:r>
      <w:r w:rsidR="00C41CC4">
        <w:t>point</w:t>
      </w:r>
      <w:r w:rsidR="00197D29">
        <w:t>):</w:t>
      </w:r>
    </w:p>
    <w:p w14:paraId="0ED1E2EC" w14:textId="4CE1FA7E" w:rsidR="007A44D6" w:rsidRPr="001B1875" w:rsidRDefault="008015FE" w:rsidP="00112E0C">
      <w:pPr>
        <w:ind w:left="426"/>
        <w:rPr>
          <w:szCs w:val="20"/>
        </w:rPr>
      </w:pPr>
      <w:r w:rsidRPr="001B1875">
        <w:rPr>
          <w:szCs w:val="20"/>
        </w:rPr>
        <w:t xml:space="preserve">The management of patients with MM is individualised and many factors are considered in making treatment decisions determined by age, comorbidities, frailty, and disability. At diagnosis, patients </w:t>
      </w:r>
      <w:r w:rsidR="00F21080" w:rsidRPr="001B1875">
        <w:rPr>
          <w:szCs w:val="20"/>
        </w:rPr>
        <w:t xml:space="preserve">with </w:t>
      </w:r>
      <w:r w:rsidRPr="001B1875">
        <w:rPr>
          <w:szCs w:val="20"/>
        </w:rPr>
        <w:t>MM</w:t>
      </w:r>
      <w:r w:rsidR="00F21080" w:rsidRPr="001B1875">
        <w:rPr>
          <w:szCs w:val="20"/>
        </w:rPr>
        <w:t xml:space="preserve"> are classified into transplant eligible and transplant </w:t>
      </w:r>
      <w:r w:rsidRPr="001B1875">
        <w:rPr>
          <w:szCs w:val="20"/>
        </w:rPr>
        <w:t>in</w:t>
      </w:r>
      <w:r w:rsidR="00F21080" w:rsidRPr="001B1875">
        <w:rPr>
          <w:szCs w:val="20"/>
        </w:rPr>
        <w:t xml:space="preserve">eligible. Eligibility for autologous transplantation is assessed on age, </w:t>
      </w:r>
      <w:proofErr w:type="gramStart"/>
      <w:r w:rsidR="00F21080" w:rsidRPr="001B1875">
        <w:rPr>
          <w:szCs w:val="20"/>
        </w:rPr>
        <w:t>comorbidities</w:t>
      </w:r>
      <w:proofErr w:type="gramEnd"/>
      <w:r w:rsidR="00F21080" w:rsidRPr="001B1875">
        <w:rPr>
          <w:szCs w:val="20"/>
        </w:rPr>
        <w:t xml:space="preserve"> and frailty. The upper age limit for transplantation is generally 70–75 years in Australia.</w:t>
      </w:r>
      <w:r w:rsidR="00BD149C">
        <w:rPr>
          <w:szCs w:val="20"/>
        </w:rPr>
        <w:t xml:space="preserve"> A treatment algorithm is presented below in Figure </w:t>
      </w:r>
      <w:r w:rsidR="001345EB">
        <w:rPr>
          <w:szCs w:val="20"/>
        </w:rPr>
        <w:t>5</w:t>
      </w:r>
      <w:r w:rsidR="00BD149C">
        <w:rPr>
          <w:szCs w:val="20"/>
        </w:rPr>
        <w:t xml:space="preserve"> that is informed by the Australian MSAG guidelines and the PBS restrictions.</w:t>
      </w:r>
    </w:p>
    <w:p w14:paraId="4DA75E2A" w14:textId="7E609F70" w:rsidR="007A44D6" w:rsidRPr="001B1875" w:rsidRDefault="007A44D6" w:rsidP="00112E0C">
      <w:pPr>
        <w:ind w:left="426"/>
        <w:rPr>
          <w:szCs w:val="20"/>
        </w:rPr>
      </w:pPr>
      <w:r w:rsidRPr="001B1875">
        <w:rPr>
          <w:szCs w:val="20"/>
        </w:rPr>
        <w:t>Currently available myeloma therapies in Australia include three classes of therapeutic agents – proteosome inhibitor</w:t>
      </w:r>
      <w:r w:rsidR="00F22EE3" w:rsidRPr="001B1875">
        <w:rPr>
          <w:szCs w:val="20"/>
        </w:rPr>
        <w:t xml:space="preserve"> </w:t>
      </w:r>
      <w:r w:rsidRPr="001B1875">
        <w:rPr>
          <w:szCs w:val="20"/>
        </w:rPr>
        <w:t>(</w:t>
      </w:r>
      <w:r w:rsidR="00112D04" w:rsidRPr="001B1875">
        <w:rPr>
          <w:szCs w:val="20"/>
        </w:rPr>
        <w:t xml:space="preserve">PI [e.g. </w:t>
      </w:r>
      <w:r w:rsidR="00903494">
        <w:rPr>
          <w:szCs w:val="20"/>
        </w:rPr>
        <w:t>b</w:t>
      </w:r>
      <w:r w:rsidRPr="001B1875">
        <w:rPr>
          <w:szCs w:val="20"/>
        </w:rPr>
        <w:t>ortezomib, carfilzomib</w:t>
      </w:r>
      <w:r w:rsidR="00112D04" w:rsidRPr="001B1875">
        <w:rPr>
          <w:szCs w:val="20"/>
        </w:rPr>
        <w:t>]</w:t>
      </w:r>
      <w:r w:rsidRPr="001B1875">
        <w:rPr>
          <w:szCs w:val="20"/>
        </w:rPr>
        <w:t xml:space="preserve">), </w:t>
      </w:r>
      <w:r w:rsidR="003367C7" w:rsidRPr="001B1875">
        <w:rPr>
          <w:szCs w:val="20"/>
        </w:rPr>
        <w:t>i</w:t>
      </w:r>
      <w:r w:rsidRPr="001B1875">
        <w:rPr>
          <w:szCs w:val="20"/>
        </w:rPr>
        <w:t xml:space="preserve">mmunomodulator </w:t>
      </w:r>
      <w:r w:rsidR="00112D04" w:rsidRPr="001B1875">
        <w:rPr>
          <w:szCs w:val="20"/>
        </w:rPr>
        <w:t xml:space="preserve">drugs </w:t>
      </w:r>
      <w:r w:rsidRPr="001B1875">
        <w:rPr>
          <w:szCs w:val="20"/>
        </w:rPr>
        <w:t>(</w:t>
      </w:r>
      <w:proofErr w:type="spellStart"/>
      <w:r w:rsidR="00112D04" w:rsidRPr="001B1875">
        <w:rPr>
          <w:szCs w:val="20"/>
        </w:rPr>
        <w:t>IMiDs</w:t>
      </w:r>
      <w:proofErr w:type="spellEnd"/>
      <w:r w:rsidR="00112D04" w:rsidRPr="001B1875">
        <w:rPr>
          <w:szCs w:val="20"/>
        </w:rPr>
        <w:t xml:space="preserve"> [e.g. </w:t>
      </w:r>
      <w:r w:rsidR="004E37D1" w:rsidRPr="001B1875">
        <w:rPr>
          <w:szCs w:val="20"/>
        </w:rPr>
        <w:lastRenderedPageBreak/>
        <w:t>t</w:t>
      </w:r>
      <w:r w:rsidRPr="001B1875">
        <w:rPr>
          <w:szCs w:val="20"/>
        </w:rPr>
        <w:t xml:space="preserve">halidomide, </w:t>
      </w:r>
      <w:r w:rsidR="004E37D1" w:rsidRPr="001B1875">
        <w:rPr>
          <w:szCs w:val="20"/>
        </w:rPr>
        <w:t>l</w:t>
      </w:r>
      <w:r w:rsidRPr="001B1875">
        <w:rPr>
          <w:szCs w:val="20"/>
        </w:rPr>
        <w:t xml:space="preserve">enalidomide, </w:t>
      </w:r>
      <w:r w:rsidR="004E37D1" w:rsidRPr="001B1875">
        <w:rPr>
          <w:szCs w:val="20"/>
        </w:rPr>
        <w:t>p</w:t>
      </w:r>
      <w:r w:rsidRPr="001B1875">
        <w:rPr>
          <w:szCs w:val="20"/>
        </w:rPr>
        <w:t>omalidomide</w:t>
      </w:r>
      <w:r w:rsidR="00112D04" w:rsidRPr="001B1875">
        <w:rPr>
          <w:szCs w:val="20"/>
        </w:rPr>
        <w:t>]</w:t>
      </w:r>
      <w:r w:rsidRPr="001B1875">
        <w:rPr>
          <w:szCs w:val="20"/>
        </w:rPr>
        <w:t>) and monoclonal antibody (</w:t>
      </w:r>
      <w:r w:rsidR="00112D04" w:rsidRPr="001B1875">
        <w:rPr>
          <w:szCs w:val="20"/>
        </w:rPr>
        <w:t xml:space="preserve">anti-CD38 e.g. </w:t>
      </w:r>
      <w:r w:rsidR="004E37D1" w:rsidRPr="001B1875">
        <w:rPr>
          <w:szCs w:val="20"/>
        </w:rPr>
        <w:t>d</w:t>
      </w:r>
      <w:r w:rsidRPr="001B1875">
        <w:rPr>
          <w:szCs w:val="20"/>
        </w:rPr>
        <w:t xml:space="preserve">aratumumab) </w:t>
      </w:r>
      <w:r w:rsidR="00351AD4" w:rsidRPr="001B1875">
        <w:rPr>
          <w:szCs w:val="20"/>
        </w:rPr>
        <w:t>(</w:t>
      </w:r>
      <w:r w:rsidR="001013AF">
        <w:rPr>
          <w:szCs w:val="20"/>
        </w:rPr>
        <w:t xml:space="preserve">Quach et al 2019; </w:t>
      </w:r>
      <w:r w:rsidR="00351AD4" w:rsidRPr="001B1875">
        <w:rPr>
          <w:szCs w:val="20"/>
        </w:rPr>
        <w:t>Tomlinson</w:t>
      </w:r>
      <w:r w:rsidR="001013AF">
        <w:rPr>
          <w:szCs w:val="20"/>
        </w:rPr>
        <w:t xml:space="preserve"> et al</w:t>
      </w:r>
      <w:r w:rsidR="00351AD4" w:rsidRPr="001B1875">
        <w:rPr>
          <w:szCs w:val="20"/>
        </w:rPr>
        <w:t>, 2018)</w:t>
      </w:r>
      <w:r w:rsidR="00C0694E">
        <w:rPr>
          <w:szCs w:val="20"/>
        </w:rPr>
        <w:t>.</w:t>
      </w:r>
    </w:p>
    <w:p w14:paraId="6BC611A8" w14:textId="77D6670A" w:rsidR="008015FE" w:rsidRPr="001B1875" w:rsidRDefault="008015FE" w:rsidP="00112E0C">
      <w:pPr>
        <w:ind w:left="426"/>
        <w:rPr>
          <w:szCs w:val="20"/>
        </w:rPr>
      </w:pPr>
      <w:r w:rsidRPr="001B1875">
        <w:rPr>
          <w:szCs w:val="20"/>
        </w:rPr>
        <w:t>As of 1 June 2020, bortezomib, lenalidomide plus dexamethasone (</w:t>
      </w:r>
      <w:proofErr w:type="spellStart"/>
      <w:r w:rsidRPr="001B1875">
        <w:rPr>
          <w:szCs w:val="20"/>
        </w:rPr>
        <w:t>BLd</w:t>
      </w:r>
      <w:proofErr w:type="spellEnd"/>
      <w:r w:rsidRPr="001B1875">
        <w:rPr>
          <w:szCs w:val="20"/>
        </w:rPr>
        <w:t>) was PBS listed for newly diagnosed multiple myeloma irrespective of transplant eligibility</w:t>
      </w:r>
      <w:r w:rsidR="005919C6">
        <w:rPr>
          <w:szCs w:val="20"/>
        </w:rPr>
        <w:t>; and l</w:t>
      </w:r>
      <w:r w:rsidR="005919C6" w:rsidRPr="001B1875">
        <w:rPr>
          <w:szCs w:val="20"/>
        </w:rPr>
        <w:t xml:space="preserve">enalidomide maintenance was also PBS listed in April 2020. </w:t>
      </w:r>
      <w:r w:rsidR="005919C6">
        <w:rPr>
          <w:szCs w:val="20"/>
        </w:rPr>
        <w:t>Most transplant</w:t>
      </w:r>
      <w:r w:rsidRPr="001B1875">
        <w:rPr>
          <w:szCs w:val="20"/>
        </w:rPr>
        <w:t xml:space="preserve"> eligible patients </w:t>
      </w:r>
      <w:r w:rsidR="005919C6">
        <w:rPr>
          <w:szCs w:val="20"/>
        </w:rPr>
        <w:t>will</w:t>
      </w:r>
      <w:r w:rsidRPr="001B1875">
        <w:rPr>
          <w:szCs w:val="20"/>
        </w:rPr>
        <w:t xml:space="preserve"> receive a </w:t>
      </w:r>
      <w:proofErr w:type="spellStart"/>
      <w:r w:rsidR="005919C6">
        <w:rPr>
          <w:szCs w:val="20"/>
        </w:rPr>
        <w:t>BLd</w:t>
      </w:r>
      <w:proofErr w:type="spellEnd"/>
      <w:r w:rsidR="009B142D" w:rsidRPr="001B1875">
        <w:rPr>
          <w:szCs w:val="20"/>
        </w:rPr>
        <w:t xml:space="preserve"> </w:t>
      </w:r>
      <w:r w:rsidR="005919C6">
        <w:rPr>
          <w:szCs w:val="20"/>
        </w:rPr>
        <w:t>and</w:t>
      </w:r>
      <w:r w:rsidRPr="001B1875">
        <w:rPr>
          <w:szCs w:val="20"/>
        </w:rPr>
        <w:t xml:space="preserve"> go on to receive lenalidomide maintenance after transplantation. </w:t>
      </w:r>
      <w:r w:rsidR="005919C6">
        <w:rPr>
          <w:szCs w:val="20"/>
        </w:rPr>
        <w:t xml:space="preserve">Further, most </w:t>
      </w:r>
      <w:proofErr w:type="gramStart"/>
      <w:r w:rsidR="005919C6">
        <w:rPr>
          <w:szCs w:val="20"/>
        </w:rPr>
        <w:t>patients</w:t>
      </w:r>
      <w:proofErr w:type="gramEnd"/>
      <w:r w:rsidRPr="001B1875">
        <w:rPr>
          <w:szCs w:val="20"/>
        </w:rPr>
        <w:t xml:space="preserve"> ineligible for stem cell transplant </w:t>
      </w:r>
      <w:r w:rsidR="005919C6">
        <w:rPr>
          <w:szCs w:val="20"/>
        </w:rPr>
        <w:t xml:space="preserve">will also receive </w:t>
      </w:r>
      <w:proofErr w:type="spellStart"/>
      <w:r w:rsidR="005919C6">
        <w:rPr>
          <w:szCs w:val="20"/>
        </w:rPr>
        <w:t>BLd</w:t>
      </w:r>
      <w:proofErr w:type="spellEnd"/>
      <w:r w:rsidR="005919C6">
        <w:rPr>
          <w:szCs w:val="20"/>
        </w:rPr>
        <w:t xml:space="preserve"> as first-line therapy</w:t>
      </w:r>
      <w:r w:rsidRPr="001B1875">
        <w:rPr>
          <w:szCs w:val="20"/>
        </w:rPr>
        <w:t>.</w:t>
      </w:r>
      <w:r w:rsidR="005919C6">
        <w:rPr>
          <w:szCs w:val="20"/>
        </w:rPr>
        <w:t xml:space="preserve"> Other options on the PBS include Bd or Rd alone as first-line therapy.</w:t>
      </w:r>
      <w:r w:rsidR="00D06954">
        <w:rPr>
          <w:szCs w:val="20"/>
        </w:rPr>
        <w:t xml:space="preserve"> </w:t>
      </w:r>
      <w:r w:rsidR="005919C6">
        <w:rPr>
          <w:szCs w:val="20"/>
        </w:rPr>
        <w:t>However, w</w:t>
      </w:r>
      <w:r w:rsidR="00D06954">
        <w:rPr>
          <w:szCs w:val="20"/>
        </w:rPr>
        <w:t xml:space="preserve">ith the availability of </w:t>
      </w:r>
      <w:proofErr w:type="spellStart"/>
      <w:r w:rsidR="00D06954">
        <w:rPr>
          <w:szCs w:val="20"/>
        </w:rPr>
        <w:t>BLd</w:t>
      </w:r>
      <w:proofErr w:type="spellEnd"/>
      <w:r w:rsidR="00D06954">
        <w:rPr>
          <w:szCs w:val="20"/>
        </w:rPr>
        <w:t xml:space="preserve"> and lenalidomide maintenance on the PBS (and which were accepted by the PBAC as superior to other first line regimens) it is expected that </w:t>
      </w:r>
      <w:r w:rsidR="007007AD">
        <w:rPr>
          <w:szCs w:val="20"/>
        </w:rPr>
        <w:t>most</w:t>
      </w:r>
      <w:r w:rsidR="00D06954">
        <w:rPr>
          <w:szCs w:val="20"/>
        </w:rPr>
        <w:t xml:space="preserve"> patients will receive </w:t>
      </w:r>
      <w:r w:rsidR="005919C6">
        <w:rPr>
          <w:szCs w:val="20"/>
        </w:rPr>
        <w:t xml:space="preserve">this combination including both </w:t>
      </w:r>
      <w:r w:rsidR="00D06954">
        <w:rPr>
          <w:szCs w:val="20"/>
        </w:rPr>
        <w:t>bortezomib and lenalidomide therapies in the first line setting.</w:t>
      </w:r>
    </w:p>
    <w:p w14:paraId="5203175A" w14:textId="62DD03AE" w:rsidR="00696598" w:rsidRPr="001B1875" w:rsidRDefault="008015FE" w:rsidP="00112E0C">
      <w:pPr>
        <w:ind w:left="426"/>
        <w:rPr>
          <w:szCs w:val="20"/>
        </w:rPr>
      </w:pPr>
      <w:r w:rsidRPr="001B1875">
        <w:rPr>
          <w:szCs w:val="20"/>
        </w:rPr>
        <w:t xml:space="preserve">The type of prior therapy received and response to prior therapy are important factors which determine treatment of relapsed/refractory patients in the second </w:t>
      </w:r>
      <w:r w:rsidRPr="001345EB">
        <w:rPr>
          <w:szCs w:val="20"/>
        </w:rPr>
        <w:t xml:space="preserve">line setting (as shown in Figure </w:t>
      </w:r>
      <w:r w:rsidR="001345EB" w:rsidRPr="001345EB">
        <w:rPr>
          <w:szCs w:val="20"/>
        </w:rPr>
        <w:t>5</w:t>
      </w:r>
      <w:r w:rsidRPr="001345EB">
        <w:rPr>
          <w:szCs w:val="20"/>
        </w:rPr>
        <w:t xml:space="preserve">). </w:t>
      </w:r>
      <w:r w:rsidR="00696598" w:rsidRPr="001345EB">
        <w:rPr>
          <w:szCs w:val="20"/>
        </w:rPr>
        <w:t>As</w:t>
      </w:r>
      <w:r w:rsidR="00696598" w:rsidRPr="001B1875">
        <w:rPr>
          <w:szCs w:val="20"/>
        </w:rPr>
        <w:t xml:space="preserve"> bortezomib is administered for a finite number of cycles, many </w:t>
      </w:r>
      <w:r w:rsidR="009B142D" w:rsidRPr="001B1875">
        <w:rPr>
          <w:szCs w:val="20"/>
        </w:rPr>
        <w:t>patients</w:t>
      </w:r>
      <w:r w:rsidR="00696598" w:rsidRPr="001B1875">
        <w:rPr>
          <w:szCs w:val="20"/>
        </w:rPr>
        <w:t xml:space="preserve"> </w:t>
      </w:r>
      <w:r w:rsidR="00BD149C">
        <w:rPr>
          <w:szCs w:val="20"/>
        </w:rPr>
        <w:t xml:space="preserve">who receive a bortezomib-based regimen </w:t>
      </w:r>
      <w:r w:rsidR="00696598" w:rsidRPr="001B1875">
        <w:rPr>
          <w:szCs w:val="20"/>
        </w:rPr>
        <w:t>will experience a period where no further treatment is necessary (</w:t>
      </w:r>
      <w:proofErr w:type="spellStart"/>
      <w:r w:rsidR="00696598" w:rsidRPr="001B1875">
        <w:rPr>
          <w:szCs w:val="20"/>
        </w:rPr>
        <w:t>i.e</w:t>
      </w:r>
      <w:proofErr w:type="spellEnd"/>
      <w:r w:rsidR="00696598" w:rsidRPr="001B1875">
        <w:rPr>
          <w:szCs w:val="20"/>
        </w:rPr>
        <w:t xml:space="preserve"> a treatment free interval). Consequently, provided patients achieved at least a partial response to their first course of bortezomib without unacceptable toxicity, patients remain responsive to bortezomib in the relapsed/re-treatment setting. Additionally, with the PBS listing of carfilzomib and dexamethasone (Cd) in January 2018, patients relapsing after prior bortezomib may receive treatment with an alternative proteasome inhibitor (PI), Cd, in the relapsed setting as the ENDEAVOR trial demonstrated that Cd is effective in patients who had previously received (but were not refractory</w:t>
      </w:r>
      <w:r w:rsidR="008C1EFF" w:rsidRPr="001B1875">
        <w:rPr>
          <w:szCs w:val="20"/>
        </w:rPr>
        <w:t xml:space="preserve"> to</w:t>
      </w:r>
      <w:r w:rsidR="00696598" w:rsidRPr="001B1875">
        <w:rPr>
          <w:szCs w:val="20"/>
        </w:rPr>
        <w:t>) bortezomib.</w:t>
      </w:r>
    </w:p>
    <w:p w14:paraId="74ACB6D8" w14:textId="393042DB" w:rsidR="008C1EFF" w:rsidRPr="001B1875" w:rsidRDefault="00696598" w:rsidP="00112E0C">
      <w:pPr>
        <w:ind w:left="426"/>
        <w:rPr>
          <w:szCs w:val="20"/>
        </w:rPr>
      </w:pPr>
      <w:r w:rsidRPr="001B1875">
        <w:rPr>
          <w:szCs w:val="20"/>
        </w:rPr>
        <w:t xml:space="preserve">Treatments PBS listed for patients with </w:t>
      </w:r>
      <w:r w:rsidR="0056536B">
        <w:rPr>
          <w:szCs w:val="20"/>
        </w:rPr>
        <w:t>RR</w:t>
      </w:r>
      <w:r w:rsidRPr="001B1875">
        <w:rPr>
          <w:szCs w:val="20"/>
        </w:rPr>
        <w:t xml:space="preserve">MM include lenalidomide, bortezomib, carfilzomib, pomalidomide and thalidomide. </w:t>
      </w:r>
      <w:proofErr w:type="gramStart"/>
      <w:r w:rsidRPr="001B1875">
        <w:rPr>
          <w:szCs w:val="20"/>
        </w:rPr>
        <w:t>These treatments,</w:t>
      </w:r>
      <w:proofErr w:type="gramEnd"/>
      <w:r w:rsidRPr="001B1875">
        <w:rPr>
          <w:szCs w:val="20"/>
        </w:rPr>
        <w:t xml:space="preserve"> may or may not be used in combination with chemotherapies and/or corticosteroids (most commonly dexamethasone). </w:t>
      </w:r>
      <w:r w:rsidR="008C1EFF" w:rsidRPr="001B1875">
        <w:rPr>
          <w:szCs w:val="20"/>
        </w:rPr>
        <w:t xml:space="preserve">Lenalidomide, bortezomib, carfilzomib and thalidomide have line agnostic PBS listings in the </w:t>
      </w:r>
      <w:r w:rsidR="0056536B">
        <w:rPr>
          <w:szCs w:val="20"/>
        </w:rPr>
        <w:t>RR</w:t>
      </w:r>
      <w:r w:rsidR="008C1EFF" w:rsidRPr="001B1875">
        <w:rPr>
          <w:szCs w:val="20"/>
        </w:rPr>
        <w:t>MM setting. M</w:t>
      </w:r>
      <w:r w:rsidRPr="001B1875">
        <w:rPr>
          <w:szCs w:val="20"/>
        </w:rPr>
        <w:t>ost recently, d</w:t>
      </w:r>
      <w:r w:rsidR="00704692" w:rsidRPr="001B1875">
        <w:rPr>
          <w:szCs w:val="20"/>
        </w:rPr>
        <w:t>aratumumab, bortezomib and dexamethasone</w:t>
      </w:r>
      <w:r w:rsidR="008015FE" w:rsidRPr="001B1875">
        <w:rPr>
          <w:szCs w:val="20"/>
        </w:rPr>
        <w:t xml:space="preserve"> </w:t>
      </w:r>
      <w:r w:rsidR="00704692" w:rsidRPr="001B1875">
        <w:rPr>
          <w:szCs w:val="20"/>
        </w:rPr>
        <w:t>(</w:t>
      </w:r>
      <w:proofErr w:type="spellStart"/>
      <w:r w:rsidR="008015FE" w:rsidRPr="001B1875">
        <w:rPr>
          <w:szCs w:val="20"/>
        </w:rPr>
        <w:t>DBd</w:t>
      </w:r>
      <w:proofErr w:type="spellEnd"/>
      <w:r w:rsidR="00704692" w:rsidRPr="001B1875">
        <w:rPr>
          <w:szCs w:val="20"/>
        </w:rPr>
        <w:t>)</w:t>
      </w:r>
      <w:r w:rsidR="008015FE" w:rsidRPr="001B1875">
        <w:rPr>
          <w:szCs w:val="20"/>
        </w:rPr>
        <w:t xml:space="preserve"> was PBS listed on 1 January 2021</w:t>
      </w:r>
      <w:r w:rsidR="008C1EFF" w:rsidRPr="001B1875">
        <w:rPr>
          <w:szCs w:val="20"/>
        </w:rPr>
        <w:t xml:space="preserve"> for second-line MM only (i.e. not a line agnostic PBS listing)</w:t>
      </w:r>
      <w:r w:rsidR="008015FE" w:rsidRPr="001B1875">
        <w:rPr>
          <w:szCs w:val="20"/>
        </w:rPr>
        <w:t xml:space="preserve">. </w:t>
      </w:r>
      <w:bookmarkStart w:id="9" w:name="_Hlk64549454"/>
      <w:proofErr w:type="spellStart"/>
      <w:r w:rsidR="008015FE" w:rsidRPr="001B1875">
        <w:rPr>
          <w:szCs w:val="20"/>
        </w:rPr>
        <w:t>DBd</w:t>
      </w:r>
      <w:proofErr w:type="spellEnd"/>
      <w:r w:rsidR="008015FE" w:rsidRPr="001B1875">
        <w:rPr>
          <w:szCs w:val="20"/>
        </w:rPr>
        <w:t xml:space="preserve"> is a clinically appropriate treatment option for </w:t>
      </w:r>
      <w:r w:rsidR="00704692" w:rsidRPr="001B1875">
        <w:rPr>
          <w:szCs w:val="20"/>
        </w:rPr>
        <w:t>most</w:t>
      </w:r>
      <w:r w:rsidR="008015FE" w:rsidRPr="001B1875">
        <w:rPr>
          <w:szCs w:val="20"/>
        </w:rPr>
        <w:t xml:space="preserve"> second line MM patients. </w:t>
      </w:r>
      <w:proofErr w:type="spellStart"/>
      <w:r w:rsidR="008015FE" w:rsidRPr="001B1875">
        <w:rPr>
          <w:szCs w:val="20"/>
        </w:rPr>
        <w:t>DBd</w:t>
      </w:r>
      <w:proofErr w:type="spellEnd"/>
      <w:r w:rsidR="008015FE" w:rsidRPr="001B1875">
        <w:rPr>
          <w:szCs w:val="20"/>
        </w:rPr>
        <w:t xml:space="preserve"> is</w:t>
      </w:r>
      <w:r w:rsidRPr="001B1875">
        <w:rPr>
          <w:szCs w:val="20"/>
        </w:rPr>
        <w:t xml:space="preserve"> also</w:t>
      </w:r>
      <w:r w:rsidR="008015FE" w:rsidRPr="001B1875">
        <w:rPr>
          <w:szCs w:val="20"/>
        </w:rPr>
        <w:t xml:space="preserve"> appropriate for patients who had previously received bortezomib-based therapy (unless patients are refractory, </w:t>
      </w:r>
      <w:proofErr w:type="gramStart"/>
      <w:r w:rsidR="008015FE" w:rsidRPr="001B1875">
        <w:rPr>
          <w:szCs w:val="20"/>
        </w:rPr>
        <w:t>intolerant</w:t>
      </w:r>
      <w:proofErr w:type="gramEnd"/>
      <w:r w:rsidR="008015FE" w:rsidRPr="001B1875">
        <w:rPr>
          <w:szCs w:val="20"/>
        </w:rPr>
        <w:t xml:space="preserve"> or contraindicated to bortezomib) or an </w:t>
      </w:r>
      <w:proofErr w:type="spellStart"/>
      <w:r w:rsidR="008015FE" w:rsidRPr="001B1875">
        <w:rPr>
          <w:szCs w:val="20"/>
        </w:rPr>
        <w:t>IMiD</w:t>
      </w:r>
      <w:proofErr w:type="spellEnd"/>
      <w:r w:rsidR="008015FE" w:rsidRPr="001B1875">
        <w:rPr>
          <w:szCs w:val="20"/>
        </w:rPr>
        <w:t>, typically lenalidomide, as first line treatment.</w:t>
      </w:r>
      <w:bookmarkEnd w:id="9"/>
      <w:r w:rsidR="00DC25D0">
        <w:rPr>
          <w:szCs w:val="20"/>
        </w:rPr>
        <w:t xml:space="preserve"> In recommending </w:t>
      </w:r>
      <w:proofErr w:type="spellStart"/>
      <w:r w:rsidR="00DC25D0">
        <w:rPr>
          <w:szCs w:val="20"/>
        </w:rPr>
        <w:t>DBd</w:t>
      </w:r>
      <w:proofErr w:type="spellEnd"/>
      <w:r w:rsidR="00DC25D0">
        <w:rPr>
          <w:szCs w:val="20"/>
        </w:rPr>
        <w:t xml:space="preserve"> for a </w:t>
      </w:r>
      <w:r w:rsidR="007007AD">
        <w:rPr>
          <w:szCs w:val="20"/>
        </w:rPr>
        <w:t>second-</w:t>
      </w:r>
      <w:r w:rsidR="00DC25D0">
        <w:rPr>
          <w:szCs w:val="20"/>
        </w:rPr>
        <w:t xml:space="preserve">line MM listing, it was noted that the uptake of </w:t>
      </w:r>
      <w:proofErr w:type="spellStart"/>
      <w:r w:rsidR="00DC25D0">
        <w:rPr>
          <w:szCs w:val="20"/>
        </w:rPr>
        <w:t>DBd</w:t>
      </w:r>
      <w:proofErr w:type="spellEnd"/>
      <w:r w:rsidR="00DC25D0">
        <w:rPr>
          <w:szCs w:val="20"/>
        </w:rPr>
        <w:t xml:space="preserve"> would be high (given its superior efficacy to other available therapies). As such, </w:t>
      </w:r>
      <w:proofErr w:type="spellStart"/>
      <w:r w:rsidR="00DC25D0">
        <w:rPr>
          <w:szCs w:val="20"/>
        </w:rPr>
        <w:t>DBd</w:t>
      </w:r>
      <w:proofErr w:type="spellEnd"/>
      <w:r w:rsidR="00DC25D0">
        <w:rPr>
          <w:szCs w:val="20"/>
        </w:rPr>
        <w:t xml:space="preserve"> is likely to be used at </w:t>
      </w:r>
      <w:proofErr w:type="gramStart"/>
      <w:r w:rsidR="007007AD">
        <w:rPr>
          <w:szCs w:val="20"/>
        </w:rPr>
        <w:t>second-</w:t>
      </w:r>
      <w:r w:rsidR="00DC25D0">
        <w:rPr>
          <w:szCs w:val="20"/>
        </w:rPr>
        <w:t>line</w:t>
      </w:r>
      <w:proofErr w:type="gramEnd"/>
      <w:r w:rsidR="00DC25D0">
        <w:rPr>
          <w:szCs w:val="20"/>
        </w:rPr>
        <w:t xml:space="preserve"> in the majority of patients.</w:t>
      </w:r>
    </w:p>
    <w:p w14:paraId="796A472A" w14:textId="039A08B5" w:rsidR="008C1EFF" w:rsidRPr="001B1875" w:rsidRDefault="008C1EFF" w:rsidP="00112E0C">
      <w:pPr>
        <w:ind w:left="426"/>
        <w:rPr>
          <w:szCs w:val="20"/>
        </w:rPr>
      </w:pPr>
      <w:r w:rsidRPr="001B1875">
        <w:rPr>
          <w:szCs w:val="20"/>
        </w:rPr>
        <w:t>The availability, and response to previous therapies received plays a major role in treatment selection</w:t>
      </w:r>
      <w:r w:rsidR="00C0694E">
        <w:rPr>
          <w:szCs w:val="20"/>
        </w:rPr>
        <w:t xml:space="preserve"> in the late stage setting</w:t>
      </w:r>
      <w:r w:rsidRPr="001B1875">
        <w:rPr>
          <w:szCs w:val="20"/>
        </w:rPr>
        <w:t xml:space="preserve">. </w:t>
      </w:r>
      <w:r w:rsidR="00C0694E">
        <w:rPr>
          <w:szCs w:val="20"/>
        </w:rPr>
        <w:t>PBS data indicates that in the third</w:t>
      </w:r>
      <w:r w:rsidR="00030043">
        <w:rPr>
          <w:szCs w:val="20"/>
        </w:rPr>
        <w:t>-line</w:t>
      </w:r>
      <w:r w:rsidR="00C0694E">
        <w:rPr>
          <w:szCs w:val="20"/>
        </w:rPr>
        <w:t xml:space="preserve"> MM</w:t>
      </w:r>
      <w:r w:rsidR="00030043">
        <w:rPr>
          <w:szCs w:val="20"/>
        </w:rPr>
        <w:t xml:space="preserve"> setting</w:t>
      </w:r>
      <w:r w:rsidR="00C0694E">
        <w:rPr>
          <w:szCs w:val="20"/>
        </w:rPr>
        <w:t xml:space="preserve">, </w:t>
      </w:r>
      <w:r w:rsidR="00030043">
        <w:rPr>
          <w:szCs w:val="20"/>
        </w:rPr>
        <w:t xml:space="preserve">lenalidomide or </w:t>
      </w:r>
      <w:r w:rsidR="00C0694E">
        <w:rPr>
          <w:szCs w:val="20"/>
        </w:rPr>
        <w:t xml:space="preserve">carfilzomib are generally prescribed in Australian clinical practice. </w:t>
      </w:r>
      <w:r w:rsidR="00030043">
        <w:rPr>
          <w:szCs w:val="20"/>
        </w:rPr>
        <w:t xml:space="preserve">Due to the recent PBS listings in the first-line and second-line MM settings referred to above, it is anticipated that the use of lenalidomide will reduce in the third-line setting and that there will be an increase in the use of carfilzomib in the third-line setting as it will have been displaced in the second-line setting by </w:t>
      </w:r>
      <w:proofErr w:type="spellStart"/>
      <w:r w:rsidR="00030043">
        <w:rPr>
          <w:szCs w:val="20"/>
        </w:rPr>
        <w:t>DBd</w:t>
      </w:r>
      <w:proofErr w:type="spellEnd"/>
      <w:r w:rsidR="00030043">
        <w:rPr>
          <w:szCs w:val="20"/>
        </w:rPr>
        <w:t xml:space="preserve">. For fourth-line MM, the PBS data supports that pomalidomide and carfilzomib are generally prescribed in Australian clinical practice. </w:t>
      </w:r>
      <w:r w:rsidR="00C0694E">
        <w:rPr>
          <w:szCs w:val="20"/>
        </w:rPr>
        <w:t>Further, the PBS data indicates that pomalidomide is the most commonly prescribed of these two treatment options in the fourth-line setting (i.e. the population of interest to this application)</w:t>
      </w:r>
      <w:r w:rsidR="00030043">
        <w:rPr>
          <w:szCs w:val="20"/>
        </w:rPr>
        <w:t xml:space="preserve"> and this is expected to increase over time due to the changes in the clinical algorithm in the last 12 months</w:t>
      </w:r>
      <w:r w:rsidR="00C0694E">
        <w:rPr>
          <w:szCs w:val="20"/>
        </w:rPr>
        <w:t xml:space="preserve">. </w:t>
      </w:r>
      <w:r w:rsidRPr="001B1875">
        <w:rPr>
          <w:szCs w:val="20"/>
        </w:rPr>
        <w:t xml:space="preserve">Pomalidomide, </w:t>
      </w:r>
      <w:r w:rsidR="00C0694E">
        <w:rPr>
          <w:szCs w:val="20"/>
        </w:rPr>
        <w:t>is an</w:t>
      </w:r>
      <w:r w:rsidRPr="001B1875">
        <w:rPr>
          <w:szCs w:val="20"/>
        </w:rPr>
        <w:t xml:space="preserve"> </w:t>
      </w:r>
      <w:proofErr w:type="spellStart"/>
      <w:r w:rsidRPr="001B1875">
        <w:rPr>
          <w:szCs w:val="20"/>
        </w:rPr>
        <w:t>IMiD</w:t>
      </w:r>
      <w:proofErr w:type="spellEnd"/>
      <w:r w:rsidRPr="001B1875">
        <w:rPr>
          <w:szCs w:val="20"/>
        </w:rPr>
        <w:t xml:space="preserve">, </w:t>
      </w:r>
      <w:r w:rsidR="00C0694E">
        <w:rPr>
          <w:szCs w:val="20"/>
        </w:rPr>
        <w:t xml:space="preserve">and </w:t>
      </w:r>
      <w:r w:rsidRPr="001B1875">
        <w:rPr>
          <w:szCs w:val="20"/>
        </w:rPr>
        <w:t xml:space="preserve">is PBS listed for patients who have failed treatment with both bortezomib and lenalidomide. As </w:t>
      </w:r>
      <w:r w:rsidR="00C0694E">
        <w:rPr>
          <w:szCs w:val="20"/>
        </w:rPr>
        <w:t xml:space="preserve">PBS </w:t>
      </w:r>
      <w:r w:rsidRPr="001B1875">
        <w:rPr>
          <w:szCs w:val="20"/>
        </w:rPr>
        <w:t xml:space="preserve">treatment options at </w:t>
      </w:r>
      <w:r w:rsidR="00C0694E">
        <w:rPr>
          <w:szCs w:val="20"/>
        </w:rPr>
        <w:t>the fourth line</w:t>
      </w:r>
      <w:r w:rsidRPr="001B1875">
        <w:rPr>
          <w:szCs w:val="20"/>
        </w:rPr>
        <w:t xml:space="preserve"> </w:t>
      </w:r>
      <w:r w:rsidR="00C0694E">
        <w:rPr>
          <w:szCs w:val="20"/>
        </w:rPr>
        <w:t>plus setting</w:t>
      </w:r>
      <w:r w:rsidRPr="001B1875">
        <w:rPr>
          <w:szCs w:val="20"/>
        </w:rPr>
        <w:t xml:space="preserve"> of RR MM </w:t>
      </w:r>
      <w:r w:rsidR="009B142D" w:rsidRPr="001B1875">
        <w:rPr>
          <w:szCs w:val="20"/>
        </w:rPr>
        <w:t>are extremely limited</w:t>
      </w:r>
      <w:r w:rsidR="00956375">
        <w:rPr>
          <w:szCs w:val="20"/>
        </w:rPr>
        <w:t xml:space="preserve"> and response rates are low</w:t>
      </w:r>
      <w:r w:rsidR="00956375" w:rsidRPr="001B1875">
        <w:rPr>
          <w:szCs w:val="20"/>
        </w:rPr>
        <w:t xml:space="preserve">, </w:t>
      </w:r>
      <w:r w:rsidRPr="001B1875">
        <w:rPr>
          <w:szCs w:val="20"/>
        </w:rPr>
        <w:t xml:space="preserve">clinicians </w:t>
      </w:r>
      <w:r w:rsidR="00C0694E">
        <w:rPr>
          <w:szCs w:val="20"/>
        </w:rPr>
        <w:t xml:space="preserve">are </w:t>
      </w:r>
      <w:r w:rsidRPr="001B1875">
        <w:rPr>
          <w:szCs w:val="20"/>
        </w:rPr>
        <w:t xml:space="preserve">likely to explore other options for access to alternative medicines, such as clinical trial programs, compassionate use programs or private funding. Thus, this outlines the need for new, alternative treatment options for the </w:t>
      </w:r>
      <w:r w:rsidR="00903494">
        <w:rPr>
          <w:szCs w:val="20"/>
        </w:rPr>
        <w:t>fourth</w:t>
      </w:r>
      <w:r w:rsidRPr="001B1875">
        <w:rPr>
          <w:szCs w:val="20"/>
        </w:rPr>
        <w:t xml:space="preserve"> line plus setting in Australia in which the survival prognosis is extremely poor.</w:t>
      </w:r>
    </w:p>
    <w:p w14:paraId="0704A424" w14:textId="5A6FBF00" w:rsidR="00112D04" w:rsidRPr="00306F9E" w:rsidRDefault="00112D04" w:rsidP="00030043">
      <w:pPr>
        <w:keepNext/>
        <w:ind w:left="425"/>
        <w:jc w:val="both"/>
        <w:rPr>
          <w:b/>
          <w:bCs/>
          <w:szCs w:val="20"/>
        </w:rPr>
      </w:pPr>
      <w:r w:rsidRPr="00306F9E">
        <w:rPr>
          <w:b/>
          <w:bCs/>
          <w:szCs w:val="20"/>
        </w:rPr>
        <w:lastRenderedPageBreak/>
        <w:t xml:space="preserve">Figure </w:t>
      </w:r>
      <w:r w:rsidR="008333E3">
        <w:rPr>
          <w:b/>
          <w:bCs/>
          <w:szCs w:val="20"/>
        </w:rPr>
        <w:t>5</w:t>
      </w:r>
      <w:r w:rsidRPr="00306F9E">
        <w:rPr>
          <w:b/>
          <w:bCs/>
          <w:szCs w:val="20"/>
        </w:rPr>
        <w:t>: Current clinical management pathway</w:t>
      </w:r>
    </w:p>
    <w:p w14:paraId="4E401DE9" w14:textId="369AD411" w:rsidR="00EB7FF3" w:rsidRPr="00F82953" w:rsidRDefault="008C1DD3" w:rsidP="00F82953">
      <w:pPr>
        <w:jc w:val="center"/>
      </w:pPr>
      <w:r>
        <w:rPr>
          <w:noProof/>
        </w:rPr>
        <w:drawing>
          <wp:inline distT="0" distB="0" distL="0" distR="0" wp14:anchorId="6CC65568" wp14:editId="1854138F">
            <wp:extent cx="5731510" cy="4063365"/>
            <wp:effectExtent l="0" t="0" r="2540" b="0"/>
            <wp:docPr id="15" name="Picture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pic:cNvPicPr/>
                  </pic:nvPicPr>
                  <pic:blipFill>
                    <a:blip r:embed="rId20"/>
                    <a:stretch>
                      <a:fillRect/>
                    </a:stretch>
                  </pic:blipFill>
                  <pic:spPr>
                    <a:xfrm>
                      <a:off x="0" y="0"/>
                      <a:ext cx="5731510" cy="4063365"/>
                    </a:xfrm>
                    <a:prstGeom prst="rect">
                      <a:avLst/>
                    </a:prstGeom>
                  </pic:spPr>
                </pic:pic>
              </a:graphicData>
            </a:graphic>
          </wp:inline>
        </w:drawing>
      </w:r>
    </w:p>
    <w:p w14:paraId="2031BCDB" w14:textId="118CA053" w:rsidR="00C11DC0" w:rsidRPr="005919C6" w:rsidRDefault="00112D04" w:rsidP="005919C6">
      <w:pPr>
        <w:ind w:left="426"/>
        <w:jc w:val="both"/>
        <w:rPr>
          <w:i/>
          <w:iCs/>
          <w:sz w:val="16"/>
          <w:szCs w:val="16"/>
        </w:rPr>
      </w:pPr>
      <w:r w:rsidRPr="005919C6">
        <w:rPr>
          <w:i/>
          <w:iCs/>
          <w:sz w:val="16"/>
          <w:szCs w:val="16"/>
        </w:rPr>
        <w:t xml:space="preserve">Abbreviations: </w:t>
      </w:r>
      <w:r w:rsidR="00105B85" w:rsidRPr="005919C6">
        <w:rPr>
          <w:i/>
          <w:iCs/>
          <w:sz w:val="16"/>
          <w:szCs w:val="16"/>
        </w:rPr>
        <w:t xml:space="preserve">Bd = bortezomib and dexamethasone; </w:t>
      </w:r>
      <w:proofErr w:type="spellStart"/>
      <w:r w:rsidRPr="005919C6">
        <w:rPr>
          <w:i/>
          <w:iCs/>
          <w:sz w:val="16"/>
          <w:szCs w:val="16"/>
        </w:rPr>
        <w:t>BLd</w:t>
      </w:r>
      <w:proofErr w:type="spellEnd"/>
      <w:r w:rsidRPr="005919C6">
        <w:rPr>
          <w:i/>
          <w:iCs/>
          <w:sz w:val="16"/>
          <w:szCs w:val="16"/>
        </w:rPr>
        <w:t xml:space="preserve"> = bortezomib, lenalidomide and dexamethasone; Cd = carfilzomib and dexamethasone; </w:t>
      </w:r>
      <w:proofErr w:type="spellStart"/>
      <w:r w:rsidRPr="005919C6">
        <w:rPr>
          <w:i/>
          <w:iCs/>
          <w:sz w:val="16"/>
          <w:szCs w:val="16"/>
        </w:rPr>
        <w:t>DBd</w:t>
      </w:r>
      <w:proofErr w:type="spellEnd"/>
      <w:r w:rsidRPr="005919C6">
        <w:rPr>
          <w:i/>
          <w:iCs/>
          <w:sz w:val="16"/>
          <w:szCs w:val="16"/>
        </w:rPr>
        <w:t xml:space="preserve"> = daratumumab, bortezomib and dexamethasone; </w:t>
      </w:r>
      <w:proofErr w:type="spellStart"/>
      <w:r w:rsidRPr="005919C6">
        <w:rPr>
          <w:i/>
          <w:iCs/>
          <w:sz w:val="16"/>
          <w:szCs w:val="16"/>
        </w:rPr>
        <w:t>IMiDs</w:t>
      </w:r>
      <w:proofErr w:type="spellEnd"/>
      <w:r w:rsidRPr="005919C6">
        <w:rPr>
          <w:i/>
          <w:iCs/>
          <w:sz w:val="16"/>
          <w:szCs w:val="16"/>
        </w:rPr>
        <w:t xml:space="preserve"> = immunomodulator drugs; </w:t>
      </w:r>
      <w:proofErr w:type="spellStart"/>
      <w:r w:rsidRPr="005919C6">
        <w:rPr>
          <w:i/>
          <w:iCs/>
          <w:sz w:val="16"/>
          <w:szCs w:val="16"/>
        </w:rPr>
        <w:t>Ld</w:t>
      </w:r>
      <w:proofErr w:type="spellEnd"/>
      <w:r w:rsidRPr="005919C6">
        <w:rPr>
          <w:i/>
          <w:iCs/>
          <w:sz w:val="16"/>
          <w:szCs w:val="16"/>
        </w:rPr>
        <w:t xml:space="preserve"> = lenalidomide and dexamethasone; </w:t>
      </w:r>
      <w:r w:rsidR="00105B85" w:rsidRPr="005919C6">
        <w:rPr>
          <w:i/>
          <w:iCs/>
          <w:sz w:val="16"/>
          <w:szCs w:val="16"/>
        </w:rPr>
        <w:t xml:space="preserve">MM = multiple myeloma; </w:t>
      </w:r>
      <w:r w:rsidRPr="005919C6">
        <w:rPr>
          <w:i/>
          <w:iCs/>
          <w:sz w:val="16"/>
          <w:szCs w:val="16"/>
        </w:rPr>
        <w:t>Pd = pomalidomide and dexamethasone.</w:t>
      </w:r>
    </w:p>
    <w:p w14:paraId="4C691B7B" w14:textId="77777777" w:rsidR="001345EB" w:rsidRDefault="001345EB" w:rsidP="002B596C">
      <w:pPr>
        <w:ind w:left="426"/>
        <w:jc w:val="both"/>
      </w:pPr>
    </w:p>
    <w:p w14:paraId="16FD097C" w14:textId="53E32757" w:rsidR="002A50FD" w:rsidRPr="00881F93" w:rsidRDefault="005C3AE7" w:rsidP="00B57B78">
      <w:pPr>
        <w:pStyle w:val="Subtitle"/>
        <w:ind w:left="0"/>
      </w:pPr>
      <w:r>
        <w:t xml:space="preserve">PART 6b – </w:t>
      </w:r>
      <w:r w:rsidR="002A50FD" w:rsidRPr="00881F93">
        <w:t>INFORMATION ABOUT THE INTERVENTION</w:t>
      </w:r>
    </w:p>
    <w:p w14:paraId="04618E9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03703643" w14:textId="77777777" w:rsidR="009B142D" w:rsidRPr="00971547" w:rsidRDefault="009B142D" w:rsidP="00E16BDF">
      <w:pPr>
        <w:ind w:left="284"/>
        <w:jc w:val="both"/>
      </w:pPr>
      <w:proofErr w:type="spellStart"/>
      <w:r w:rsidRPr="00971547">
        <w:t>Cilta-cel</w:t>
      </w:r>
      <w:proofErr w:type="spellEnd"/>
      <w:r w:rsidRPr="00971547">
        <w:t xml:space="preserve"> is prepared from the patient’s peripheral blood mononuclear cells, which are obtained via a standard leukapheresis procedure. A replication incompetent lentiviral vector is used to introduce an anti-BCMA CAR gene into patient derived human T-cells.</w:t>
      </w:r>
      <w:r>
        <w:t xml:space="preserve"> </w:t>
      </w:r>
      <w:r w:rsidRPr="00971547">
        <w:rPr>
          <w:b/>
          <w:bCs/>
        </w:rPr>
        <w:t xml:space="preserve">The CAR-T process for </w:t>
      </w:r>
      <w:proofErr w:type="spellStart"/>
      <w:r w:rsidRPr="00971547">
        <w:rPr>
          <w:b/>
          <w:bCs/>
        </w:rPr>
        <w:t>cilta-cel</w:t>
      </w:r>
      <w:proofErr w:type="spellEnd"/>
      <w:r w:rsidRPr="00971547">
        <w:rPr>
          <w:b/>
          <w:bCs/>
        </w:rPr>
        <w:t xml:space="preserve"> is consistent with what currently has been </w:t>
      </w:r>
      <w:r>
        <w:rPr>
          <w:b/>
          <w:bCs/>
        </w:rPr>
        <w:t>considered</w:t>
      </w:r>
      <w:r w:rsidRPr="00971547">
        <w:rPr>
          <w:b/>
          <w:bCs/>
        </w:rPr>
        <w:t xml:space="preserve"> </w:t>
      </w:r>
      <w:r>
        <w:rPr>
          <w:b/>
          <w:bCs/>
        </w:rPr>
        <w:t xml:space="preserve">by MSAC </w:t>
      </w:r>
      <w:r w:rsidRPr="00971547">
        <w:rPr>
          <w:b/>
          <w:bCs/>
        </w:rPr>
        <w:t xml:space="preserve">for other CAR-T cells therapy, such as Kymriah® and </w:t>
      </w:r>
      <w:proofErr w:type="spellStart"/>
      <w:r w:rsidRPr="00971547">
        <w:rPr>
          <w:b/>
          <w:bCs/>
        </w:rPr>
        <w:t>Yescarta</w:t>
      </w:r>
      <w:proofErr w:type="spellEnd"/>
      <w:r w:rsidRPr="00971547">
        <w:rPr>
          <w:b/>
          <w:bCs/>
        </w:rPr>
        <w:t>®.</w:t>
      </w:r>
    </w:p>
    <w:p w14:paraId="12B23807" w14:textId="58E5075B" w:rsidR="004D40DB" w:rsidRPr="00971547" w:rsidRDefault="004D40DB" w:rsidP="00E16BDF">
      <w:pPr>
        <w:ind w:left="284"/>
        <w:jc w:val="both"/>
      </w:pPr>
      <w:r>
        <w:t>The diagram</w:t>
      </w:r>
      <w:r w:rsidR="00E67061">
        <w:t xml:space="preserve"> presented in Figure </w:t>
      </w:r>
      <w:r w:rsidR="001345EB">
        <w:t>6</w:t>
      </w:r>
      <w:r>
        <w:t xml:space="preserve"> below summarises the steps involved in the proposed medical service:</w:t>
      </w:r>
    </w:p>
    <w:p w14:paraId="1F3CD1FC" w14:textId="64334BE2" w:rsidR="00986B82" w:rsidRPr="00986B82" w:rsidRDefault="004D40DB" w:rsidP="00E16BDF">
      <w:pPr>
        <w:ind w:left="284"/>
        <w:jc w:val="both"/>
        <w:rPr>
          <w:strike/>
          <w:color w:val="FF0000"/>
        </w:rPr>
      </w:pPr>
      <w:r w:rsidRPr="00971547">
        <w:rPr>
          <w:b/>
          <w:bCs/>
        </w:rPr>
        <w:t>Step 1</w:t>
      </w:r>
      <w:r w:rsidR="00971547">
        <w:rPr>
          <w:b/>
          <w:bCs/>
        </w:rPr>
        <w:t xml:space="preserve"> –</w:t>
      </w:r>
      <w:r w:rsidRPr="00971547">
        <w:rPr>
          <w:b/>
          <w:bCs/>
        </w:rPr>
        <w:t xml:space="preserve"> </w:t>
      </w:r>
      <w:r w:rsidR="00F21080" w:rsidRPr="00971547">
        <w:rPr>
          <w:b/>
          <w:bCs/>
        </w:rPr>
        <w:t>Apheresis:</w:t>
      </w:r>
      <w:r w:rsidR="00F21080" w:rsidRPr="00971547">
        <w:t xml:space="preserve"> Once diagnosed eligible for</w:t>
      </w:r>
      <w:r w:rsidRPr="00971547">
        <w:t xml:space="preserve"> </w:t>
      </w:r>
      <w:proofErr w:type="spellStart"/>
      <w:r w:rsidRPr="00971547">
        <w:t>cilta-cel</w:t>
      </w:r>
      <w:proofErr w:type="spellEnd"/>
      <w:r w:rsidR="00F21080" w:rsidRPr="00971547">
        <w:t xml:space="preserve">, the patients will undergo </w:t>
      </w:r>
      <w:r w:rsidRPr="00971547">
        <w:t xml:space="preserve">a standard </w:t>
      </w:r>
      <w:r w:rsidR="00F21080" w:rsidRPr="00971547">
        <w:t xml:space="preserve">apheresis </w:t>
      </w:r>
      <w:r w:rsidRPr="00971547">
        <w:t xml:space="preserve">process </w:t>
      </w:r>
      <w:r w:rsidR="00F21080" w:rsidRPr="00971547">
        <w:t xml:space="preserve">to collect </w:t>
      </w:r>
      <w:r w:rsidR="002B596C">
        <w:t>white blood</w:t>
      </w:r>
      <w:r w:rsidR="00F21080" w:rsidRPr="00971547">
        <w:t xml:space="preserve"> cells</w:t>
      </w:r>
      <w:r w:rsidR="002B596C">
        <w:t xml:space="preserve"> (WBC)</w:t>
      </w:r>
      <w:r w:rsidR="00F21080" w:rsidRPr="00971547">
        <w:t>.</w:t>
      </w:r>
      <w:r w:rsidR="00351AD4" w:rsidRPr="00971547">
        <w:t xml:space="preserve"> </w:t>
      </w:r>
      <w:r w:rsidR="00F21080" w:rsidRPr="00971547">
        <w:t xml:space="preserve">The T cells from apheresis will be collected for transduction and undergo expansion to manufacture </w:t>
      </w:r>
      <w:proofErr w:type="spellStart"/>
      <w:r w:rsidR="002B596C">
        <w:t>c</w:t>
      </w:r>
      <w:r w:rsidR="00F21080" w:rsidRPr="00971547">
        <w:t>ilta-cel</w:t>
      </w:r>
      <w:proofErr w:type="spellEnd"/>
      <w:r w:rsidR="00F21080" w:rsidRPr="00971547">
        <w:t xml:space="preserve">. </w:t>
      </w:r>
      <w:r w:rsidR="00897012" w:rsidRPr="00B57B78">
        <w:rPr>
          <w:b/>
          <w:bCs/>
          <w:sz w:val="22"/>
        </w:rPr>
        <w:t>REDACTED</w:t>
      </w:r>
      <w:r w:rsidR="00897012" w:rsidRPr="00B57B78">
        <w:rPr>
          <w:sz w:val="22"/>
        </w:rPr>
        <w:t>.</w:t>
      </w:r>
      <w:r w:rsidR="00986B82" w:rsidRPr="00986B82">
        <w:t xml:space="preserve"> </w:t>
      </w:r>
    </w:p>
    <w:p w14:paraId="6E2CB6AE" w14:textId="77777777" w:rsidR="00B57B78" w:rsidRDefault="00B57B78" w:rsidP="00E16BDF">
      <w:pPr>
        <w:ind w:left="284"/>
        <w:jc w:val="both"/>
      </w:pPr>
      <w:r w:rsidRPr="00112E0C">
        <w:rPr>
          <w:b/>
          <w:bCs/>
          <w:sz w:val="22"/>
        </w:rPr>
        <w:t>REDACTED</w:t>
      </w:r>
      <w:r w:rsidRPr="008377C3">
        <w:t xml:space="preserve"> </w:t>
      </w:r>
    </w:p>
    <w:p w14:paraId="721F6A00" w14:textId="2E00C25A" w:rsidR="00F21080" w:rsidRPr="00971547" w:rsidRDefault="00F21080" w:rsidP="00E16BDF">
      <w:pPr>
        <w:ind w:left="284"/>
        <w:jc w:val="both"/>
      </w:pPr>
      <w:r w:rsidRPr="008377C3">
        <w:t>Bridging</w:t>
      </w:r>
      <w:r w:rsidRPr="00971547">
        <w:t xml:space="preserve"> </w:t>
      </w:r>
      <w:r w:rsidRPr="008377C3">
        <w:t>therapy</w:t>
      </w:r>
      <w:r w:rsidRPr="00971547">
        <w:t xml:space="preserve">: The patients </w:t>
      </w:r>
      <w:r w:rsidR="005E6ED4">
        <w:t xml:space="preserve">may receive </w:t>
      </w:r>
      <w:r w:rsidRPr="00971547">
        <w:t xml:space="preserve">bridging therapy as per clinical indication to maintain disease stability during the period of production of </w:t>
      </w:r>
      <w:proofErr w:type="spellStart"/>
      <w:r w:rsidRPr="00971547">
        <w:t>cilta-cel</w:t>
      </w:r>
      <w:proofErr w:type="spellEnd"/>
      <w:r w:rsidRPr="00971547">
        <w:t>. Bridging therapy will be a short-term treatment</w:t>
      </w:r>
      <w:r w:rsidR="00B57171" w:rsidRPr="00971547">
        <w:t xml:space="preserve"> (i.e. approximately up to 6 weeks)</w:t>
      </w:r>
      <w:r w:rsidR="00972F5B">
        <w:t xml:space="preserve"> and currently funded on the PBS</w:t>
      </w:r>
      <w:r w:rsidRPr="00971547">
        <w:t xml:space="preserve">.  </w:t>
      </w:r>
    </w:p>
    <w:p w14:paraId="0F0DFB3B" w14:textId="1EF31BBC" w:rsidR="00C24C6B" w:rsidRPr="00986B82" w:rsidRDefault="00C24C6B" w:rsidP="00E16BDF">
      <w:pPr>
        <w:ind w:left="284"/>
        <w:rPr>
          <w:strike/>
          <w:color w:val="FF0000"/>
        </w:rPr>
      </w:pPr>
      <w:r w:rsidRPr="00971547">
        <w:rPr>
          <w:b/>
          <w:bCs/>
        </w:rPr>
        <w:t>Step 2</w:t>
      </w:r>
      <w:r w:rsidR="00971547">
        <w:rPr>
          <w:b/>
          <w:bCs/>
        </w:rPr>
        <w:t xml:space="preserve"> – </w:t>
      </w:r>
      <w:r w:rsidRPr="00971547">
        <w:rPr>
          <w:b/>
          <w:bCs/>
        </w:rPr>
        <w:t xml:space="preserve">Manufacture of </w:t>
      </w:r>
      <w:proofErr w:type="spellStart"/>
      <w:r w:rsidRPr="00971547">
        <w:rPr>
          <w:b/>
          <w:bCs/>
        </w:rPr>
        <w:t>cilta-cel</w:t>
      </w:r>
      <w:proofErr w:type="spellEnd"/>
      <w:r w:rsidRPr="00971547">
        <w:rPr>
          <w:b/>
          <w:bCs/>
        </w:rPr>
        <w:t>:</w:t>
      </w:r>
      <w:r w:rsidR="00165ED7">
        <w:rPr>
          <w:b/>
          <w:bCs/>
        </w:rPr>
        <w:t xml:space="preserve"> </w:t>
      </w:r>
      <w:r w:rsidR="00986B82" w:rsidRPr="00112E0C">
        <w:t xml:space="preserve">The mononuclear cells are enriched for T-cells and genetically modified ex vivo by transduction with a replication incompetent lentiviral vector to express a chimeric antigen receptor (CAR) comprising an anti-BCMA targeting domain. The transduced anti-BCMA CAR T-cells are expanded in cell culture, washed, formulated into a </w:t>
      </w:r>
      <w:proofErr w:type="gramStart"/>
      <w:r w:rsidR="00986B82" w:rsidRPr="00112E0C">
        <w:t>suspension</w:t>
      </w:r>
      <w:proofErr w:type="gramEnd"/>
      <w:r w:rsidR="00986B82" w:rsidRPr="00112E0C">
        <w:t xml:space="preserve"> and cryopreserved. The product must pass a sterility test before release for shipping as a frozen suspension in a patient-specific infusion bag. The drug product infusion bag is individually packed in an aluminium </w:t>
      </w:r>
      <w:proofErr w:type="spellStart"/>
      <w:r w:rsidR="00986B82" w:rsidRPr="00112E0C">
        <w:t>cryo</w:t>
      </w:r>
      <w:proofErr w:type="spellEnd"/>
      <w:r w:rsidR="00986B82" w:rsidRPr="00112E0C">
        <w:t xml:space="preserve"> cassette prior to cryopreservation. Once </w:t>
      </w:r>
      <w:r w:rsidR="00986B82" w:rsidRPr="00112E0C">
        <w:lastRenderedPageBreak/>
        <w:t>the CAR-T product is manufactured, it will undergo full QA release at Raritan, then transported directly to hospital in Australia.</w:t>
      </w:r>
    </w:p>
    <w:p w14:paraId="3A326488" w14:textId="18BB1A94" w:rsidR="00F21080" w:rsidRPr="00971547" w:rsidRDefault="00C24C6B" w:rsidP="00E16BDF">
      <w:pPr>
        <w:ind w:left="284"/>
      </w:pPr>
      <w:r w:rsidRPr="00971547">
        <w:rPr>
          <w:b/>
          <w:bCs/>
        </w:rPr>
        <w:t xml:space="preserve">Step </w:t>
      </w:r>
      <w:r w:rsidR="00971547">
        <w:rPr>
          <w:b/>
          <w:bCs/>
        </w:rPr>
        <w:t xml:space="preserve">3 – </w:t>
      </w:r>
      <w:r w:rsidR="00F21080" w:rsidRPr="00971547">
        <w:rPr>
          <w:b/>
          <w:bCs/>
        </w:rPr>
        <w:t xml:space="preserve">Conditioning </w:t>
      </w:r>
      <w:r w:rsidR="004D40DB" w:rsidRPr="00971547">
        <w:rPr>
          <w:b/>
          <w:bCs/>
        </w:rPr>
        <w:t xml:space="preserve">(lymphodepletion) </w:t>
      </w:r>
      <w:r w:rsidR="00971547">
        <w:rPr>
          <w:b/>
          <w:bCs/>
        </w:rPr>
        <w:t>r</w:t>
      </w:r>
      <w:r w:rsidR="00F21080" w:rsidRPr="00971547">
        <w:rPr>
          <w:b/>
          <w:bCs/>
        </w:rPr>
        <w:t>egimen:</w:t>
      </w:r>
      <w:r w:rsidR="00F21080" w:rsidRPr="00971547">
        <w:t xml:space="preserve"> Approximately 4 </w:t>
      </w:r>
      <w:r w:rsidR="00165ED7">
        <w:t xml:space="preserve">to 5 </w:t>
      </w:r>
      <w:r w:rsidR="00F21080" w:rsidRPr="00971547">
        <w:t xml:space="preserve">weeks after apheresis, after the completion of manufacture and quality testing of </w:t>
      </w:r>
      <w:proofErr w:type="spellStart"/>
      <w:r w:rsidR="00F21080" w:rsidRPr="00971547">
        <w:t>cilta-cel</w:t>
      </w:r>
      <w:proofErr w:type="spellEnd"/>
      <w:r w:rsidR="00F21080" w:rsidRPr="00971547">
        <w:t xml:space="preserve">, the patients are subjected to a conditioning regimen of </w:t>
      </w:r>
      <w:r w:rsidR="00165ED7">
        <w:t>IV</w:t>
      </w:r>
      <w:r w:rsidR="00F21080" w:rsidRPr="00971547">
        <w:t xml:space="preserve"> cyclophosphamide 300 mg/m2 and fludarabine 30 mg/m2 at three daily doses. The conditioning regimen will lead to lymphodepletion and help promote </w:t>
      </w:r>
      <w:proofErr w:type="spellStart"/>
      <w:r w:rsidRPr="00971547">
        <w:t>cilta-cel</w:t>
      </w:r>
      <w:proofErr w:type="spellEnd"/>
      <w:r w:rsidR="00F21080" w:rsidRPr="00971547">
        <w:t xml:space="preserve"> cell expansion in the patients. Cyclophosphamide 300 mg/m2 and fludarabine 30 mg/m2 before </w:t>
      </w:r>
      <w:proofErr w:type="spellStart"/>
      <w:r w:rsidRPr="00971547">
        <w:t>cilta-cel</w:t>
      </w:r>
      <w:proofErr w:type="spellEnd"/>
      <w:r w:rsidRPr="00971547">
        <w:t xml:space="preserve"> </w:t>
      </w:r>
      <w:r w:rsidR="00F21080" w:rsidRPr="00971547">
        <w:t xml:space="preserve">infusion (Day 1) is consistent with the lymphodepletion regimen used in the marketed CAR-T products Kymriah and </w:t>
      </w:r>
      <w:proofErr w:type="spellStart"/>
      <w:r w:rsidR="00F21080" w:rsidRPr="00971547">
        <w:t>Yescarta</w:t>
      </w:r>
      <w:proofErr w:type="spellEnd"/>
      <w:r w:rsidR="00F21080" w:rsidRPr="00971547">
        <w:t xml:space="preserve">. The dose of fludarabine should be reduced to 24 mg/m2 for subjects with an eGFR of 30 to 70 mL/min/1.73m2. </w:t>
      </w:r>
    </w:p>
    <w:p w14:paraId="74821D8E" w14:textId="3CE1C770" w:rsidR="00986B82" w:rsidRPr="00B57B78" w:rsidRDefault="00C24C6B" w:rsidP="00E16BDF">
      <w:pPr>
        <w:ind w:left="284"/>
      </w:pPr>
      <w:r w:rsidRPr="00971547">
        <w:rPr>
          <w:b/>
          <w:bCs/>
        </w:rPr>
        <w:t>Step 4</w:t>
      </w:r>
      <w:r w:rsidR="00971547" w:rsidRPr="00971547">
        <w:rPr>
          <w:b/>
          <w:bCs/>
        </w:rPr>
        <w:t xml:space="preserve"> – </w:t>
      </w:r>
      <w:r w:rsidR="00F21080" w:rsidRPr="00971547">
        <w:rPr>
          <w:b/>
          <w:bCs/>
        </w:rPr>
        <w:t>Infusion</w:t>
      </w:r>
      <w:r w:rsidR="00971547">
        <w:rPr>
          <w:b/>
          <w:bCs/>
        </w:rPr>
        <w:t xml:space="preserve"> of </w:t>
      </w:r>
      <w:proofErr w:type="spellStart"/>
      <w:r w:rsidR="00971547">
        <w:rPr>
          <w:b/>
          <w:bCs/>
        </w:rPr>
        <w:t>cilta-cel</w:t>
      </w:r>
      <w:proofErr w:type="spellEnd"/>
      <w:r w:rsidR="00F21080" w:rsidRPr="00971547">
        <w:rPr>
          <w:b/>
          <w:bCs/>
        </w:rPr>
        <w:t>:</w:t>
      </w:r>
      <w:r w:rsidR="00F21080" w:rsidRPr="00971547">
        <w:t xml:space="preserve"> </w:t>
      </w:r>
      <w:proofErr w:type="spellStart"/>
      <w:r w:rsidR="00986B82" w:rsidRPr="00B57B78">
        <w:t>Cilta-cel</w:t>
      </w:r>
      <w:proofErr w:type="spellEnd"/>
      <w:r w:rsidR="00986B82" w:rsidRPr="00B57B78">
        <w:t xml:space="preserve"> is a single infusion product. </w:t>
      </w:r>
      <w:proofErr w:type="spellStart"/>
      <w:r w:rsidR="00986B82" w:rsidRPr="00B57B78">
        <w:t>Cilta-cel</w:t>
      </w:r>
      <w:proofErr w:type="spellEnd"/>
      <w:r w:rsidR="00986B82" w:rsidRPr="00B57B78">
        <w:t xml:space="preserve"> will be administered 5 to 7 days after start of the conditioning regimen at a public hospital. Pre-infusion medications are administered to all patients (</w:t>
      </w:r>
      <w:r w:rsidR="00B57B78" w:rsidRPr="00B57B78">
        <w:rPr>
          <w:b/>
          <w:bCs/>
        </w:rPr>
        <w:t>REDACTED</w:t>
      </w:r>
      <w:r w:rsidR="00986B82" w:rsidRPr="00B57B78">
        <w:t xml:space="preserve">) prior to </w:t>
      </w:r>
      <w:proofErr w:type="spellStart"/>
      <w:r w:rsidR="00986B82" w:rsidRPr="00B57B78">
        <w:t>cilta-cel</w:t>
      </w:r>
      <w:proofErr w:type="spellEnd"/>
      <w:r w:rsidR="00986B82" w:rsidRPr="00B57B78">
        <w:t xml:space="preserve"> infusion which include antipyretics and an antihistamine. Further, before the infusion and during the recovery period, tocilizumab and emergency equipment will need to be available for use.</w:t>
      </w:r>
    </w:p>
    <w:p w14:paraId="3EB4B4FE" w14:textId="77777777" w:rsidR="00986B82" w:rsidRPr="00B57B78" w:rsidRDefault="00986B82" w:rsidP="00E16BDF">
      <w:pPr>
        <w:ind w:left="284"/>
      </w:pPr>
      <w:r w:rsidRPr="00B57B78">
        <w:t xml:space="preserve">The patient’s identity with the patient identifiers on the infusion bag need to be confirmed before infusion. </w:t>
      </w:r>
      <w:proofErr w:type="spellStart"/>
      <w:r w:rsidRPr="00B57B78">
        <w:t>Cilta-cel</w:t>
      </w:r>
      <w:proofErr w:type="spellEnd"/>
      <w:r w:rsidRPr="00B57B78">
        <w:t xml:space="preserve"> should not be infused if the information on the patient-specific label does not match the intended patient.</w:t>
      </w:r>
    </w:p>
    <w:p w14:paraId="35903709" w14:textId="1D5A748F" w:rsidR="00986B82" w:rsidRPr="00B57B78" w:rsidRDefault="00986B82" w:rsidP="00E16BDF">
      <w:pPr>
        <w:ind w:left="284"/>
      </w:pPr>
      <w:r w:rsidRPr="00B57B78">
        <w:t xml:space="preserve">Once thawed, the entire contents of the </w:t>
      </w:r>
      <w:proofErr w:type="spellStart"/>
      <w:r w:rsidRPr="00B57B78">
        <w:t>cilta-cel</w:t>
      </w:r>
      <w:proofErr w:type="spellEnd"/>
      <w:r w:rsidRPr="00B57B78">
        <w:t xml:space="preserve"> bag must be administered by IV </w:t>
      </w:r>
      <w:r w:rsidR="00B57B78" w:rsidRPr="00B57B78">
        <w:rPr>
          <w:b/>
          <w:bCs/>
        </w:rPr>
        <w:t>REDACTED</w:t>
      </w:r>
      <w:r w:rsidR="00B57B78">
        <w:t xml:space="preserve"> </w:t>
      </w:r>
      <w:r w:rsidRPr="00B57B78">
        <w:t xml:space="preserve">using infusion sets fitted with an in-line filter and not a </w:t>
      </w:r>
      <w:proofErr w:type="spellStart"/>
      <w:r w:rsidRPr="00B57B78">
        <w:t>leukodepleting</w:t>
      </w:r>
      <w:proofErr w:type="spellEnd"/>
      <w:r w:rsidRPr="00B57B78">
        <w:t xml:space="preserve"> filter. The contents of the bag should be gently mixed during </w:t>
      </w:r>
      <w:proofErr w:type="spellStart"/>
      <w:r w:rsidRPr="00B57B78">
        <w:t>cilta-cel</w:t>
      </w:r>
      <w:proofErr w:type="spellEnd"/>
      <w:r w:rsidRPr="00B57B78">
        <w:t xml:space="preserve"> infusion to disperse cell clumps. After the entire content of the product bag is infused, the administration line inclusive of the in-line filter should be flushed, with sodium chloride 9 mg/mL (0.9%) solution (normal saline) to ensure all product is delivered.</w:t>
      </w:r>
    </w:p>
    <w:p w14:paraId="789C2809" w14:textId="77777777" w:rsidR="00986B82" w:rsidRPr="00B57B78" w:rsidRDefault="00986B82" w:rsidP="00E16BDF">
      <w:pPr>
        <w:ind w:left="284"/>
      </w:pPr>
      <w:r w:rsidRPr="00B57B78">
        <w:t xml:space="preserve">The patients will be evaluated for safety on the day of </w:t>
      </w:r>
      <w:proofErr w:type="spellStart"/>
      <w:r w:rsidRPr="00B57B78">
        <w:t>cilta-cel</w:t>
      </w:r>
      <w:proofErr w:type="spellEnd"/>
      <w:r w:rsidRPr="00B57B78">
        <w:t xml:space="preserve"> infusion. Infusion of </w:t>
      </w:r>
      <w:proofErr w:type="spellStart"/>
      <w:r w:rsidRPr="00B57B78">
        <w:t>cilta-cel</w:t>
      </w:r>
      <w:proofErr w:type="spellEnd"/>
      <w:r w:rsidRPr="00B57B78">
        <w:t xml:space="preserve"> will be delayed: </w:t>
      </w:r>
    </w:p>
    <w:p w14:paraId="19B8E452" w14:textId="77777777" w:rsidR="00986B82" w:rsidRPr="00B57B78" w:rsidRDefault="00986B82" w:rsidP="00E16BDF">
      <w:pPr>
        <w:pStyle w:val="ListParagraph"/>
        <w:numPr>
          <w:ilvl w:val="0"/>
          <w:numId w:val="71"/>
        </w:numPr>
        <w:ind w:left="851" w:hanging="284"/>
      </w:pPr>
      <w:r w:rsidRPr="00B57B78">
        <w:t xml:space="preserve">If there are any signs of infection (patients requiring anti-microbial treatment, or with temperature ≥ 38.0 Celsius within 48 hours before infusion of </w:t>
      </w:r>
      <w:proofErr w:type="spellStart"/>
      <w:r w:rsidRPr="00B57B78">
        <w:t>cilta-cel</w:t>
      </w:r>
      <w:proofErr w:type="spellEnd"/>
      <w:r w:rsidRPr="00B57B78">
        <w:t>.</w:t>
      </w:r>
    </w:p>
    <w:p w14:paraId="54EAF22A" w14:textId="5C892421" w:rsidR="00816DFA" w:rsidRPr="00B57B78" w:rsidRDefault="00986B82" w:rsidP="00E16BDF">
      <w:pPr>
        <w:pStyle w:val="ListParagraph"/>
        <w:numPr>
          <w:ilvl w:val="0"/>
          <w:numId w:val="71"/>
        </w:numPr>
        <w:ind w:left="851" w:hanging="284"/>
      </w:pPr>
      <w:r w:rsidRPr="00B57B78">
        <w:t xml:space="preserve">In case of Grade </w:t>
      </w:r>
      <w:r w:rsidRPr="00B57B78">
        <w:sym w:font="Symbol" w:char="F0B3"/>
      </w:r>
      <w:r w:rsidRPr="00B57B78">
        <w:t xml:space="preserve">3 non-hematologic toxicities of cyclophosphamide and fludarabine conditioning (except for Grade 3 nausea, vomiting, diarrhea, or constipation) occurs. </w:t>
      </w:r>
    </w:p>
    <w:p w14:paraId="5AB211CC" w14:textId="5D955212" w:rsidR="00206809" w:rsidRPr="00B57B78" w:rsidRDefault="00C24C6B" w:rsidP="00E16BDF">
      <w:pPr>
        <w:ind w:left="284"/>
      </w:pPr>
      <w:r w:rsidRPr="007135E7">
        <w:rPr>
          <w:b/>
          <w:bCs/>
        </w:rPr>
        <w:t>Step 5</w:t>
      </w:r>
      <w:r w:rsidR="007135E7">
        <w:rPr>
          <w:b/>
          <w:bCs/>
        </w:rPr>
        <w:t xml:space="preserve"> – </w:t>
      </w:r>
      <w:r w:rsidRPr="007135E7">
        <w:rPr>
          <w:b/>
          <w:bCs/>
        </w:rPr>
        <w:t>Monitoring after infusion:</w:t>
      </w:r>
      <w:r>
        <w:t xml:space="preserve"> </w:t>
      </w:r>
      <w:r w:rsidR="002B596C">
        <w:t xml:space="preserve">Following the infusion, there is likely to be a period of monitoring required. As the regulatory processes with the TGA are ongoing, the recommended monitoring requirements after the infusion are still to be confirmed. However, the monitoring requirements for </w:t>
      </w:r>
      <w:proofErr w:type="spellStart"/>
      <w:r w:rsidR="002B596C">
        <w:t>cilta-cel</w:t>
      </w:r>
      <w:proofErr w:type="spellEnd"/>
      <w:r w:rsidR="002B596C">
        <w:t xml:space="preserve"> are not expected to be any different from any other CAR-T therapies, including those considered by MSAC (i.e. Kymriah</w:t>
      </w:r>
      <w:r w:rsidR="002B596C">
        <w:rPr>
          <w:rFonts w:cstheme="minorHAnsi"/>
        </w:rPr>
        <w:t>®</w:t>
      </w:r>
      <w:r w:rsidR="002B596C">
        <w:t xml:space="preserve"> and </w:t>
      </w:r>
      <w:proofErr w:type="spellStart"/>
      <w:r w:rsidR="002B596C">
        <w:t>Yescarta</w:t>
      </w:r>
      <w:proofErr w:type="spellEnd"/>
      <w:r w:rsidR="002B596C">
        <w:rPr>
          <w:rFonts w:cstheme="minorHAnsi"/>
        </w:rPr>
        <w:t>®</w:t>
      </w:r>
      <w:r w:rsidR="002B596C">
        <w:t>).</w:t>
      </w:r>
    </w:p>
    <w:p w14:paraId="46CB18BC" w14:textId="26788015" w:rsidR="00206809" w:rsidRPr="00B57B78" w:rsidRDefault="00165ED7" w:rsidP="00E16BDF">
      <w:pPr>
        <w:keepNext/>
        <w:ind w:firstLine="284"/>
        <w:jc w:val="both"/>
        <w:rPr>
          <w:b/>
          <w:bCs/>
        </w:rPr>
      </w:pPr>
      <w:r w:rsidRPr="00165ED7">
        <w:rPr>
          <w:b/>
          <w:bCs/>
        </w:rPr>
        <w:t xml:space="preserve">Figure </w:t>
      </w:r>
      <w:r w:rsidR="008333E3">
        <w:rPr>
          <w:b/>
          <w:bCs/>
        </w:rPr>
        <w:t>6</w:t>
      </w:r>
      <w:r w:rsidRPr="00165ED7">
        <w:rPr>
          <w:b/>
          <w:bCs/>
        </w:rPr>
        <w:t xml:space="preserve">: </w:t>
      </w:r>
      <w:r w:rsidR="00206809" w:rsidRPr="00B57B78">
        <w:rPr>
          <w:b/>
          <w:bCs/>
          <w:sz w:val="22"/>
        </w:rPr>
        <w:t>REDACTED</w:t>
      </w:r>
    </w:p>
    <w:p w14:paraId="08BC638F" w14:textId="0CFBB1CF" w:rsidR="002A6753" w:rsidRPr="008A1FE6" w:rsidRDefault="002A6753" w:rsidP="00530204">
      <w:pPr>
        <w:pStyle w:val="Heading2"/>
        <w:rPr>
          <w:color w:val="000000" w:themeColor="text1"/>
        </w:rPr>
      </w:pPr>
      <w:r w:rsidRPr="008A1FE6">
        <w:rPr>
          <w:color w:val="000000" w:themeColor="text1"/>
        </w:rPr>
        <w:t>Does the proposed medical service include a registered trademark</w:t>
      </w:r>
      <w:r w:rsidR="00707D4D" w:rsidRPr="008A1FE6">
        <w:rPr>
          <w:color w:val="000000" w:themeColor="text1"/>
        </w:rPr>
        <w:t xml:space="preserve"> component</w:t>
      </w:r>
      <w:r w:rsidRPr="008A1FE6">
        <w:rPr>
          <w:color w:val="000000" w:themeColor="text1"/>
        </w:rPr>
        <w:t xml:space="preserve"> with characteristics that distinguishes it from other similar health </w:t>
      </w:r>
      <w:r w:rsidR="00707D4D" w:rsidRPr="008A1FE6">
        <w:rPr>
          <w:color w:val="000000" w:themeColor="text1"/>
        </w:rPr>
        <w:t>components</w:t>
      </w:r>
      <w:r w:rsidRPr="008A1FE6">
        <w:rPr>
          <w:color w:val="000000" w:themeColor="text1"/>
        </w:rPr>
        <w:t>?</w:t>
      </w:r>
    </w:p>
    <w:p w14:paraId="60B25DA6" w14:textId="0C430373" w:rsidR="00C2265B" w:rsidRDefault="00306F9E" w:rsidP="00E16BDF">
      <w:pPr>
        <w:ind w:left="284"/>
        <w:jc w:val="both"/>
        <w:rPr>
          <w:szCs w:val="20"/>
        </w:rPr>
      </w:pPr>
      <w:proofErr w:type="spellStart"/>
      <w:r>
        <w:rPr>
          <w:szCs w:val="20"/>
        </w:rPr>
        <w:t>Cilta-cel</w:t>
      </w:r>
      <w:proofErr w:type="spellEnd"/>
      <w:r>
        <w:rPr>
          <w:szCs w:val="20"/>
        </w:rPr>
        <w:t xml:space="preserve"> </w:t>
      </w:r>
      <w:r w:rsidR="003064A4">
        <w:rPr>
          <w:szCs w:val="20"/>
        </w:rPr>
        <w:t>i</w:t>
      </w:r>
      <w:r>
        <w:rPr>
          <w:szCs w:val="20"/>
        </w:rPr>
        <w:t xml:space="preserve">s not yet TGA registered. </w:t>
      </w:r>
      <w:r w:rsidR="00C2265B" w:rsidRPr="00C2265B">
        <w:rPr>
          <w:szCs w:val="20"/>
        </w:rPr>
        <w:t xml:space="preserve">However, it is proposed that </w:t>
      </w:r>
      <w:proofErr w:type="spellStart"/>
      <w:r w:rsidR="00C2265B" w:rsidRPr="00C2265B">
        <w:rPr>
          <w:szCs w:val="20"/>
        </w:rPr>
        <w:t>ciltacabtagene</w:t>
      </w:r>
      <w:proofErr w:type="spellEnd"/>
      <w:r w:rsidR="00C2265B" w:rsidRPr="00C2265B">
        <w:rPr>
          <w:szCs w:val="20"/>
        </w:rPr>
        <w:t xml:space="preserve"> </w:t>
      </w:r>
      <w:proofErr w:type="spellStart"/>
      <w:r w:rsidR="00C2265B" w:rsidRPr="00C2265B">
        <w:rPr>
          <w:szCs w:val="20"/>
        </w:rPr>
        <w:t>autoleucel</w:t>
      </w:r>
      <w:proofErr w:type="spellEnd"/>
      <w:r w:rsidR="00C2265B" w:rsidRPr="00C2265B">
        <w:rPr>
          <w:szCs w:val="20"/>
        </w:rPr>
        <w:t xml:space="preserve"> will be supplied as a trademarked class 4 biological </w:t>
      </w:r>
      <w:proofErr w:type="gramStart"/>
      <w:r w:rsidR="00C2265B" w:rsidRPr="00C2265B">
        <w:rPr>
          <w:szCs w:val="20"/>
        </w:rPr>
        <w:t>product;</w:t>
      </w:r>
      <w:proofErr w:type="gramEnd"/>
      <w:r w:rsidR="00C2265B" w:rsidRPr="00C2265B">
        <w:rPr>
          <w:szCs w:val="20"/>
        </w:rPr>
        <w:t xml:space="preserve"> </w:t>
      </w:r>
      <w:r w:rsidR="005D3A0A" w:rsidRPr="005D3A0A">
        <w:rPr>
          <w:b/>
          <w:bCs/>
          <w:szCs w:val="20"/>
        </w:rPr>
        <w:t>REDACTED</w:t>
      </w:r>
      <w:r w:rsidR="006D0B4F">
        <w:rPr>
          <w:szCs w:val="20"/>
        </w:rPr>
        <w:t>.</w:t>
      </w:r>
    </w:p>
    <w:p w14:paraId="2B0BE479" w14:textId="2A841140" w:rsidR="00B940A9" w:rsidRDefault="00306F9E" w:rsidP="00E16BDF">
      <w:pPr>
        <w:ind w:left="284"/>
        <w:jc w:val="both"/>
        <w:rPr>
          <w:szCs w:val="20"/>
        </w:rPr>
      </w:pPr>
      <w:proofErr w:type="spellStart"/>
      <w:r>
        <w:rPr>
          <w:szCs w:val="20"/>
        </w:rPr>
        <w:t>Cilta-cel</w:t>
      </w:r>
      <w:proofErr w:type="spellEnd"/>
      <w:r w:rsidR="008B5737">
        <w:rPr>
          <w:szCs w:val="20"/>
        </w:rPr>
        <w:t xml:space="preserve"> consists of autologous CAR-T cells designed to target the biomarker</w:t>
      </w:r>
      <w:r w:rsidR="00FD7861">
        <w:rPr>
          <w:szCs w:val="20"/>
        </w:rPr>
        <w:t>,</w:t>
      </w:r>
      <w:r w:rsidR="008B5737">
        <w:rPr>
          <w:szCs w:val="20"/>
        </w:rPr>
        <w:t xml:space="preserve"> B cell maturation antigen </w:t>
      </w:r>
      <w:r w:rsidR="00FD7861">
        <w:rPr>
          <w:szCs w:val="20"/>
        </w:rPr>
        <w:t xml:space="preserve">(BCMA) </w:t>
      </w:r>
      <w:r w:rsidR="008B5737">
        <w:rPr>
          <w:szCs w:val="20"/>
        </w:rPr>
        <w:t>which is a type III membrane protein and a part of the tumour necrosis receptor superfamily.</w:t>
      </w:r>
      <w:r w:rsidR="00FD7861" w:rsidRPr="00FD7861">
        <w:t xml:space="preserve"> </w:t>
      </w:r>
      <w:r w:rsidR="00FD7861">
        <w:t xml:space="preserve">BCMA is stably expressed in malignant multiple myeloma plasma cells in almost all patients with MM. Expression of BCMA in non-malignant cells is minimal and limited to plasma cells and a small subset of B cells. BCMA also facilitates MM plasma cell survival. This BCMA target distinguishes it from other CAR-T products currently approved </w:t>
      </w:r>
      <w:r>
        <w:t xml:space="preserve">by MSAC </w:t>
      </w:r>
      <w:r w:rsidR="00FD7861">
        <w:t>(</w:t>
      </w:r>
      <w:proofErr w:type="spellStart"/>
      <w:r w:rsidR="00FD7861">
        <w:t>Yescarta</w:t>
      </w:r>
      <w:proofErr w:type="spellEnd"/>
      <w:r w:rsidR="00C2265B">
        <w:rPr>
          <w:rFonts w:cstheme="minorHAnsi"/>
        </w:rPr>
        <w:t>®</w:t>
      </w:r>
      <w:r w:rsidR="00FD7861">
        <w:t xml:space="preserve"> and Kymriah</w:t>
      </w:r>
      <w:r w:rsidR="00C2265B">
        <w:rPr>
          <w:rFonts w:cstheme="minorHAnsi"/>
        </w:rPr>
        <w:t>®</w:t>
      </w:r>
      <w:r w:rsidR="00FD7861">
        <w:t xml:space="preserve"> which target CD-19</w:t>
      </w:r>
      <w:r w:rsidR="007007AD">
        <w:t xml:space="preserve"> in lymphomas</w:t>
      </w:r>
      <w:r w:rsidR="00FD7861">
        <w:t>).</w:t>
      </w:r>
      <w:r w:rsidR="008B5737">
        <w:rPr>
          <w:szCs w:val="20"/>
        </w:rPr>
        <w:t xml:space="preserve"> </w:t>
      </w:r>
    </w:p>
    <w:p w14:paraId="54758A43"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348942F" w14:textId="79B9A489" w:rsidR="00B940A9" w:rsidRPr="00B940A9" w:rsidRDefault="00FD7861" w:rsidP="00E16BDF">
      <w:pPr>
        <w:ind w:firstLine="360"/>
      </w:pPr>
      <w:r>
        <w:t>Not applicable</w:t>
      </w:r>
      <w:r w:rsidR="00F82953">
        <w:t>.</w:t>
      </w:r>
    </w:p>
    <w:p w14:paraId="351107A0" w14:textId="77777777" w:rsidR="00E16BDF" w:rsidRDefault="00E16BDF">
      <w:pPr>
        <w:spacing w:before="0" w:after="200" w:line="276" w:lineRule="auto"/>
        <w:rPr>
          <w:b/>
          <w:szCs w:val="20"/>
        </w:rPr>
      </w:pPr>
      <w:r>
        <w:br w:type="page"/>
      </w:r>
    </w:p>
    <w:p w14:paraId="66173C7E" w14:textId="4466C143"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AE1188">
        <w:t>:</w:t>
      </w:r>
    </w:p>
    <w:p w14:paraId="7BC47A07" w14:textId="0324BF4A" w:rsidR="00986B82" w:rsidRPr="00B57B78" w:rsidRDefault="00986B82" w:rsidP="00B57B78">
      <w:pPr>
        <w:ind w:left="426"/>
        <w:rPr>
          <w:szCs w:val="20"/>
        </w:rPr>
      </w:pPr>
      <w:r w:rsidRPr="00B57B78">
        <w:rPr>
          <w:szCs w:val="20"/>
        </w:rPr>
        <w:t>The following limitations are applied to the proposed medical service:</w:t>
      </w:r>
    </w:p>
    <w:p w14:paraId="3B8A6351" w14:textId="37744917" w:rsidR="00986B82" w:rsidRPr="00B57B78" w:rsidRDefault="00986B82" w:rsidP="00B57B78">
      <w:pPr>
        <w:ind w:left="426"/>
      </w:pPr>
      <w:r w:rsidRPr="00B57B78">
        <w:t xml:space="preserve">Dosing: </w:t>
      </w:r>
      <w:proofErr w:type="spellStart"/>
      <w:r w:rsidRPr="00B57B78">
        <w:t>Cilta-cel</w:t>
      </w:r>
      <w:proofErr w:type="spellEnd"/>
      <w:r w:rsidRPr="00B57B78">
        <w:t xml:space="preserve"> is to be administered as a single dose for infusion per patient containing a suspension of chimeric antigen receptor (CAR)-positive viable T-cells.  The dose is 0.5-1.0×10</w:t>
      </w:r>
      <w:r w:rsidRPr="00B57B78">
        <w:rPr>
          <w:vertAlign w:val="superscript"/>
        </w:rPr>
        <w:t>6</w:t>
      </w:r>
      <w:r w:rsidRPr="00B57B78">
        <w:t xml:space="preserve"> CAR-positive viable T-cells per kg of body weight,</w:t>
      </w:r>
      <w:r w:rsidR="00B57B78" w:rsidRPr="00B57B78">
        <w:t xml:space="preserve"> </w:t>
      </w:r>
      <w:r w:rsidR="00B57B78" w:rsidRPr="00B57B78">
        <w:rPr>
          <w:b/>
          <w:bCs/>
          <w:sz w:val="22"/>
          <w:szCs w:val="24"/>
        </w:rPr>
        <w:t>REDACTED</w:t>
      </w:r>
      <w:r w:rsidRPr="00B57B78">
        <w:t xml:space="preserve">. The infusion should be given 5 to 7 days after the start of the lymphodepleting regimen. </w:t>
      </w:r>
    </w:p>
    <w:p w14:paraId="4710EF2B" w14:textId="77777777" w:rsidR="00986B82" w:rsidRPr="00B57B78" w:rsidRDefault="00986B82" w:rsidP="00B57B78">
      <w:pPr>
        <w:ind w:left="426"/>
      </w:pPr>
      <w:r w:rsidRPr="00B57B78">
        <w:t>Number of CAR-T treatments in a lifetime: Consistent with the MSAC recommendation for Kymriah</w:t>
      </w:r>
      <w:r w:rsidRPr="00B57B78">
        <w:rPr>
          <w:rFonts w:cstheme="minorHAnsi"/>
        </w:rPr>
        <w:t>®</w:t>
      </w:r>
      <w:r w:rsidRPr="00B57B78">
        <w:t xml:space="preserve"> in DLBCL, PMBCL and TFL (November 2019) and </w:t>
      </w:r>
      <w:proofErr w:type="spellStart"/>
      <w:r w:rsidRPr="00B57B78">
        <w:t>Yescarta</w:t>
      </w:r>
      <w:proofErr w:type="spellEnd"/>
      <w:r w:rsidRPr="00B57B78">
        <w:rPr>
          <w:rFonts w:cstheme="minorHAnsi"/>
        </w:rPr>
        <w:t>®</w:t>
      </w:r>
      <w:r w:rsidRPr="00B57B78">
        <w:t xml:space="preserve"> in these same indications as well as HGBCL (January 2020), it is proposed that patients would be limited to one successful CAR-T infusion per lifetime. A successful infusion is when the patient with RRMM has been infused with the optimal </w:t>
      </w:r>
      <w:proofErr w:type="spellStart"/>
      <w:r w:rsidRPr="00B57B78">
        <w:t>cilta-cel</w:t>
      </w:r>
      <w:proofErr w:type="spellEnd"/>
      <w:r w:rsidRPr="00B57B78">
        <w:t xml:space="preserve"> dosage as per the recommend dose above.</w:t>
      </w:r>
    </w:p>
    <w:p w14:paraId="6FB42F2B" w14:textId="77777777" w:rsidR="00986B82" w:rsidRPr="00B57B78" w:rsidRDefault="00986B82" w:rsidP="00B57B78">
      <w:pPr>
        <w:ind w:left="426"/>
      </w:pPr>
      <w:r w:rsidRPr="00B57B78">
        <w:t>Prescriber: Treatment will be prescribed and monitored by an experienced haematologist working in a multidisciplinary team specialising in the provision of CAR-T cell therapy.</w:t>
      </w:r>
    </w:p>
    <w:p w14:paraId="4717FD74" w14:textId="6E8269B2" w:rsidR="00B70E35" w:rsidRPr="00B57B78" w:rsidRDefault="00986B82" w:rsidP="00B57B78">
      <w:pPr>
        <w:ind w:left="426"/>
        <w:rPr>
          <w:szCs w:val="20"/>
        </w:rPr>
      </w:pPr>
      <w:r w:rsidRPr="00B57B78">
        <w:t xml:space="preserve">Treatment centre: Treatment with </w:t>
      </w:r>
      <w:proofErr w:type="spellStart"/>
      <w:r w:rsidRPr="00B57B78">
        <w:t>cilta-cel</w:t>
      </w:r>
      <w:proofErr w:type="spellEnd"/>
      <w:r w:rsidRPr="00B57B78">
        <w:t xml:space="preserve"> initially is likely to be limited to a small number of key specialist public hospital centres across the Australian states and territories. Several hospitals are currently trial centres for </w:t>
      </w:r>
      <w:proofErr w:type="spellStart"/>
      <w:r w:rsidRPr="00B57B78">
        <w:t>cilta-cel</w:t>
      </w:r>
      <w:proofErr w:type="spellEnd"/>
      <w:r w:rsidRPr="00B57B78">
        <w:t xml:space="preserve"> and three of these are also delivering Kymriah, and thus would have relevant clinical experience and protocols for delivering this medical service</w:t>
      </w:r>
    </w:p>
    <w:p w14:paraId="417866D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A6B9342" w14:textId="6A60124F" w:rsidR="006A1C50" w:rsidRPr="00B940A9" w:rsidRDefault="002A76BD" w:rsidP="00815E23">
      <w:pPr>
        <w:ind w:left="426"/>
        <w:jc w:val="both"/>
      </w:pPr>
      <w:r>
        <w:t xml:space="preserve">The proposed medical service includes leukapheresis, followed by lymphodepleting chemotherapy and then infusion of </w:t>
      </w:r>
      <w:proofErr w:type="spellStart"/>
      <w:r>
        <w:t>cilta-cel</w:t>
      </w:r>
      <w:proofErr w:type="spellEnd"/>
      <w:r>
        <w:t xml:space="preserve">. These are performed sequentially and not at the same time as each other (refer to the process described above in </w:t>
      </w:r>
      <w:r w:rsidR="001668FB">
        <w:t>Q</w:t>
      </w:r>
      <w:r>
        <w:t>27)</w:t>
      </w:r>
      <w:r w:rsidR="00B20F4A">
        <w:t>.</w:t>
      </w:r>
    </w:p>
    <w:p w14:paraId="385B66E2"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4783148" w14:textId="02AB543E" w:rsidR="006A1C50" w:rsidRPr="00B940A9" w:rsidRDefault="001561DF" w:rsidP="00815E23">
      <w:pPr>
        <w:ind w:left="426"/>
        <w:jc w:val="both"/>
      </w:pPr>
      <w:r>
        <w:t xml:space="preserve">Infusion of </w:t>
      </w:r>
      <w:proofErr w:type="spellStart"/>
      <w:r>
        <w:t>cilta-cel</w:t>
      </w:r>
      <w:proofErr w:type="spellEnd"/>
      <w:r>
        <w:t xml:space="preserve"> will be</w:t>
      </w:r>
      <w:r w:rsidR="002A76BD">
        <w:t xml:space="preserve"> delivered by a nurse and</w:t>
      </w:r>
      <w:r>
        <w:t xml:space="preserve"> supervised by </w:t>
      </w:r>
      <w:r w:rsidR="002A76BD">
        <w:t xml:space="preserve">a </w:t>
      </w:r>
      <w:r w:rsidR="008E5311">
        <w:t xml:space="preserve">haematologist </w:t>
      </w:r>
      <w:r>
        <w:t>in a hospital setting</w:t>
      </w:r>
      <w:r w:rsidR="00DD39C1">
        <w:t>.</w:t>
      </w:r>
      <w:r w:rsidR="002A76BD">
        <w:t xml:space="preserve"> This is consistent with the administration of the currently approved CAR-T therapies, </w:t>
      </w:r>
      <w:proofErr w:type="spellStart"/>
      <w:r w:rsidR="002A76BD">
        <w:t>Yescarta</w:t>
      </w:r>
      <w:proofErr w:type="spellEnd"/>
      <w:r w:rsidR="001668FB">
        <w:rPr>
          <w:rFonts w:cstheme="minorHAnsi"/>
        </w:rPr>
        <w:t>®</w:t>
      </w:r>
      <w:r w:rsidR="002A76BD">
        <w:t xml:space="preserve"> and Kymriah</w:t>
      </w:r>
      <w:r w:rsidR="001668FB">
        <w:rPr>
          <w:rFonts w:cstheme="minorHAnsi"/>
        </w:rPr>
        <w:t>®</w:t>
      </w:r>
      <w:r w:rsidR="002A76BD">
        <w:t>.</w:t>
      </w:r>
    </w:p>
    <w:p w14:paraId="3F53157D"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C31813F" w14:textId="01CB8573" w:rsidR="006A1C50" w:rsidRPr="00B940A9" w:rsidRDefault="002A76BD" w:rsidP="00B940A9">
      <w:pPr>
        <w:ind w:left="426"/>
      </w:pPr>
      <w:r>
        <w:t>It is n</w:t>
      </w:r>
      <w:r w:rsidR="001561DF">
        <w:t>ot app</w:t>
      </w:r>
      <w:r>
        <w:t>ropriate for this medical service to be delegated to another professional for delivery</w:t>
      </w:r>
      <w:r w:rsidR="00D26773">
        <w:t>.</w:t>
      </w:r>
    </w:p>
    <w:p w14:paraId="5FD46223"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62A5F638" w14:textId="2BAD9254" w:rsidR="006A1C50" w:rsidRPr="00B940A9" w:rsidRDefault="001561DF" w:rsidP="00B940A9">
      <w:pPr>
        <w:ind w:left="426"/>
      </w:pPr>
      <w:proofErr w:type="spellStart"/>
      <w:r>
        <w:t>Cilta-cel</w:t>
      </w:r>
      <w:proofErr w:type="spellEnd"/>
      <w:r>
        <w:t xml:space="preserve"> will be prescribed and delivered by specialised haematolog</w:t>
      </w:r>
      <w:r w:rsidR="005B394E">
        <w:t>ists</w:t>
      </w:r>
      <w:r w:rsidR="00F83103">
        <w:t xml:space="preserve"> and nurses</w:t>
      </w:r>
      <w:r>
        <w:t xml:space="preserve"> in </w:t>
      </w:r>
      <w:r w:rsidR="00F73CED">
        <w:t>Janssen-</w:t>
      </w:r>
      <w:r>
        <w:t>accredited treatment centres</w:t>
      </w:r>
      <w:r w:rsidR="00F83103">
        <w:t xml:space="preserve"> (public hospitals)</w:t>
      </w:r>
      <w:r>
        <w:t xml:space="preserve"> equipped to deliver CAR-T therapies.</w:t>
      </w:r>
      <w:r w:rsidR="005B394E">
        <w:t xml:space="preserve"> This is explained in Q30 above and is consistent with currently approved CAR-T cell </w:t>
      </w:r>
      <w:r w:rsidR="00C41CC4">
        <w:t>therapies.</w:t>
      </w:r>
    </w:p>
    <w:p w14:paraId="4876C23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EE6A909" w14:textId="6F7BADB9" w:rsidR="00F94248" w:rsidRPr="00112E0C" w:rsidRDefault="00F94248" w:rsidP="00986B82">
      <w:pPr>
        <w:ind w:left="426"/>
        <w:jc w:val="both"/>
      </w:pPr>
      <w:proofErr w:type="spellStart"/>
      <w:r>
        <w:t>Cilta-cel</w:t>
      </w:r>
      <w:proofErr w:type="spellEnd"/>
      <w:r>
        <w:t xml:space="preserve"> will be prescribed and delivered by physicians experienced in the treatment of haematological malignancies in selected accredited treatment centres. </w:t>
      </w:r>
      <w:r w:rsidR="00986B82" w:rsidRPr="00112E0C">
        <w:t xml:space="preserve">There will be some form of accreditation required. These requirements are expected to be defined by the TGA during the ongoing regulatory processes. However, Janssen anticipate that the accreditation requirements for </w:t>
      </w:r>
      <w:proofErr w:type="spellStart"/>
      <w:r w:rsidR="00986B82" w:rsidRPr="00112E0C">
        <w:t>cilta-cel</w:t>
      </w:r>
      <w:proofErr w:type="spellEnd"/>
      <w:r w:rsidR="00986B82" w:rsidRPr="00112E0C">
        <w:t xml:space="preserve"> will be </w:t>
      </w:r>
      <w:proofErr w:type="gramStart"/>
      <w:r w:rsidR="00986B82" w:rsidRPr="00112E0C">
        <w:t>similar to</w:t>
      </w:r>
      <w:proofErr w:type="gramEnd"/>
      <w:r w:rsidR="00986B82" w:rsidRPr="00112E0C">
        <w:t xml:space="preserve"> those already approved by the TGA for other CAR-T therapies.</w:t>
      </w:r>
    </w:p>
    <w:p w14:paraId="6FFAE9BC"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07E5C55D" w14:textId="475DF6FF" w:rsidR="000A478F" w:rsidRDefault="001F168C"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14D14233" w14:textId="426DAB3C" w:rsidR="000A478F" w:rsidRDefault="001561D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3AE567F5" w14:textId="58CC8630" w:rsidR="000A478F" w:rsidRDefault="001F168C"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0DD1FC25" w14:textId="64CFE18B" w:rsidR="0079354C" w:rsidRDefault="002B1139"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79354C">
        <w:rPr>
          <w:szCs w:val="20"/>
        </w:rPr>
        <w:t xml:space="preserve"> Public outpatient clinic</w:t>
      </w:r>
    </w:p>
    <w:p w14:paraId="5B719970" w14:textId="77777777" w:rsidR="003433D1" w:rsidRPr="005C3AE7" w:rsidRDefault="00E048ED" w:rsidP="005C3AE7">
      <w:pPr>
        <w:pStyle w:val="ListParagraph"/>
        <w:numPr>
          <w:ilvl w:val="0"/>
          <w:numId w:val="29"/>
        </w:numPr>
        <w:rPr>
          <w:b/>
          <w:szCs w:val="20"/>
        </w:rPr>
      </w:pPr>
      <w:r w:rsidRPr="005C3AE7">
        <w:rPr>
          <w:b/>
          <w:szCs w:val="20"/>
        </w:rPr>
        <w:lastRenderedPageBreak/>
        <w:t>Where the proposed medical service is provided in more than one setting, please describ</w:t>
      </w:r>
      <w:r w:rsidR="00AE1188" w:rsidRPr="005C3AE7">
        <w:rPr>
          <w:b/>
          <w:szCs w:val="20"/>
        </w:rPr>
        <w:t>e the rationale related to each:</w:t>
      </w:r>
    </w:p>
    <w:p w14:paraId="72422EFC" w14:textId="4B27F2B4" w:rsidR="00986B82" w:rsidRPr="00112E0C" w:rsidRDefault="00986B82" w:rsidP="00986B82">
      <w:pPr>
        <w:ind w:left="426"/>
      </w:pPr>
      <w:r w:rsidRPr="00112E0C">
        <w:t xml:space="preserve">Patients would be admitted as an inpatient for the following steps of the </w:t>
      </w:r>
      <w:proofErr w:type="spellStart"/>
      <w:r w:rsidRPr="00112E0C">
        <w:t>cilta-cel</w:t>
      </w:r>
      <w:proofErr w:type="spellEnd"/>
      <w:r w:rsidRPr="00112E0C">
        <w:t xml:space="preserve"> medical service: delivery of the infusion and potentially a period of monitoring (to be determined through regulatory processes). This post infusion monitoring is standard practice and will be consistent with the currently approved CAR-T cell therapies. </w:t>
      </w:r>
    </w:p>
    <w:p w14:paraId="30184ED5" w14:textId="70117F37" w:rsidR="0073597B" w:rsidRPr="00112E0C" w:rsidRDefault="00986B82" w:rsidP="00986B82">
      <w:pPr>
        <w:ind w:left="426"/>
        <w:rPr>
          <w:b/>
          <w:szCs w:val="20"/>
        </w:rPr>
      </w:pPr>
      <w:r w:rsidRPr="00112E0C">
        <w:t xml:space="preserve">Patients would be seen in an </w:t>
      </w:r>
      <w:proofErr w:type="spellStart"/>
      <w:proofErr w:type="gramStart"/>
      <w:r w:rsidRPr="00112E0C">
        <w:t>out patient</w:t>
      </w:r>
      <w:proofErr w:type="spellEnd"/>
      <w:proofErr w:type="gramEnd"/>
      <w:r w:rsidRPr="00112E0C">
        <w:t xml:space="preserve"> setting for the following steps of the </w:t>
      </w:r>
      <w:proofErr w:type="spellStart"/>
      <w:r w:rsidRPr="00112E0C">
        <w:t>cilta-cel</w:t>
      </w:r>
      <w:proofErr w:type="spellEnd"/>
      <w:r w:rsidRPr="00112E0C">
        <w:t xml:space="preserve"> medical service: apheresis, bridging therapy and conditioning, routine follow-up once monitoring after discharge from inpatient infusion.</w:t>
      </w:r>
    </w:p>
    <w:p w14:paraId="2F94FF7F" w14:textId="77777777" w:rsidR="003E30FB" w:rsidRDefault="003E30FB" w:rsidP="00530204">
      <w:pPr>
        <w:pStyle w:val="Heading2"/>
      </w:pPr>
      <w:r>
        <w:t xml:space="preserve">Is the </w:t>
      </w:r>
      <w:r w:rsidRPr="001B29A1">
        <w:t>proposed</w:t>
      </w:r>
      <w:r>
        <w:t xml:space="preserve"> medical service intended to be entirely rendered in Australia?</w:t>
      </w:r>
    </w:p>
    <w:p w14:paraId="021A74DF" w14:textId="30E186CC" w:rsidR="000A478F" w:rsidRDefault="002B1139"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0A478F">
        <w:rPr>
          <w:szCs w:val="20"/>
        </w:rPr>
        <w:t xml:space="preserve"> Yes</w:t>
      </w:r>
    </w:p>
    <w:p w14:paraId="4C02384C" w14:textId="24ED3A31" w:rsidR="000A478F" w:rsidRPr="00753C44" w:rsidRDefault="002B1139"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2C60EDC6" w14:textId="5696C10D" w:rsidR="00986B82" w:rsidRPr="00112E0C" w:rsidRDefault="00986B82" w:rsidP="00986B82">
      <w:pPr>
        <w:ind w:left="426"/>
      </w:pPr>
      <w:r w:rsidRPr="00112E0C">
        <w:t xml:space="preserve">Most of the medical service will be rendered in Australia.  The exception Is the manufacturing of </w:t>
      </w:r>
      <w:proofErr w:type="spellStart"/>
      <w:r w:rsidRPr="00112E0C">
        <w:t>cilta-cel</w:t>
      </w:r>
      <w:proofErr w:type="spellEnd"/>
      <w:r w:rsidRPr="00112E0C">
        <w:t xml:space="preserve"> CAR-T product which occurs in the Janssen manufacturing centre in Raritan (NJ, USA).</w:t>
      </w:r>
    </w:p>
    <w:p w14:paraId="4A244FE8" w14:textId="022AED1C" w:rsidR="00206809" w:rsidRPr="00112E0C" w:rsidRDefault="00986B82" w:rsidP="00986B82">
      <w:pPr>
        <w:ind w:left="426"/>
      </w:pPr>
      <w:r w:rsidRPr="00112E0C">
        <w:t>These steps are shown in the figurer presented in Q27.</w:t>
      </w:r>
    </w:p>
    <w:p w14:paraId="02190CC4" w14:textId="77777777" w:rsidR="00E60529" w:rsidRPr="00881F93" w:rsidRDefault="005C3AE7" w:rsidP="00986B82">
      <w:pPr>
        <w:pStyle w:val="Subtitle"/>
        <w:ind w:left="0"/>
      </w:pPr>
      <w:r>
        <w:t xml:space="preserve">PART 6c – </w:t>
      </w:r>
      <w:r w:rsidR="00E60529" w:rsidRPr="00881F93">
        <w:t>INFORMATION ABOUT THE COMPARATOR</w:t>
      </w:r>
      <w:r w:rsidR="00A83EC6" w:rsidRPr="00881F93">
        <w:t>(S)</w:t>
      </w:r>
    </w:p>
    <w:p w14:paraId="160B7400"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E0184B5" w14:textId="0D5E2B50" w:rsidR="00DB5756" w:rsidRDefault="00763ACD" w:rsidP="00763ACD">
      <w:pPr>
        <w:ind w:left="426"/>
        <w:jc w:val="both"/>
      </w:pPr>
      <w:r>
        <w:t xml:space="preserve">As noted in </w:t>
      </w:r>
      <w:r w:rsidR="00780EFA">
        <w:t>Q15</w:t>
      </w:r>
      <w:r>
        <w:t xml:space="preserve">, the proposed indication for </w:t>
      </w:r>
      <w:proofErr w:type="spellStart"/>
      <w:r>
        <w:t>cilta</w:t>
      </w:r>
      <w:r w:rsidR="00FA2B7A">
        <w:t>-cel</w:t>
      </w:r>
      <w:proofErr w:type="spellEnd"/>
      <w:r w:rsidR="00FA2B7A">
        <w:t xml:space="preserve"> </w:t>
      </w:r>
      <w:r>
        <w:t xml:space="preserve">is for the treatment of </w:t>
      </w:r>
      <w:r w:rsidR="00FA2B7A">
        <w:t xml:space="preserve">patients with </w:t>
      </w:r>
      <w:r w:rsidR="00C16738">
        <w:t>RRMM</w:t>
      </w:r>
      <w:r w:rsidR="00FA2B7A">
        <w:t xml:space="preserve"> </w:t>
      </w:r>
      <w:r w:rsidR="006A714C">
        <w:t xml:space="preserve">previously with </w:t>
      </w:r>
      <w:r>
        <w:t>3 prior lines of therap</w:t>
      </w:r>
      <w:r w:rsidR="00A82208">
        <w:t>y includ</w:t>
      </w:r>
      <w:r w:rsidR="00780EFA">
        <w:t>ing</w:t>
      </w:r>
      <w:r w:rsidR="00A82208">
        <w:t xml:space="preserve"> a PI, an </w:t>
      </w:r>
      <w:proofErr w:type="spellStart"/>
      <w:r w:rsidR="00A82208">
        <w:t>IMiD</w:t>
      </w:r>
      <w:proofErr w:type="spellEnd"/>
      <w:r w:rsidR="00A82208">
        <w:t xml:space="preserve"> and an anti-CD38 inhibitor. Thus, the earliest patients can receive </w:t>
      </w:r>
      <w:proofErr w:type="spellStart"/>
      <w:r w:rsidR="00A82208">
        <w:t>cilta</w:t>
      </w:r>
      <w:proofErr w:type="spellEnd"/>
      <w:r w:rsidR="00A82208">
        <w:t xml:space="preserve">-cell will be as a </w:t>
      </w:r>
      <w:r>
        <w:t xml:space="preserve">fourth line MM </w:t>
      </w:r>
      <w:r w:rsidR="00A82208">
        <w:t>treatment</w:t>
      </w:r>
      <w:r w:rsidR="006B418C">
        <w:t xml:space="preserve">.  </w:t>
      </w:r>
      <w:r w:rsidR="00DA6854">
        <w:t>Further, a</w:t>
      </w:r>
      <w:r w:rsidR="00A82208">
        <w:t xml:space="preserve">s </w:t>
      </w:r>
      <w:r w:rsidR="00DA6854">
        <w:t>described</w:t>
      </w:r>
      <w:r w:rsidR="00A82208">
        <w:t xml:space="preserve"> </w:t>
      </w:r>
      <w:r w:rsidR="00DB5756">
        <w:t xml:space="preserve">in Q26, prior to the </w:t>
      </w:r>
      <w:r w:rsidR="00780EFA">
        <w:t>fourth</w:t>
      </w:r>
      <w:r w:rsidR="00DB5756">
        <w:t xml:space="preserve"> line setting, patients will have typically received regimens which include lenalidomide (an </w:t>
      </w:r>
      <w:proofErr w:type="spellStart"/>
      <w:r w:rsidR="00DB5756">
        <w:t>IMiD</w:t>
      </w:r>
      <w:proofErr w:type="spellEnd"/>
      <w:r w:rsidR="00DB5756">
        <w:t>), bortezomib (a PI) and daratumumab (an anti-CD38 inhibitor)</w:t>
      </w:r>
      <w:r w:rsidR="00780EFA">
        <w:t xml:space="preserve"> in Australian clinical practice</w:t>
      </w:r>
      <w:r w:rsidR="00DB5756">
        <w:t>.</w:t>
      </w:r>
    </w:p>
    <w:p w14:paraId="5906DE16" w14:textId="77777777" w:rsidR="00B57B78" w:rsidRDefault="00B57B78" w:rsidP="00206809">
      <w:pPr>
        <w:ind w:left="426"/>
        <w:jc w:val="both"/>
      </w:pPr>
      <w:r>
        <w:t xml:space="preserve">Based on PBS utilisation data of fourth line MM therapies, the most appropriate comparator for </w:t>
      </w:r>
      <w:proofErr w:type="spellStart"/>
      <w:r>
        <w:t>cilta-cel</w:t>
      </w:r>
      <w:proofErr w:type="spellEnd"/>
      <w:r>
        <w:t xml:space="preserve"> </w:t>
      </w:r>
      <w:proofErr w:type="gramStart"/>
      <w:r>
        <w:t>is considered to be</w:t>
      </w:r>
      <w:proofErr w:type="gramEnd"/>
      <w:r>
        <w:t xml:space="preserve"> pomalidomide in combination with dexamethasone, followed by carfilzomib in combination with dexamethasone</w:t>
      </w:r>
    </w:p>
    <w:p w14:paraId="4BA95EAD" w14:textId="7782DF76" w:rsidR="00112E0C" w:rsidRPr="00B57B78" w:rsidRDefault="00721DF0" w:rsidP="00B57B78">
      <w:pPr>
        <w:ind w:left="426"/>
        <w:jc w:val="both"/>
        <w:rPr>
          <w:b/>
          <w:bCs/>
        </w:rPr>
      </w:pPr>
      <w:r w:rsidRPr="00721DF0">
        <w:rPr>
          <w:b/>
          <w:bCs/>
        </w:rPr>
        <w:t xml:space="preserve">Figure </w:t>
      </w:r>
      <w:r w:rsidR="008333E3">
        <w:rPr>
          <w:b/>
          <w:bCs/>
        </w:rPr>
        <w:t>7</w:t>
      </w:r>
      <w:r w:rsidRPr="00721DF0">
        <w:rPr>
          <w:b/>
          <w:bCs/>
        </w:rPr>
        <w:t xml:space="preserve">: </w:t>
      </w:r>
      <w:r w:rsidR="00206809" w:rsidRPr="00112E0C">
        <w:rPr>
          <w:b/>
          <w:bCs/>
          <w:sz w:val="22"/>
        </w:rPr>
        <w:t>REDACTED</w:t>
      </w:r>
    </w:p>
    <w:p w14:paraId="24DE5EBC" w14:textId="31F4245D"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1E50BB2"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D3A0A">
        <w:rPr>
          <w:szCs w:val="20"/>
        </w:rPr>
      </w:r>
      <w:r w:rsidR="005D3A0A">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4AFE6462" w14:textId="728E3D92" w:rsidR="000159B9" w:rsidRDefault="0058594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6A1038">
        <w:rPr>
          <w:szCs w:val="20"/>
        </w:rPr>
        <w:t xml:space="preserve"> No  </w:t>
      </w:r>
    </w:p>
    <w:p w14:paraId="6DB4AA7D" w14:textId="61070296" w:rsidR="00B57B78" w:rsidRDefault="005E6796" w:rsidP="00E16BDF">
      <w:pPr>
        <w:ind w:left="426"/>
        <w:rPr>
          <w:b/>
          <w:szCs w:val="20"/>
        </w:rPr>
      </w:pPr>
      <w:r>
        <w:t>The nominated comparator is PBS listed and not an MBS service.</w:t>
      </w:r>
    </w:p>
    <w:p w14:paraId="371673AB" w14:textId="5A1834F6" w:rsidR="00C2703B" w:rsidRDefault="00AF5D1E" w:rsidP="007A641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w:t>
      </w:r>
      <w:r w:rsidR="00F33F1A" w:rsidRPr="00EF7655">
        <w:rPr>
          <w:color w:val="000000" w:themeColor="text1"/>
        </w:rPr>
        <w:t xml:space="preserve">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1FA047BF" w14:textId="29CD7740" w:rsidR="0035410B" w:rsidRDefault="00433335" w:rsidP="00A424F1">
      <w:pPr>
        <w:pStyle w:val="ListParagraph"/>
        <w:ind w:left="357"/>
        <w:contextualSpacing w:val="0"/>
        <w:jc w:val="both"/>
      </w:pPr>
      <w:r>
        <w:t xml:space="preserve">There are few treatment options for patients who have received and </w:t>
      </w:r>
      <w:r w:rsidR="00831A2B">
        <w:t xml:space="preserve">progressed following </w:t>
      </w:r>
      <w:r>
        <w:t xml:space="preserve">at least </w:t>
      </w:r>
      <w:r w:rsidR="00831A2B">
        <w:t xml:space="preserve">three lines of treatment </w:t>
      </w:r>
      <w:r>
        <w:t>and which</w:t>
      </w:r>
      <w:r w:rsidR="00831A2B">
        <w:t xml:space="preserve"> includes lenalidomide, bortezomib and daratumumab</w:t>
      </w:r>
      <w:r>
        <w:t>, and no options which offer a</w:t>
      </w:r>
      <w:r w:rsidR="00831A2B">
        <w:t xml:space="preserve"> different mechanism of action</w:t>
      </w:r>
      <w:r>
        <w:t xml:space="preserve"> to those previously received</w:t>
      </w:r>
      <w:r w:rsidR="00831A2B">
        <w:t xml:space="preserve">. </w:t>
      </w:r>
      <w:r>
        <w:t xml:space="preserve">In the absence of </w:t>
      </w:r>
      <w:proofErr w:type="spellStart"/>
      <w:r w:rsidR="00831A2B">
        <w:t>cilta-cel</w:t>
      </w:r>
      <w:proofErr w:type="spellEnd"/>
      <w:r w:rsidR="00831A2B">
        <w:t xml:space="preserve"> </w:t>
      </w:r>
      <w:r>
        <w:t xml:space="preserve">and the availability of the current therapies in this setting, after the patients have tried and failed pomalidomide and carfilzomib, </w:t>
      </w:r>
      <w:r w:rsidR="00831A2B">
        <w:t xml:space="preserve">patients may receive best supportive care, palliative care or enrol in a clinical trial. Therapies on the PBS for MM at fifth line or beyond are considered generally ineffective at this stage because a patient will have received a PI, </w:t>
      </w:r>
      <w:proofErr w:type="spellStart"/>
      <w:r w:rsidR="00831A2B">
        <w:t>IMiD</w:t>
      </w:r>
      <w:proofErr w:type="spellEnd"/>
      <w:r w:rsidR="00831A2B">
        <w:t xml:space="preserve"> and an anti-CD38 previously.</w:t>
      </w:r>
    </w:p>
    <w:p w14:paraId="2374F5DE" w14:textId="100B47C1" w:rsidR="000E76B6" w:rsidRPr="00E16BDF" w:rsidRDefault="000E76B6" w:rsidP="00E16BDF">
      <w:pPr>
        <w:keepNext/>
        <w:spacing w:before="240" w:after="240"/>
        <w:rPr>
          <w:b/>
          <w:szCs w:val="20"/>
        </w:rPr>
      </w:pPr>
      <w:r w:rsidRPr="00E16BDF">
        <w:rPr>
          <w:b/>
          <w:szCs w:val="20"/>
        </w:rPr>
        <w:lastRenderedPageBreak/>
        <w:t xml:space="preserve">Figure </w:t>
      </w:r>
      <w:r w:rsidR="008333E3" w:rsidRPr="00E16BDF">
        <w:rPr>
          <w:b/>
          <w:szCs w:val="20"/>
        </w:rPr>
        <w:t>8</w:t>
      </w:r>
      <w:r w:rsidRPr="00E16BDF">
        <w:rPr>
          <w:b/>
          <w:szCs w:val="20"/>
        </w:rPr>
        <w:t xml:space="preserve">: </w:t>
      </w:r>
      <w:r w:rsidR="00694AB1" w:rsidRPr="00E16BDF">
        <w:rPr>
          <w:b/>
          <w:szCs w:val="20"/>
        </w:rPr>
        <w:t>C</w:t>
      </w:r>
      <w:r w:rsidRPr="00E16BDF">
        <w:rPr>
          <w:b/>
          <w:szCs w:val="20"/>
        </w:rPr>
        <w:t xml:space="preserve">linical management pathway after the </w:t>
      </w:r>
      <w:r w:rsidR="008C1DD3" w:rsidRPr="00E16BDF">
        <w:rPr>
          <w:b/>
          <w:szCs w:val="20"/>
        </w:rPr>
        <w:t xml:space="preserve">proposed comparator (i.e. </w:t>
      </w:r>
      <w:proofErr w:type="gramStart"/>
      <w:r w:rsidR="008C1DD3" w:rsidRPr="00E16BDF">
        <w:rPr>
          <w:b/>
          <w:szCs w:val="20"/>
        </w:rPr>
        <w:t>fifth-line</w:t>
      </w:r>
      <w:proofErr w:type="gramEnd"/>
      <w:r w:rsidR="008C1DD3" w:rsidRPr="00E16BDF">
        <w:rPr>
          <w:b/>
          <w:szCs w:val="20"/>
        </w:rPr>
        <w:t xml:space="preserve"> plus)</w:t>
      </w:r>
    </w:p>
    <w:p w14:paraId="5909015D" w14:textId="1FE08C5E" w:rsidR="000E76B6" w:rsidRDefault="008C1DD3" w:rsidP="000E76B6">
      <w:pPr>
        <w:jc w:val="center"/>
        <w:rPr>
          <w:b/>
          <w:szCs w:val="20"/>
        </w:rPr>
      </w:pPr>
      <w:r>
        <w:rPr>
          <w:noProof/>
        </w:rPr>
        <w:drawing>
          <wp:inline distT="0" distB="0" distL="0" distR="0" wp14:anchorId="0475B104" wp14:editId="640DD141">
            <wp:extent cx="5731510" cy="4507865"/>
            <wp:effectExtent l="0" t="0" r="2540" b="6985"/>
            <wp:docPr id="23" name="Picture 2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icture"/>
                    <pic:cNvPicPr/>
                  </pic:nvPicPr>
                  <pic:blipFill>
                    <a:blip r:embed="rId21"/>
                    <a:stretch>
                      <a:fillRect/>
                    </a:stretch>
                  </pic:blipFill>
                  <pic:spPr>
                    <a:xfrm>
                      <a:off x="0" y="0"/>
                      <a:ext cx="5731510" cy="4507865"/>
                    </a:xfrm>
                    <a:prstGeom prst="rect">
                      <a:avLst/>
                    </a:prstGeom>
                  </pic:spPr>
                </pic:pic>
              </a:graphicData>
            </a:graphic>
          </wp:inline>
        </w:drawing>
      </w:r>
    </w:p>
    <w:p w14:paraId="14285AA7" w14:textId="696FE905" w:rsidR="009F7D24" w:rsidRPr="00E16BDF" w:rsidRDefault="000E76B6" w:rsidP="00E16BDF">
      <w:pPr>
        <w:spacing w:after="240"/>
      </w:pPr>
      <w:r w:rsidRPr="00807DBF">
        <w:rPr>
          <w:sz w:val="16"/>
          <w:szCs w:val="16"/>
        </w:rPr>
        <w:t>Abbreviations:</w:t>
      </w:r>
      <w:r>
        <w:rPr>
          <w:sz w:val="16"/>
          <w:szCs w:val="16"/>
        </w:rPr>
        <w:t xml:space="preserve"> Bd = bortezomib and dexamethasone; </w:t>
      </w:r>
      <w:proofErr w:type="spellStart"/>
      <w:r>
        <w:rPr>
          <w:sz w:val="16"/>
          <w:szCs w:val="16"/>
        </w:rPr>
        <w:t>BLd</w:t>
      </w:r>
      <w:proofErr w:type="spellEnd"/>
      <w:r>
        <w:rPr>
          <w:sz w:val="16"/>
          <w:szCs w:val="16"/>
        </w:rPr>
        <w:t xml:space="preserve"> = bortezomib, lenalidomide and dexamethasone; Cd = carfilzomib and dexamethasone; </w:t>
      </w:r>
      <w:proofErr w:type="spellStart"/>
      <w:r>
        <w:rPr>
          <w:sz w:val="16"/>
          <w:szCs w:val="16"/>
        </w:rPr>
        <w:t>DBd</w:t>
      </w:r>
      <w:proofErr w:type="spellEnd"/>
      <w:r>
        <w:rPr>
          <w:sz w:val="16"/>
          <w:szCs w:val="16"/>
        </w:rPr>
        <w:t xml:space="preserve"> = daratumumab, bortezomib and dexamethasone; </w:t>
      </w:r>
      <w:proofErr w:type="spellStart"/>
      <w:r>
        <w:rPr>
          <w:sz w:val="16"/>
          <w:szCs w:val="16"/>
        </w:rPr>
        <w:t>IMiDs</w:t>
      </w:r>
      <w:proofErr w:type="spellEnd"/>
      <w:r>
        <w:rPr>
          <w:sz w:val="16"/>
          <w:szCs w:val="16"/>
        </w:rPr>
        <w:t xml:space="preserve"> = </w:t>
      </w:r>
      <w:r w:rsidRPr="00112D04">
        <w:rPr>
          <w:sz w:val="16"/>
          <w:szCs w:val="16"/>
        </w:rPr>
        <w:t>immunomodulator drugs</w:t>
      </w:r>
      <w:r>
        <w:rPr>
          <w:sz w:val="16"/>
          <w:szCs w:val="16"/>
        </w:rPr>
        <w:t>;</w:t>
      </w:r>
      <w:r w:rsidRPr="00112D04">
        <w:rPr>
          <w:sz w:val="16"/>
          <w:szCs w:val="16"/>
        </w:rPr>
        <w:t xml:space="preserve"> </w:t>
      </w:r>
      <w:proofErr w:type="spellStart"/>
      <w:r>
        <w:rPr>
          <w:sz w:val="16"/>
          <w:szCs w:val="16"/>
        </w:rPr>
        <w:t>Ld</w:t>
      </w:r>
      <w:proofErr w:type="spellEnd"/>
      <w:r>
        <w:rPr>
          <w:sz w:val="16"/>
          <w:szCs w:val="16"/>
        </w:rPr>
        <w:t xml:space="preserve"> = lenalidomide and dexamethasone; MM = multiple myeloma; Pd = pomalidomide and dexamethasone.</w:t>
      </w:r>
    </w:p>
    <w:p w14:paraId="1733575B" w14:textId="400B7F88"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7AAF309" w14:textId="6B5D960E" w:rsidR="001B29A1" w:rsidRDefault="001B29A1" w:rsidP="001B29A1">
      <w:pPr>
        <w:spacing w:before="0" w:after="0"/>
        <w:ind w:left="426"/>
        <w:rPr>
          <w:szCs w:val="20"/>
        </w:rPr>
      </w:pPr>
      <w:r w:rsidRPr="00753C44">
        <w:rPr>
          <w:szCs w:val="20"/>
        </w:rPr>
        <w:fldChar w:fldCharType="begin">
          <w:ffData>
            <w:name w:val=""/>
            <w:enabled/>
            <w:calcOnExit w:val="0"/>
            <w:checkBox>
              <w:sizeAuto/>
              <w:default w:val="0"/>
            </w:checkBox>
          </w:ffData>
        </w:fldChar>
      </w:r>
      <w:r w:rsidRPr="00753C44">
        <w:rPr>
          <w:szCs w:val="20"/>
        </w:rPr>
        <w:instrText xml:space="preserve"> FORMCHECKBOX </w:instrText>
      </w:r>
      <w:r w:rsidR="005D3A0A">
        <w:rPr>
          <w:szCs w:val="20"/>
        </w:rPr>
      </w:r>
      <w:r w:rsidR="005D3A0A">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643A63DA" w14:textId="6B2A6EC4" w:rsidR="001B29A1" w:rsidRDefault="002B113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55E83496" w14:textId="77777777" w:rsidR="009F7D24" w:rsidRDefault="009F7D24" w:rsidP="001B29A1">
      <w:pPr>
        <w:spacing w:before="0" w:after="0"/>
        <w:ind w:left="426"/>
        <w:rPr>
          <w:szCs w:val="20"/>
        </w:rPr>
      </w:pPr>
    </w:p>
    <w:p w14:paraId="6B183F54" w14:textId="645D4179" w:rsidR="003433D1" w:rsidRDefault="00E70D86" w:rsidP="00664339">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37D2753" w14:textId="173C8D74" w:rsidR="00CB5DDD" w:rsidRPr="00CB5DDD" w:rsidRDefault="00CB5DDD" w:rsidP="00B57B78">
      <w:pPr>
        <w:pStyle w:val="ListParagraph"/>
        <w:spacing w:after="240"/>
        <w:ind w:left="357"/>
      </w:pPr>
      <w:r w:rsidRPr="00CB5DDD">
        <w:t>Despite high efficacy</w:t>
      </w:r>
      <w:r w:rsidR="005E6796">
        <w:t xml:space="preserve"> shown in clinical trials,</w:t>
      </w:r>
      <w:r>
        <w:t xml:space="preserve"> </w:t>
      </w:r>
      <w:r w:rsidR="005E6796">
        <w:t xml:space="preserve">as not all patients will be eligible or be able to tolerate </w:t>
      </w:r>
      <w:proofErr w:type="spellStart"/>
      <w:r>
        <w:t>cilta-cel</w:t>
      </w:r>
      <w:proofErr w:type="spellEnd"/>
      <w:r w:rsidR="005E6796">
        <w:t xml:space="preserve">, it will only partially replace the nominated comparator. Uptake of </w:t>
      </w:r>
      <w:proofErr w:type="spellStart"/>
      <w:r w:rsidR="005E6796">
        <w:t>cilta-cel</w:t>
      </w:r>
      <w:proofErr w:type="spellEnd"/>
      <w:r w:rsidR="005E6796">
        <w:t xml:space="preserve"> </w:t>
      </w:r>
      <w:r w:rsidRPr="00CB5DDD">
        <w:t>will be moderated by the fact that:</w:t>
      </w:r>
    </w:p>
    <w:p w14:paraId="0C3954A3" w14:textId="084D0A66" w:rsidR="00CB5DDD" w:rsidRPr="00664339" w:rsidRDefault="00CB5DDD" w:rsidP="00B57B78">
      <w:pPr>
        <w:pStyle w:val="ListParagraph"/>
        <w:numPr>
          <w:ilvl w:val="0"/>
          <w:numId w:val="68"/>
        </w:numPr>
        <w:spacing w:after="240"/>
      </w:pPr>
      <w:r w:rsidRPr="00664339">
        <w:t xml:space="preserve">Only patients who have received prior anti-CD38 can receive </w:t>
      </w:r>
      <w:proofErr w:type="spellStart"/>
      <w:r w:rsidRPr="00664339">
        <w:t>cilta-cel</w:t>
      </w:r>
      <w:proofErr w:type="spellEnd"/>
      <w:r w:rsidR="008E57A3">
        <w:t>. D</w:t>
      </w:r>
      <w:r w:rsidRPr="00664339">
        <w:t>aratumumab was only reimbursed</w:t>
      </w:r>
      <w:r w:rsidR="008E57A3">
        <w:t xml:space="preserve"> on the PBS</w:t>
      </w:r>
      <w:r w:rsidRPr="00664339">
        <w:t xml:space="preserve"> from January 2021 for second-line multiple myeloma</w:t>
      </w:r>
      <w:r w:rsidR="00C34EE0">
        <w:t>. I</w:t>
      </w:r>
      <w:r w:rsidR="008E57A3">
        <w:t>n the pivotal trial</w:t>
      </w:r>
      <w:r w:rsidR="00C34EE0">
        <w:t xml:space="preserve"> for </w:t>
      </w:r>
      <w:proofErr w:type="spellStart"/>
      <w:r w:rsidR="00C34EE0">
        <w:t>DBd</w:t>
      </w:r>
      <w:proofErr w:type="spellEnd"/>
      <w:r w:rsidR="00C34EE0">
        <w:t xml:space="preserve">, </w:t>
      </w:r>
      <w:r w:rsidR="008E57A3">
        <w:t>CASTOR</w:t>
      </w:r>
      <w:r w:rsidR="00C34EE0">
        <w:t>,</w:t>
      </w:r>
      <w:r w:rsidR="008E57A3">
        <w:t xml:space="preserve"> a</w:t>
      </w:r>
      <w:r w:rsidRPr="00664339">
        <w:t xml:space="preserve"> median PFS of 27.0</w:t>
      </w:r>
      <w:r w:rsidR="008E57A3">
        <w:t xml:space="preserve"> months was reported</w:t>
      </w:r>
      <w:r w:rsidR="00C34EE0">
        <w:t xml:space="preserve"> for </w:t>
      </w:r>
      <w:proofErr w:type="spellStart"/>
      <w:r w:rsidR="00C34EE0">
        <w:t>DBd</w:t>
      </w:r>
      <w:proofErr w:type="spellEnd"/>
      <w:r w:rsidR="008E57A3">
        <w:t xml:space="preserve"> </w:t>
      </w:r>
      <w:r w:rsidRPr="00664339">
        <w:t>in this setting</w:t>
      </w:r>
      <w:r w:rsidR="008E57A3">
        <w:t>.</w:t>
      </w:r>
      <w:r w:rsidRPr="00664339">
        <w:t xml:space="preserve"> </w:t>
      </w:r>
      <w:proofErr w:type="gramStart"/>
      <w:r w:rsidR="008E57A3">
        <w:t>T</w:t>
      </w:r>
      <w:r w:rsidRPr="00664339">
        <w:t>hus</w:t>
      </w:r>
      <w:proofErr w:type="gramEnd"/>
      <w:r w:rsidRPr="00664339">
        <w:t xml:space="preserve"> there will be a delay in the timings of when</w:t>
      </w:r>
      <w:r w:rsidR="00664339">
        <w:t xml:space="preserve"> all</w:t>
      </w:r>
      <w:r w:rsidRPr="00664339">
        <w:t xml:space="preserve"> Australian </w:t>
      </w:r>
      <w:r w:rsidR="00664339">
        <w:t xml:space="preserve">RRMM </w:t>
      </w:r>
      <w:r w:rsidRPr="00664339">
        <w:t xml:space="preserve">patients meet the proposed clinical criteria for </w:t>
      </w:r>
      <w:proofErr w:type="spellStart"/>
      <w:r w:rsidRPr="00664339">
        <w:t>cilta-cel</w:t>
      </w:r>
      <w:proofErr w:type="spellEnd"/>
      <w:r w:rsidR="008E57A3">
        <w:t>. However, the CASTOR</w:t>
      </w:r>
      <w:r w:rsidR="008E57A3" w:rsidRPr="008E57A3">
        <w:t xml:space="preserve"> </w:t>
      </w:r>
      <w:r w:rsidR="008E57A3">
        <w:t>reported</w:t>
      </w:r>
      <w:r w:rsidR="008E57A3" w:rsidRPr="008E57A3">
        <w:t xml:space="preserve"> a range of PFS</w:t>
      </w:r>
      <w:r w:rsidR="008E57A3">
        <w:t xml:space="preserve"> across the recruited population</w:t>
      </w:r>
      <w:r w:rsidR="00C34EE0">
        <w:t xml:space="preserve"> and thus some</w:t>
      </w:r>
      <w:r w:rsidR="008E57A3" w:rsidRPr="008E57A3">
        <w:t xml:space="preserve"> patients </w:t>
      </w:r>
      <w:r w:rsidR="00C34EE0">
        <w:t>will</w:t>
      </w:r>
      <w:r w:rsidR="008E57A3" w:rsidRPr="008E57A3">
        <w:t xml:space="preserve"> progress quickly through lines of </w:t>
      </w:r>
      <w:r w:rsidR="00C34EE0">
        <w:t xml:space="preserve">MM </w:t>
      </w:r>
      <w:r w:rsidR="008E57A3" w:rsidRPr="008E57A3">
        <w:t>therapy</w:t>
      </w:r>
      <w:r w:rsidR="00C34EE0">
        <w:t>.</w:t>
      </w:r>
      <w:r w:rsidR="00C34EE0" w:rsidRPr="00C34EE0">
        <w:t xml:space="preserve"> </w:t>
      </w:r>
      <w:r w:rsidR="00C34EE0">
        <w:t xml:space="preserve">Further, daratumumab is the only anti-CD38 available on the PBS and therefore patients must receive it at </w:t>
      </w:r>
      <w:proofErr w:type="gramStart"/>
      <w:r w:rsidR="00C34EE0">
        <w:t>second-line</w:t>
      </w:r>
      <w:proofErr w:type="gramEnd"/>
      <w:r w:rsidR="00C34EE0">
        <w:t xml:space="preserve"> to be eligible for </w:t>
      </w:r>
      <w:proofErr w:type="spellStart"/>
      <w:r w:rsidR="00C34EE0">
        <w:t>cilta-cel</w:t>
      </w:r>
      <w:proofErr w:type="spellEnd"/>
      <w:r w:rsidR="00C34EE0">
        <w:t>.</w:t>
      </w:r>
    </w:p>
    <w:p w14:paraId="78056864" w14:textId="001CABE3" w:rsidR="00C34EE0" w:rsidRPr="00664339" w:rsidRDefault="00CB5DDD" w:rsidP="00B57B78">
      <w:pPr>
        <w:pStyle w:val="ListParagraph"/>
        <w:numPr>
          <w:ilvl w:val="0"/>
          <w:numId w:val="68"/>
        </w:numPr>
        <w:spacing w:after="360"/>
        <w:ind w:left="1071" w:hanging="357"/>
      </w:pPr>
      <w:r w:rsidRPr="00664339">
        <w:t>Only a portion of pat</w:t>
      </w:r>
      <w:r w:rsidR="005E6796" w:rsidRPr="00664339">
        <w:t>i</w:t>
      </w:r>
      <w:r w:rsidRPr="00664339">
        <w:t>ents will be able to tolerate or be fit enough for treatment and can travel to the treatment site</w:t>
      </w:r>
      <w:r w:rsidR="00012ABF">
        <w:t xml:space="preserve"> which may be interstate.</w:t>
      </w:r>
    </w:p>
    <w:p w14:paraId="1C4271EE" w14:textId="3EAEBBCA"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 xml:space="preserve">ent clinical management pathways </w:t>
      </w:r>
      <w:r w:rsidR="00B34942" w:rsidRPr="00154B00">
        <w:t xml:space="preserve">(from the point of service delivery </w:t>
      </w:r>
      <w:proofErr w:type="gramStart"/>
      <w:r w:rsidR="00B34942" w:rsidRPr="00154B00">
        <w:t xml:space="preserve">onwards) </w:t>
      </w:r>
      <w:r w:rsidRPr="00154B00">
        <w:t xml:space="preserve"> are</w:t>
      </w:r>
      <w:proofErr w:type="gramEnd"/>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3C03E9B" w14:textId="20E50EAC" w:rsidR="009F7D24" w:rsidRPr="000E76B6" w:rsidRDefault="00694AB1" w:rsidP="00B57B78">
      <w:pPr>
        <w:pStyle w:val="ListParagraph"/>
        <w:spacing w:after="240"/>
        <w:ind w:left="357"/>
      </w:pPr>
      <w:r>
        <w:t xml:space="preserve">Due to the limited treatment options on the PBS for RRMM and because patients will have been previously treated with a PI, </w:t>
      </w:r>
      <w:proofErr w:type="spellStart"/>
      <w:r>
        <w:t>IMiD</w:t>
      </w:r>
      <w:proofErr w:type="spellEnd"/>
      <w:r>
        <w:t xml:space="preserve"> and anti-CD38 at the point of </w:t>
      </w:r>
      <w:proofErr w:type="spellStart"/>
      <w:r>
        <w:t>cilta-cel</w:t>
      </w:r>
      <w:proofErr w:type="spellEnd"/>
      <w:r>
        <w:t xml:space="preserve"> therapy, the clinical management pathway following </w:t>
      </w:r>
      <w:proofErr w:type="spellStart"/>
      <w:r>
        <w:t>cilta-cel</w:t>
      </w:r>
      <w:proofErr w:type="spellEnd"/>
      <w:r>
        <w:t xml:space="preserve"> will not be any different to that currently seen in clinical practice (refer to Q40).</w:t>
      </w:r>
    </w:p>
    <w:p w14:paraId="168787BF" w14:textId="77777777" w:rsidR="00DF0D47" w:rsidRPr="00881F93" w:rsidRDefault="005C3AE7" w:rsidP="00B57B78">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686F6D72"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5C69E0F" w14:textId="7E61A9E2" w:rsidR="004E3CC7" w:rsidRDefault="00D02ADE" w:rsidP="00B57B78">
      <w:pPr>
        <w:ind w:left="426"/>
      </w:pPr>
      <w:r>
        <w:t>The clinical claims are based on the results of the CARTITUDE-1 study.</w:t>
      </w:r>
    </w:p>
    <w:p w14:paraId="32DC4FBB" w14:textId="5ADC6AE6" w:rsidR="00831A2B" w:rsidRDefault="00831A2B" w:rsidP="00B57B78">
      <w:pPr>
        <w:ind w:left="426"/>
      </w:pPr>
      <w:r>
        <w:t xml:space="preserve">The efficacy data from CARTITUDE-1 is reported after a median duration of follow-up of 18.0 months (clinical cut-off 11 February 2021). Treatment with </w:t>
      </w:r>
      <w:proofErr w:type="spellStart"/>
      <w:r>
        <w:t>cilta-cel</w:t>
      </w:r>
      <w:proofErr w:type="spellEnd"/>
      <w:r>
        <w:t xml:space="preserve"> resulted in a highly effective and clinically meaningful response in patients with RRMM. Notably, 97.9% of patients (n=97) achieved a response (partial response or better [overall response rate, ORR]) of which 92 patients (94.8%) achieved a response of VGPR or better and 80.4% of patients achieved a best response of </w:t>
      </w:r>
      <w:proofErr w:type="spellStart"/>
      <w:r>
        <w:t>sCR</w:t>
      </w:r>
      <w:proofErr w:type="spellEnd"/>
      <w:r>
        <w:t xml:space="preserve"> as adjudicated by Independent Review Committee (IRC). </w:t>
      </w:r>
      <w:r w:rsidR="00C34EE0">
        <w:t xml:space="preserve">Further, in 61 evaluable patients for MRD status, 91.8% of these were MRD-negative which is highly sensitive measure of effectiveness of therapy in MM, and a proxy for absence of disease. </w:t>
      </w:r>
      <w:r w:rsidR="002A00CF">
        <w:t xml:space="preserve">Historically this depth and level of response has </w:t>
      </w:r>
      <w:r w:rsidR="00C34EE0">
        <w:t>not been</w:t>
      </w:r>
      <w:r w:rsidR="002A00CF">
        <w:t xml:space="preserve"> attain</w:t>
      </w:r>
      <w:r w:rsidR="00C34EE0">
        <w:t>ed</w:t>
      </w:r>
      <w:r w:rsidR="002A00CF">
        <w:t xml:space="preserve"> in RRMM</w:t>
      </w:r>
      <w:r w:rsidR="00C34EE0">
        <w:t xml:space="preserve">. For example, in the pivotal phase 3 study of pomalidomide, </w:t>
      </w:r>
      <w:r w:rsidR="00FA2081">
        <w:t xml:space="preserve">MRD status was not analysed, and only </w:t>
      </w:r>
      <w:r w:rsidR="002A00CF">
        <w:t>31%</w:t>
      </w:r>
      <w:r w:rsidR="00FA2081">
        <w:t xml:space="preserve"> of the population treated with pomalidomide achieve an ORR, in which most of these patients achieved a partial response</w:t>
      </w:r>
      <w:r w:rsidR="002A00CF">
        <w:t xml:space="preserve"> (Miguel et al. 2013</w:t>
      </w:r>
      <w:r w:rsidR="00FA2081">
        <w:t>; see Figure 9</w:t>
      </w:r>
      <w:r w:rsidR="002A00CF">
        <w:t xml:space="preserve">). </w:t>
      </w:r>
      <w:r w:rsidR="00FA2081">
        <w:t>Only 1% of those treated with pomalidomide achieved a complete or stringent</w:t>
      </w:r>
      <w:r w:rsidR="006B631E">
        <w:t xml:space="preserve"> complete</w:t>
      </w:r>
      <w:r w:rsidR="00FA2081">
        <w:t xml:space="preserve"> response </w:t>
      </w:r>
      <w:r>
        <w:t>(Miguel et al. 2013</w:t>
      </w:r>
      <w:r w:rsidR="00FA2081">
        <w:t>; see Figure 9</w:t>
      </w:r>
      <w:r>
        <w:t>).</w:t>
      </w:r>
    </w:p>
    <w:p w14:paraId="286B09C5" w14:textId="2589CA09" w:rsidR="00ED01E7" w:rsidRDefault="00ED01E7" w:rsidP="00B57B78">
      <w:pPr>
        <w:ind w:left="426"/>
      </w:pPr>
      <w:proofErr w:type="spellStart"/>
      <w:r>
        <w:t>Cilta-cel</w:t>
      </w:r>
      <w:proofErr w:type="spellEnd"/>
      <w:r>
        <w:t xml:space="preserve"> also demonstrated a rapid onset of response, with a median time to first response of 0.95 months (range: 0.9 to 10.7 months) and a median time to best response of 2.6 months (range 0.9 to 15.2 months). </w:t>
      </w:r>
      <w:proofErr w:type="spellStart"/>
      <w:r>
        <w:t>Cilta-cel</w:t>
      </w:r>
      <w:proofErr w:type="spellEnd"/>
      <w:r>
        <w:t xml:space="preserve"> also demonstrated a durable response with the median duration of response of 21.8 months.</w:t>
      </w:r>
    </w:p>
    <w:p w14:paraId="6192295D" w14:textId="358094F6" w:rsidR="00ED01E7" w:rsidRPr="00ED01E7" w:rsidRDefault="00ED01E7" w:rsidP="009F7D24">
      <w:pPr>
        <w:keepNext/>
        <w:ind w:left="425"/>
        <w:rPr>
          <w:b/>
          <w:bCs/>
        </w:rPr>
      </w:pPr>
      <w:r w:rsidRPr="00ED01E7">
        <w:rPr>
          <w:b/>
          <w:bCs/>
        </w:rPr>
        <w:t xml:space="preserve">Figure </w:t>
      </w:r>
      <w:r w:rsidR="008333E3">
        <w:rPr>
          <w:b/>
          <w:bCs/>
        </w:rPr>
        <w:t>9</w:t>
      </w:r>
      <w:r w:rsidRPr="00ED01E7">
        <w:rPr>
          <w:b/>
          <w:bCs/>
        </w:rPr>
        <w:t xml:space="preserve">: </w:t>
      </w:r>
      <w:r w:rsidR="00D71465">
        <w:rPr>
          <w:b/>
          <w:bCs/>
        </w:rPr>
        <w:t>Naïve c</w:t>
      </w:r>
      <w:r w:rsidRPr="00ED01E7">
        <w:rPr>
          <w:b/>
          <w:bCs/>
        </w:rPr>
        <w:t xml:space="preserve">omparison of best response rates for </w:t>
      </w:r>
      <w:proofErr w:type="spellStart"/>
      <w:r w:rsidRPr="00ED01E7">
        <w:rPr>
          <w:b/>
          <w:bCs/>
        </w:rPr>
        <w:t>cilta-cel</w:t>
      </w:r>
      <w:proofErr w:type="spellEnd"/>
      <w:r w:rsidRPr="00ED01E7">
        <w:rPr>
          <w:b/>
          <w:bCs/>
        </w:rPr>
        <w:t xml:space="preserve"> [left] and pomalidomide [right] </w:t>
      </w:r>
    </w:p>
    <w:p w14:paraId="4D232DB2" w14:textId="56AC9BAA" w:rsidR="00B55182" w:rsidRDefault="00ED01E7" w:rsidP="00ED01E7">
      <w:pPr>
        <w:ind w:left="426"/>
        <w:jc w:val="right"/>
      </w:pPr>
      <w:r>
        <w:rPr>
          <w:noProof/>
        </w:rPr>
        <w:drawing>
          <wp:inline distT="0" distB="0" distL="0" distR="0" wp14:anchorId="1E8B080B" wp14:editId="0301ECD8">
            <wp:extent cx="1889760" cy="2185337"/>
            <wp:effectExtent l="0" t="0" r="0" b="5715"/>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pic:cNvPicPr/>
                  </pic:nvPicPr>
                  <pic:blipFill>
                    <a:blip r:embed="rId22"/>
                    <a:stretch>
                      <a:fillRect/>
                    </a:stretch>
                  </pic:blipFill>
                  <pic:spPr>
                    <a:xfrm>
                      <a:off x="0" y="0"/>
                      <a:ext cx="1920905" cy="2221353"/>
                    </a:xfrm>
                    <a:prstGeom prst="rect">
                      <a:avLst/>
                    </a:prstGeom>
                  </pic:spPr>
                </pic:pic>
              </a:graphicData>
            </a:graphic>
          </wp:inline>
        </w:drawing>
      </w:r>
      <w:r>
        <w:rPr>
          <w:noProof/>
        </w:rPr>
        <w:drawing>
          <wp:inline distT="0" distB="0" distL="0" distR="0" wp14:anchorId="662531E1" wp14:editId="06DA59D5">
            <wp:extent cx="3488235" cy="2200908"/>
            <wp:effectExtent l="0" t="0" r="0" b="9525"/>
            <wp:docPr id="17" name="Picture 1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pic:cNvPicPr/>
                  </pic:nvPicPr>
                  <pic:blipFill>
                    <a:blip r:embed="rId23"/>
                    <a:stretch>
                      <a:fillRect/>
                    </a:stretch>
                  </pic:blipFill>
                  <pic:spPr>
                    <a:xfrm>
                      <a:off x="0" y="0"/>
                      <a:ext cx="3527284" cy="2225546"/>
                    </a:xfrm>
                    <a:prstGeom prst="rect">
                      <a:avLst/>
                    </a:prstGeom>
                  </pic:spPr>
                </pic:pic>
              </a:graphicData>
            </a:graphic>
          </wp:inline>
        </w:drawing>
      </w:r>
    </w:p>
    <w:p w14:paraId="3F1986D6" w14:textId="69252C9C" w:rsidR="00925CA5" w:rsidRPr="00A277AB" w:rsidRDefault="00ED01E7" w:rsidP="00B57B78">
      <w:pPr>
        <w:spacing w:after="240"/>
        <w:ind w:left="425"/>
        <w:rPr>
          <w:sz w:val="16"/>
          <w:szCs w:val="18"/>
        </w:rPr>
      </w:pPr>
      <w:r>
        <w:rPr>
          <w:sz w:val="16"/>
          <w:szCs w:val="18"/>
        </w:rPr>
        <w:t>Source</w:t>
      </w:r>
      <w:r w:rsidR="00A277AB">
        <w:rPr>
          <w:sz w:val="16"/>
          <w:szCs w:val="18"/>
        </w:rPr>
        <w:t xml:space="preserve"> (s)</w:t>
      </w:r>
      <w:r>
        <w:rPr>
          <w:sz w:val="16"/>
          <w:szCs w:val="18"/>
        </w:rPr>
        <w:t xml:space="preserve">: </w:t>
      </w:r>
      <w:proofErr w:type="spellStart"/>
      <w:r w:rsidR="00A277AB" w:rsidRPr="00A277AB">
        <w:rPr>
          <w:sz w:val="16"/>
          <w:szCs w:val="18"/>
        </w:rPr>
        <w:t>Usmani</w:t>
      </w:r>
      <w:proofErr w:type="spellEnd"/>
      <w:r w:rsidR="00A277AB" w:rsidRPr="00A277AB">
        <w:rPr>
          <w:sz w:val="16"/>
          <w:szCs w:val="18"/>
        </w:rPr>
        <w:t xml:space="preserve"> SZ et al. 2021. </w:t>
      </w:r>
      <w:proofErr w:type="spellStart"/>
      <w:r w:rsidR="00A277AB" w:rsidRPr="00A277AB">
        <w:rPr>
          <w:sz w:val="16"/>
          <w:szCs w:val="18"/>
        </w:rPr>
        <w:t>Ciltacabtagene</w:t>
      </w:r>
      <w:proofErr w:type="spellEnd"/>
      <w:r w:rsidR="00A277AB" w:rsidRPr="00A277AB">
        <w:rPr>
          <w:sz w:val="16"/>
          <w:szCs w:val="18"/>
        </w:rPr>
        <w:t xml:space="preserve"> </w:t>
      </w:r>
      <w:proofErr w:type="spellStart"/>
      <w:r w:rsidR="00A277AB" w:rsidRPr="00A277AB">
        <w:rPr>
          <w:sz w:val="16"/>
          <w:szCs w:val="18"/>
        </w:rPr>
        <w:t>Autoleucel</w:t>
      </w:r>
      <w:proofErr w:type="spellEnd"/>
      <w:r w:rsidR="00A277AB" w:rsidRPr="00A277AB">
        <w:rPr>
          <w:sz w:val="16"/>
          <w:szCs w:val="18"/>
        </w:rPr>
        <w:t>, a B-cell Maturation Antigen–directed Chimeric Antigen Receptor T-cell</w:t>
      </w:r>
      <w:r w:rsidR="00A277AB">
        <w:rPr>
          <w:sz w:val="16"/>
          <w:szCs w:val="18"/>
        </w:rPr>
        <w:t xml:space="preserve"> </w:t>
      </w:r>
      <w:r w:rsidR="00A277AB" w:rsidRPr="00A277AB">
        <w:rPr>
          <w:sz w:val="16"/>
          <w:szCs w:val="18"/>
        </w:rPr>
        <w:t xml:space="preserve">Therapy, in Relapsed/Refractory Multiple Myeloma: Updated Results From CARTITUDE-1. ASCO 2021 </w:t>
      </w:r>
      <w:proofErr w:type="gramStart"/>
      <w:r w:rsidR="00A277AB" w:rsidRPr="00A277AB">
        <w:rPr>
          <w:sz w:val="16"/>
          <w:szCs w:val="18"/>
        </w:rPr>
        <w:t>conference..</w:t>
      </w:r>
      <w:proofErr w:type="gramEnd"/>
      <w:r w:rsidR="00A277AB" w:rsidRPr="00A277AB">
        <w:rPr>
          <w:sz w:val="16"/>
          <w:szCs w:val="18"/>
        </w:rPr>
        <w:t xml:space="preserve"> Data cut-off Feb 11, 2021.</w:t>
      </w:r>
      <w:r w:rsidR="00A277AB">
        <w:rPr>
          <w:sz w:val="16"/>
          <w:szCs w:val="18"/>
        </w:rPr>
        <w:t xml:space="preserve"> Miguel et al. 2013. </w:t>
      </w:r>
      <w:r w:rsidR="00A277AB" w:rsidRPr="00A277AB">
        <w:rPr>
          <w:sz w:val="16"/>
          <w:szCs w:val="18"/>
        </w:rPr>
        <w:t>Pomalidomide plus low-dose dexamethasone versus</w:t>
      </w:r>
      <w:r w:rsidR="00A277AB">
        <w:rPr>
          <w:sz w:val="16"/>
          <w:szCs w:val="18"/>
        </w:rPr>
        <w:t xml:space="preserve"> </w:t>
      </w:r>
      <w:r w:rsidR="00A277AB" w:rsidRPr="00A277AB">
        <w:rPr>
          <w:sz w:val="16"/>
          <w:szCs w:val="18"/>
        </w:rPr>
        <w:t>high-dose dexamethasone alone for patients with relapsed</w:t>
      </w:r>
      <w:r w:rsidR="00A277AB">
        <w:rPr>
          <w:sz w:val="16"/>
          <w:szCs w:val="18"/>
        </w:rPr>
        <w:t xml:space="preserve"> </w:t>
      </w:r>
      <w:r w:rsidR="00A277AB" w:rsidRPr="00A277AB">
        <w:rPr>
          <w:sz w:val="16"/>
          <w:szCs w:val="18"/>
        </w:rPr>
        <w:t>and refractory multiple myeloma (MM-003): a randomised,</w:t>
      </w:r>
      <w:r w:rsidR="00A277AB">
        <w:rPr>
          <w:sz w:val="16"/>
          <w:szCs w:val="18"/>
        </w:rPr>
        <w:t xml:space="preserve"> </w:t>
      </w:r>
      <w:r w:rsidR="00A277AB" w:rsidRPr="00A277AB">
        <w:rPr>
          <w:sz w:val="16"/>
          <w:szCs w:val="18"/>
        </w:rPr>
        <w:t>open-label, phase 3 trial</w:t>
      </w:r>
      <w:r w:rsidR="00A277AB">
        <w:rPr>
          <w:sz w:val="16"/>
          <w:szCs w:val="18"/>
        </w:rPr>
        <w:t xml:space="preserve">. </w:t>
      </w:r>
      <w:r w:rsidR="00A277AB" w:rsidRPr="00A277AB">
        <w:rPr>
          <w:sz w:val="16"/>
          <w:szCs w:val="18"/>
        </w:rPr>
        <w:t>Lancet Oncol 2013; 14: 1055–66</w:t>
      </w:r>
      <w:r w:rsidR="00A277AB">
        <w:rPr>
          <w:sz w:val="16"/>
          <w:szCs w:val="18"/>
        </w:rPr>
        <w:t>.</w:t>
      </w:r>
    </w:p>
    <w:p w14:paraId="04D1B7EA" w14:textId="7C893B0F" w:rsidR="00B57B78" w:rsidRDefault="00A277AB" w:rsidP="00B57B78">
      <w:pPr>
        <w:ind w:left="426"/>
      </w:pPr>
      <w:r>
        <w:t xml:space="preserve">After a median follow up of 18.0 months, 65 patients (67.0%) had their PFS data censored at the clinical cut-off. The overall median PFS based on the IRC response assessment was 22.8 months (95% CI: 22.80, NE; see Figure </w:t>
      </w:r>
      <w:r w:rsidR="009662FB">
        <w:t>10</w:t>
      </w:r>
      <w:r>
        <w:t xml:space="preserve">). </w:t>
      </w:r>
      <w:r w:rsidRPr="009662FB">
        <w:t>The median PFS (</w:t>
      </w:r>
      <w:proofErr w:type="spellStart"/>
      <w:r w:rsidRPr="009662FB">
        <w:t>mPFS</w:t>
      </w:r>
      <w:proofErr w:type="spellEnd"/>
      <w:r w:rsidRPr="009662FB">
        <w:t xml:space="preserve">) for </w:t>
      </w:r>
      <w:r w:rsidR="00F3465F" w:rsidRPr="009662FB">
        <w:t>patients</w:t>
      </w:r>
      <w:r w:rsidRPr="009662FB">
        <w:t xml:space="preserve"> who achieved CR/</w:t>
      </w:r>
      <w:proofErr w:type="spellStart"/>
      <w:r w:rsidRPr="009662FB">
        <w:t>sCR</w:t>
      </w:r>
      <w:proofErr w:type="spellEnd"/>
      <w:r w:rsidRPr="009662FB">
        <w:t xml:space="preserve"> was not reached. </w:t>
      </w:r>
      <w:r w:rsidR="009662FB" w:rsidRPr="009662FB">
        <w:t xml:space="preserve">Thus, the median PFS for </w:t>
      </w:r>
      <w:proofErr w:type="spellStart"/>
      <w:r w:rsidR="009662FB" w:rsidRPr="009662FB">
        <w:t>cilta-cel</w:t>
      </w:r>
      <w:proofErr w:type="spellEnd"/>
      <w:r w:rsidR="009662FB" w:rsidRPr="009662FB">
        <w:t xml:space="preserve"> is longer than the median OS seen with current therapies which has reported between 9 and 25 months (see Q24, Figures 2 to 4). </w:t>
      </w:r>
      <w:r w:rsidR="00F61C9A">
        <w:t xml:space="preserve">Further, the comparison of CARTITUDE-1 and the </w:t>
      </w:r>
      <w:r w:rsidR="00F61C9A">
        <w:lastRenderedPageBreak/>
        <w:t xml:space="preserve">survival data for fourth-line </w:t>
      </w:r>
      <w:r w:rsidR="00856A1D">
        <w:t>therapy</w:t>
      </w:r>
      <w:r w:rsidR="00F61C9A">
        <w:t xml:space="preserve"> on the PBS is heavily biased against </w:t>
      </w:r>
      <w:proofErr w:type="spellStart"/>
      <w:r w:rsidR="00F61C9A">
        <w:t>cilta-cel</w:t>
      </w:r>
      <w:proofErr w:type="spellEnd"/>
      <w:r w:rsidR="00F61C9A">
        <w:t xml:space="preserve"> because the median number of prior lines of therapies in the CARTITUDE-1 study was 6. </w:t>
      </w:r>
      <w:r w:rsidRPr="009662FB">
        <w:t xml:space="preserve">Thus, this </w:t>
      </w:r>
      <w:r w:rsidR="00F3465F" w:rsidRPr="009662FB">
        <w:t xml:space="preserve">demonstrates the superiority of </w:t>
      </w:r>
      <w:proofErr w:type="spellStart"/>
      <w:r w:rsidR="00F3465F" w:rsidRPr="009662FB">
        <w:t>cilta-cel</w:t>
      </w:r>
      <w:proofErr w:type="spellEnd"/>
      <w:r w:rsidR="00F3465F" w:rsidRPr="009662FB">
        <w:t xml:space="preserve"> compared with current therapies in </w:t>
      </w:r>
      <w:r w:rsidR="000A5658" w:rsidRPr="009662FB">
        <w:t>the</w:t>
      </w:r>
      <w:r w:rsidR="00F3465F" w:rsidRPr="009662FB">
        <w:t xml:space="preserve"> RRMM setting</w:t>
      </w:r>
      <w:r w:rsidR="009662FB">
        <w:t>.</w:t>
      </w:r>
      <w:r w:rsidR="00F3465F">
        <w:t xml:space="preserve"> The 18-month OS rate for all patients in CARTITUDE-1 was 80.9% (95% CI, 71.04-87.6).</w:t>
      </w:r>
      <w:r w:rsidR="0012588B">
        <w:t xml:space="preserve"> T</w:t>
      </w:r>
      <w:r w:rsidR="0012588B" w:rsidRPr="0012588B">
        <w:t xml:space="preserve">hus, </w:t>
      </w:r>
      <w:r w:rsidR="0012588B">
        <w:t xml:space="preserve">the results of CARTITUDE-1 </w:t>
      </w:r>
      <w:r w:rsidR="0012588B" w:rsidRPr="0012588B">
        <w:t>emphasis</w:t>
      </w:r>
      <w:r w:rsidR="0012588B">
        <w:t>e that</w:t>
      </w:r>
      <w:r w:rsidR="0012588B" w:rsidRPr="0012588B">
        <w:t xml:space="preserve"> </w:t>
      </w:r>
      <w:proofErr w:type="spellStart"/>
      <w:r w:rsidR="0012588B">
        <w:t>cilta-cel</w:t>
      </w:r>
      <w:proofErr w:type="spellEnd"/>
      <w:r w:rsidR="0012588B">
        <w:t xml:space="preserve"> represents a significant </w:t>
      </w:r>
      <w:r w:rsidR="0012588B" w:rsidRPr="0012588B">
        <w:t xml:space="preserve">step change </w:t>
      </w:r>
      <w:r w:rsidR="0012588B">
        <w:t xml:space="preserve">in treating </w:t>
      </w:r>
      <w:r w:rsidR="00431866">
        <w:t xml:space="preserve">this heavily pre-treated </w:t>
      </w:r>
      <w:r w:rsidR="0012588B">
        <w:t>RRMM</w:t>
      </w:r>
      <w:r w:rsidR="00431866">
        <w:t xml:space="preserve"> population</w:t>
      </w:r>
      <w:r w:rsidR="00B57B78">
        <w:t>.</w:t>
      </w:r>
    </w:p>
    <w:p w14:paraId="06F19271" w14:textId="326BECD3" w:rsidR="0012588B" w:rsidRPr="0012588B" w:rsidRDefault="00B57B78" w:rsidP="00B57B78">
      <w:pPr>
        <w:ind w:left="426"/>
        <w:rPr>
          <w:b/>
          <w:bCs/>
        </w:rPr>
      </w:pPr>
      <w:r>
        <w:rPr>
          <w:b/>
          <w:bCs/>
        </w:rPr>
        <w:t>F</w:t>
      </w:r>
      <w:r w:rsidR="0012588B" w:rsidRPr="00ED01E7">
        <w:rPr>
          <w:b/>
          <w:bCs/>
        </w:rPr>
        <w:t xml:space="preserve">igure </w:t>
      </w:r>
      <w:r w:rsidR="008333E3">
        <w:rPr>
          <w:b/>
          <w:bCs/>
        </w:rPr>
        <w:t>10</w:t>
      </w:r>
      <w:r w:rsidR="0012588B" w:rsidRPr="00ED01E7">
        <w:rPr>
          <w:b/>
          <w:bCs/>
        </w:rPr>
        <w:t xml:space="preserve">: </w:t>
      </w:r>
      <w:r w:rsidR="002A00CF">
        <w:rPr>
          <w:b/>
          <w:bCs/>
        </w:rPr>
        <w:t>Naïve c</w:t>
      </w:r>
      <w:r w:rsidR="002A00CF" w:rsidRPr="00ED01E7">
        <w:rPr>
          <w:b/>
          <w:bCs/>
        </w:rPr>
        <w:t xml:space="preserve">omparison of </w:t>
      </w:r>
      <w:r w:rsidR="002A00CF">
        <w:rPr>
          <w:b/>
          <w:bCs/>
        </w:rPr>
        <w:t>PFS</w:t>
      </w:r>
      <w:r w:rsidR="002A00CF" w:rsidRPr="00ED01E7">
        <w:rPr>
          <w:b/>
          <w:bCs/>
        </w:rPr>
        <w:t xml:space="preserve"> for </w:t>
      </w:r>
      <w:proofErr w:type="spellStart"/>
      <w:r w:rsidR="002A00CF" w:rsidRPr="00ED01E7">
        <w:rPr>
          <w:b/>
          <w:bCs/>
        </w:rPr>
        <w:t>cilta-cel</w:t>
      </w:r>
      <w:proofErr w:type="spellEnd"/>
      <w:r w:rsidR="002A00CF" w:rsidRPr="00ED01E7">
        <w:rPr>
          <w:b/>
          <w:bCs/>
        </w:rPr>
        <w:t xml:space="preserve"> [</w:t>
      </w:r>
      <w:r w:rsidR="008333E3">
        <w:rPr>
          <w:b/>
          <w:bCs/>
        </w:rPr>
        <w:t>top</w:t>
      </w:r>
      <w:r w:rsidR="002A00CF" w:rsidRPr="00ED01E7">
        <w:rPr>
          <w:b/>
          <w:bCs/>
        </w:rPr>
        <w:t>] and</w:t>
      </w:r>
      <w:r w:rsidR="002A00CF">
        <w:rPr>
          <w:b/>
          <w:bCs/>
        </w:rPr>
        <w:t xml:space="preserve"> OS for</w:t>
      </w:r>
      <w:r w:rsidR="002A00CF" w:rsidRPr="00ED01E7">
        <w:rPr>
          <w:b/>
          <w:bCs/>
        </w:rPr>
        <w:t xml:space="preserve"> pomalidomide [</w:t>
      </w:r>
      <w:r w:rsidR="008333E3">
        <w:rPr>
          <w:b/>
          <w:bCs/>
        </w:rPr>
        <w:t>bottom</w:t>
      </w:r>
      <w:r w:rsidR="002A00CF" w:rsidRPr="00ED01E7">
        <w:rPr>
          <w:b/>
          <w:bCs/>
        </w:rPr>
        <w:t xml:space="preserve">] </w:t>
      </w:r>
      <w:r w:rsidR="002A00CF">
        <w:rPr>
          <w:b/>
          <w:bCs/>
        </w:rPr>
        <w:t>in RRMM</w:t>
      </w:r>
      <w:r>
        <w:rPr>
          <w:noProof/>
        </w:rPr>
        <w:drawing>
          <wp:inline distT="0" distB="0" distL="0" distR="0" wp14:anchorId="71691EFC" wp14:editId="13724776">
            <wp:extent cx="4574838" cy="3810000"/>
            <wp:effectExtent l="0" t="0" r="0" b="0"/>
            <wp:docPr id="19" name="Picture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icture"/>
                    <pic:cNvPicPr/>
                  </pic:nvPicPr>
                  <pic:blipFill>
                    <a:blip r:embed="rId24"/>
                    <a:stretch>
                      <a:fillRect/>
                    </a:stretch>
                  </pic:blipFill>
                  <pic:spPr>
                    <a:xfrm>
                      <a:off x="0" y="0"/>
                      <a:ext cx="4643349" cy="3867057"/>
                    </a:xfrm>
                    <a:prstGeom prst="rect">
                      <a:avLst/>
                    </a:prstGeom>
                  </pic:spPr>
                </pic:pic>
              </a:graphicData>
            </a:graphic>
          </wp:inline>
        </w:drawing>
      </w:r>
    </w:p>
    <w:p w14:paraId="70028F1E" w14:textId="2EB9BAF3" w:rsidR="0012588B" w:rsidRDefault="0012588B" w:rsidP="00925CA5">
      <w:pPr>
        <w:ind w:left="426"/>
      </w:pPr>
      <w:r>
        <w:rPr>
          <w:noProof/>
        </w:rPr>
        <w:drawing>
          <wp:inline distT="0" distB="0" distL="0" distR="0" wp14:anchorId="155AA48A" wp14:editId="155B600F">
            <wp:extent cx="4772025" cy="2782010"/>
            <wp:effectExtent l="0" t="0" r="0" b="0"/>
            <wp:docPr id="20" name="Picture 2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icture"/>
                    <pic:cNvPicPr/>
                  </pic:nvPicPr>
                  <pic:blipFill>
                    <a:blip r:embed="rId18"/>
                    <a:stretch>
                      <a:fillRect/>
                    </a:stretch>
                  </pic:blipFill>
                  <pic:spPr>
                    <a:xfrm>
                      <a:off x="0" y="0"/>
                      <a:ext cx="4886292" cy="2848626"/>
                    </a:xfrm>
                    <a:prstGeom prst="rect">
                      <a:avLst/>
                    </a:prstGeom>
                  </pic:spPr>
                </pic:pic>
              </a:graphicData>
            </a:graphic>
          </wp:inline>
        </w:drawing>
      </w:r>
    </w:p>
    <w:p w14:paraId="496BED9A" w14:textId="5EF34F9B" w:rsidR="00A25CFA" w:rsidRPr="00A25CFA" w:rsidRDefault="00A25CFA" w:rsidP="00112E0C">
      <w:pPr>
        <w:spacing w:after="240"/>
        <w:ind w:left="425"/>
        <w:rPr>
          <w:sz w:val="16"/>
          <w:szCs w:val="18"/>
        </w:rPr>
      </w:pPr>
      <w:r>
        <w:rPr>
          <w:sz w:val="16"/>
          <w:szCs w:val="18"/>
        </w:rPr>
        <w:t xml:space="preserve">Source (s): </w:t>
      </w:r>
      <w:proofErr w:type="spellStart"/>
      <w:r w:rsidRPr="00A277AB">
        <w:rPr>
          <w:sz w:val="16"/>
          <w:szCs w:val="18"/>
        </w:rPr>
        <w:t>Usmani</w:t>
      </w:r>
      <w:proofErr w:type="spellEnd"/>
      <w:r w:rsidRPr="00A277AB">
        <w:rPr>
          <w:sz w:val="16"/>
          <w:szCs w:val="18"/>
        </w:rPr>
        <w:t xml:space="preserve"> SZ et al. 2021. </w:t>
      </w:r>
      <w:proofErr w:type="spellStart"/>
      <w:r w:rsidRPr="00A277AB">
        <w:rPr>
          <w:sz w:val="16"/>
          <w:szCs w:val="18"/>
        </w:rPr>
        <w:t>Ciltacabtagene</w:t>
      </w:r>
      <w:proofErr w:type="spellEnd"/>
      <w:r w:rsidRPr="00A277AB">
        <w:rPr>
          <w:sz w:val="16"/>
          <w:szCs w:val="18"/>
        </w:rPr>
        <w:t xml:space="preserve"> </w:t>
      </w:r>
      <w:proofErr w:type="spellStart"/>
      <w:r w:rsidRPr="00A277AB">
        <w:rPr>
          <w:sz w:val="16"/>
          <w:szCs w:val="18"/>
        </w:rPr>
        <w:t>Autoleucel</w:t>
      </w:r>
      <w:proofErr w:type="spellEnd"/>
      <w:r w:rsidRPr="00A277AB">
        <w:rPr>
          <w:sz w:val="16"/>
          <w:szCs w:val="18"/>
        </w:rPr>
        <w:t>, a B-cell Maturation Antigen–directed Chimeric Antigen Receptor T-cell</w:t>
      </w:r>
      <w:r>
        <w:rPr>
          <w:sz w:val="16"/>
          <w:szCs w:val="18"/>
        </w:rPr>
        <w:t xml:space="preserve"> </w:t>
      </w:r>
      <w:r w:rsidRPr="00A277AB">
        <w:rPr>
          <w:sz w:val="16"/>
          <w:szCs w:val="18"/>
        </w:rPr>
        <w:t xml:space="preserve">Therapy, in Relapsed/Refractory Multiple Myeloma: Updated Results From CARTITUDE-1. ASCO 2021 </w:t>
      </w:r>
      <w:proofErr w:type="gramStart"/>
      <w:r w:rsidRPr="00A277AB">
        <w:rPr>
          <w:sz w:val="16"/>
          <w:szCs w:val="18"/>
        </w:rPr>
        <w:t>conference..</w:t>
      </w:r>
      <w:proofErr w:type="gramEnd"/>
      <w:r w:rsidRPr="00A277AB">
        <w:rPr>
          <w:sz w:val="16"/>
          <w:szCs w:val="18"/>
        </w:rPr>
        <w:t xml:space="preserve"> Data cut-off Feb 11, 2021.</w:t>
      </w:r>
      <w:r>
        <w:rPr>
          <w:sz w:val="16"/>
          <w:szCs w:val="18"/>
        </w:rPr>
        <w:t xml:space="preserve"> Miguel et al. 2013. </w:t>
      </w:r>
      <w:r w:rsidRPr="00A277AB">
        <w:rPr>
          <w:sz w:val="16"/>
          <w:szCs w:val="18"/>
        </w:rPr>
        <w:t>Pomalidomide plus low-dose dexamethasone versus</w:t>
      </w:r>
      <w:r>
        <w:rPr>
          <w:sz w:val="16"/>
          <w:szCs w:val="18"/>
        </w:rPr>
        <w:t xml:space="preserve"> </w:t>
      </w:r>
      <w:r w:rsidRPr="00A277AB">
        <w:rPr>
          <w:sz w:val="16"/>
          <w:szCs w:val="18"/>
        </w:rPr>
        <w:t>high-dose dexamethasone alone for patients with relapsed</w:t>
      </w:r>
      <w:r>
        <w:rPr>
          <w:sz w:val="16"/>
          <w:szCs w:val="18"/>
        </w:rPr>
        <w:t xml:space="preserve"> </w:t>
      </w:r>
      <w:r w:rsidRPr="00A277AB">
        <w:rPr>
          <w:sz w:val="16"/>
          <w:szCs w:val="18"/>
        </w:rPr>
        <w:t>and refractory multiple myeloma (MM-003): a randomised,</w:t>
      </w:r>
      <w:r>
        <w:rPr>
          <w:sz w:val="16"/>
          <w:szCs w:val="18"/>
        </w:rPr>
        <w:t xml:space="preserve"> </w:t>
      </w:r>
      <w:r w:rsidRPr="00A277AB">
        <w:rPr>
          <w:sz w:val="16"/>
          <w:szCs w:val="18"/>
        </w:rPr>
        <w:t>open-label, phase 3 trial</w:t>
      </w:r>
      <w:r>
        <w:rPr>
          <w:sz w:val="16"/>
          <w:szCs w:val="18"/>
        </w:rPr>
        <w:t xml:space="preserve">. </w:t>
      </w:r>
      <w:r w:rsidRPr="00A277AB">
        <w:rPr>
          <w:sz w:val="16"/>
          <w:szCs w:val="18"/>
        </w:rPr>
        <w:t>Lancet Oncol 2013; 14: 1055–66</w:t>
      </w:r>
      <w:r>
        <w:rPr>
          <w:sz w:val="16"/>
          <w:szCs w:val="18"/>
        </w:rPr>
        <w:t>.</w:t>
      </w:r>
    </w:p>
    <w:p w14:paraId="19CCC6F9" w14:textId="52AB1BD0" w:rsidR="007307C9" w:rsidRPr="007307C9" w:rsidRDefault="007307C9" w:rsidP="00B57B78">
      <w:pPr>
        <w:ind w:left="426"/>
      </w:pPr>
      <w:r>
        <w:t xml:space="preserve">Patients </w:t>
      </w:r>
      <w:r w:rsidRPr="007307C9">
        <w:t xml:space="preserve">participating in </w:t>
      </w:r>
      <w:proofErr w:type="spellStart"/>
      <w:r w:rsidRPr="007307C9">
        <w:t>HRQoL</w:t>
      </w:r>
      <w:proofErr w:type="spellEnd"/>
      <w:r w:rsidRPr="007307C9">
        <w:t xml:space="preserve"> evaluations</w:t>
      </w:r>
      <w:r>
        <w:t xml:space="preserve"> in CARTITUDE-1</w:t>
      </w:r>
      <w:r w:rsidRPr="007307C9">
        <w:t xml:space="preserve"> reported significant improvements in</w:t>
      </w:r>
      <w:r>
        <w:t xml:space="preserve"> </w:t>
      </w:r>
      <w:r w:rsidRPr="007307C9">
        <w:t>functional status and wellbeing including those related to the cancer-specific EORTC-QLQ30 and</w:t>
      </w:r>
      <w:r>
        <w:t xml:space="preserve"> </w:t>
      </w:r>
      <w:r w:rsidRPr="007307C9">
        <w:t xml:space="preserve">general </w:t>
      </w:r>
      <w:r w:rsidRPr="007307C9">
        <w:lastRenderedPageBreak/>
        <w:t xml:space="preserve">health EQ-5D-5L. </w:t>
      </w:r>
      <w:r>
        <w:t>Patients</w:t>
      </w:r>
      <w:r w:rsidRPr="007307C9">
        <w:t xml:space="preserve"> also experienced reduction in pain and fatigue with an</w:t>
      </w:r>
      <w:r>
        <w:t xml:space="preserve"> </w:t>
      </w:r>
      <w:r w:rsidRPr="007307C9">
        <w:t xml:space="preserve">improvement in future perspective. </w:t>
      </w:r>
      <w:r>
        <w:t>Patients</w:t>
      </w:r>
      <w:r w:rsidRPr="007307C9">
        <w:t xml:space="preserve"> who participated in the optional qualitative interviews</w:t>
      </w:r>
      <w:r>
        <w:t xml:space="preserve"> </w:t>
      </w:r>
      <w:r w:rsidRPr="007307C9">
        <w:t xml:space="preserve">described their experience as exclusively better than their previous treatment experiences. </w:t>
      </w:r>
      <w:proofErr w:type="gramStart"/>
      <w:r w:rsidRPr="007307C9">
        <w:t>All of</w:t>
      </w:r>
      <w:proofErr w:type="gramEnd"/>
      <w:r>
        <w:t xml:space="preserve"> </w:t>
      </w:r>
      <w:r w:rsidRPr="007307C9">
        <w:t xml:space="preserve">these measures suggest improved </w:t>
      </w:r>
      <w:proofErr w:type="spellStart"/>
      <w:r w:rsidRPr="007307C9">
        <w:t>HRQoL</w:t>
      </w:r>
      <w:proofErr w:type="spellEnd"/>
      <w:r w:rsidRPr="007307C9">
        <w:t xml:space="preserve"> following treatment with </w:t>
      </w:r>
      <w:proofErr w:type="spellStart"/>
      <w:r w:rsidRPr="007307C9">
        <w:t>cilta-cel</w:t>
      </w:r>
      <w:proofErr w:type="spellEnd"/>
      <w:r w:rsidRPr="007307C9">
        <w:t>.</w:t>
      </w:r>
      <w:r>
        <w:t xml:space="preserve"> Thus, the high efficacy of </w:t>
      </w:r>
      <w:proofErr w:type="spellStart"/>
      <w:r>
        <w:t>cilta-cel</w:t>
      </w:r>
      <w:proofErr w:type="spellEnd"/>
      <w:r>
        <w:t xml:space="preserve"> is achieved while improving </w:t>
      </w:r>
      <w:proofErr w:type="spellStart"/>
      <w:r>
        <w:t>HRQoL</w:t>
      </w:r>
      <w:proofErr w:type="spellEnd"/>
      <w:r>
        <w:t xml:space="preserve"> and therefore </w:t>
      </w:r>
      <w:proofErr w:type="spellStart"/>
      <w:r>
        <w:t>cilta-cel</w:t>
      </w:r>
      <w:proofErr w:type="spellEnd"/>
      <w:r>
        <w:t xml:space="preserve"> can address an area of high unmet medical need for Australian patients in which there are limited options and a poor prognosis.</w:t>
      </w:r>
    </w:p>
    <w:p w14:paraId="639F9A8D" w14:textId="5625068B" w:rsidR="00A25CFA" w:rsidRPr="00A25CFA" w:rsidRDefault="00AE2AA2" w:rsidP="00B57B78">
      <w:pPr>
        <w:ind w:left="426"/>
        <w:rPr>
          <w:b/>
          <w:bCs/>
        </w:rPr>
      </w:pPr>
      <w:r>
        <w:t xml:space="preserve">CARTITUDE-1 also demonstrated that </w:t>
      </w:r>
      <w:proofErr w:type="spellStart"/>
      <w:r>
        <w:t>cilta-cel</w:t>
      </w:r>
      <w:proofErr w:type="spellEnd"/>
      <w:r>
        <w:t xml:space="preserve"> has a manageable safety profile (see Table </w:t>
      </w:r>
      <w:r w:rsidR="009662FB">
        <w:t>2</w:t>
      </w:r>
      <w:r>
        <w:t xml:space="preserve">). All 97 patients who received </w:t>
      </w:r>
      <w:proofErr w:type="spellStart"/>
      <w:r>
        <w:t>cilta-cel</w:t>
      </w:r>
      <w:proofErr w:type="spellEnd"/>
      <w:r>
        <w:t xml:space="preserve"> infusion experienced one or more treatment emergent adverse event</w:t>
      </w:r>
      <w:r w:rsidR="00431866">
        <w:t>s</w:t>
      </w:r>
      <w:r>
        <w:t xml:space="preserve">. Serious adverse events were reported for 53 patients (54.6%), 42 patients (43.3%) experienced serious TEAEs related to </w:t>
      </w:r>
      <w:proofErr w:type="spellStart"/>
      <w:r>
        <w:t>cilta-</w:t>
      </w:r>
      <w:proofErr w:type="gramStart"/>
      <w:r>
        <w:t>cel.</w:t>
      </w:r>
      <w:r w:rsidR="00A25CFA">
        <w:rPr>
          <w:b/>
          <w:bCs/>
        </w:rPr>
        <w:t>Table</w:t>
      </w:r>
      <w:proofErr w:type="spellEnd"/>
      <w:proofErr w:type="gramEnd"/>
      <w:r w:rsidR="00A25CFA" w:rsidRPr="00ED01E7">
        <w:rPr>
          <w:b/>
          <w:bCs/>
        </w:rPr>
        <w:t xml:space="preserve"> </w:t>
      </w:r>
      <w:r w:rsidR="008333E3">
        <w:rPr>
          <w:b/>
          <w:bCs/>
        </w:rPr>
        <w:t>2</w:t>
      </w:r>
      <w:r w:rsidR="00A25CFA" w:rsidRPr="00ED01E7">
        <w:rPr>
          <w:b/>
          <w:bCs/>
        </w:rPr>
        <w:t xml:space="preserve">: </w:t>
      </w:r>
      <w:r>
        <w:rPr>
          <w:b/>
          <w:bCs/>
        </w:rPr>
        <w:t xml:space="preserve">Summary of </w:t>
      </w:r>
      <w:proofErr w:type="spellStart"/>
      <w:r>
        <w:rPr>
          <w:b/>
          <w:bCs/>
        </w:rPr>
        <w:t>cilta-cel</w:t>
      </w:r>
      <w:proofErr w:type="spellEnd"/>
      <w:r>
        <w:rPr>
          <w:b/>
          <w:bCs/>
        </w:rPr>
        <w:t xml:space="preserve"> safety profile</w:t>
      </w:r>
    </w:p>
    <w:p w14:paraId="6637A9FA" w14:textId="0C3C2CB5" w:rsidR="009F620C" w:rsidRDefault="00A25CFA" w:rsidP="00A25CFA">
      <w:pPr>
        <w:jc w:val="center"/>
        <w:rPr>
          <w:szCs w:val="20"/>
        </w:rPr>
      </w:pPr>
      <w:r>
        <w:rPr>
          <w:noProof/>
        </w:rPr>
        <w:drawing>
          <wp:inline distT="0" distB="0" distL="0" distR="0" wp14:anchorId="78326127" wp14:editId="02FA7655">
            <wp:extent cx="5113020" cy="3723239"/>
            <wp:effectExtent l="0" t="0" r="0" b="5080"/>
            <wp:docPr id="21" name="Picture 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icture"/>
                    <pic:cNvPicPr/>
                  </pic:nvPicPr>
                  <pic:blipFill>
                    <a:blip r:embed="rId25"/>
                    <a:stretch>
                      <a:fillRect/>
                    </a:stretch>
                  </pic:blipFill>
                  <pic:spPr>
                    <a:xfrm>
                      <a:off x="0" y="0"/>
                      <a:ext cx="5113020" cy="3723239"/>
                    </a:xfrm>
                    <a:prstGeom prst="rect">
                      <a:avLst/>
                    </a:prstGeom>
                  </pic:spPr>
                </pic:pic>
              </a:graphicData>
            </a:graphic>
          </wp:inline>
        </w:drawing>
      </w:r>
    </w:p>
    <w:p w14:paraId="4B4E3489" w14:textId="76D99C4C" w:rsidR="00A25CFA" w:rsidRPr="00AE2AA2" w:rsidRDefault="00A25CFA" w:rsidP="00AE2AA2">
      <w:pPr>
        <w:spacing w:after="240"/>
        <w:ind w:left="425"/>
        <w:rPr>
          <w:sz w:val="16"/>
          <w:szCs w:val="18"/>
        </w:rPr>
      </w:pPr>
      <w:r>
        <w:rPr>
          <w:sz w:val="16"/>
          <w:szCs w:val="18"/>
        </w:rPr>
        <w:t xml:space="preserve">Source (s): </w:t>
      </w:r>
      <w:proofErr w:type="spellStart"/>
      <w:r w:rsidRPr="00A277AB">
        <w:rPr>
          <w:sz w:val="16"/>
          <w:szCs w:val="18"/>
        </w:rPr>
        <w:t>Usmani</w:t>
      </w:r>
      <w:proofErr w:type="spellEnd"/>
      <w:r w:rsidRPr="00A277AB">
        <w:rPr>
          <w:sz w:val="16"/>
          <w:szCs w:val="18"/>
        </w:rPr>
        <w:t xml:space="preserve"> SZ et al. 2021. </w:t>
      </w:r>
      <w:proofErr w:type="spellStart"/>
      <w:r w:rsidRPr="00A277AB">
        <w:rPr>
          <w:sz w:val="16"/>
          <w:szCs w:val="18"/>
        </w:rPr>
        <w:t>Ciltacabtagene</w:t>
      </w:r>
      <w:proofErr w:type="spellEnd"/>
      <w:r w:rsidRPr="00A277AB">
        <w:rPr>
          <w:sz w:val="16"/>
          <w:szCs w:val="18"/>
        </w:rPr>
        <w:t xml:space="preserve"> </w:t>
      </w:r>
      <w:proofErr w:type="spellStart"/>
      <w:r w:rsidRPr="00A277AB">
        <w:rPr>
          <w:sz w:val="16"/>
          <w:szCs w:val="18"/>
        </w:rPr>
        <w:t>Autoleucel</w:t>
      </w:r>
      <w:proofErr w:type="spellEnd"/>
      <w:r w:rsidRPr="00A277AB">
        <w:rPr>
          <w:sz w:val="16"/>
          <w:szCs w:val="18"/>
        </w:rPr>
        <w:t>, a B-cell Maturation Antigen–directed Chimeric Antigen Receptor T-cell</w:t>
      </w:r>
      <w:r>
        <w:rPr>
          <w:sz w:val="16"/>
          <w:szCs w:val="18"/>
        </w:rPr>
        <w:t xml:space="preserve"> </w:t>
      </w:r>
      <w:r w:rsidRPr="00A277AB">
        <w:rPr>
          <w:sz w:val="16"/>
          <w:szCs w:val="18"/>
        </w:rPr>
        <w:t xml:space="preserve">Therapy, in Relapsed/Refractory Multiple Myeloma: Updated Results From CARTITUDE-1. ASCO 2021 </w:t>
      </w:r>
      <w:proofErr w:type="gramStart"/>
      <w:r w:rsidRPr="00A277AB">
        <w:rPr>
          <w:sz w:val="16"/>
          <w:szCs w:val="18"/>
        </w:rPr>
        <w:t>conference..</w:t>
      </w:r>
      <w:proofErr w:type="gramEnd"/>
      <w:r w:rsidRPr="00A277AB">
        <w:rPr>
          <w:sz w:val="16"/>
          <w:szCs w:val="18"/>
        </w:rPr>
        <w:t xml:space="preserve"> Data cut-off Feb 11, 2021.</w:t>
      </w:r>
    </w:p>
    <w:p w14:paraId="16C53D32" w14:textId="24535CE3" w:rsidR="00A25CFA" w:rsidRPr="00AE2AA2" w:rsidRDefault="00AE2AA2" w:rsidP="00112E0C">
      <w:pPr>
        <w:ind w:left="426"/>
      </w:pPr>
      <w:r w:rsidRPr="007307C9">
        <w:t>CAR-T related adverse events were common.</w:t>
      </w:r>
      <w:r>
        <w:t xml:space="preserve"> However, most were of low grade (i.e. grade 1 or 2).</w:t>
      </w:r>
      <w:r w:rsidRPr="007307C9">
        <w:t xml:space="preserve"> </w:t>
      </w:r>
      <w:r w:rsidR="00367FB3">
        <w:t>C</w:t>
      </w:r>
      <w:r w:rsidR="00367FB3" w:rsidRPr="00367FB3">
        <w:t>ytokine release syndrome (</w:t>
      </w:r>
      <w:r w:rsidRPr="007307C9">
        <w:t>CRS</w:t>
      </w:r>
      <w:r w:rsidR="00367FB3">
        <w:t>)</w:t>
      </w:r>
      <w:r w:rsidRPr="007307C9">
        <w:t xml:space="preserve"> occurred in 92 (94.8%) </w:t>
      </w:r>
      <w:r>
        <w:t>patients</w:t>
      </w:r>
      <w:r w:rsidRPr="007307C9">
        <w:t xml:space="preserve">, of which </w:t>
      </w:r>
      <w:r>
        <w:t>most</w:t>
      </w:r>
      <w:r w:rsidRPr="007307C9">
        <w:t xml:space="preserve"> (n=87, 95%) were </w:t>
      </w:r>
      <w:r>
        <w:t>grade</w:t>
      </w:r>
      <w:r w:rsidRPr="007307C9">
        <w:t xml:space="preserve"> 1</w:t>
      </w:r>
      <w:r>
        <w:t xml:space="preserve"> or </w:t>
      </w:r>
      <w:r w:rsidRPr="007307C9">
        <w:t xml:space="preserve">2. CAR-T neurotoxicity was observed in 20 (20.6%) of </w:t>
      </w:r>
      <w:r>
        <w:t xml:space="preserve">patients </w:t>
      </w:r>
      <w:r w:rsidRPr="007307C9">
        <w:t xml:space="preserve">which included </w:t>
      </w:r>
      <w:r w:rsidR="00367FB3" w:rsidRPr="0010383A">
        <w:t xml:space="preserve">Immune Effector Cell-Associated Neurotoxicity Syndrome </w:t>
      </w:r>
      <w:r w:rsidR="00367FB3">
        <w:t>(</w:t>
      </w:r>
      <w:r w:rsidR="00367FB3" w:rsidRPr="0010383A">
        <w:t xml:space="preserve">ICANS) </w:t>
      </w:r>
      <w:r w:rsidRPr="007307C9">
        <w:t xml:space="preserve">in 16.5% </w:t>
      </w:r>
      <w:r>
        <w:t>overall</w:t>
      </w:r>
      <w:r w:rsidRPr="007307C9">
        <w:t xml:space="preserve"> (2.1% grades 3 and 4), and </w:t>
      </w:r>
      <w:r>
        <w:t>o</w:t>
      </w:r>
      <w:r w:rsidRPr="007307C9">
        <w:t xml:space="preserve">ther </w:t>
      </w:r>
      <w:r>
        <w:t>n</w:t>
      </w:r>
      <w:r w:rsidRPr="007307C9">
        <w:t>eurotoxicity</w:t>
      </w:r>
      <w:r>
        <w:t xml:space="preserve"> </w:t>
      </w:r>
      <w:r w:rsidRPr="007307C9">
        <w:t>in 12.4% overall (</w:t>
      </w:r>
      <w:r>
        <w:t>9.3</w:t>
      </w:r>
      <w:r w:rsidRPr="007307C9">
        <w:t>% grades 3 and 4).</w:t>
      </w:r>
    </w:p>
    <w:p w14:paraId="745EE376" w14:textId="3BAD9C69" w:rsidR="00A25CFA" w:rsidRPr="00A25CFA" w:rsidRDefault="00A25CFA" w:rsidP="00A25CFA">
      <w:pPr>
        <w:keepNext/>
        <w:ind w:left="425"/>
        <w:rPr>
          <w:b/>
          <w:bCs/>
        </w:rPr>
      </w:pPr>
      <w:r>
        <w:rPr>
          <w:b/>
          <w:bCs/>
        </w:rPr>
        <w:lastRenderedPageBreak/>
        <w:t>Table</w:t>
      </w:r>
      <w:r w:rsidRPr="00ED01E7">
        <w:rPr>
          <w:b/>
          <w:bCs/>
        </w:rPr>
        <w:t xml:space="preserve"> </w:t>
      </w:r>
      <w:r w:rsidR="008333E3">
        <w:rPr>
          <w:b/>
          <w:bCs/>
        </w:rPr>
        <w:t>3:</w:t>
      </w:r>
      <w:r w:rsidRPr="00ED01E7">
        <w:rPr>
          <w:b/>
          <w:bCs/>
        </w:rPr>
        <w:t xml:space="preserve"> </w:t>
      </w:r>
      <w:r w:rsidR="00AE2AA2">
        <w:rPr>
          <w:b/>
          <w:bCs/>
        </w:rPr>
        <w:t>Summary of CAR-T related adverse events</w:t>
      </w:r>
    </w:p>
    <w:p w14:paraId="374A23F9" w14:textId="14CEBDC9" w:rsidR="00A25CFA" w:rsidRDefault="00A25CFA" w:rsidP="00B57B78">
      <w:pPr>
        <w:ind w:firstLine="426"/>
        <w:rPr>
          <w:szCs w:val="20"/>
        </w:rPr>
      </w:pPr>
      <w:r>
        <w:rPr>
          <w:noProof/>
        </w:rPr>
        <w:drawing>
          <wp:inline distT="0" distB="0" distL="0" distR="0" wp14:anchorId="6E2B5E60" wp14:editId="049740E8">
            <wp:extent cx="4505325" cy="3252588"/>
            <wp:effectExtent l="0" t="0" r="0" b="5080"/>
            <wp:docPr id="22" name="Picture 2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icture"/>
                    <pic:cNvPicPr/>
                  </pic:nvPicPr>
                  <pic:blipFill>
                    <a:blip r:embed="rId26"/>
                    <a:stretch>
                      <a:fillRect/>
                    </a:stretch>
                  </pic:blipFill>
                  <pic:spPr>
                    <a:xfrm>
                      <a:off x="0" y="0"/>
                      <a:ext cx="4523715" cy="3265864"/>
                    </a:xfrm>
                    <a:prstGeom prst="rect">
                      <a:avLst/>
                    </a:prstGeom>
                  </pic:spPr>
                </pic:pic>
              </a:graphicData>
            </a:graphic>
          </wp:inline>
        </w:drawing>
      </w:r>
    </w:p>
    <w:p w14:paraId="11F5CCA2" w14:textId="52601EA9" w:rsidR="00A25CFA" w:rsidRPr="00A25CFA" w:rsidRDefault="00A25CFA" w:rsidP="00A25CFA">
      <w:pPr>
        <w:spacing w:after="240"/>
        <w:ind w:left="425"/>
        <w:rPr>
          <w:sz w:val="16"/>
          <w:szCs w:val="18"/>
        </w:rPr>
      </w:pPr>
      <w:r>
        <w:rPr>
          <w:sz w:val="16"/>
          <w:szCs w:val="18"/>
        </w:rPr>
        <w:t xml:space="preserve">Source (s): </w:t>
      </w:r>
      <w:proofErr w:type="spellStart"/>
      <w:r w:rsidRPr="00A277AB">
        <w:rPr>
          <w:sz w:val="16"/>
          <w:szCs w:val="18"/>
        </w:rPr>
        <w:t>Usmani</w:t>
      </w:r>
      <w:proofErr w:type="spellEnd"/>
      <w:r w:rsidRPr="00A277AB">
        <w:rPr>
          <w:sz w:val="16"/>
          <w:szCs w:val="18"/>
        </w:rPr>
        <w:t xml:space="preserve"> SZ et al. 2021. </w:t>
      </w:r>
      <w:proofErr w:type="spellStart"/>
      <w:r w:rsidRPr="00A277AB">
        <w:rPr>
          <w:sz w:val="16"/>
          <w:szCs w:val="18"/>
        </w:rPr>
        <w:t>Ciltacabtagene</w:t>
      </w:r>
      <w:proofErr w:type="spellEnd"/>
      <w:r w:rsidRPr="00A277AB">
        <w:rPr>
          <w:sz w:val="16"/>
          <w:szCs w:val="18"/>
        </w:rPr>
        <w:t xml:space="preserve"> </w:t>
      </w:r>
      <w:proofErr w:type="spellStart"/>
      <w:r w:rsidRPr="00A277AB">
        <w:rPr>
          <w:sz w:val="16"/>
          <w:szCs w:val="18"/>
        </w:rPr>
        <w:t>Autoleucel</w:t>
      </w:r>
      <w:proofErr w:type="spellEnd"/>
      <w:r w:rsidRPr="00A277AB">
        <w:rPr>
          <w:sz w:val="16"/>
          <w:szCs w:val="18"/>
        </w:rPr>
        <w:t>, a B-cell Maturation Antigen–directed Chimeric Antigen Receptor T-cell</w:t>
      </w:r>
      <w:r>
        <w:rPr>
          <w:sz w:val="16"/>
          <w:szCs w:val="18"/>
        </w:rPr>
        <w:t xml:space="preserve"> </w:t>
      </w:r>
      <w:r w:rsidRPr="00A277AB">
        <w:rPr>
          <w:sz w:val="16"/>
          <w:szCs w:val="18"/>
        </w:rPr>
        <w:t xml:space="preserve">Therapy, in Relapsed/Refractory Multiple Myeloma: Updated Results From CARTITUDE-1. ASCO 2021 </w:t>
      </w:r>
      <w:proofErr w:type="gramStart"/>
      <w:r w:rsidRPr="00A277AB">
        <w:rPr>
          <w:sz w:val="16"/>
          <w:szCs w:val="18"/>
        </w:rPr>
        <w:t>conference..</w:t>
      </w:r>
      <w:proofErr w:type="gramEnd"/>
      <w:r w:rsidRPr="00A277AB">
        <w:rPr>
          <w:sz w:val="16"/>
          <w:szCs w:val="18"/>
        </w:rPr>
        <w:t xml:space="preserve"> Data cut-off Feb 11, 2021.</w:t>
      </w:r>
    </w:p>
    <w:p w14:paraId="7FAA71A6"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8D6E317" w14:textId="3D318F46" w:rsidR="001B29A1" w:rsidRPr="001B29A1" w:rsidRDefault="007A641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D3A0A">
        <w:rPr>
          <w:szCs w:val="20"/>
        </w:rPr>
      </w:r>
      <w:r w:rsidR="005D3A0A">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6D2D7DF"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D3A0A">
        <w:rPr>
          <w:szCs w:val="20"/>
        </w:rPr>
      </w:r>
      <w:r w:rsidR="005D3A0A">
        <w:rPr>
          <w:szCs w:val="20"/>
        </w:rPr>
        <w:fldChar w:fldCharType="separate"/>
      </w:r>
      <w:r w:rsidRPr="001B29A1">
        <w:rPr>
          <w:szCs w:val="20"/>
        </w:rPr>
        <w:fldChar w:fldCharType="end"/>
      </w:r>
      <w:r w:rsidRPr="001B29A1">
        <w:rPr>
          <w:szCs w:val="20"/>
        </w:rPr>
        <w:t xml:space="preserve"> Non-inferiority</w:t>
      </w:r>
      <w:r w:rsidRPr="001B29A1">
        <w:rPr>
          <w:szCs w:val="20"/>
        </w:rPr>
        <w:tab/>
      </w:r>
    </w:p>
    <w:p w14:paraId="11B08325"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0CC8D8D1" w14:textId="77777777" w:rsidR="00852BFB" w:rsidRPr="00AC2BC9" w:rsidRDefault="00852BFB" w:rsidP="00112E0C">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t>Complete response/stringent complete response (CR/</w:t>
      </w:r>
      <w:proofErr w:type="spellStart"/>
      <w:r>
        <w:t>sCR</w:t>
      </w:r>
      <w:proofErr w:type="spellEnd"/>
      <w:r>
        <w:t>), overall response rate (ORR), very good partial response (</w:t>
      </w:r>
      <w:r w:rsidRPr="00215B48">
        <w:rPr>
          <w:szCs w:val="20"/>
        </w:rPr>
        <w:t>VGPR</w:t>
      </w:r>
      <w:r>
        <w:rPr>
          <w:szCs w:val="20"/>
        </w:rPr>
        <w:t>)</w:t>
      </w:r>
      <w:r w:rsidRPr="00215B48">
        <w:rPr>
          <w:szCs w:val="20"/>
        </w:rPr>
        <w:t xml:space="preserve"> or better response rate</w:t>
      </w:r>
      <w:r>
        <w:rPr>
          <w:szCs w:val="20"/>
        </w:rPr>
        <w:t>, duration of response, time to response, minimal residual disease (MRD) negativity, progression free survival (PFS), overall survival (OS), health-related quality of life.</w:t>
      </w:r>
    </w:p>
    <w:p w14:paraId="6197AE03" w14:textId="6EB07DD9" w:rsidR="00AC2BC9" w:rsidRPr="00AC2BC9" w:rsidRDefault="001B29A1" w:rsidP="00112E0C">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rsidR="0010383A">
        <w:t>Rate of adverse events (AE) and serious adverse events (SAE)</w:t>
      </w:r>
      <w:r w:rsidR="00664339">
        <w:t>, i</w:t>
      </w:r>
      <w:r w:rsidR="00B674D8">
        <w:t>ncidence of AEs of special interest</w:t>
      </w:r>
      <w:r w:rsidR="00664339">
        <w:t>, i</w:t>
      </w:r>
      <w:r w:rsidR="0010383A">
        <w:t>ncidence of CRS</w:t>
      </w:r>
      <w:r w:rsidR="00664339">
        <w:t>, i</w:t>
      </w:r>
      <w:r w:rsidR="0010383A">
        <w:t>ncidence of neurological toxicit</w:t>
      </w:r>
      <w:r w:rsidR="00215B48">
        <w:t xml:space="preserve">y- </w:t>
      </w:r>
      <w:r w:rsidR="0010383A" w:rsidRPr="0010383A">
        <w:t xml:space="preserve">CAR-T </w:t>
      </w:r>
      <w:r w:rsidR="00664339">
        <w:t>c</w:t>
      </w:r>
      <w:r w:rsidR="0010383A" w:rsidRPr="0010383A">
        <w:t xml:space="preserve">ell-related </w:t>
      </w:r>
      <w:r w:rsidR="00664339">
        <w:t>n</w:t>
      </w:r>
      <w:r w:rsidR="0010383A" w:rsidRPr="0010383A">
        <w:t xml:space="preserve">eurotoxicity (ICANS) </w:t>
      </w:r>
      <w:r w:rsidR="00215B48">
        <w:t>and other neurological toxicities</w:t>
      </w:r>
      <w:r w:rsidR="00664339">
        <w:t>, i</w:t>
      </w:r>
      <w:r w:rsidR="0010383A">
        <w:t>ncidence of tumo</w:t>
      </w:r>
      <w:r w:rsidR="00215B48">
        <w:t>u</w:t>
      </w:r>
      <w:r w:rsidR="0010383A">
        <w:t>r lysis syndrome</w:t>
      </w:r>
      <w:r w:rsidR="00FB020C">
        <w:t>, i</w:t>
      </w:r>
      <w:r w:rsidR="0010383A">
        <w:t xml:space="preserve">ncidence of </w:t>
      </w:r>
      <w:r w:rsidR="00FB020C">
        <w:t>c</w:t>
      </w:r>
      <w:r w:rsidR="0010383A">
        <w:t>ytopenia</w:t>
      </w:r>
      <w:r w:rsidR="00FB020C">
        <w:t>, i</w:t>
      </w:r>
      <w:r w:rsidR="0010383A">
        <w:t>ncidence of</w:t>
      </w:r>
      <w:r w:rsidR="00367FB3">
        <w:t xml:space="preserve"> </w:t>
      </w:r>
      <w:r w:rsidR="0010383A">
        <w:t>hypogammaglobulinemia</w:t>
      </w:r>
      <w:r w:rsidR="00FB020C">
        <w:t>.</w:t>
      </w:r>
    </w:p>
    <w:p w14:paraId="059B9180"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C299319"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42A32119" w14:textId="14FA4EE5" w:rsidR="00E57AD8" w:rsidRPr="00112E0C" w:rsidRDefault="00577B4B" w:rsidP="00112E0C">
      <w:pPr>
        <w:ind w:firstLine="360"/>
        <w:jc w:val="both"/>
        <w:rPr>
          <w:b/>
          <w:bCs/>
        </w:rPr>
      </w:pPr>
      <w:r w:rsidRPr="00112E0C">
        <w:rPr>
          <w:b/>
          <w:bCs/>
          <w:sz w:val="22"/>
        </w:rPr>
        <w:t>REDACTED</w:t>
      </w:r>
      <w:r w:rsidR="00986B82" w:rsidRPr="00986B82">
        <w:rPr>
          <w:szCs w:val="20"/>
        </w:rPr>
        <w:t xml:space="preserve"> </w:t>
      </w:r>
    </w:p>
    <w:p w14:paraId="00AB212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567A55B" w14:textId="67202845" w:rsidR="00E57AD8" w:rsidRPr="00DA3365" w:rsidRDefault="00E57AD8" w:rsidP="00112E0C">
      <w:pPr>
        <w:ind w:left="426"/>
      </w:pPr>
      <w:proofErr w:type="spellStart"/>
      <w:r w:rsidRPr="00E57AD8">
        <w:t>Cilta-cel</w:t>
      </w:r>
      <w:proofErr w:type="spellEnd"/>
      <w:r w:rsidRPr="00E57AD8">
        <w:t xml:space="preserve"> treatment regimen is a single</w:t>
      </w:r>
      <w:r w:rsidR="00BF2F52">
        <w:t xml:space="preserve"> successful</w:t>
      </w:r>
      <w:r w:rsidRPr="00E57AD8">
        <w:t xml:space="preserve"> infusion per lifetime</w:t>
      </w:r>
      <w:r>
        <w:t>, consistent with other CAR-T therapies considered by MSAC.</w:t>
      </w:r>
    </w:p>
    <w:p w14:paraId="2F96E419"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02A6C85E" w14:textId="57B5C172" w:rsidR="00E57AD8" w:rsidRDefault="00E57AD8" w:rsidP="00112E0C">
      <w:pPr>
        <w:ind w:left="426"/>
      </w:pPr>
      <w:proofErr w:type="spellStart"/>
      <w:r w:rsidRPr="00E57AD8">
        <w:t>Cilta-cel</w:t>
      </w:r>
      <w:proofErr w:type="spellEnd"/>
      <w:r w:rsidRPr="00E57AD8">
        <w:t xml:space="preserve"> treatment regimen is a single </w:t>
      </w:r>
      <w:r w:rsidR="00BF2F52">
        <w:t xml:space="preserve">successful </w:t>
      </w:r>
      <w:r w:rsidRPr="00E57AD8">
        <w:t>infusion per lifetime, consistent with other CAR-T therapies considered by MSAC.</w:t>
      </w:r>
    </w:p>
    <w:p w14:paraId="431C335E"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48D7AE5" w14:textId="0B7C8751" w:rsidR="00577B4B" w:rsidRPr="00986B82" w:rsidRDefault="00577B4B" w:rsidP="00112E0C">
      <w:pPr>
        <w:ind w:left="426"/>
        <w:jc w:val="both"/>
        <w:rPr>
          <w:strike/>
          <w:color w:val="FF0000"/>
        </w:rPr>
      </w:pPr>
      <w:r w:rsidRPr="00112E0C">
        <w:rPr>
          <w:b/>
          <w:bCs/>
          <w:sz w:val="22"/>
        </w:rPr>
        <w:t>REDACTED</w:t>
      </w:r>
    </w:p>
    <w:p w14:paraId="3E5153E9" w14:textId="134A6C8C" w:rsidR="00553DF2" w:rsidRPr="00E57AD8" w:rsidRDefault="005A58BA" w:rsidP="00E57AD8">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11B9867" w14:textId="435FD34A" w:rsidR="00986B82" w:rsidRDefault="00577B4B" w:rsidP="00986B82">
      <w:pPr>
        <w:ind w:left="360"/>
        <w:jc w:val="both"/>
        <w:rPr>
          <w:szCs w:val="20"/>
        </w:rPr>
      </w:pPr>
      <w:r w:rsidRPr="00112E0C">
        <w:rPr>
          <w:b/>
          <w:bCs/>
          <w:sz w:val="22"/>
        </w:rPr>
        <w:t>REDACTED</w:t>
      </w:r>
      <w:r w:rsidR="00986B82">
        <w:rPr>
          <w:b/>
          <w:bCs/>
          <w:sz w:val="22"/>
        </w:rPr>
        <w:t xml:space="preserve"> </w:t>
      </w:r>
    </w:p>
    <w:p w14:paraId="571C6A5C" w14:textId="0AB28335" w:rsidR="00D644CB" w:rsidRDefault="00D644CB" w:rsidP="00553DF2">
      <w:pPr>
        <w:ind w:left="360"/>
        <w:rPr>
          <w:szCs w:val="20"/>
        </w:rPr>
      </w:pPr>
    </w:p>
    <w:p w14:paraId="4C926C3E" w14:textId="77777777" w:rsidR="00721DF0" w:rsidRDefault="00721DF0">
      <w:pPr>
        <w:spacing w:before="0" w:after="200" w:line="276" w:lineRule="auto"/>
        <w:rPr>
          <w:bCs/>
          <w:color w:val="4F81BD" w:themeColor="accent1"/>
          <w:sz w:val="40"/>
          <w:szCs w:val="32"/>
        </w:rPr>
      </w:pPr>
      <w:r>
        <w:br w:type="page"/>
      </w:r>
    </w:p>
    <w:p w14:paraId="36FE7BA4" w14:textId="647A8D7A"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5BDA176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832DD87" w14:textId="4B34E3D3" w:rsidR="00553DF2" w:rsidRPr="00553DF2" w:rsidRDefault="00553DF2" w:rsidP="00112E0C">
      <w:pPr>
        <w:ind w:left="426"/>
        <w:rPr>
          <w:szCs w:val="20"/>
        </w:rPr>
      </w:pPr>
      <w:proofErr w:type="spellStart"/>
      <w:r w:rsidRPr="00553DF2">
        <w:rPr>
          <w:szCs w:val="20"/>
        </w:rPr>
        <w:t>Cilta-cel</w:t>
      </w:r>
      <w:proofErr w:type="spellEnd"/>
      <w:r w:rsidRPr="00553DF2">
        <w:rPr>
          <w:szCs w:val="20"/>
        </w:rPr>
        <w:t xml:space="preserve"> qualifies as a high cost, highly specialised therapy.</w:t>
      </w:r>
      <w:r w:rsidR="00931BB9">
        <w:rPr>
          <w:szCs w:val="20"/>
        </w:rPr>
        <w:t xml:space="preserve"> </w:t>
      </w:r>
      <w:proofErr w:type="spellStart"/>
      <w:r w:rsidRPr="00553DF2">
        <w:rPr>
          <w:szCs w:val="20"/>
        </w:rPr>
        <w:t>Cilta-cel</w:t>
      </w:r>
      <w:proofErr w:type="spellEnd"/>
      <w:r w:rsidRPr="00553DF2">
        <w:rPr>
          <w:szCs w:val="20"/>
        </w:rPr>
        <w:t xml:space="preserve"> will be a TGA approved therapy delivered in public hospitals where the therapy and its conditions of use are recommended by MSAC or PBAC</w:t>
      </w:r>
      <w:r w:rsidR="00931BB9">
        <w:rPr>
          <w:szCs w:val="20"/>
        </w:rPr>
        <w:t>.</w:t>
      </w:r>
    </w:p>
    <w:p w14:paraId="5921C2F0" w14:textId="2437BA3A" w:rsidR="00553DF2" w:rsidRPr="00154B00" w:rsidRDefault="00553DF2" w:rsidP="00112E0C">
      <w:pPr>
        <w:ind w:left="426"/>
        <w:rPr>
          <w:szCs w:val="20"/>
        </w:rPr>
      </w:pPr>
      <w:r w:rsidRPr="00553DF2">
        <w:rPr>
          <w:szCs w:val="20"/>
        </w:rPr>
        <w:t xml:space="preserve">Janssen’s Global Headquarters has not yet established the price of </w:t>
      </w:r>
      <w:proofErr w:type="spellStart"/>
      <w:r w:rsidR="009B14B6">
        <w:rPr>
          <w:szCs w:val="20"/>
        </w:rPr>
        <w:t>c</w:t>
      </w:r>
      <w:r w:rsidR="009B14B6" w:rsidRPr="00553DF2">
        <w:rPr>
          <w:szCs w:val="20"/>
        </w:rPr>
        <w:t>ilta</w:t>
      </w:r>
      <w:r w:rsidRPr="00553DF2">
        <w:rPr>
          <w:szCs w:val="20"/>
        </w:rPr>
        <w:t>-cel</w:t>
      </w:r>
      <w:proofErr w:type="spellEnd"/>
      <w:r w:rsidRPr="00553DF2">
        <w:rPr>
          <w:szCs w:val="20"/>
        </w:rPr>
        <w:t>, but the average annual treatment cost at the commencement of funding will exceed AU$200,000 per patient (including supportive care, ancillary services, infusion, toxicity management and logistics), which is the threshold as described in the Addendum for a high cost, specialised therapy</w:t>
      </w:r>
      <w:r>
        <w:rPr>
          <w:szCs w:val="20"/>
        </w:rPr>
        <w:t>.</w:t>
      </w:r>
      <w:r w:rsidR="005440D4" w:rsidRPr="005440D4">
        <w:t xml:space="preserve"> </w:t>
      </w:r>
      <w:r w:rsidR="005440D4" w:rsidRPr="005440D4">
        <w:rPr>
          <w:szCs w:val="20"/>
        </w:rPr>
        <w:t>Further</w:t>
      </w:r>
      <w:r w:rsidR="005440D4">
        <w:rPr>
          <w:szCs w:val="20"/>
        </w:rPr>
        <w:t xml:space="preserve"> </w:t>
      </w:r>
      <w:r w:rsidR="005440D4" w:rsidRPr="005440D4">
        <w:rPr>
          <w:szCs w:val="20"/>
        </w:rPr>
        <w:t>information regarding costs will be provided in the submission.</w:t>
      </w:r>
    </w:p>
    <w:p w14:paraId="69772535"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EFDAD38" w14:textId="5A56FC97" w:rsidR="00986B82" w:rsidRPr="00B57B78" w:rsidRDefault="00986B82" w:rsidP="00986B82">
      <w:pPr>
        <w:ind w:left="426"/>
        <w:jc w:val="both"/>
      </w:pPr>
      <w:r w:rsidRPr="00B57B78">
        <w:t xml:space="preserve">It is generally </w:t>
      </w:r>
      <w:r w:rsidR="00B57B78" w:rsidRPr="00B57B78">
        <w:rPr>
          <w:b/>
          <w:bCs/>
          <w:sz w:val="22"/>
        </w:rPr>
        <w:t>REDACTED</w:t>
      </w:r>
      <w:r w:rsidRPr="00B57B78">
        <w:t xml:space="preserve"> from apheresis to infusion of </w:t>
      </w:r>
      <w:proofErr w:type="spellStart"/>
      <w:r w:rsidRPr="00B57B78">
        <w:t>cilta-cel</w:t>
      </w:r>
      <w:proofErr w:type="spellEnd"/>
      <w:r w:rsidRPr="00B57B78">
        <w:t xml:space="preserve"> (see Q27).</w:t>
      </w:r>
    </w:p>
    <w:p w14:paraId="04EB04C1" w14:textId="1F25468B" w:rsidR="00986B82" w:rsidRPr="00B57B78" w:rsidRDefault="00986B82" w:rsidP="00986B82">
      <w:pPr>
        <w:ind w:left="426"/>
        <w:jc w:val="both"/>
        <w:rPr>
          <w:bCs/>
          <w:szCs w:val="20"/>
        </w:rPr>
      </w:pPr>
      <w:proofErr w:type="spellStart"/>
      <w:r w:rsidRPr="00B57B78">
        <w:t>Cilta-cel</w:t>
      </w:r>
      <w:proofErr w:type="spellEnd"/>
      <w:r w:rsidRPr="00B57B78">
        <w:t xml:space="preserve"> is provided as a single-dose for infusion containing a suspension of chimeric antigen receptor (CAR)-positive viable T-cells.  The dose is 0.5-1.0×106 CAR-positive viable T-cells per kg of body weight, </w:t>
      </w:r>
      <w:r w:rsidR="00B57B78" w:rsidRPr="00B57B78">
        <w:rPr>
          <w:b/>
          <w:bCs/>
          <w:sz w:val="22"/>
          <w:szCs w:val="24"/>
        </w:rPr>
        <w:t>REDACTED</w:t>
      </w:r>
      <w:r w:rsidRPr="00B57B78">
        <w:t xml:space="preserve">.  </w:t>
      </w:r>
      <w:r w:rsidRPr="00B57B78">
        <w:rPr>
          <w:bCs/>
          <w:szCs w:val="20"/>
        </w:rPr>
        <w:t xml:space="preserve">Once thawed, the </w:t>
      </w:r>
      <w:proofErr w:type="spellStart"/>
      <w:r w:rsidRPr="00B57B78">
        <w:rPr>
          <w:bCs/>
          <w:szCs w:val="20"/>
        </w:rPr>
        <w:t>cilta-cel</w:t>
      </w:r>
      <w:proofErr w:type="spellEnd"/>
      <w:r w:rsidRPr="00B57B78">
        <w:rPr>
          <w:bCs/>
          <w:szCs w:val="20"/>
        </w:rPr>
        <w:t xml:space="preserve"> infusion must be administered and completed </w:t>
      </w:r>
      <w:r w:rsidR="00B57B78" w:rsidRPr="00B57B78">
        <w:rPr>
          <w:b/>
          <w:sz w:val="22"/>
        </w:rPr>
        <w:t>REDACTED</w:t>
      </w:r>
      <w:r w:rsidRPr="00B57B78">
        <w:rPr>
          <w:bCs/>
          <w:szCs w:val="20"/>
        </w:rPr>
        <w:t xml:space="preserve"> at room/ambient temperature (20°C to 25°C).</w:t>
      </w:r>
    </w:p>
    <w:p w14:paraId="446BB3C8" w14:textId="4722178F" w:rsidR="00367FB3" w:rsidRPr="00B57B78" w:rsidRDefault="00986B82" w:rsidP="00986B82">
      <w:pPr>
        <w:ind w:left="426"/>
        <w:jc w:val="both"/>
      </w:pPr>
      <w:proofErr w:type="gramStart"/>
      <w:r w:rsidRPr="00B57B78">
        <w:t>Following the infusion, there</w:t>
      </w:r>
      <w:proofErr w:type="gramEnd"/>
      <w:r w:rsidRPr="00B57B78">
        <w:t xml:space="preserve"> is likely to be a period of monitoring required. As the regulatory processes with the TGA are ongoing, the recommended monitoring requirements after the infusion are still to be confirmed. However, the monitoring requirements for </w:t>
      </w:r>
      <w:proofErr w:type="spellStart"/>
      <w:r w:rsidRPr="00B57B78">
        <w:t>cilta-cel</w:t>
      </w:r>
      <w:proofErr w:type="spellEnd"/>
      <w:r w:rsidRPr="00B57B78">
        <w:t xml:space="preserve"> are not expected to be any different from any other CAR-T therapies, including those considered by MSAC (i.e. Kymriah® and </w:t>
      </w:r>
      <w:proofErr w:type="spellStart"/>
      <w:r w:rsidRPr="00B57B78">
        <w:t>Yescarta</w:t>
      </w:r>
      <w:proofErr w:type="spellEnd"/>
      <w:r w:rsidRPr="00B57B78">
        <w:t>®).</w:t>
      </w:r>
    </w:p>
    <w:p w14:paraId="6D9C3154" w14:textId="3B0F8D78"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EB30C1C" w14:textId="5A716A78" w:rsidR="00516051" w:rsidRPr="00516051" w:rsidRDefault="00516051" w:rsidP="00516051">
      <w:pPr>
        <w:ind w:left="426"/>
        <w:jc w:val="both"/>
        <w:rPr>
          <w:szCs w:val="20"/>
        </w:rPr>
      </w:pPr>
      <w:r w:rsidRPr="00516051">
        <w:rPr>
          <w:szCs w:val="20"/>
        </w:rPr>
        <w:t>Not applicable.</w:t>
      </w:r>
    </w:p>
    <w:p w14:paraId="1C1D5556" w14:textId="41F04EE5"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516051" w:rsidRPr="00516051">
        <w:t>Not applicable - See Part 2, Question 6.g.</w:t>
      </w:r>
      <w:r w:rsidRPr="00AE1188">
        <w:rPr>
          <w:szCs w:val="20"/>
        </w:rPr>
        <w:t xml:space="preserve"> – </w:t>
      </w:r>
      <w:r w:rsidR="00516051" w:rsidRPr="00516051">
        <w:t>(insert proposed category description here)</w:t>
      </w:r>
      <w:r w:rsidRPr="00AE1188">
        <w:rPr>
          <w:szCs w:val="20"/>
        </w:rPr>
        <w:t xml:space="preserve"> </w:t>
      </w:r>
    </w:p>
    <w:p w14:paraId="2C5F746C"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65022534" w14:textId="05830F28"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rsidR="00516051" w:rsidRPr="00516051">
        <w:t>insert proposed item descriptor here</w:t>
      </w:r>
    </w:p>
    <w:p w14:paraId="1E5A3128" w14:textId="2E945CCF"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516051" w:rsidRPr="00516051">
        <w:t>(insert proposed fee here)</w:t>
      </w:r>
    </w:p>
    <w:p w14:paraId="51C88FC5" w14:textId="77777777" w:rsidR="001013AF" w:rsidRDefault="001013AF">
      <w:pPr>
        <w:spacing w:before="0" w:after="200" w:line="276" w:lineRule="auto"/>
        <w:rPr>
          <w:b/>
          <w:bCs/>
        </w:rPr>
      </w:pPr>
    </w:p>
    <w:p w14:paraId="73EAA921" w14:textId="77777777" w:rsidR="001013AF" w:rsidRPr="001013AF" w:rsidRDefault="001013AF" w:rsidP="00955C4A">
      <w:pPr>
        <w:spacing w:before="0" w:after="200" w:line="276" w:lineRule="auto"/>
        <w:jc w:val="both"/>
        <w:rPr>
          <w:b/>
          <w:bCs/>
          <w:color w:val="4F81BD" w:themeColor="accent1"/>
          <w:sz w:val="40"/>
          <w:szCs w:val="32"/>
        </w:rPr>
      </w:pPr>
    </w:p>
    <w:p w14:paraId="3A6C5496" w14:textId="1D3BF3E6" w:rsidR="00A37970" w:rsidRPr="00A37970" w:rsidRDefault="00A37970" w:rsidP="00A37970">
      <w:pPr>
        <w:spacing w:before="0" w:after="200" w:line="276" w:lineRule="auto"/>
        <w:rPr>
          <w:bCs/>
          <w:color w:val="4F81BD" w:themeColor="accent1"/>
          <w:sz w:val="40"/>
          <w:szCs w:val="32"/>
        </w:rPr>
      </w:pPr>
    </w:p>
    <w:p w14:paraId="382EA0EF" w14:textId="77777777" w:rsidR="00A37970" w:rsidRDefault="00A37970">
      <w:pPr>
        <w:spacing w:before="0" w:after="200" w:line="276" w:lineRule="auto"/>
        <w:rPr>
          <w:bCs/>
          <w:color w:val="4F81BD" w:themeColor="accent1"/>
          <w:sz w:val="40"/>
          <w:szCs w:val="32"/>
        </w:rPr>
      </w:pPr>
      <w:r>
        <w:br w:type="page"/>
      </w:r>
    </w:p>
    <w:p w14:paraId="267410CC" w14:textId="77777777" w:rsidR="00A37970" w:rsidRPr="00A37970" w:rsidRDefault="00A37970" w:rsidP="00A37970">
      <w:pPr>
        <w:pStyle w:val="Heading1"/>
      </w:pPr>
      <w:r w:rsidRPr="00A37970">
        <w:lastRenderedPageBreak/>
        <w:t>References</w:t>
      </w:r>
    </w:p>
    <w:p w14:paraId="4DB518CE" w14:textId="77777777" w:rsidR="00A37970" w:rsidRDefault="00A37970" w:rsidP="00112E0C">
      <w:pPr>
        <w:widowControl w:val="0"/>
        <w:spacing w:before="0"/>
        <w:rPr>
          <w:rStyle w:val="Hyperlink"/>
          <w:bCs/>
          <w:szCs w:val="20"/>
        </w:rPr>
      </w:pPr>
      <w:proofErr w:type="spellStart"/>
      <w:r w:rsidRPr="0027371A">
        <w:rPr>
          <w:szCs w:val="20"/>
        </w:rPr>
        <w:t>Berdeja</w:t>
      </w:r>
      <w:proofErr w:type="spellEnd"/>
      <w:r w:rsidRPr="0027371A">
        <w:rPr>
          <w:szCs w:val="20"/>
        </w:rPr>
        <w:t>, J</w:t>
      </w:r>
      <w:r>
        <w:rPr>
          <w:szCs w:val="20"/>
        </w:rPr>
        <w:t xml:space="preserve"> </w:t>
      </w:r>
      <w:r w:rsidRPr="0027371A">
        <w:rPr>
          <w:szCs w:val="20"/>
        </w:rPr>
        <w:t xml:space="preserve">G., </w:t>
      </w:r>
      <w:proofErr w:type="spellStart"/>
      <w:r w:rsidRPr="0027371A">
        <w:rPr>
          <w:szCs w:val="20"/>
        </w:rPr>
        <w:t>Madduri</w:t>
      </w:r>
      <w:proofErr w:type="spellEnd"/>
      <w:r w:rsidRPr="0027371A">
        <w:rPr>
          <w:szCs w:val="20"/>
        </w:rPr>
        <w:t xml:space="preserve">, D., </w:t>
      </w:r>
      <w:proofErr w:type="spellStart"/>
      <w:r w:rsidRPr="0027371A">
        <w:rPr>
          <w:szCs w:val="20"/>
        </w:rPr>
        <w:t>Usmani</w:t>
      </w:r>
      <w:proofErr w:type="spellEnd"/>
      <w:r w:rsidRPr="0027371A">
        <w:rPr>
          <w:szCs w:val="20"/>
        </w:rPr>
        <w:t xml:space="preserve">, S. Z., </w:t>
      </w:r>
      <w:proofErr w:type="spellStart"/>
      <w:r w:rsidRPr="0027371A">
        <w:rPr>
          <w:szCs w:val="20"/>
        </w:rPr>
        <w:t>Jakubowiak</w:t>
      </w:r>
      <w:proofErr w:type="spellEnd"/>
      <w:r w:rsidRPr="0027371A">
        <w:rPr>
          <w:szCs w:val="20"/>
        </w:rPr>
        <w:t xml:space="preserve">, A., Agha, M., Cohen, A. D., ... &amp; Jagannath, S. (2021). </w:t>
      </w:r>
      <w:proofErr w:type="spellStart"/>
      <w:r w:rsidRPr="0027371A">
        <w:rPr>
          <w:szCs w:val="20"/>
        </w:rPr>
        <w:t>Ciltacabtagene</w:t>
      </w:r>
      <w:proofErr w:type="spellEnd"/>
      <w:r w:rsidRPr="0027371A">
        <w:rPr>
          <w:szCs w:val="20"/>
        </w:rPr>
        <w:t xml:space="preserve"> </w:t>
      </w:r>
      <w:proofErr w:type="spellStart"/>
      <w:r w:rsidRPr="0027371A">
        <w:rPr>
          <w:szCs w:val="20"/>
        </w:rPr>
        <w:t>autoleucel</w:t>
      </w:r>
      <w:proofErr w:type="spellEnd"/>
      <w:r w:rsidRPr="0027371A">
        <w:rPr>
          <w:szCs w:val="20"/>
        </w:rPr>
        <w:t xml:space="preserve">, a B-cell maturation antigen-directed chimeric antigen receptor T-cell therapy in patients with relapsed or refractory multiple myeloma (CARTITUDE-1): a phase 1b/2 open-label study. </w:t>
      </w:r>
      <w:r w:rsidRPr="0027371A">
        <w:rPr>
          <w:i/>
          <w:iCs/>
          <w:szCs w:val="20"/>
        </w:rPr>
        <w:t>The Lancet.</w:t>
      </w:r>
      <w:r>
        <w:rPr>
          <w:i/>
          <w:iCs/>
          <w:szCs w:val="20"/>
        </w:rPr>
        <w:t xml:space="preserve"> </w:t>
      </w:r>
      <w:r w:rsidRPr="005873CD">
        <w:rPr>
          <w:bCs/>
          <w:szCs w:val="20"/>
        </w:rPr>
        <w:t>Published online</w:t>
      </w:r>
      <w:r>
        <w:rPr>
          <w:b/>
          <w:bCs/>
          <w:szCs w:val="20"/>
        </w:rPr>
        <w:t xml:space="preserve"> </w:t>
      </w:r>
      <w:r w:rsidRPr="005873CD">
        <w:rPr>
          <w:bCs/>
          <w:szCs w:val="20"/>
        </w:rPr>
        <w:t xml:space="preserve">June 24, 2021 </w:t>
      </w:r>
      <w:hyperlink r:id="rId27" w:history="1">
        <w:r w:rsidRPr="00BF394C">
          <w:rPr>
            <w:rStyle w:val="Hyperlink"/>
            <w:bCs/>
            <w:szCs w:val="20"/>
          </w:rPr>
          <w:t>https://doi.org/10.1016/S0140-6736(21)00933-8</w:t>
        </w:r>
      </w:hyperlink>
    </w:p>
    <w:p w14:paraId="3785879B" w14:textId="3AFCBA1E" w:rsidR="00A37970" w:rsidRDefault="00A37970" w:rsidP="00112E0C">
      <w:pPr>
        <w:widowControl w:val="0"/>
        <w:spacing w:before="0"/>
        <w:rPr>
          <w:bCs/>
          <w:szCs w:val="20"/>
        </w:rPr>
      </w:pPr>
      <w:proofErr w:type="spellStart"/>
      <w:r w:rsidRPr="001013AF">
        <w:rPr>
          <w:bCs/>
          <w:szCs w:val="20"/>
        </w:rPr>
        <w:t>Berdeja</w:t>
      </w:r>
      <w:proofErr w:type="spellEnd"/>
      <w:r w:rsidRPr="001013AF">
        <w:rPr>
          <w:bCs/>
          <w:szCs w:val="20"/>
        </w:rPr>
        <w:t>, J</w:t>
      </w:r>
      <w:r>
        <w:rPr>
          <w:bCs/>
          <w:szCs w:val="20"/>
        </w:rPr>
        <w:t xml:space="preserve"> </w:t>
      </w:r>
      <w:r w:rsidRPr="001013AF">
        <w:rPr>
          <w:bCs/>
          <w:szCs w:val="20"/>
        </w:rPr>
        <w:t xml:space="preserve">G., et al. Update of CARTITUDE-1: A phase </w:t>
      </w:r>
      <w:proofErr w:type="spellStart"/>
      <w:r w:rsidRPr="001013AF">
        <w:rPr>
          <w:bCs/>
          <w:szCs w:val="20"/>
        </w:rPr>
        <w:t>Ib</w:t>
      </w:r>
      <w:proofErr w:type="spellEnd"/>
      <w:r w:rsidRPr="001013AF">
        <w:rPr>
          <w:bCs/>
          <w:szCs w:val="20"/>
        </w:rPr>
        <w:t>/II study of JNJ-4528, a B-cell maturation antigen (BCMA)-directed CAR-T-cell therapy, in relapsed/refractory multiple myeloma. (2020): Journal of Clinical Oncology 38, no. 15_suppl 8505-8505.</w:t>
      </w:r>
    </w:p>
    <w:p w14:paraId="18B006F3" w14:textId="77777777" w:rsidR="00A37970" w:rsidRDefault="00A37970" w:rsidP="00112E0C">
      <w:pPr>
        <w:widowControl w:val="0"/>
        <w:spacing w:before="0"/>
        <w:rPr>
          <w:bCs/>
          <w:szCs w:val="20"/>
        </w:rPr>
      </w:pPr>
      <w:r w:rsidRPr="001013AF">
        <w:rPr>
          <w:bCs/>
          <w:szCs w:val="20"/>
        </w:rPr>
        <w:t>Gandhi et al. Outcomes of patients with multiple myeloma refractory to CD38-targeted monoclonal antibody therapy.</w:t>
      </w:r>
      <w:r w:rsidRPr="001013AF">
        <w:rPr>
          <w:bCs/>
          <w:i/>
          <w:iCs/>
          <w:szCs w:val="20"/>
        </w:rPr>
        <w:t xml:space="preserve"> Leukemia</w:t>
      </w:r>
      <w:r>
        <w:rPr>
          <w:bCs/>
          <w:i/>
          <w:iCs/>
          <w:szCs w:val="20"/>
        </w:rPr>
        <w:t xml:space="preserve"> </w:t>
      </w:r>
      <w:r>
        <w:rPr>
          <w:bCs/>
          <w:szCs w:val="20"/>
        </w:rPr>
        <w:t>2019</w:t>
      </w:r>
      <w:r w:rsidRPr="001013AF">
        <w:rPr>
          <w:bCs/>
          <w:szCs w:val="20"/>
        </w:rPr>
        <w:t xml:space="preserve"> Sep;33(9):2266-2275. </w:t>
      </w:r>
      <w:proofErr w:type="spellStart"/>
      <w:r w:rsidRPr="001013AF">
        <w:rPr>
          <w:bCs/>
          <w:szCs w:val="20"/>
        </w:rPr>
        <w:t>doi</w:t>
      </w:r>
      <w:proofErr w:type="spellEnd"/>
      <w:r w:rsidRPr="001013AF">
        <w:rPr>
          <w:bCs/>
          <w:szCs w:val="20"/>
        </w:rPr>
        <w:t>: 10.1038/s41375-019-0435-7</w:t>
      </w:r>
    </w:p>
    <w:p w14:paraId="34075040" w14:textId="77777777" w:rsidR="00A37970" w:rsidRPr="001013AF" w:rsidRDefault="00A37970" w:rsidP="00112E0C">
      <w:pPr>
        <w:widowControl w:val="0"/>
        <w:spacing w:before="0"/>
        <w:rPr>
          <w:bCs/>
          <w:szCs w:val="20"/>
        </w:rPr>
      </w:pPr>
      <w:proofErr w:type="spellStart"/>
      <w:r w:rsidRPr="00955C4A">
        <w:rPr>
          <w:bCs/>
          <w:szCs w:val="20"/>
        </w:rPr>
        <w:t>Mateos</w:t>
      </w:r>
      <w:proofErr w:type="spellEnd"/>
      <w:r w:rsidRPr="00955C4A">
        <w:rPr>
          <w:bCs/>
          <w:szCs w:val="20"/>
        </w:rPr>
        <w:t xml:space="preserve">, M V., </w:t>
      </w:r>
      <w:proofErr w:type="spellStart"/>
      <w:r w:rsidRPr="00955C4A">
        <w:rPr>
          <w:bCs/>
          <w:szCs w:val="20"/>
        </w:rPr>
        <w:t>Sonneveld</w:t>
      </w:r>
      <w:proofErr w:type="spellEnd"/>
      <w:r w:rsidRPr="00955C4A">
        <w:rPr>
          <w:bCs/>
          <w:szCs w:val="20"/>
        </w:rPr>
        <w:t xml:space="preserve">, P., </w:t>
      </w:r>
      <w:proofErr w:type="spellStart"/>
      <w:r w:rsidRPr="00955C4A">
        <w:rPr>
          <w:bCs/>
          <w:szCs w:val="20"/>
        </w:rPr>
        <w:t>Hungria</w:t>
      </w:r>
      <w:proofErr w:type="spellEnd"/>
      <w:r w:rsidRPr="00955C4A">
        <w:rPr>
          <w:bCs/>
          <w:szCs w:val="20"/>
        </w:rPr>
        <w:t xml:space="preserve">, V., </w:t>
      </w:r>
      <w:proofErr w:type="spellStart"/>
      <w:r w:rsidRPr="00955C4A">
        <w:rPr>
          <w:bCs/>
          <w:szCs w:val="20"/>
        </w:rPr>
        <w:t>Nooka</w:t>
      </w:r>
      <w:proofErr w:type="spellEnd"/>
      <w:r w:rsidRPr="00955C4A">
        <w:rPr>
          <w:bCs/>
          <w:szCs w:val="20"/>
        </w:rPr>
        <w:t>, A</w:t>
      </w:r>
      <w:r>
        <w:rPr>
          <w:bCs/>
          <w:szCs w:val="20"/>
        </w:rPr>
        <w:t xml:space="preserve"> </w:t>
      </w:r>
      <w:r w:rsidRPr="00955C4A">
        <w:rPr>
          <w:bCs/>
          <w:szCs w:val="20"/>
        </w:rPr>
        <w:t>K., Estell, J</w:t>
      </w:r>
      <w:r>
        <w:rPr>
          <w:bCs/>
          <w:szCs w:val="20"/>
        </w:rPr>
        <w:t xml:space="preserve"> </w:t>
      </w:r>
      <w:r w:rsidRPr="00955C4A">
        <w:rPr>
          <w:bCs/>
          <w:szCs w:val="20"/>
        </w:rPr>
        <w:t>A., Barreto, W., ... &amp; Spencer, A Daratumumab, bortezomib, and dexamethasone versus bortezomib and dexamethasone in patients with previously treated multiple myeloma: three-year follow-up of CASTOR</w:t>
      </w:r>
      <w:r w:rsidRPr="00955C4A">
        <w:rPr>
          <w:bCs/>
          <w:i/>
          <w:iCs/>
          <w:szCs w:val="20"/>
        </w:rPr>
        <w:t>. Clinical Lymphoma Myeloma and Leukemia</w:t>
      </w:r>
      <w:r>
        <w:rPr>
          <w:bCs/>
          <w:szCs w:val="20"/>
        </w:rPr>
        <w:t xml:space="preserve"> 2020</w:t>
      </w:r>
      <w:r w:rsidRPr="00955C4A">
        <w:rPr>
          <w:bCs/>
          <w:szCs w:val="20"/>
        </w:rPr>
        <w:t>, 20(8), 509-518.</w:t>
      </w:r>
    </w:p>
    <w:p w14:paraId="179E7507" w14:textId="77777777" w:rsidR="00A37970" w:rsidRPr="001013AF" w:rsidRDefault="00A37970" w:rsidP="00112E0C">
      <w:r w:rsidRPr="001013AF">
        <w:t xml:space="preserve">Miguel et al. Pomalidomide plus low-dose dexamethasone versus high-dose dexamethasone alone for patients with relapsed and refractory multiple myeloma (MM-003): a randomised, open-label, phase 3 trial. </w:t>
      </w:r>
      <w:r w:rsidRPr="001013AF">
        <w:rPr>
          <w:i/>
          <w:iCs/>
        </w:rPr>
        <w:t>Lancet Oncol</w:t>
      </w:r>
      <w:r>
        <w:rPr>
          <w:i/>
          <w:iCs/>
        </w:rPr>
        <w:t xml:space="preserve"> </w:t>
      </w:r>
      <w:r>
        <w:t>2013</w:t>
      </w:r>
      <w:r w:rsidRPr="001013AF">
        <w:t>; 14: 1055–66.</w:t>
      </w:r>
    </w:p>
    <w:p w14:paraId="34FC55DA" w14:textId="77777777" w:rsidR="00A37970" w:rsidRDefault="00A37970" w:rsidP="00112E0C">
      <w:r w:rsidRPr="008943FF">
        <w:t xml:space="preserve">Quach </w:t>
      </w:r>
      <w:r>
        <w:t xml:space="preserve">H. </w:t>
      </w:r>
      <w:r w:rsidRPr="008943FF">
        <w:t xml:space="preserve">and Prince </w:t>
      </w:r>
      <w:r>
        <w:t xml:space="preserve">H.M. </w:t>
      </w:r>
      <w:r w:rsidRPr="008943FF">
        <w:t xml:space="preserve">on behalf of MSAG </w:t>
      </w:r>
      <w:r>
        <w:t xml:space="preserve">2019.  Clinical Practice Guideline. Multiple Myeloma. Updated 2019 </w:t>
      </w:r>
      <w:hyperlink r:id="rId28" w:history="1">
        <w:r w:rsidRPr="000F573D">
          <w:rPr>
            <w:rStyle w:val="Hyperlink"/>
          </w:rPr>
          <w:t>https://myeloma.org.au/wp-content/uploads/2019/10/myeloma_clinical_practice_guideline_oct19</w:t>
        </w:r>
      </w:hyperlink>
      <w:r w:rsidRPr="00383244">
        <w:t>.</w:t>
      </w:r>
      <w:r>
        <w:t xml:space="preserve"> </w:t>
      </w:r>
    </w:p>
    <w:p w14:paraId="4F764A89" w14:textId="77777777" w:rsidR="00A37970" w:rsidRPr="00955C4A" w:rsidRDefault="00A37970" w:rsidP="00112E0C">
      <w:pPr>
        <w:widowControl w:val="0"/>
        <w:spacing w:before="0"/>
        <w:rPr>
          <w:bCs/>
          <w:szCs w:val="20"/>
        </w:rPr>
      </w:pPr>
      <w:r w:rsidRPr="001013AF">
        <w:rPr>
          <w:bCs/>
          <w:szCs w:val="20"/>
        </w:rPr>
        <w:t>Rajkumar, SV. Updated Diagnostic Criteria and Staging System for Multiple Myeloma</w:t>
      </w:r>
      <w:r>
        <w:rPr>
          <w:bCs/>
          <w:szCs w:val="20"/>
        </w:rPr>
        <w:t xml:space="preserve">, </w:t>
      </w:r>
      <w:r w:rsidRPr="001013AF">
        <w:rPr>
          <w:bCs/>
          <w:szCs w:val="20"/>
        </w:rPr>
        <w:t>American Society of Clinical Oncology Educational Book 2016 :36, e418-e423</w:t>
      </w:r>
      <w:r>
        <w:rPr>
          <w:bCs/>
          <w:szCs w:val="20"/>
        </w:rPr>
        <w:t xml:space="preserve"> </w:t>
      </w:r>
      <w:proofErr w:type="spellStart"/>
      <w:r w:rsidRPr="001013AF">
        <w:rPr>
          <w:bCs/>
          <w:szCs w:val="20"/>
        </w:rPr>
        <w:t>doi</w:t>
      </w:r>
      <w:proofErr w:type="spellEnd"/>
      <w:r w:rsidRPr="001013AF">
        <w:rPr>
          <w:bCs/>
          <w:szCs w:val="20"/>
        </w:rPr>
        <w:t>: 10.1200/EDBK_159009</w:t>
      </w:r>
      <w:r>
        <w:rPr>
          <w:bCs/>
          <w:szCs w:val="20"/>
        </w:rPr>
        <w:t xml:space="preserve"> </w:t>
      </w:r>
      <w:hyperlink r:id="rId29" w:history="1">
        <w:r w:rsidRPr="000F573D">
          <w:rPr>
            <w:rStyle w:val="Hyperlink"/>
          </w:rPr>
          <w:t>https://ascopubs.org/doi/pdf/10.1200/EDBK_159009</w:t>
        </w:r>
      </w:hyperlink>
    </w:p>
    <w:p w14:paraId="08164868" w14:textId="77777777" w:rsidR="00A37970" w:rsidRPr="00955C4A" w:rsidRDefault="00A37970" w:rsidP="00112E0C">
      <w:r w:rsidRPr="001013AF">
        <w:t xml:space="preserve">Tomlinson R. Multiple myeloma: Updated approach to management in 2018. </w:t>
      </w:r>
      <w:r w:rsidRPr="001013AF">
        <w:rPr>
          <w:i/>
          <w:iCs/>
        </w:rPr>
        <w:t xml:space="preserve">Aust J Gen </w:t>
      </w:r>
      <w:proofErr w:type="spellStart"/>
      <w:r w:rsidRPr="001013AF">
        <w:rPr>
          <w:i/>
          <w:iCs/>
        </w:rPr>
        <w:t>Pract</w:t>
      </w:r>
      <w:proofErr w:type="spellEnd"/>
      <w:r>
        <w:t xml:space="preserve"> 2018</w:t>
      </w:r>
      <w:r w:rsidRPr="001013AF">
        <w:t xml:space="preserve"> Aug;47(8):526-529. </w:t>
      </w:r>
      <w:r>
        <w:t xml:space="preserve"> </w:t>
      </w:r>
      <w:proofErr w:type="spellStart"/>
      <w:r w:rsidRPr="001013AF">
        <w:t>doi</w:t>
      </w:r>
      <w:proofErr w:type="spellEnd"/>
      <w:r w:rsidRPr="001013AF">
        <w:t>: 10.31128/AJGP-01-18-4473. PMID: 30114882.</w:t>
      </w:r>
    </w:p>
    <w:p w14:paraId="59E48111" w14:textId="0C7CD490" w:rsidR="00A37970" w:rsidRPr="00955C4A" w:rsidRDefault="00A37970" w:rsidP="00112E0C">
      <w:pPr>
        <w:widowControl w:val="0"/>
        <w:spacing w:before="0"/>
        <w:rPr>
          <w:bCs/>
          <w:szCs w:val="20"/>
        </w:rPr>
      </w:pPr>
      <w:proofErr w:type="spellStart"/>
      <w:r w:rsidRPr="001013AF">
        <w:rPr>
          <w:bCs/>
          <w:szCs w:val="20"/>
        </w:rPr>
        <w:t>Usmani</w:t>
      </w:r>
      <w:proofErr w:type="spellEnd"/>
      <w:r w:rsidRPr="001013AF">
        <w:rPr>
          <w:bCs/>
          <w:szCs w:val="20"/>
        </w:rPr>
        <w:t>, S</w:t>
      </w:r>
      <w:r>
        <w:rPr>
          <w:bCs/>
          <w:szCs w:val="20"/>
        </w:rPr>
        <w:t xml:space="preserve"> Z</w:t>
      </w:r>
      <w:r w:rsidRPr="001013AF">
        <w:rPr>
          <w:bCs/>
          <w:szCs w:val="20"/>
        </w:rPr>
        <w:t xml:space="preserve">, et al. </w:t>
      </w:r>
      <w:proofErr w:type="spellStart"/>
      <w:r w:rsidRPr="001013AF">
        <w:rPr>
          <w:bCs/>
          <w:szCs w:val="20"/>
        </w:rPr>
        <w:t>Ciltacabtagene</w:t>
      </w:r>
      <w:proofErr w:type="spellEnd"/>
      <w:r w:rsidRPr="001013AF">
        <w:rPr>
          <w:bCs/>
          <w:szCs w:val="20"/>
        </w:rPr>
        <w:t xml:space="preserve"> </w:t>
      </w:r>
      <w:proofErr w:type="spellStart"/>
      <w:r w:rsidRPr="001013AF">
        <w:rPr>
          <w:bCs/>
          <w:szCs w:val="20"/>
        </w:rPr>
        <w:t>autoleucel</w:t>
      </w:r>
      <w:proofErr w:type="spellEnd"/>
      <w:r w:rsidRPr="001013AF">
        <w:rPr>
          <w:bCs/>
          <w:szCs w:val="20"/>
        </w:rPr>
        <w:t>, a B-cell maturation antigen (BCMA)-directed chimeric antigen receptor T-cell (CAR-T) therapy, in relapsed/refractory multiple myeloma (R/R MM): Updated results from CARTITUDE-1. (2021): 8005-8005. ASCO 2021 conference. Data cut-off Feb 11, 2021.</w:t>
      </w:r>
    </w:p>
    <w:p w14:paraId="2E38475D" w14:textId="77777777" w:rsidR="00A37970" w:rsidRDefault="00A37970" w:rsidP="00112E0C">
      <w:r>
        <w:t xml:space="preserve">Zhao J et al. Real-world treatment patterns in relapsed/refractory multiple myeloma in Australia: results from the Myeloma and Related Diseases Registry. Abstract presented (O051) at Blood 2019 on 21/10/2019, Perth Convention &amp; Exhibition Centre, 20 - 23 October 2019.  </w:t>
      </w:r>
    </w:p>
    <w:p w14:paraId="40167AA0" w14:textId="77777777" w:rsidR="00A37970" w:rsidRDefault="005D3A0A" w:rsidP="00112E0C">
      <w:hyperlink r:id="rId30" w:history="1">
        <w:r w:rsidR="00A37970" w:rsidRPr="000F573D">
          <w:rPr>
            <w:rStyle w:val="Hyperlink"/>
          </w:rPr>
          <w:t>https://www.hsanz.org.au/resources/Documents/Blood%20Abstract%20Supplement/Blood%202019%20abstract%20supplement.pdf</w:t>
        </w:r>
      </w:hyperlink>
    </w:p>
    <w:p w14:paraId="4D934969" w14:textId="77777777" w:rsidR="00A37970" w:rsidRDefault="00A37970" w:rsidP="00603D04">
      <w:pPr>
        <w:ind w:left="426"/>
        <w:rPr>
          <w:szCs w:val="20"/>
        </w:rPr>
      </w:pPr>
    </w:p>
    <w:sectPr w:rsidR="00A37970" w:rsidSect="00F22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C0653" w14:textId="77777777" w:rsidR="00EF3D12" w:rsidRDefault="00EF3D12" w:rsidP="00CF2DFA">
      <w:pPr>
        <w:spacing w:after="0"/>
      </w:pPr>
      <w:r>
        <w:separator/>
      </w:r>
    </w:p>
  </w:endnote>
  <w:endnote w:type="continuationSeparator" w:id="0">
    <w:p w14:paraId="0C93148F" w14:textId="77777777" w:rsidR="00EF3D12" w:rsidRDefault="00EF3D1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62806894"/>
      <w:docPartObj>
        <w:docPartGallery w:val="Page Numbers (Bottom of Page)"/>
        <w:docPartUnique/>
      </w:docPartObj>
    </w:sdtPr>
    <w:sdtEndPr>
      <w:rPr>
        <w:color w:val="808080" w:themeColor="background1" w:themeShade="80"/>
        <w:spacing w:val="60"/>
      </w:rPr>
    </w:sdtEndPr>
    <w:sdtContent>
      <w:p w14:paraId="22F22C33" w14:textId="12AA5BB6" w:rsidR="00EF3D12" w:rsidRDefault="00EF3D1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 </w:t>
        </w:r>
        <w:r>
          <w:rPr>
            <w:color w:val="808080" w:themeColor="background1" w:themeShade="80"/>
            <w:spacing w:val="60"/>
            <w:sz w:val="18"/>
            <w:szCs w:val="18"/>
          </w:rPr>
          <w:tab/>
          <w:t>Application Form</w:t>
        </w:r>
      </w:p>
      <w:p w14:paraId="3F967173" w14:textId="77777777" w:rsidR="00EF3D12" w:rsidRPr="003F7CB9" w:rsidRDefault="00EF3D1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924C1B2" w14:textId="77777777" w:rsidR="00EF3D12" w:rsidRDefault="00EF3D1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227A5E6" w14:textId="77777777" w:rsidR="00EF3D12" w:rsidRPr="003F7CB9" w:rsidRDefault="00EF3D1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7AF47" w14:textId="77777777" w:rsidR="00EF3D12" w:rsidRDefault="00EF3D12" w:rsidP="00CF2DFA">
      <w:pPr>
        <w:spacing w:after="0"/>
      </w:pPr>
      <w:r>
        <w:separator/>
      </w:r>
    </w:p>
  </w:footnote>
  <w:footnote w:type="continuationSeparator" w:id="0">
    <w:p w14:paraId="283B7558" w14:textId="77777777" w:rsidR="00EF3D12" w:rsidRDefault="00EF3D12"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00985"/>
    <w:multiLevelType w:val="hybridMultilevel"/>
    <w:tmpl w:val="D40447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BAE4BD4"/>
    <w:multiLevelType w:val="multilevel"/>
    <w:tmpl w:val="8EE6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C02761"/>
    <w:multiLevelType w:val="hybridMultilevel"/>
    <w:tmpl w:val="D16CC774"/>
    <w:lvl w:ilvl="0" w:tplc="0C090001">
      <w:start w:val="1"/>
      <w:numFmt w:val="bullet"/>
      <w:lvlText w:val=""/>
      <w:lvlJc w:val="left"/>
      <w:pPr>
        <w:tabs>
          <w:tab w:val="num" w:pos="720"/>
        </w:tabs>
        <w:ind w:left="720" w:hanging="360"/>
      </w:pPr>
      <w:rPr>
        <w:rFonts w:ascii="Symbol" w:hAnsi="Symbol" w:hint="default"/>
      </w:rPr>
    </w:lvl>
    <w:lvl w:ilvl="1" w:tplc="DEE221EC">
      <w:numFmt w:val="bullet"/>
      <w:lvlText w:val="–"/>
      <w:lvlJc w:val="left"/>
      <w:pPr>
        <w:tabs>
          <w:tab w:val="num" w:pos="1440"/>
        </w:tabs>
        <w:ind w:left="1440" w:hanging="360"/>
      </w:pPr>
      <w:rPr>
        <w:rFonts w:ascii="Arial" w:hAnsi="Arial" w:hint="default"/>
      </w:rPr>
    </w:lvl>
    <w:lvl w:ilvl="2" w:tplc="C48E1270" w:tentative="1">
      <w:start w:val="1"/>
      <w:numFmt w:val="bullet"/>
      <w:lvlText w:val="§"/>
      <w:lvlJc w:val="left"/>
      <w:pPr>
        <w:tabs>
          <w:tab w:val="num" w:pos="2160"/>
        </w:tabs>
        <w:ind w:left="2160" w:hanging="360"/>
      </w:pPr>
      <w:rPr>
        <w:rFonts w:ascii="Wingdings" w:hAnsi="Wingdings" w:hint="default"/>
      </w:rPr>
    </w:lvl>
    <w:lvl w:ilvl="3" w:tplc="A3707BC6" w:tentative="1">
      <w:start w:val="1"/>
      <w:numFmt w:val="bullet"/>
      <w:lvlText w:val="§"/>
      <w:lvlJc w:val="left"/>
      <w:pPr>
        <w:tabs>
          <w:tab w:val="num" w:pos="2880"/>
        </w:tabs>
        <w:ind w:left="2880" w:hanging="360"/>
      </w:pPr>
      <w:rPr>
        <w:rFonts w:ascii="Wingdings" w:hAnsi="Wingdings" w:hint="default"/>
      </w:rPr>
    </w:lvl>
    <w:lvl w:ilvl="4" w:tplc="FDD8CFF4" w:tentative="1">
      <w:start w:val="1"/>
      <w:numFmt w:val="bullet"/>
      <w:lvlText w:val="§"/>
      <w:lvlJc w:val="left"/>
      <w:pPr>
        <w:tabs>
          <w:tab w:val="num" w:pos="3600"/>
        </w:tabs>
        <w:ind w:left="3600" w:hanging="360"/>
      </w:pPr>
      <w:rPr>
        <w:rFonts w:ascii="Wingdings" w:hAnsi="Wingdings" w:hint="default"/>
      </w:rPr>
    </w:lvl>
    <w:lvl w:ilvl="5" w:tplc="743CC066" w:tentative="1">
      <w:start w:val="1"/>
      <w:numFmt w:val="bullet"/>
      <w:lvlText w:val="§"/>
      <w:lvlJc w:val="left"/>
      <w:pPr>
        <w:tabs>
          <w:tab w:val="num" w:pos="4320"/>
        </w:tabs>
        <w:ind w:left="4320" w:hanging="360"/>
      </w:pPr>
      <w:rPr>
        <w:rFonts w:ascii="Wingdings" w:hAnsi="Wingdings" w:hint="default"/>
      </w:rPr>
    </w:lvl>
    <w:lvl w:ilvl="6" w:tplc="A922FB98" w:tentative="1">
      <w:start w:val="1"/>
      <w:numFmt w:val="bullet"/>
      <w:lvlText w:val="§"/>
      <w:lvlJc w:val="left"/>
      <w:pPr>
        <w:tabs>
          <w:tab w:val="num" w:pos="5040"/>
        </w:tabs>
        <w:ind w:left="5040" w:hanging="360"/>
      </w:pPr>
      <w:rPr>
        <w:rFonts w:ascii="Wingdings" w:hAnsi="Wingdings" w:hint="default"/>
      </w:rPr>
    </w:lvl>
    <w:lvl w:ilvl="7" w:tplc="A8183F5C" w:tentative="1">
      <w:start w:val="1"/>
      <w:numFmt w:val="bullet"/>
      <w:lvlText w:val="§"/>
      <w:lvlJc w:val="left"/>
      <w:pPr>
        <w:tabs>
          <w:tab w:val="num" w:pos="5760"/>
        </w:tabs>
        <w:ind w:left="5760" w:hanging="360"/>
      </w:pPr>
      <w:rPr>
        <w:rFonts w:ascii="Wingdings" w:hAnsi="Wingdings" w:hint="default"/>
      </w:rPr>
    </w:lvl>
    <w:lvl w:ilvl="8" w:tplc="2140FC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401EF1"/>
    <w:multiLevelType w:val="hybridMultilevel"/>
    <w:tmpl w:val="13C02BD2"/>
    <w:lvl w:ilvl="0" w:tplc="4502D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74B1E"/>
    <w:multiLevelType w:val="hybridMultilevel"/>
    <w:tmpl w:val="FDAC38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65A01C8"/>
    <w:multiLevelType w:val="multilevel"/>
    <w:tmpl w:val="0F4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53379"/>
    <w:multiLevelType w:val="hybridMultilevel"/>
    <w:tmpl w:val="D4484D5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02A7FDA"/>
    <w:multiLevelType w:val="multilevel"/>
    <w:tmpl w:val="4A68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031F3"/>
    <w:multiLevelType w:val="hybridMultilevel"/>
    <w:tmpl w:val="DC1CCE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3CFA793B"/>
    <w:multiLevelType w:val="hybridMultilevel"/>
    <w:tmpl w:val="1F3E01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D44D6"/>
    <w:multiLevelType w:val="hybridMultilevel"/>
    <w:tmpl w:val="3326AF04"/>
    <w:lvl w:ilvl="0" w:tplc="9A6004EA">
      <w:start w:val="1"/>
      <w:numFmt w:val="bullet"/>
      <w:lvlText w:val="•"/>
      <w:lvlJc w:val="left"/>
      <w:pPr>
        <w:tabs>
          <w:tab w:val="num" w:pos="720"/>
        </w:tabs>
        <w:ind w:left="720" w:hanging="360"/>
      </w:pPr>
      <w:rPr>
        <w:rFonts w:ascii="Arial" w:hAnsi="Arial" w:hint="default"/>
      </w:rPr>
    </w:lvl>
    <w:lvl w:ilvl="1" w:tplc="0876CFDE">
      <w:numFmt w:val="bullet"/>
      <w:lvlText w:val="•"/>
      <w:lvlJc w:val="left"/>
      <w:pPr>
        <w:tabs>
          <w:tab w:val="num" w:pos="1440"/>
        </w:tabs>
        <w:ind w:left="1440" w:hanging="360"/>
      </w:pPr>
      <w:rPr>
        <w:rFonts w:ascii="Arial" w:hAnsi="Arial" w:hint="default"/>
      </w:rPr>
    </w:lvl>
    <w:lvl w:ilvl="2" w:tplc="27F433AC" w:tentative="1">
      <w:start w:val="1"/>
      <w:numFmt w:val="bullet"/>
      <w:lvlText w:val="•"/>
      <w:lvlJc w:val="left"/>
      <w:pPr>
        <w:tabs>
          <w:tab w:val="num" w:pos="2160"/>
        </w:tabs>
        <w:ind w:left="2160" w:hanging="360"/>
      </w:pPr>
      <w:rPr>
        <w:rFonts w:ascii="Arial" w:hAnsi="Arial" w:hint="default"/>
      </w:rPr>
    </w:lvl>
    <w:lvl w:ilvl="3" w:tplc="96E09C1E" w:tentative="1">
      <w:start w:val="1"/>
      <w:numFmt w:val="bullet"/>
      <w:lvlText w:val="•"/>
      <w:lvlJc w:val="left"/>
      <w:pPr>
        <w:tabs>
          <w:tab w:val="num" w:pos="2880"/>
        </w:tabs>
        <w:ind w:left="2880" w:hanging="360"/>
      </w:pPr>
      <w:rPr>
        <w:rFonts w:ascii="Arial" w:hAnsi="Arial" w:hint="default"/>
      </w:rPr>
    </w:lvl>
    <w:lvl w:ilvl="4" w:tplc="A872A754" w:tentative="1">
      <w:start w:val="1"/>
      <w:numFmt w:val="bullet"/>
      <w:lvlText w:val="•"/>
      <w:lvlJc w:val="left"/>
      <w:pPr>
        <w:tabs>
          <w:tab w:val="num" w:pos="3600"/>
        </w:tabs>
        <w:ind w:left="3600" w:hanging="360"/>
      </w:pPr>
      <w:rPr>
        <w:rFonts w:ascii="Arial" w:hAnsi="Arial" w:hint="default"/>
      </w:rPr>
    </w:lvl>
    <w:lvl w:ilvl="5" w:tplc="C4580FC2" w:tentative="1">
      <w:start w:val="1"/>
      <w:numFmt w:val="bullet"/>
      <w:lvlText w:val="•"/>
      <w:lvlJc w:val="left"/>
      <w:pPr>
        <w:tabs>
          <w:tab w:val="num" w:pos="4320"/>
        </w:tabs>
        <w:ind w:left="4320" w:hanging="360"/>
      </w:pPr>
      <w:rPr>
        <w:rFonts w:ascii="Arial" w:hAnsi="Arial" w:hint="default"/>
      </w:rPr>
    </w:lvl>
    <w:lvl w:ilvl="6" w:tplc="CC186EFC" w:tentative="1">
      <w:start w:val="1"/>
      <w:numFmt w:val="bullet"/>
      <w:lvlText w:val="•"/>
      <w:lvlJc w:val="left"/>
      <w:pPr>
        <w:tabs>
          <w:tab w:val="num" w:pos="5040"/>
        </w:tabs>
        <w:ind w:left="5040" w:hanging="360"/>
      </w:pPr>
      <w:rPr>
        <w:rFonts w:ascii="Arial" w:hAnsi="Arial" w:hint="default"/>
      </w:rPr>
    </w:lvl>
    <w:lvl w:ilvl="7" w:tplc="339687E4" w:tentative="1">
      <w:start w:val="1"/>
      <w:numFmt w:val="bullet"/>
      <w:lvlText w:val="•"/>
      <w:lvlJc w:val="left"/>
      <w:pPr>
        <w:tabs>
          <w:tab w:val="num" w:pos="5760"/>
        </w:tabs>
        <w:ind w:left="5760" w:hanging="360"/>
      </w:pPr>
      <w:rPr>
        <w:rFonts w:ascii="Arial" w:hAnsi="Arial" w:hint="default"/>
      </w:rPr>
    </w:lvl>
    <w:lvl w:ilvl="8" w:tplc="CFC078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681C2B"/>
    <w:multiLevelType w:val="hybridMultilevel"/>
    <w:tmpl w:val="60449C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9917738"/>
    <w:multiLevelType w:val="hybridMultilevel"/>
    <w:tmpl w:val="F744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9E204B"/>
    <w:multiLevelType w:val="hybridMultilevel"/>
    <w:tmpl w:val="40CAD606"/>
    <w:lvl w:ilvl="0" w:tplc="2128665C">
      <w:start w:val="1"/>
      <w:numFmt w:val="bullet"/>
      <w:lvlText w:val="•"/>
      <w:lvlJc w:val="left"/>
      <w:pPr>
        <w:tabs>
          <w:tab w:val="num" w:pos="720"/>
        </w:tabs>
        <w:ind w:left="720" w:hanging="360"/>
      </w:pPr>
      <w:rPr>
        <w:rFonts w:ascii="Arial" w:hAnsi="Arial" w:hint="default"/>
      </w:rPr>
    </w:lvl>
    <w:lvl w:ilvl="1" w:tplc="69626EBC" w:tentative="1">
      <w:start w:val="1"/>
      <w:numFmt w:val="bullet"/>
      <w:lvlText w:val="•"/>
      <w:lvlJc w:val="left"/>
      <w:pPr>
        <w:tabs>
          <w:tab w:val="num" w:pos="1440"/>
        </w:tabs>
        <w:ind w:left="1440" w:hanging="360"/>
      </w:pPr>
      <w:rPr>
        <w:rFonts w:ascii="Arial" w:hAnsi="Arial" w:hint="default"/>
      </w:rPr>
    </w:lvl>
    <w:lvl w:ilvl="2" w:tplc="B71C36C2" w:tentative="1">
      <w:start w:val="1"/>
      <w:numFmt w:val="bullet"/>
      <w:lvlText w:val="•"/>
      <w:lvlJc w:val="left"/>
      <w:pPr>
        <w:tabs>
          <w:tab w:val="num" w:pos="2160"/>
        </w:tabs>
        <w:ind w:left="2160" w:hanging="360"/>
      </w:pPr>
      <w:rPr>
        <w:rFonts w:ascii="Arial" w:hAnsi="Arial" w:hint="default"/>
      </w:rPr>
    </w:lvl>
    <w:lvl w:ilvl="3" w:tplc="02DAE74E" w:tentative="1">
      <w:start w:val="1"/>
      <w:numFmt w:val="bullet"/>
      <w:lvlText w:val="•"/>
      <w:lvlJc w:val="left"/>
      <w:pPr>
        <w:tabs>
          <w:tab w:val="num" w:pos="2880"/>
        </w:tabs>
        <w:ind w:left="2880" w:hanging="360"/>
      </w:pPr>
      <w:rPr>
        <w:rFonts w:ascii="Arial" w:hAnsi="Arial" w:hint="default"/>
      </w:rPr>
    </w:lvl>
    <w:lvl w:ilvl="4" w:tplc="29BC544C" w:tentative="1">
      <w:start w:val="1"/>
      <w:numFmt w:val="bullet"/>
      <w:lvlText w:val="•"/>
      <w:lvlJc w:val="left"/>
      <w:pPr>
        <w:tabs>
          <w:tab w:val="num" w:pos="3600"/>
        </w:tabs>
        <w:ind w:left="3600" w:hanging="360"/>
      </w:pPr>
      <w:rPr>
        <w:rFonts w:ascii="Arial" w:hAnsi="Arial" w:hint="default"/>
      </w:rPr>
    </w:lvl>
    <w:lvl w:ilvl="5" w:tplc="476C47D4" w:tentative="1">
      <w:start w:val="1"/>
      <w:numFmt w:val="bullet"/>
      <w:lvlText w:val="•"/>
      <w:lvlJc w:val="left"/>
      <w:pPr>
        <w:tabs>
          <w:tab w:val="num" w:pos="4320"/>
        </w:tabs>
        <w:ind w:left="4320" w:hanging="360"/>
      </w:pPr>
      <w:rPr>
        <w:rFonts w:ascii="Arial" w:hAnsi="Arial" w:hint="default"/>
      </w:rPr>
    </w:lvl>
    <w:lvl w:ilvl="6" w:tplc="08E44C36" w:tentative="1">
      <w:start w:val="1"/>
      <w:numFmt w:val="bullet"/>
      <w:lvlText w:val="•"/>
      <w:lvlJc w:val="left"/>
      <w:pPr>
        <w:tabs>
          <w:tab w:val="num" w:pos="5040"/>
        </w:tabs>
        <w:ind w:left="5040" w:hanging="360"/>
      </w:pPr>
      <w:rPr>
        <w:rFonts w:ascii="Arial" w:hAnsi="Arial" w:hint="default"/>
      </w:rPr>
    </w:lvl>
    <w:lvl w:ilvl="7" w:tplc="3CBA0DFA" w:tentative="1">
      <w:start w:val="1"/>
      <w:numFmt w:val="bullet"/>
      <w:lvlText w:val="•"/>
      <w:lvlJc w:val="left"/>
      <w:pPr>
        <w:tabs>
          <w:tab w:val="num" w:pos="5760"/>
        </w:tabs>
        <w:ind w:left="5760" w:hanging="360"/>
      </w:pPr>
      <w:rPr>
        <w:rFonts w:ascii="Arial" w:hAnsi="Arial" w:hint="default"/>
      </w:rPr>
    </w:lvl>
    <w:lvl w:ilvl="8" w:tplc="7C3EB2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F82B2B"/>
    <w:multiLevelType w:val="hybridMultilevel"/>
    <w:tmpl w:val="88361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914962"/>
    <w:multiLevelType w:val="hybridMultilevel"/>
    <w:tmpl w:val="FEEA24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AB21545"/>
    <w:multiLevelType w:val="multilevel"/>
    <w:tmpl w:val="65E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FD4D15"/>
    <w:multiLevelType w:val="hybridMultilevel"/>
    <w:tmpl w:val="D6E83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039EE"/>
    <w:multiLevelType w:val="hybridMultilevel"/>
    <w:tmpl w:val="217C1D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A0573F"/>
    <w:multiLevelType w:val="hybridMultilevel"/>
    <w:tmpl w:val="B86C7B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B6B252D"/>
    <w:multiLevelType w:val="hybridMultilevel"/>
    <w:tmpl w:val="DCB830FE"/>
    <w:lvl w:ilvl="0" w:tplc="08090001">
      <w:start w:val="1"/>
      <w:numFmt w:val="bullet"/>
      <w:lvlText w:val=""/>
      <w:lvlJc w:val="left"/>
      <w:pPr>
        <w:ind w:left="1375" w:hanging="360"/>
      </w:pPr>
      <w:rPr>
        <w:rFonts w:ascii="Symbol" w:hAnsi="Symbol" w:hint="default"/>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39" w15:restartNumberingAfterBreak="0">
    <w:nsid w:val="6BAB5277"/>
    <w:multiLevelType w:val="hybridMultilevel"/>
    <w:tmpl w:val="CAF8203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610EF8"/>
    <w:multiLevelType w:val="multilevel"/>
    <w:tmpl w:val="C62E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60FDB"/>
    <w:multiLevelType w:val="hybridMultilevel"/>
    <w:tmpl w:val="0D7834A8"/>
    <w:lvl w:ilvl="0" w:tplc="64488118">
      <w:start w:val="1"/>
      <w:numFmt w:val="bullet"/>
      <w:lvlText w:val="§"/>
      <w:lvlJc w:val="left"/>
      <w:pPr>
        <w:tabs>
          <w:tab w:val="num" w:pos="720"/>
        </w:tabs>
        <w:ind w:left="720" w:hanging="360"/>
      </w:pPr>
      <w:rPr>
        <w:rFonts w:ascii="Wingdings" w:hAnsi="Wingdings" w:hint="default"/>
      </w:rPr>
    </w:lvl>
    <w:lvl w:ilvl="1" w:tplc="DEE221EC">
      <w:numFmt w:val="bullet"/>
      <w:lvlText w:val="–"/>
      <w:lvlJc w:val="left"/>
      <w:pPr>
        <w:tabs>
          <w:tab w:val="num" w:pos="1440"/>
        </w:tabs>
        <w:ind w:left="1440" w:hanging="360"/>
      </w:pPr>
      <w:rPr>
        <w:rFonts w:ascii="Arial" w:hAnsi="Arial" w:hint="default"/>
      </w:rPr>
    </w:lvl>
    <w:lvl w:ilvl="2" w:tplc="C48E1270" w:tentative="1">
      <w:start w:val="1"/>
      <w:numFmt w:val="bullet"/>
      <w:lvlText w:val="§"/>
      <w:lvlJc w:val="left"/>
      <w:pPr>
        <w:tabs>
          <w:tab w:val="num" w:pos="2160"/>
        </w:tabs>
        <w:ind w:left="2160" w:hanging="360"/>
      </w:pPr>
      <w:rPr>
        <w:rFonts w:ascii="Wingdings" w:hAnsi="Wingdings" w:hint="default"/>
      </w:rPr>
    </w:lvl>
    <w:lvl w:ilvl="3" w:tplc="A3707BC6" w:tentative="1">
      <w:start w:val="1"/>
      <w:numFmt w:val="bullet"/>
      <w:lvlText w:val="§"/>
      <w:lvlJc w:val="left"/>
      <w:pPr>
        <w:tabs>
          <w:tab w:val="num" w:pos="2880"/>
        </w:tabs>
        <w:ind w:left="2880" w:hanging="360"/>
      </w:pPr>
      <w:rPr>
        <w:rFonts w:ascii="Wingdings" w:hAnsi="Wingdings" w:hint="default"/>
      </w:rPr>
    </w:lvl>
    <w:lvl w:ilvl="4" w:tplc="FDD8CFF4" w:tentative="1">
      <w:start w:val="1"/>
      <w:numFmt w:val="bullet"/>
      <w:lvlText w:val="§"/>
      <w:lvlJc w:val="left"/>
      <w:pPr>
        <w:tabs>
          <w:tab w:val="num" w:pos="3600"/>
        </w:tabs>
        <w:ind w:left="3600" w:hanging="360"/>
      </w:pPr>
      <w:rPr>
        <w:rFonts w:ascii="Wingdings" w:hAnsi="Wingdings" w:hint="default"/>
      </w:rPr>
    </w:lvl>
    <w:lvl w:ilvl="5" w:tplc="743CC066" w:tentative="1">
      <w:start w:val="1"/>
      <w:numFmt w:val="bullet"/>
      <w:lvlText w:val="§"/>
      <w:lvlJc w:val="left"/>
      <w:pPr>
        <w:tabs>
          <w:tab w:val="num" w:pos="4320"/>
        </w:tabs>
        <w:ind w:left="4320" w:hanging="360"/>
      </w:pPr>
      <w:rPr>
        <w:rFonts w:ascii="Wingdings" w:hAnsi="Wingdings" w:hint="default"/>
      </w:rPr>
    </w:lvl>
    <w:lvl w:ilvl="6" w:tplc="A922FB98" w:tentative="1">
      <w:start w:val="1"/>
      <w:numFmt w:val="bullet"/>
      <w:lvlText w:val="§"/>
      <w:lvlJc w:val="left"/>
      <w:pPr>
        <w:tabs>
          <w:tab w:val="num" w:pos="5040"/>
        </w:tabs>
        <w:ind w:left="5040" w:hanging="360"/>
      </w:pPr>
      <w:rPr>
        <w:rFonts w:ascii="Wingdings" w:hAnsi="Wingdings" w:hint="default"/>
      </w:rPr>
    </w:lvl>
    <w:lvl w:ilvl="7" w:tplc="A8183F5C" w:tentative="1">
      <w:start w:val="1"/>
      <w:numFmt w:val="bullet"/>
      <w:lvlText w:val="§"/>
      <w:lvlJc w:val="left"/>
      <w:pPr>
        <w:tabs>
          <w:tab w:val="num" w:pos="5760"/>
        </w:tabs>
        <w:ind w:left="5760" w:hanging="360"/>
      </w:pPr>
      <w:rPr>
        <w:rFonts w:ascii="Wingdings" w:hAnsi="Wingdings" w:hint="default"/>
      </w:rPr>
    </w:lvl>
    <w:lvl w:ilvl="8" w:tplc="2140FCD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655D4"/>
    <w:multiLevelType w:val="hybridMultilevel"/>
    <w:tmpl w:val="E206BF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5"/>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17"/>
  </w:num>
  <w:num w:numId="4">
    <w:abstractNumId w:val="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
  </w:num>
  <w:num w:numId="25">
    <w:abstractNumId w:val="33"/>
  </w:num>
  <w:num w:numId="26">
    <w:abstractNumId w:val="6"/>
  </w:num>
  <w:num w:numId="27">
    <w:abstractNumId w:val="27"/>
  </w:num>
  <w:num w:numId="28">
    <w:abstractNumId w:val="19"/>
  </w:num>
  <w:num w:numId="29">
    <w:abstractNumId w:val="36"/>
  </w:num>
  <w:num w:numId="30">
    <w:abstractNumId w:val="4"/>
  </w:num>
  <w:num w:numId="31">
    <w:abstractNumId w:val="32"/>
  </w:num>
  <w:num w:numId="32">
    <w:abstractNumId w:val="9"/>
  </w:num>
  <w:num w:numId="33">
    <w:abstractNumId w:val="29"/>
  </w:num>
  <w:num w:numId="34">
    <w:abstractNumId w:val="8"/>
  </w:num>
  <w:num w:numId="35">
    <w:abstractNumId w:val="22"/>
  </w:num>
  <w:num w:numId="36">
    <w:abstractNumId w:val="0"/>
  </w:num>
  <w:num w:numId="37">
    <w:abstractNumId w:val="15"/>
  </w:num>
  <w:num w:numId="38">
    <w:abstractNumId w:val="37"/>
  </w:num>
  <w:num w:numId="39">
    <w:abstractNumId w:val="31"/>
  </w:num>
  <w:num w:numId="40">
    <w:abstractNumId w:val="13"/>
  </w:num>
  <w:num w:numId="41">
    <w:abstractNumId w:val="38"/>
  </w:num>
  <w:num w:numId="42">
    <w:abstractNumId w:val="21"/>
  </w:num>
  <w:num w:numId="43">
    <w:abstractNumId w:val="30"/>
  </w:num>
  <w:num w:numId="44">
    <w:abstractNumId w:val="14"/>
  </w:num>
  <w:num w:numId="45">
    <w:abstractNumId w:val="10"/>
  </w:num>
  <w:num w:numId="46">
    <w:abstractNumId w:val="24"/>
  </w:num>
  <w:num w:numId="47">
    <w:abstractNumId w:val="20"/>
  </w:num>
  <w:num w:numId="48">
    <w:abstractNumId w:val="43"/>
  </w:num>
  <w:num w:numId="49">
    <w:abstractNumId w:val="11"/>
  </w:num>
  <w:num w:numId="50">
    <w:abstractNumId w:val="42"/>
  </w:num>
  <w:num w:numId="51">
    <w:abstractNumId w:val="35"/>
  </w:num>
  <w:num w:numId="52">
    <w:abstractNumId w:val="25"/>
  </w:num>
  <w:num w:numId="53">
    <w:abstractNumId w:val="41"/>
  </w:num>
  <w:num w:numId="54">
    <w:abstractNumId w:val="3"/>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5"/>
  </w:num>
  <w:num w:numId="64">
    <w:abstractNumId w:val="34"/>
  </w:num>
  <w:num w:numId="65">
    <w:abstractNumId w:val="39"/>
  </w:num>
  <w:num w:numId="66">
    <w:abstractNumId w:val="16"/>
  </w:num>
  <w:num w:numId="67">
    <w:abstractNumId w:val="28"/>
  </w:num>
  <w:num w:numId="68">
    <w:abstractNumId w:val="2"/>
  </w:num>
  <w:num w:numId="69">
    <w:abstractNumId w:val="23"/>
  </w:num>
  <w:num w:numId="70">
    <w:abstractNumId w:val="18"/>
  </w:num>
  <w:num w:numId="71">
    <w:abstractNumId w:val="18"/>
  </w:num>
  <w:num w:numId="7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0635"/>
    <w:rsid w:val="000028AF"/>
    <w:rsid w:val="000110DC"/>
    <w:rsid w:val="00012ABF"/>
    <w:rsid w:val="000158AA"/>
    <w:rsid w:val="000159B9"/>
    <w:rsid w:val="00016B6E"/>
    <w:rsid w:val="00016C1D"/>
    <w:rsid w:val="00023E21"/>
    <w:rsid w:val="00025437"/>
    <w:rsid w:val="00025ABC"/>
    <w:rsid w:val="00026412"/>
    <w:rsid w:val="00030043"/>
    <w:rsid w:val="00031A9F"/>
    <w:rsid w:val="00031F6F"/>
    <w:rsid w:val="00033862"/>
    <w:rsid w:val="00034D6E"/>
    <w:rsid w:val="00035792"/>
    <w:rsid w:val="00035AD3"/>
    <w:rsid w:val="00045283"/>
    <w:rsid w:val="0005089D"/>
    <w:rsid w:val="000525BC"/>
    <w:rsid w:val="00055158"/>
    <w:rsid w:val="000700F9"/>
    <w:rsid w:val="00073222"/>
    <w:rsid w:val="00074977"/>
    <w:rsid w:val="000770BA"/>
    <w:rsid w:val="0007746C"/>
    <w:rsid w:val="0008104E"/>
    <w:rsid w:val="000813E1"/>
    <w:rsid w:val="00082EBF"/>
    <w:rsid w:val="0009128D"/>
    <w:rsid w:val="00092580"/>
    <w:rsid w:val="0009263D"/>
    <w:rsid w:val="00093F89"/>
    <w:rsid w:val="000945AA"/>
    <w:rsid w:val="000955E7"/>
    <w:rsid w:val="000A110D"/>
    <w:rsid w:val="000A1319"/>
    <w:rsid w:val="000A478F"/>
    <w:rsid w:val="000A5658"/>
    <w:rsid w:val="000A5B32"/>
    <w:rsid w:val="000A7CF0"/>
    <w:rsid w:val="000B017A"/>
    <w:rsid w:val="000B1B67"/>
    <w:rsid w:val="000B1CED"/>
    <w:rsid w:val="000B3CD0"/>
    <w:rsid w:val="000B4BCB"/>
    <w:rsid w:val="000B7901"/>
    <w:rsid w:val="000C5647"/>
    <w:rsid w:val="000C5695"/>
    <w:rsid w:val="000C57CD"/>
    <w:rsid w:val="000C6BF9"/>
    <w:rsid w:val="000D066E"/>
    <w:rsid w:val="000D0831"/>
    <w:rsid w:val="000D6439"/>
    <w:rsid w:val="000E05C0"/>
    <w:rsid w:val="000E47E7"/>
    <w:rsid w:val="000E5343"/>
    <w:rsid w:val="000E5439"/>
    <w:rsid w:val="000E76B6"/>
    <w:rsid w:val="000F1597"/>
    <w:rsid w:val="000F2CF8"/>
    <w:rsid w:val="000F4A7D"/>
    <w:rsid w:val="000F6DE5"/>
    <w:rsid w:val="0010030C"/>
    <w:rsid w:val="00100E50"/>
    <w:rsid w:val="001013AF"/>
    <w:rsid w:val="00102686"/>
    <w:rsid w:val="0010383A"/>
    <w:rsid w:val="00105B85"/>
    <w:rsid w:val="0010799D"/>
    <w:rsid w:val="00107E57"/>
    <w:rsid w:val="0011036E"/>
    <w:rsid w:val="00112D04"/>
    <w:rsid w:val="00112E0C"/>
    <w:rsid w:val="00112E4B"/>
    <w:rsid w:val="001130B0"/>
    <w:rsid w:val="00113578"/>
    <w:rsid w:val="0011369B"/>
    <w:rsid w:val="0011742E"/>
    <w:rsid w:val="00120F87"/>
    <w:rsid w:val="00122DC0"/>
    <w:rsid w:val="00123D10"/>
    <w:rsid w:val="00123E34"/>
    <w:rsid w:val="0012588B"/>
    <w:rsid w:val="00126B33"/>
    <w:rsid w:val="00131A8D"/>
    <w:rsid w:val="00131DCB"/>
    <w:rsid w:val="00132D55"/>
    <w:rsid w:val="001345EB"/>
    <w:rsid w:val="00137FFC"/>
    <w:rsid w:val="00140A16"/>
    <w:rsid w:val="0014334D"/>
    <w:rsid w:val="0014337B"/>
    <w:rsid w:val="00143979"/>
    <w:rsid w:val="00153A17"/>
    <w:rsid w:val="00154B00"/>
    <w:rsid w:val="001561DF"/>
    <w:rsid w:val="001644E9"/>
    <w:rsid w:val="00165ED7"/>
    <w:rsid w:val="001668FB"/>
    <w:rsid w:val="0016765B"/>
    <w:rsid w:val="0016774B"/>
    <w:rsid w:val="00170020"/>
    <w:rsid w:val="001734C0"/>
    <w:rsid w:val="001769F1"/>
    <w:rsid w:val="00177394"/>
    <w:rsid w:val="00180E1D"/>
    <w:rsid w:val="0018398A"/>
    <w:rsid w:val="001845D9"/>
    <w:rsid w:val="0018630F"/>
    <w:rsid w:val="001906CD"/>
    <w:rsid w:val="001915B9"/>
    <w:rsid w:val="00191B99"/>
    <w:rsid w:val="00192724"/>
    <w:rsid w:val="0019694B"/>
    <w:rsid w:val="00197D29"/>
    <w:rsid w:val="001A02E3"/>
    <w:rsid w:val="001A1ADF"/>
    <w:rsid w:val="001A365C"/>
    <w:rsid w:val="001A697E"/>
    <w:rsid w:val="001B0E26"/>
    <w:rsid w:val="001B171D"/>
    <w:rsid w:val="001B1875"/>
    <w:rsid w:val="001B29A1"/>
    <w:rsid w:val="001B385C"/>
    <w:rsid w:val="001B5169"/>
    <w:rsid w:val="001B6164"/>
    <w:rsid w:val="001C298B"/>
    <w:rsid w:val="001C6225"/>
    <w:rsid w:val="001C7226"/>
    <w:rsid w:val="001C781B"/>
    <w:rsid w:val="001D77ED"/>
    <w:rsid w:val="001D7C77"/>
    <w:rsid w:val="001E1180"/>
    <w:rsid w:val="001E23EA"/>
    <w:rsid w:val="001E4112"/>
    <w:rsid w:val="001E6919"/>
    <w:rsid w:val="001E6958"/>
    <w:rsid w:val="001F03EA"/>
    <w:rsid w:val="001F04C7"/>
    <w:rsid w:val="001F115A"/>
    <w:rsid w:val="001F168C"/>
    <w:rsid w:val="001F61B9"/>
    <w:rsid w:val="00201924"/>
    <w:rsid w:val="00201FA2"/>
    <w:rsid w:val="00202473"/>
    <w:rsid w:val="002053F2"/>
    <w:rsid w:val="00206809"/>
    <w:rsid w:val="00206D63"/>
    <w:rsid w:val="00207262"/>
    <w:rsid w:val="0021185D"/>
    <w:rsid w:val="0021503C"/>
    <w:rsid w:val="00215B40"/>
    <w:rsid w:val="00215B48"/>
    <w:rsid w:val="002251AF"/>
    <w:rsid w:val="00226777"/>
    <w:rsid w:val="002335AE"/>
    <w:rsid w:val="0023390F"/>
    <w:rsid w:val="00235BD1"/>
    <w:rsid w:val="00241D46"/>
    <w:rsid w:val="00242B0E"/>
    <w:rsid w:val="00242FD7"/>
    <w:rsid w:val="002460AE"/>
    <w:rsid w:val="00247DF0"/>
    <w:rsid w:val="00250696"/>
    <w:rsid w:val="00251B4D"/>
    <w:rsid w:val="00254813"/>
    <w:rsid w:val="002549B8"/>
    <w:rsid w:val="00256BC8"/>
    <w:rsid w:val="00257FF2"/>
    <w:rsid w:val="00265822"/>
    <w:rsid w:val="002675D1"/>
    <w:rsid w:val="002702F8"/>
    <w:rsid w:val="0027105F"/>
    <w:rsid w:val="002711FB"/>
    <w:rsid w:val="00271728"/>
    <w:rsid w:val="00276653"/>
    <w:rsid w:val="00276F9F"/>
    <w:rsid w:val="00282BE8"/>
    <w:rsid w:val="00283318"/>
    <w:rsid w:val="00285525"/>
    <w:rsid w:val="00290CB7"/>
    <w:rsid w:val="00294556"/>
    <w:rsid w:val="00294CD8"/>
    <w:rsid w:val="002A00CF"/>
    <w:rsid w:val="002A270B"/>
    <w:rsid w:val="002A2B3D"/>
    <w:rsid w:val="002A50FD"/>
    <w:rsid w:val="002A6745"/>
    <w:rsid w:val="002A6753"/>
    <w:rsid w:val="002A76BD"/>
    <w:rsid w:val="002B05B8"/>
    <w:rsid w:val="002B06F6"/>
    <w:rsid w:val="002B0BD8"/>
    <w:rsid w:val="002B1139"/>
    <w:rsid w:val="002B28D7"/>
    <w:rsid w:val="002B596C"/>
    <w:rsid w:val="002B7EB6"/>
    <w:rsid w:val="002C03D8"/>
    <w:rsid w:val="002C0B61"/>
    <w:rsid w:val="002C15E6"/>
    <w:rsid w:val="002C1DB6"/>
    <w:rsid w:val="002C247D"/>
    <w:rsid w:val="002C2D77"/>
    <w:rsid w:val="002C3345"/>
    <w:rsid w:val="002D181F"/>
    <w:rsid w:val="002D409A"/>
    <w:rsid w:val="002E3964"/>
    <w:rsid w:val="002F1A70"/>
    <w:rsid w:val="002F30E7"/>
    <w:rsid w:val="002F3804"/>
    <w:rsid w:val="002F4CE8"/>
    <w:rsid w:val="002F7464"/>
    <w:rsid w:val="00300EEB"/>
    <w:rsid w:val="003013A9"/>
    <w:rsid w:val="00301958"/>
    <w:rsid w:val="003020B5"/>
    <w:rsid w:val="003027BB"/>
    <w:rsid w:val="003064A4"/>
    <w:rsid w:val="00306F9E"/>
    <w:rsid w:val="00307348"/>
    <w:rsid w:val="003100D8"/>
    <w:rsid w:val="00310A10"/>
    <w:rsid w:val="0031219C"/>
    <w:rsid w:val="003121B9"/>
    <w:rsid w:val="003157A7"/>
    <w:rsid w:val="003207F1"/>
    <w:rsid w:val="00321EB1"/>
    <w:rsid w:val="00323055"/>
    <w:rsid w:val="00324EA2"/>
    <w:rsid w:val="00327D25"/>
    <w:rsid w:val="003315BF"/>
    <w:rsid w:val="003319A7"/>
    <w:rsid w:val="00331CFF"/>
    <w:rsid w:val="0033386A"/>
    <w:rsid w:val="00334FE3"/>
    <w:rsid w:val="00335F1A"/>
    <w:rsid w:val="003367C7"/>
    <w:rsid w:val="003421AE"/>
    <w:rsid w:val="00342BC8"/>
    <w:rsid w:val="003433D1"/>
    <w:rsid w:val="00344B24"/>
    <w:rsid w:val="003456B9"/>
    <w:rsid w:val="0035067D"/>
    <w:rsid w:val="00351AD4"/>
    <w:rsid w:val="00352B21"/>
    <w:rsid w:val="00353A16"/>
    <w:rsid w:val="0035410B"/>
    <w:rsid w:val="00354813"/>
    <w:rsid w:val="0035764C"/>
    <w:rsid w:val="0035776D"/>
    <w:rsid w:val="00364FD9"/>
    <w:rsid w:val="00367C1B"/>
    <w:rsid w:val="00367FB3"/>
    <w:rsid w:val="00371F6D"/>
    <w:rsid w:val="003731C3"/>
    <w:rsid w:val="00376B61"/>
    <w:rsid w:val="0037782B"/>
    <w:rsid w:val="00381272"/>
    <w:rsid w:val="00381C56"/>
    <w:rsid w:val="0038234B"/>
    <w:rsid w:val="00382407"/>
    <w:rsid w:val="00386A64"/>
    <w:rsid w:val="00386FA1"/>
    <w:rsid w:val="00390142"/>
    <w:rsid w:val="003904AC"/>
    <w:rsid w:val="00392F00"/>
    <w:rsid w:val="00397377"/>
    <w:rsid w:val="003A22DE"/>
    <w:rsid w:val="003A2860"/>
    <w:rsid w:val="003A3465"/>
    <w:rsid w:val="003A3C35"/>
    <w:rsid w:val="003A4F59"/>
    <w:rsid w:val="003A540A"/>
    <w:rsid w:val="003A7D30"/>
    <w:rsid w:val="003B02AF"/>
    <w:rsid w:val="003B2790"/>
    <w:rsid w:val="003B3C5C"/>
    <w:rsid w:val="003C07D5"/>
    <w:rsid w:val="003C47CA"/>
    <w:rsid w:val="003C6D83"/>
    <w:rsid w:val="003D5B72"/>
    <w:rsid w:val="003D6DE1"/>
    <w:rsid w:val="003D795C"/>
    <w:rsid w:val="003E30FB"/>
    <w:rsid w:val="003E3703"/>
    <w:rsid w:val="003E787A"/>
    <w:rsid w:val="003F0C03"/>
    <w:rsid w:val="003F2711"/>
    <w:rsid w:val="003F4443"/>
    <w:rsid w:val="003F6C70"/>
    <w:rsid w:val="003F7CB9"/>
    <w:rsid w:val="00403333"/>
    <w:rsid w:val="00405ACF"/>
    <w:rsid w:val="00411735"/>
    <w:rsid w:val="00415C74"/>
    <w:rsid w:val="004170E5"/>
    <w:rsid w:val="0042300E"/>
    <w:rsid w:val="00424BB3"/>
    <w:rsid w:val="004272B1"/>
    <w:rsid w:val="00431866"/>
    <w:rsid w:val="00433335"/>
    <w:rsid w:val="0043654D"/>
    <w:rsid w:val="00437F60"/>
    <w:rsid w:val="004505C9"/>
    <w:rsid w:val="00451840"/>
    <w:rsid w:val="004569FE"/>
    <w:rsid w:val="00460C9A"/>
    <w:rsid w:val="00462AD5"/>
    <w:rsid w:val="00462EE8"/>
    <w:rsid w:val="00463207"/>
    <w:rsid w:val="00464924"/>
    <w:rsid w:val="00467C9C"/>
    <w:rsid w:val="004720E1"/>
    <w:rsid w:val="0047391F"/>
    <w:rsid w:val="00473A78"/>
    <w:rsid w:val="00475528"/>
    <w:rsid w:val="00475570"/>
    <w:rsid w:val="0047581D"/>
    <w:rsid w:val="00480289"/>
    <w:rsid w:val="00481279"/>
    <w:rsid w:val="00483368"/>
    <w:rsid w:val="004841F7"/>
    <w:rsid w:val="004874D3"/>
    <w:rsid w:val="00487A04"/>
    <w:rsid w:val="0049183C"/>
    <w:rsid w:val="00492873"/>
    <w:rsid w:val="00494011"/>
    <w:rsid w:val="00494F17"/>
    <w:rsid w:val="004A0BF4"/>
    <w:rsid w:val="004A263B"/>
    <w:rsid w:val="004B68AE"/>
    <w:rsid w:val="004B765E"/>
    <w:rsid w:val="004C35B0"/>
    <w:rsid w:val="004C3E36"/>
    <w:rsid w:val="004C49EF"/>
    <w:rsid w:val="004C4A19"/>
    <w:rsid w:val="004C5150"/>
    <w:rsid w:val="004C5570"/>
    <w:rsid w:val="004D00C9"/>
    <w:rsid w:val="004D40DB"/>
    <w:rsid w:val="004D47AA"/>
    <w:rsid w:val="004E16F5"/>
    <w:rsid w:val="004E37D1"/>
    <w:rsid w:val="004E3C2D"/>
    <w:rsid w:val="004E3CC7"/>
    <w:rsid w:val="004E4FD6"/>
    <w:rsid w:val="004E5694"/>
    <w:rsid w:val="004E5B69"/>
    <w:rsid w:val="004E5E96"/>
    <w:rsid w:val="004F2A87"/>
    <w:rsid w:val="004F2DBC"/>
    <w:rsid w:val="00503415"/>
    <w:rsid w:val="00507C56"/>
    <w:rsid w:val="00516051"/>
    <w:rsid w:val="00516AAD"/>
    <w:rsid w:val="00520CB9"/>
    <w:rsid w:val="00522124"/>
    <w:rsid w:val="0052344E"/>
    <w:rsid w:val="005236EC"/>
    <w:rsid w:val="00526478"/>
    <w:rsid w:val="005274CB"/>
    <w:rsid w:val="00530204"/>
    <w:rsid w:val="00530989"/>
    <w:rsid w:val="00534C5F"/>
    <w:rsid w:val="00540257"/>
    <w:rsid w:val="0054192F"/>
    <w:rsid w:val="00542D01"/>
    <w:rsid w:val="005440D4"/>
    <w:rsid w:val="00544EB3"/>
    <w:rsid w:val="0054594B"/>
    <w:rsid w:val="0054749B"/>
    <w:rsid w:val="0055149A"/>
    <w:rsid w:val="00551CC6"/>
    <w:rsid w:val="00553DF2"/>
    <w:rsid w:val="00554E7A"/>
    <w:rsid w:val="00555713"/>
    <w:rsid w:val="00555F6F"/>
    <w:rsid w:val="0056015F"/>
    <w:rsid w:val="00560541"/>
    <w:rsid w:val="00561DE1"/>
    <w:rsid w:val="0056536B"/>
    <w:rsid w:val="005672D0"/>
    <w:rsid w:val="00572CEB"/>
    <w:rsid w:val="00573FC8"/>
    <w:rsid w:val="00576E92"/>
    <w:rsid w:val="00577A7D"/>
    <w:rsid w:val="00577B4B"/>
    <w:rsid w:val="0058180F"/>
    <w:rsid w:val="005830C3"/>
    <w:rsid w:val="005834C9"/>
    <w:rsid w:val="00585944"/>
    <w:rsid w:val="00586190"/>
    <w:rsid w:val="005873CD"/>
    <w:rsid w:val="005919C6"/>
    <w:rsid w:val="005A58BA"/>
    <w:rsid w:val="005A5D30"/>
    <w:rsid w:val="005A6AB9"/>
    <w:rsid w:val="005B2E66"/>
    <w:rsid w:val="005B394E"/>
    <w:rsid w:val="005B3F9D"/>
    <w:rsid w:val="005B446E"/>
    <w:rsid w:val="005C2098"/>
    <w:rsid w:val="005C333E"/>
    <w:rsid w:val="005C3AE7"/>
    <w:rsid w:val="005C3B8F"/>
    <w:rsid w:val="005C67E8"/>
    <w:rsid w:val="005C6D12"/>
    <w:rsid w:val="005D0677"/>
    <w:rsid w:val="005D3A0A"/>
    <w:rsid w:val="005D5832"/>
    <w:rsid w:val="005E294C"/>
    <w:rsid w:val="005E2CE3"/>
    <w:rsid w:val="005E566E"/>
    <w:rsid w:val="005E6796"/>
    <w:rsid w:val="005E6ED4"/>
    <w:rsid w:val="005F3F07"/>
    <w:rsid w:val="00600D24"/>
    <w:rsid w:val="00603D04"/>
    <w:rsid w:val="00604BC1"/>
    <w:rsid w:val="00606857"/>
    <w:rsid w:val="00607BC1"/>
    <w:rsid w:val="00611111"/>
    <w:rsid w:val="0061411A"/>
    <w:rsid w:val="0061428A"/>
    <w:rsid w:val="00614F72"/>
    <w:rsid w:val="00615F42"/>
    <w:rsid w:val="00622C97"/>
    <w:rsid w:val="00625727"/>
    <w:rsid w:val="006258C2"/>
    <w:rsid w:val="00625BBE"/>
    <w:rsid w:val="00626365"/>
    <w:rsid w:val="0062636C"/>
    <w:rsid w:val="0062710C"/>
    <w:rsid w:val="00627643"/>
    <w:rsid w:val="00630562"/>
    <w:rsid w:val="00630E22"/>
    <w:rsid w:val="0064168C"/>
    <w:rsid w:val="00643093"/>
    <w:rsid w:val="006458E0"/>
    <w:rsid w:val="00650EDA"/>
    <w:rsid w:val="006526A5"/>
    <w:rsid w:val="00657B46"/>
    <w:rsid w:val="00662A54"/>
    <w:rsid w:val="00664339"/>
    <w:rsid w:val="00673C41"/>
    <w:rsid w:val="006764EC"/>
    <w:rsid w:val="006835FE"/>
    <w:rsid w:val="00692721"/>
    <w:rsid w:val="00693BFD"/>
    <w:rsid w:val="00694AB1"/>
    <w:rsid w:val="00695065"/>
    <w:rsid w:val="00695608"/>
    <w:rsid w:val="00696598"/>
    <w:rsid w:val="006965C7"/>
    <w:rsid w:val="006A1038"/>
    <w:rsid w:val="006A1C50"/>
    <w:rsid w:val="006A1E4F"/>
    <w:rsid w:val="006A36CA"/>
    <w:rsid w:val="006A4232"/>
    <w:rsid w:val="006A649A"/>
    <w:rsid w:val="006A714C"/>
    <w:rsid w:val="006B1B49"/>
    <w:rsid w:val="006B418C"/>
    <w:rsid w:val="006B489E"/>
    <w:rsid w:val="006B6052"/>
    <w:rsid w:val="006B631E"/>
    <w:rsid w:val="006B6390"/>
    <w:rsid w:val="006C0356"/>
    <w:rsid w:val="006C0843"/>
    <w:rsid w:val="006C33E8"/>
    <w:rsid w:val="006C74B1"/>
    <w:rsid w:val="006C759C"/>
    <w:rsid w:val="006D0B4F"/>
    <w:rsid w:val="006D21E0"/>
    <w:rsid w:val="006D511B"/>
    <w:rsid w:val="006D7937"/>
    <w:rsid w:val="006D7F3F"/>
    <w:rsid w:val="006E26E1"/>
    <w:rsid w:val="006E33DE"/>
    <w:rsid w:val="006E57AA"/>
    <w:rsid w:val="006E644A"/>
    <w:rsid w:val="006F20CF"/>
    <w:rsid w:val="006F38ED"/>
    <w:rsid w:val="006F3950"/>
    <w:rsid w:val="006F50DA"/>
    <w:rsid w:val="006F6C06"/>
    <w:rsid w:val="006F7C22"/>
    <w:rsid w:val="007007AD"/>
    <w:rsid w:val="00703BAE"/>
    <w:rsid w:val="00704692"/>
    <w:rsid w:val="0070590C"/>
    <w:rsid w:val="00707D4D"/>
    <w:rsid w:val="007135E7"/>
    <w:rsid w:val="007155E9"/>
    <w:rsid w:val="00721DF0"/>
    <w:rsid w:val="00723446"/>
    <w:rsid w:val="00723503"/>
    <w:rsid w:val="007241FA"/>
    <w:rsid w:val="0072454E"/>
    <w:rsid w:val="007307C9"/>
    <w:rsid w:val="00730C04"/>
    <w:rsid w:val="0073597B"/>
    <w:rsid w:val="007378F6"/>
    <w:rsid w:val="0074545D"/>
    <w:rsid w:val="0074779A"/>
    <w:rsid w:val="007522E3"/>
    <w:rsid w:val="0075335B"/>
    <w:rsid w:val="007536A2"/>
    <w:rsid w:val="00753C44"/>
    <w:rsid w:val="00754383"/>
    <w:rsid w:val="007564D1"/>
    <w:rsid w:val="00757232"/>
    <w:rsid w:val="00760679"/>
    <w:rsid w:val="0076102F"/>
    <w:rsid w:val="0076289F"/>
    <w:rsid w:val="00763628"/>
    <w:rsid w:val="00763774"/>
    <w:rsid w:val="0076395D"/>
    <w:rsid w:val="00763ACD"/>
    <w:rsid w:val="00767E99"/>
    <w:rsid w:val="00770C63"/>
    <w:rsid w:val="00771AE2"/>
    <w:rsid w:val="0077245F"/>
    <w:rsid w:val="00772E62"/>
    <w:rsid w:val="00773077"/>
    <w:rsid w:val="00775A6A"/>
    <w:rsid w:val="0077754F"/>
    <w:rsid w:val="0077789B"/>
    <w:rsid w:val="00780D29"/>
    <w:rsid w:val="00780EFA"/>
    <w:rsid w:val="00785B3F"/>
    <w:rsid w:val="007915CD"/>
    <w:rsid w:val="00791C8D"/>
    <w:rsid w:val="00792836"/>
    <w:rsid w:val="0079354C"/>
    <w:rsid w:val="00794181"/>
    <w:rsid w:val="0079641D"/>
    <w:rsid w:val="007A0313"/>
    <w:rsid w:val="007A05E9"/>
    <w:rsid w:val="007A44D6"/>
    <w:rsid w:val="007A5AAE"/>
    <w:rsid w:val="007A6414"/>
    <w:rsid w:val="007A7F6F"/>
    <w:rsid w:val="007B4C76"/>
    <w:rsid w:val="007B62A6"/>
    <w:rsid w:val="007C1B1B"/>
    <w:rsid w:val="007C2260"/>
    <w:rsid w:val="007D0272"/>
    <w:rsid w:val="007D1E52"/>
    <w:rsid w:val="007D2358"/>
    <w:rsid w:val="007E39E4"/>
    <w:rsid w:val="007E3BE1"/>
    <w:rsid w:val="007E6656"/>
    <w:rsid w:val="007E6FB3"/>
    <w:rsid w:val="007F21B4"/>
    <w:rsid w:val="007F5AB9"/>
    <w:rsid w:val="007F5EC6"/>
    <w:rsid w:val="007F69DD"/>
    <w:rsid w:val="008015FE"/>
    <w:rsid w:val="00802553"/>
    <w:rsid w:val="00803EAB"/>
    <w:rsid w:val="008046B5"/>
    <w:rsid w:val="00807DBF"/>
    <w:rsid w:val="00810224"/>
    <w:rsid w:val="008127C0"/>
    <w:rsid w:val="00812836"/>
    <w:rsid w:val="00812EDD"/>
    <w:rsid w:val="008139C5"/>
    <w:rsid w:val="00815E23"/>
    <w:rsid w:val="0081650F"/>
    <w:rsid w:val="00816DFA"/>
    <w:rsid w:val="008207E6"/>
    <w:rsid w:val="00822CBC"/>
    <w:rsid w:val="0082714D"/>
    <w:rsid w:val="00831A2B"/>
    <w:rsid w:val="00832B31"/>
    <w:rsid w:val="008333E3"/>
    <w:rsid w:val="00836560"/>
    <w:rsid w:val="008403E0"/>
    <w:rsid w:val="00841700"/>
    <w:rsid w:val="00844BA8"/>
    <w:rsid w:val="0084657B"/>
    <w:rsid w:val="00852BFB"/>
    <w:rsid w:val="00855944"/>
    <w:rsid w:val="00855DBB"/>
    <w:rsid w:val="00856A1D"/>
    <w:rsid w:val="00864A18"/>
    <w:rsid w:val="00870833"/>
    <w:rsid w:val="008737AC"/>
    <w:rsid w:val="00874571"/>
    <w:rsid w:val="00881F93"/>
    <w:rsid w:val="00882CB5"/>
    <w:rsid w:val="00883641"/>
    <w:rsid w:val="00884E69"/>
    <w:rsid w:val="00890082"/>
    <w:rsid w:val="00897012"/>
    <w:rsid w:val="008A15C0"/>
    <w:rsid w:val="008A1FE6"/>
    <w:rsid w:val="008A4371"/>
    <w:rsid w:val="008A48D2"/>
    <w:rsid w:val="008A55B0"/>
    <w:rsid w:val="008A7423"/>
    <w:rsid w:val="008B049D"/>
    <w:rsid w:val="008B1C3D"/>
    <w:rsid w:val="008B1F50"/>
    <w:rsid w:val="008B2610"/>
    <w:rsid w:val="008B316D"/>
    <w:rsid w:val="008B471D"/>
    <w:rsid w:val="008B49E4"/>
    <w:rsid w:val="008B5737"/>
    <w:rsid w:val="008B729C"/>
    <w:rsid w:val="008C0630"/>
    <w:rsid w:val="008C1DD3"/>
    <w:rsid w:val="008C1EFF"/>
    <w:rsid w:val="008C3ABD"/>
    <w:rsid w:val="008C43ED"/>
    <w:rsid w:val="008C4A93"/>
    <w:rsid w:val="008C686B"/>
    <w:rsid w:val="008D22AE"/>
    <w:rsid w:val="008D4B6D"/>
    <w:rsid w:val="008D5E14"/>
    <w:rsid w:val="008E0E49"/>
    <w:rsid w:val="008E31DF"/>
    <w:rsid w:val="008E35FD"/>
    <w:rsid w:val="008E3963"/>
    <w:rsid w:val="008E456F"/>
    <w:rsid w:val="008E5311"/>
    <w:rsid w:val="008E57A3"/>
    <w:rsid w:val="008E6227"/>
    <w:rsid w:val="008E78B9"/>
    <w:rsid w:val="008F19BE"/>
    <w:rsid w:val="009003CF"/>
    <w:rsid w:val="00901F1C"/>
    <w:rsid w:val="00903494"/>
    <w:rsid w:val="0090543D"/>
    <w:rsid w:val="009056C5"/>
    <w:rsid w:val="009058A4"/>
    <w:rsid w:val="00911BEA"/>
    <w:rsid w:val="0091247B"/>
    <w:rsid w:val="009158E8"/>
    <w:rsid w:val="0092180B"/>
    <w:rsid w:val="00921859"/>
    <w:rsid w:val="00925CA5"/>
    <w:rsid w:val="009262F2"/>
    <w:rsid w:val="00931BB9"/>
    <w:rsid w:val="009328F2"/>
    <w:rsid w:val="00933B68"/>
    <w:rsid w:val="00937791"/>
    <w:rsid w:val="009508A1"/>
    <w:rsid w:val="00951933"/>
    <w:rsid w:val="0095241D"/>
    <w:rsid w:val="00953CD4"/>
    <w:rsid w:val="00954343"/>
    <w:rsid w:val="0095434B"/>
    <w:rsid w:val="00955271"/>
    <w:rsid w:val="00955C4A"/>
    <w:rsid w:val="00956375"/>
    <w:rsid w:val="009577BD"/>
    <w:rsid w:val="00963C9C"/>
    <w:rsid w:val="00965B6B"/>
    <w:rsid w:val="009662FB"/>
    <w:rsid w:val="00971547"/>
    <w:rsid w:val="00971EDB"/>
    <w:rsid w:val="00972E5F"/>
    <w:rsid w:val="00972F5B"/>
    <w:rsid w:val="00974D50"/>
    <w:rsid w:val="00980407"/>
    <w:rsid w:val="00981B56"/>
    <w:rsid w:val="00981B72"/>
    <w:rsid w:val="00982428"/>
    <w:rsid w:val="009843C6"/>
    <w:rsid w:val="00985FBC"/>
    <w:rsid w:val="00986B82"/>
    <w:rsid w:val="00987ABE"/>
    <w:rsid w:val="00991EE4"/>
    <w:rsid w:val="009939DC"/>
    <w:rsid w:val="00993B9C"/>
    <w:rsid w:val="009A0B1D"/>
    <w:rsid w:val="009B142D"/>
    <w:rsid w:val="009B14B6"/>
    <w:rsid w:val="009B1505"/>
    <w:rsid w:val="009B4E1E"/>
    <w:rsid w:val="009B4E5B"/>
    <w:rsid w:val="009C03FB"/>
    <w:rsid w:val="009C14DF"/>
    <w:rsid w:val="009C4B4F"/>
    <w:rsid w:val="009D0428"/>
    <w:rsid w:val="009E299F"/>
    <w:rsid w:val="009E6523"/>
    <w:rsid w:val="009F0A8C"/>
    <w:rsid w:val="009F0C02"/>
    <w:rsid w:val="009F2F8F"/>
    <w:rsid w:val="009F5758"/>
    <w:rsid w:val="009F620C"/>
    <w:rsid w:val="009F7D24"/>
    <w:rsid w:val="00A00B26"/>
    <w:rsid w:val="00A00F71"/>
    <w:rsid w:val="00A0283F"/>
    <w:rsid w:val="00A034BC"/>
    <w:rsid w:val="00A04BE8"/>
    <w:rsid w:val="00A04F4A"/>
    <w:rsid w:val="00A13590"/>
    <w:rsid w:val="00A13CEA"/>
    <w:rsid w:val="00A23829"/>
    <w:rsid w:val="00A23E25"/>
    <w:rsid w:val="00A25CFA"/>
    <w:rsid w:val="00A26343"/>
    <w:rsid w:val="00A26BE1"/>
    <w:rsid w:val="00A277AB"/>
    <w:rsid w:val="00A30430"/>
    <w:rsid w:val="00A311DE"/>
    <w:rsid w:val="00A34518"/>
    <w:rsid w:val="00A37970"/>
    <w:rsid w:val="00A40606"/>
    <w:rsid w:val="00A408B5"/>
    <w:rsid w:val="00A424F1"/>
    <w:rsid w:val="00A451A4"/>
    <w:rsid w:val="00A469B2"/>
    <w:rsid w:val="00A51B13"/>
    <w:rsid w:val="00A51E40"/>
    <w:rsid w:val="00A529E2"/>
    <w:rsid w:val="00A539F8"/>
    <w:rsid w:val="00A63917"/>
    <w:rsid w:val="00A63B72"/>
    <w:rsid w:val="00A6491A"/>
    <w:rsid w:val="00A64CDE"/>
    <w:rsid w:val="00A6594E"/>
    <w:rsid w:val="00A70285"/>
    <w:rsid w:val="00A727B6"/>
    <w:rsid w:val="00A74497"/>
    <w:rsid w:val="00A744CA"/>
    <w:rsid w:val="00A76321"/>
    <w:rsid w:val="00A76E36"/>
    <w:rsid w:val="00A77F5C"/>
    <w:rsid w:val="00A81CC6"/>
    <w:rsid w:val="00A82208"/>
    <w:rsid w:val="00A82526"/>
    <w:rsid w:val="00A83EC6"/>
    <w:rsid w:val="00A856BF"/>
    <w:rsid w:val="00A858B8"/>
    <w:rsid w:val="00A8732C"/>
    <w:rsid w:val="00A9062D"/>
    <w:rsid w:val="00A91918"/>
    <w:rsid w:val="00A93F58"/>
    <w:rsid w:val="00A96329"/>
    <w:rsid w:val="00AA134B"/>
    <w:rsid w:val="00AA2CFE"/>
    <w:rsid w:val="00AA4943"/>
    <w:rsid w:val="00AA4E4F"/>
    <w:rsid w:val="00AA5FDA"/>
    <w:rsid w:val="00AA6291"/>
    <w:rsid w:val="00AA7213"/>
    <w:rsid w:val="00AB10F0"/>
    <w:rsid w:val="00AB2CF8"/>
    <w:rsid w:val="00AB3799"/>
    <w:rsid w:val="00AB52FA"/>
    <w:rsid w:val="00AB6E06"/>
    <w:rsid w:val="00AC0C91"/>
    <w:rsid w:val="00AC0FD0"/>
    <w:rsid w:val="00AC2BC9"/>
    <w:rsid w:val="00AD37D4"/>
    <w:rsid w:val="00AD7986"/>
    <w:rsid w:val="00AE1188"/>
    <w:rsid w:val="00AE1881"/>
    <w:rsid w:val="00AE2451"/>
    <w:rsid w:val="00AE2AA2"/>
    <w:rsid w:val="00AE392A"/>
    <w:rsid w:val="00AE6C24"/>
    <w:rsid w:val="00AE7267"/>
    <w:rsid w:val="00AE738C"/>
    <w:rsid w:val="00AF1046"/>
    <w:rsid w:val="00AF214F"/>
    <w:rsid w:val="00AF4466"/>
    <w:rsid w:val="00AF5D1E"/>
    <w:rsid w:val="00AF7049"/>
    <w:rsid w:val="00AF7DAD"/>
    <w:rsid w:val="00B01440"/>
    <w:rsid w:val="00B040A9"/>
    <w:rsid w:val="00B04281"/>
    <w:rsid w:val="00B042B1"/>
    <w:rsid w:val="00B043CA"/>
    <w:rsid w:val="00B1374D"/>
    <w:rsid w:val="00B1711E"/>
    <w:rsid w:val="00B1717D"/>
    <w:rsid w:val="00B17CBE"/>
    <w:rsid w:val="00B17E26"/>
    <w:rsid w:val="00B20F4A"/>
    <w:rsid w:val="00B231A4"/>
    <w:rsid w:val="00B25D20"/>
    <w:rsid w:val="00B31C99"/>
    <w:rsid w:val="00B33461"/>
    <w:rsid w:val="00B34942"/>
    <w:rsid w:val="00B37BB3"/>
    <w:rsid w:val="00B464CE"/>
    <w:rsid w:val="00B50058"/>
    <w:rsid w:val="00B51075"/>
    <w:rsid w:val="00B53BA6"/>
    <w:rsid w:val="00B53BB1"/>
    <w:rsid w:val="00B546E1"/>
    <w:rsid w:val="00B55182"/>
    <w:rsid w:val="00B57171"/>
    <w:rsid w:val="00B5731D"/>
    <w:rsid w:val="00B57B78"/>
    <w:rsid w:val="00B57C74"/>
    <w:rsid w:val="00B6129F"/>
    <w:rsid w:val="00B629B2"/>
    <w:rsid w:val="00B6378B"/>
    <w:rsid w:val="00B63E3A"/>
    <w:rsid w:val="00B674D8"/>
    <w:rsid w:val="00B67D46"/>
    <w:rsid w:val="00B70E35"/>
    <w:rsid w:val="00B73314"/>
    <w:rsid w:val="00B75965"/>
    <w:rsid w:val="00B75C67"/>
    <w:rsid w:val="00B7615C"/>
    <w:rsid w:val="00B771AD"/>
    <w:rsid w:val="00B814CB"/>
    <w:rsid w:val="00B91194"/>
    <w:rsid w:val="00B940A9"/>
    <w:rsid w:val="00B96B2D"/>
    <w:rsid w:val="00B977D6"/>
    <w:rsid w:val="00BA070E"/>
    <w:rsid w:val="00BA0CF8"/>
    <w:rsid w:val="00BA1ADF"/>
    <w:rsid w:val="00BA51FC"/>
    <w:rsid w:val="00BA742C"/>
    <w:rsid w:val="00BB003A"/>
    <w:rsid w:val="00BB04B9"/>
    <w:rsid w:val="00BB3358"/>
    <w:rsid w:val="00BB3382"/>
    <w:rsid w:val="00BB3643"/>
    <w:rsid w:val="00BB7640"/>
    <w:rsid w:val="00BC0C63"/>
    <w:rsid w:val="00BC3DA0"/>
    <w:rsid w:val="00BC424B"/>
    <w:rsid w:val="00BC6F75"/>
    <w:rsid w:val="00BD149C"/>
    <w:rsid w:val="00BD2646"/>
    <w:rsid w:val="00BE0FDE"/>
    <w:rsid w:val="00BE2940"/>
    <w:rsid w:val="00BE2E82"/>
    <w:rsid w:val="00BE477E"/>
    <w:rsid w:val="00BF2F52"/>
    <w:rsid w:val="00BF6619"/>
    <w:rsid w:val="00BF6AC5"/>
    <w:rsid w:val="00BF6E72"/>
    <w:rsid w:val="00C01121"/>
    <w:rsid w:val="00C030A5"/>
    <w:rsid w:val="00C05A45"/>
    <w:rsid w:val="00C0694E"/>
    <w:rsid w:val="00C07163"/>
    <w:rsid w:val="00C0796F"/>
    <w:rsid w:val="00C117BA"/>
    <w:rsid w:val="00C11B34"/>
    <w:rsid w:val="00C11CE5"/>
    <w:rsid w:val="00C11DC0"/>
    <w:rsid w:val="00C12C5C"/>
    <w:rsid w:val="00C16738"/>
    <w:rsid w:val="00C171FB"/>
    <w:rsid w:val="00C209C2"/>
    <w:rsid w:val="00C20DA1"/>
    <w:rsid w:val="00C2265B"/>
    <w:rsid w:val="00C2267F"/>
    <w:rsid w:val="00C22AD8"/>
    <w:rsid w:val="00C24C6B"/>
    <w:rsid w:val="00C265E1"/>
    <w:rsid w:val="00C26F20"/>
    <w:rsid w:val="00C2703B"/>
    <w:rsid w:val="00C30A9C"/>
    <w:rsid w:val="00C31D4C"/>
    <w:rsid w:val="00C32E8D"/>
    <w:rsid w:val="00C34EE0"/>
    <w:rsid w:val="00C3554F"/>
    <w:rsid w:val="00C3557E"/>
    <w:rsid w:val="00C3594B"/>
    <w:rsid w:val="00C41CC4"/>
    <w:rsid w:val="00C43102"/>
    <w:rsid w:val="00C43A65"/>
    <w:rsid w:val="00C4465C"/>
    <w:rsid w:val="00C4696B"/>
    <w:rsid w:val="00C50513"/>
    <w:rsid w:val="00C51366"/>
    <w:rsid w:val="00C52E74"/>
    <w:rsid w:val="00C5441F"/>
    <w:rsid w:val="00C54503"/>
    <w:rsid w:val="00C63055"/>
    <w:rsid w:val="00C73B39"/>
    <w:rsid w:val="00C73B62"/>
    <w:rsid w:val="00C764AA"/>
    <w:rsid w:val="00C776B1"/>
    <w:rsid w:val="00C815FE"/>
    <w:rsid w:val="00C81FA0"/>
    <w:rsid w:val="00C847AE"/>
    <w:rsid w:val="00C85088"/>
    <w:rsid w:val="00C92231"/>
    <w:rsid w:val="00C927EF"/>
    <w:rsid w:val="00C97853"/>
    <w:rsid w:val="00CA04C6"/>
    <w:rsid w:val="00CA26DD"/>
    <w:rsid w:val="00CB0386"/>
    <w:rsid w:val="00CB12EC"/>
    <w:rsid w:val="00CB5DDD"/>
    <w:rsid w:val="00CB66DB"/>
    <w:rsid w:val="00CC09D7"/>
    <w:rsid w:val="00CC12B8"/>
    <w:rsid w:val="00CC39B7"/>
    <w:rsid w:val="00CC43E8"/>
    <w:rsid w:val="00CC5AB1"/>
    <w:rsid w:val="00CD22E3"/>
    <w:rsid w:val="00CD4213"/>
    <w:rsid w:val="00CD4E44"/>
    <w:rsid w:val="00CD5AE4"/>
    <w:rsid w:val="00CD7A7D"/>
    <w:rsid w:val="00CE3B83"/>
    <w:rsid w:val="00CE4876"/>
    <w:rsid w:val="00CE78F1"/>
    <w:rsid w:val="00CF2D8E"/>
    <w:rsid w:val="00CF2DFA"/>
    <w:rsid w:val="00CF595D"/>
    <w:rsid w:val="00CF5AD8"/>
    <w:rsid w:val="00D00122"/>
    <w:rsid w:val="00D01D2A"/>
    <w:rsid w:val="00D0282F"/>
    <w:rsid w:val="00D02ADE"/>
    <w:rsid w:val="00D06954"/>
    <w:rsid w:val="00D10B47"/>
    <w:rsid w:val="00D11EB1"/>
    <w:rsid w:val="00D17F17"/>
    <w:rsid w:val="00D217CE"/>
    <w:rsid w:val="00D23597"/>
    <w:rsid w:val="00D26773"/>
    <w:rsid w:val="00D30BDC"/>
    <w:rsid w:val="00D30F4A"/>
    <w:rsid w:val="00D409C3"/>
    <w:rsid w:val="00D470AF"/>
    <w:rsid w:val="00D57F88"/>
    <w:rsid w:val="00D644CB"/>
    <w:rsid w:val="00D6683F"/>
    <w:rsid w:val="00D66B97"/>
    <w:rsid w:val="00D7105C"/>
    <w:rsid w:val="00D71465"/>
    <w:rsid w:val="00D720E3"/>
    <w:rsid w:val="00D73646"/>
    <w:rsid w:val="00D775EF"/>
    <w:rsid w:val="00D77796"/>
    <w:rsid w:val="00D777B4"/>
    <w:rsid w:val="00D77A90"/>
    <w:rsid w:val="00D81053"/>
    <w:rsid w:val="00D8360B"/>
    <w:rsid w:val="00D8530A"/>
    <w:rsid w:val="00D85676"/>
    <w:rsid w:val="00D86DA0"/>
    <w:rsid w:val="00D9322C"/>
    <w:rsid w:val="00D941C5"/>
    <w:rsid w:val="00D96ADA"/>
    <w:rsid w:val="00D96FA8"/>
    <w:rsid w:val="00DA2886"/>
    <w:rsid w:val="00DA29E9"/>
    <w:rsid w:val="00DA3365"/>
    <w:rsid w:val="00DA4F8D"/>
    <w:rsid w:val="00DA5E50"/>
    <w:rsid w:val="00DA6854"/>
    <w:rsid w:val="00DA7D0C"/>
    <w:rsid w:val="00DB04A8"/>
    <w:rsid w:val="00DB311C"/>
    <w:rsid w:val="00DB3C24"/>
    <w:rsid w:val="00DB432D"/>
    <w:rsid w:val="00DB4E45"/>
    <w:rsid w:val="00DB519B"/>
    <w:rsid w:val="00DB5756"/>
    <w:rsid w:val="00DB7A0C"/>
    <w:rsid w:val="00DC25D0"/>
    <w:rsid w:val="00DC4D22"/>
    <w:rsid w:val="00DC7694"/>
    <w:rsid w:val="00DC787E"/>
    <w:rsid w:val="00DC7FBE"/>
    <w:rsid w:val="00DD130E"/>
    <w:rsid w:val="00DD308E"/>
    <w:rsid w:val="00DD360A"/>
    <w:rsid w:val="00DD39C1"/>
    <w:rsid w:val="00DE201F"/>
    <w:rsid w:val="00DF0C51"/>
    <w:rsid w:val="00DF0D47"/>
    <w:rsid w:val="00DF1652"/>
    <w:rsid w:val="00DF48F2"/>
    <w:rsid w:val="00DF6BC2"/>
    <w:rsid w:val="00DF6D37"/>
    <w:rsid w:val="00E00E2D"/>
    <w:rsid w:val="00E01B1A"/>
    <w:rsid w:val="00E03F3E"/>
    <w:rsid w:val="00E048ED"/>
    <w:rsid w:val="00E04FB3"/>
    <w:rsid w:val="00E058F2"/>
    <w:rsid w:val="00E05D9C"/>
    <w:rsid w:val="00E06102"/>
    <w:rsid w:val="00E07B47"/>
    <w:rsid w:val="00E12518"/>
    <w:rsid w:val="00E12B70"/>
    <w:rsid w:val="00E16BDF"/>
    <w:rsid w:val="00E16E0A"/>
    <w:rsid w:val="00E17570"/>
    <w:rsid w:val="00E213ED"/>
    <w:rsid w:val="00E23E71"/>
    <w:rsid w:val="00E241E7"/>
    <w:rsid w:val="00E24C3B"/>
    <w:rsid w:val="00E30F19"/>
    <w:rsid w:val="00E33C4A"/>
    <w:rsid w:val="00E357B9"/>
    <w:rsid w:val="00E4321E"/>
    <w:rsid w:val="00E43308"/>
    <w:rsid w:val="00E44B80"/>
    <w:rsid w:val="00E47623"/>
    <w:rsid w:val="00E574C0"/>
    <w:rsid w:val="00E57AD8"/>
    <w:rsid w:val="00E60529"/>
    <w:rsid w:val="00E60703"/>
    <w:rsid w:val="00E61791"/>
    <w:rsid w:val="00E63768"/>
    <w:rsid w:val="00E641EF"/>
    <w:rsid w:val="00E64D95"/>
    <w:rsid w:val="00E662DF"/>
    <w:rsid w:val="00E67061"/>
    <w:rsid w:val="00E70D86"/>
    <w:rsid w:val="00E73FCE"/>
    <w:rsid w:val="00E752B0"/>
    <w:rsid w:val="00E7628E"/>
    <w:rsid w:val="00E82F54"/>
    <w:rsid w:val="00E84F69"/>
    <w:rsid w:val="00E8649B"/>
    <w:rsid w:val="00E871CD"/>
    <w:rsid w:val="00E90990"/>
    <w:rsid w:val="00E91EE0"/>
    <w:rsid w:val="00E924D3"/>
    <w:rsid w:val="00E95D3D"/>
    <w:rsid w:val="00EA06D8"/>
    <w:rsid w:val="00EA0E25"/>
    <w:rsid w:val="00EA173C"/>
    <w:rsid w:val="00EB2EB1"/>
    <w:rsid w:val="00EB4761"/>
    <w:rsid w:val="00EB7FF3"/>
    <w:rsid w:val="00EC127A"/>
    <w:rsid w:val="00EC1FF9"/>
    <w:rsid w:val="00EC2737"/>
    <w:rsid w:val="00EC2F82"/>
    <w:rsid w:val="00EC40DD"/>
    <w:rsid w:val="00EC471A"/>
    <w:rsid w:val="00ED01E7"/>
    <w:rsid w:val="00ED39FB"/>
    <w:rsid w:val="00ED4AA9"/>
    <w:rsid w:val="00ED7088"/>
    <w:rsid w:val="00EE0B07"/>
    <w:rsid w:val="00EE2716"/>
    <w:rsid w:val="00EE5069"/>
    <w:rsid w:val="00EE6450"/>
    <w:rsid w:val="00EF3D12"/>
    <w:rsid w:val="00EF7655"/>
    <w:rsid w:val="00F01C2C"/>
    <w:rsid w:val="00F10ED8"/>
    <w:rsid w:val="00F11E08"/>
    <w:rsid w:val="00F12085"/>
    <w:rsid w:val="00F21080"/>
    <w:rsid w:val="00F222BE"/>
    <w:rsid w:val="00F22EE3"/>
    <w:rsid w:val="00F24179"/>
    <w:rsid w:val="00F301F1"/>
    <w:rsid w:val="00F307CC"/>
    <w:rsid w:val="00F30C22"/>
    <w:rsid w:val="00F33F1A"/>
    <w:rsid w:val="00F3465F"/>
    <w:rsid w:val="00F45C78"/>
    <w:rsid w:val="00F547A1"/>
    <w:rsid w:val="00F547F7"/>
    <w:rsid w:val="00F54CCF"/>
    <w:rsid w:val="00F56FB3"/>
    <w:rsid w:val="00F571C7"/>
    <w:rsid w:val="00F572F7"/>
    <w:rsid w:val="00F57826"/>
    <w:rsid w:val="00F61C9A"/>
    <w:rsid w:val="00F61D7A"/>
    <w:rsid w:val="00F637B3"/>
    <w:rsid w:val="00F66387"/>
    <w:rsid w:val="00F66CF7"/>
    <w:rsid w:val="00F67BCB"/>
    <w:rsid w:val="00F73CED"/>
    <w:rsid w:val="00F76FB4"/>
    <w:rsid w:val="00F77C57"/>
    <w:rsid w:val="00F804FF"/>
    <w:rsid w:val="00F813C7"/>
    <w:rsid w:val="00F81C7D"/>
    <w:rsid w:val="00F82953"/>
    <w:rsid w:val="00F83103"/>
    <w:rsid w:val="00F83566"/>
    <w:rsid w:val="00F83A9D"/>
    <w:rsid w:val="00F85296"/>
    <w:rsid w:val="00F902FA"/>
    <w:rsid w:val="00F906B5"/>
    <w:rsid w:val="00F90907"/>
    <w:rsid w:val="00F93784"/>
    <w:rsid w:val="00F94248"/>
    <w:rsid w:val="00F971CC"/>
    <w:rsid w:val="00F97E27"/>
    <w:rsid w:val="00FA2081"/>
    <w:rsid w:val="00FA2B7A"/>
    <w:rsid w:val="00FA2CAA"/>
    <w:rsid w:val="00FA3DA1"/>
    <w:rsid w:val="00FA6554"/>
    <w:rsid w:val="00FB020C"/>
    <w:rsid w:val="00FB4025"/>
    <w:rsid w:val="00FB6289"/>
    <w:rsid w:val="00FC0E4F"/>
    <w:rsid w:val="00FC1D51"/>
    <w:rsid w:val="00FC38B7"/>
    <w:rsid w:val="00FD504F"/>
    <w:rsid w:val="00FD7861"/>
    <w:rsid w:val="00FE16C1"/>
    <w:rsid w:val="00FE19FF"/>
    <w:rsid w:val="00FE33A6"/>
    <w:rsid w:val="00FE5452"/>
    <w:rsid w:val="00FE5AA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349DD3"/>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AF"/>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B571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3315BF"/>
    <w:rPr>
      <w:color w:val="605E5C"/>
      <w:shd w:val="clear" w:color="auto" w:fill="E1DFDD"/>
    </w:rPr>
  </w:style>
  <w:style w:type="character" w:styleId="FollowedHyperlink">
    <w:name w:val="FollowedHyperlink"/>
    <w:basedOn w:val="DefaultParagraphFont"/>
    <w:uiPriority w:val="99"/>
    <w:semiHidden/>
    <w:unhideWhenUsed/>
    <w:rsid w:val="005E566E"/>
    <w:rPr>
      <w:color w:val="800080" w:themeColor="followedHyperlink"/>
      <w:u w:val="single"/>
    </w:rPr>
  </w:style>
  <w:style w:type="paragraph" w:styleId="NormalWeb">
    <w:name w:val="Normal (Web)"/>
    <w:basedOn w:val="Normal"/>
    <w:uiPriority w:val="99"/>
    <w:semiHidden/>
    <w:unhideWhenUsed/>
    <w:rsid w:val="00844BA8"/>
    <w:rPr>
      <w:rFonts w:ascii="Times New Roman" w:hAnsi="Times New Roman" w:cs="Times New Roman"/>
      <w:sz w:val="24"/>
      <w:szCs w:val="24"/>
    </w:rPr>
  </w:style>
  <w:style w:type="paragraph" w:styleId="Revision">
    <w:name w:val="Revision"/>
    <w:hidden/>
    <w:uiPriority w:val="99"/>
    <w:semiHidden/>
    <w:rsid w:val="00250696"/>
    <w:pPr>
      <w:spacing w:after="0" w:line="240" w:lineRule="auto"/>
    </w:pPr>
    <w:rPr>
      <w:sz w:val="20"/>
    </w:rPr>
  </w:style>
  <w:style w:type="character" w:customStyle="1" w:styleId="period">
    <w:name w:val="period"/>
    <w:basedOn w:val="DefaultParagraphFont"/>
    <w:rsid w:val="0082714D"/>
  </w:style>
  <w:style w:type="character" w:customStyle="1" w:styleId="cit">
    <w:name w:val="cit"/>
    <w:basedOn w:val="DefaultParagraphFont"/>
    <w:rsid w:val="0082714D"/>
  </w:style>
  <w:style w:type="character" w:customStyle="1" w:styleId="citation-doi">
    <w:name w:val="citation-doi"/>
    <w:basedOn w:val="DefaultParagraphFont"/>
    <w:rsid w:val="0082714D"/>
  </w:style>
  <w:style w:type="character" w:customStyle="1" w:styleId="secondary-date">
    <w:name w:val="secondary-date"/>
    <w:basedOn w:val="DefaultParagraphFont"/>
    <w:rsid w:val="0082714D"/>
  </w:style>
  <w:style w:type="character" w:customStyle="1" w:styleId="authors-list-item">
    <w:name w:val="authors-list-item"/>
    <w:basedOn w:val="DefaultParagraphFont"/>
    <w:rsid w:val="0082714D"/>
  </w:style>
  <w:style w:type="character" w:customStyle="1" w:styleId="author-sup-separator">
    <w:name w:val="author-sup-separator"/>
    <w:basedOn w:val="DefaultParagraphFont"/>
    <w:rsid w:val="0082714D"/>
  </w:style>
  <w:style w:type="character" w:customStyle="1" w:styleId="comma">
    <w:name w:val="comma"/>
    <w:basedOn w:val="DefaultParagraphFont"/>
    <w:rsid w:val="0082714D"/>
  </w:style>
  <w:style w:type="character" w:customStyle="1" w:styleId="Title1">
    <w:name w:val="Title1"/>
    <w:basedOn w:val="DefaultParagraphFont"/>
    <w:rsid w:val="0082714D"/>
  </w:style>
  <w:style w:type="character" w:customStyle="1" w:styleId="identifier">
    <w:name w:val="identifier"/>
    <w:basedOn w:val="DefaultParagraphFont"/>
    <w:rsid w:val="0082714D"/>
  </w:style>
  <w:style w:type="character" w:customStyle="1" w:styleId="id-label">
    <w:name w:val="id-label"/>
    <w:basedOn w:val="DefaultParagraphFont"/>
    <w:rsid w:val="0082714D"/>
  </w:style>
  <w:style w:type="character" w:customStyle="1" w:styleId="Heading3Char">
    <w:name w:val="Heading 3 Char"/>
    <w:basedOn w:val="DefaultParagraphFont"/>
    <w:link w:val="Heading3"/>
    <w:uiPriority w:val="9"/>
    <w:semiHidden/>
    <w:rsid w:val="00B57171"/>
    <w:rPr>
      <w:rFonts w:asciiTheme="majorHAnsi" w:eastAsiaTheme="majorEastAsia" w:hAnsiTheme="majorHAnsi" w:cstheme="majorBidi"/>
      <w:color w:val="243F60" w:themeColor="accent1" w:themeShade="7F"/>
      <w:sz w:val="24"/>
      <w:szCs w:val="24"/>
    </w:rPr>
  </w:style>
  <w:style w:type="paragraph" w:customStyle="1" w:styleId="BodyText1">
    <w:name w:val="Body Text1"/>
    <w:basedOn w:val="Normal"/>
    <w:qFormat/>
    <w:rsid w:val="00B57171"/>
    <w:pPr>
      <w:spacing w:before="60"/>
      <w:jc w:val="both"/>
    </w:pPr>
    <w:rPr>
      <w:rFonts w:ascii="Arial" w:hAnsi="Arial" w:cs="Times New Roman"/>
      <w:sz w:val="21"/>
      <w:szCs w:val="20"/>
    </w:rPr>
  </w:style>
  <w:style w:type="paragraph" w:styleId="EndnoteText">
    <w:name w:val="endnote text"/>
    <w:basedOn w:val="Normal"/>
    <w:link w:val="EndnoteTextChar"/>
    <w:unhideWhenUsed/>
    <w:rsid w:val="002C2D77"/>
    <w:pPr>
      <w:tabs>
        <w:tab w:val="left" w:pos="360"/>
      </w:tabs>
      <w:spacing w:before="0" w:after="0"/>
      <w:ind w:left="360" w:hanging="360"/>
      <w:jc w:val="both"/>
    </w:pPr>
    <w:rPr>
      <w:rFonts w:ascii="Times New Roman" w:eastAsia="Times New Roman" w:hAnsi="Times New Roman" w:cs="Times New Roman"/>
      <w:sz w:val="16"/>
      <w:szCs w:val="20"/>
      <w:lang w:val="en-US"/>
    </w:rPr>
  </w:style>
  <w:style w:type="character" w:customStyle="1" w:styleId="EndnoteTextChar">
    <w:name w:val="Endnote Text Char"/>
    <w:basedOn w:val="DefaultParagraphFont"/>
    <w:link w:val="EndnoteText"/>
    <w:rsid w:val="002C2D77"/>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678">
      <w:bodyDiv w:val="1"/>
      <w:marLeft w:val="0"/>
      <w:marRight w:val="0"/>
      <w:marTop w:val="0"/>
      <w:marBottom w:val="0"/>
      <w:divBdr>
        <w:top w:val="none" w:sz="0" w:space="0" w:color="auto"/>
        <w:left w:val="none" w:sz="0" w:space="0" w:color="auto"/>
        <w:bottom w:val="none" w:sz="0" w:space="0" w:color="auto"/>
        <w:right w:val="none" w:sz="0" w:space="0" w:color="auto"/>
      </w:divBdr>
    </w:div>
    <w:div w:id="50547072">
      <w:bodyDiv w:val="1"/>
      <w:marLeft w:val="0"/>
      <w:marRight w:val="0"/>
      <w:marTop w:val="0"/>
      <w:marBottom w:val="0"/>
      <w:divBdr>
        <w:top w:val="none" w:sz="0" w:space="0" w:color="auto"/>
        <w:left w:val="none" w:sz="0" w:space="0" w:color="auto"/>
        <w:bottom w:val="none" w:sz="0" w:space="0" w:color="auto"/>
        <w:right w:val="none" w:sz="0" w:space="0" w:color="auto"/>
      </w:divBdr>
      <w:divsChild>
        <w:div w:id="122803476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740979668">
                  <w:marLeft w:val="0"/>
                  <w:marRight w:val="0"/>
                  <w:marTop w:val="0"/>
                  <w:marBottom w:val="0"/>
                  <w:divBdr>
                    <w:top w:val="none" w:sz="0" w:space="0" w:color="auto"/>
                    <w:left w:val="none" w:sz="0" w:space="0" w:color="auto"/>
                    <w:bottom w:val="none" w:sz="0" w:space="0" w:color="auto"/>
                    <w:right w:val="none" w:sz="0" w:space="0" w:color="auto"/>
                  </w:divBdr>
                  <w:divsChild>
                    <w:div w:id="9356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4123">
      <w:bodyDiv w:val="1"/>
      <w:marLeft w:val="0"/>
      <w:marRight w:val="0"/>
      <w:marTop w:val="0"/>
      <w:marBottom w:val="0"/>
      <w:divBdr>
        <w:top w:val="none" w:sz="0" w:space="0" w:color="auto"/>
        <w:left w:val="none" w:sz="0" w:space="0" w:color="auto"/>
        <w:bottom w:val="none" w:sz="0" w:space="0" w:color="auto"/>
        <w:right w:val="none" w:sz="0" w:space="0" w:color="auto"/>
      </w:divBdr>
    </w:div>
    <w:div w:id="114759930">
      <w:bodyDiv w:val="1"/>
      <w:marLeft w:val="0"/>
      <w:marRight w:val="0"/>
      <w:marTop w:val="0"/>
      <w:marBottom w:val="0"/>
      <w:divBdr>
        <w:top w:val="none" w:sz="0" w:space="0" w:color="auto"/>
        <w:left w:val="none" w:sz="0" w:space="0" w:color="auto"/>
        <w:bottom w:val="none" w:sz="0" w:space="0" w:color="auto"/>
        <w:right w:val="none" w:sz="0" w:space="0" w:color="auto"/>
      </w:divBdr>
    </w:div>
    <w:div w:id="123427632">
      <w:bodyDiv w:val="1"/>
      <w:marLeft w:val="0"/>
      <w:marRight w:val="0"/>
      <w:marTop w:val="0"/>
      <w:marBottom w:val="0"/>
      <w:divBdr>
        <w:top w:val="none" w:sz="0" w:space="0" w:color="auto"/>
        <w:left w:val="none" w:sz="0" w:space="0" w:color="auto"/>
        <w:bottom w:val="none" w:sz="0" w:space="0" w:color="auto"/>
        <w:right w:val="none" w:sz="0" w:space="0" w:color="auto"/>
      </w:divBdr>
    </w:div>
    <w:div w:id="134495382">
      <w:bodyDiv w:val="1"/>
      <w:marLeft w:val="0"/>
      <w:marRight w:val="0"/>
      <w:marTop w:val="0"/>
      <w:marBottom w:val="0"/>
      <w:divBdr>
        <w:top w:val="none" w:sz="0" w:space="0" w:color="auto"/>
        <w:left w:val="none" w:sz="0" w:space="0" w:color="auto"/>
        <w:bottom w:val="none" w:sz="0" w:space="0" w:color="auto"/>
        <w:right w:val="none" w:sz="0" w:space="0" w:color="auto"/>
      </w:divBdr>
    </w:div>
    <w:div w:id="146367239">
      <w:bodyDiv w:val="1"/>
      <w:marLeft w:val="0"/>
      <w:marRight w:val="0"/>
      <w:marTop w:val="0"/>
      <w:marBottom w:val="0"/>
      <w:divBdr>
        <w:top w:val="none" w:sz="0" w:space="0" w:color="auto"/>
        <w:left w:val="none" w:sz="0" w:space="0" w:color="auto"/>
        <w:bottom w:val="none" w:sz="0" w:space="0" w:color="auto"/>
        <w:right w:val="none" w:sz="0" w:space="0" w:color="auto"/>
      </w:divBdr>
    </w:div>
    <w:div w:id="157043371">
      <w:bodyDiv w:val="1"/>
      <w:marLeft w:val="0"/>
      <w:marRight w:val="0"/>
      <w:marTop w:val="0"/>
      <w:marBottom w:val="0"/>
      <w:divBdr>
        <w:top w:val="none" w:sz="0" w:space="0" w:color="auto"/>
        <w:left w:val="none" w:sz="0" w:space="0" w:color="auto"/>
        <w:bottom w:val="none" w:sz="0" w:space="0" w:color="auto"/>
        <w:right w:val="none" w:sz="0" w:space="0" w:color="auto"/>
      </w:divBdr>
    </w:div>
    <w:div w:id="158886859">
      <w:bodyDiv w:val="1"/>
      <w:marLeft w:val="0"/>
      <w:marRight w:val="0"/>
      <w:marTop w:val="0"/>
      <w:marBottom w:val="0"/>
      <w:divBdr>
        <w:top w:val="none" w:sz="0" w:space="0" w:color="auto"/>
        <w:left w:val="none" w:sz="0" w:space="0" w:color="auto"/>
        <w:bottom w:val="none" w:sz="0" w:space="0" w:color="auto"/>
        <w:right w:val="none" w:sz="0" w:space="0" w:color="auto"/>
      </w:divBdr>
    </w:div>
    <w:div w:id="163594330">
      <w:bodyDiv w:val="1"/>
      <w:marLeft w:val="0"/>
      <w:marRight w:val="0"/>
      <w:marTop w:val="0"/>
      <w:marBottom w:val="0"/>
      <w:divBdr>
        <w:top w:val="none" w:sz="0" w:space="0" w:color="auto"/>
        <w:left w:val="none" w:sz="0" w:space="0" w:color="auto"/>
        <w:bottom w:val="none" w:sz="0" w:space="0" w:color="auto"/>
        <w:right w:val="none" w:sz="0" w:space="0" w:color="auto"/>
      </w:divBdr>
    </w:div>
    <w:div w:id="175534406">
      <w:bodyDiv w:val="1"/>
      <w:marLeft w:val="0"/>
      <w:marRight w:val="0"/>
      <w:marTop w:val="0"/>
      <w:marBottom w:val="0"/>
      <w:divBdr>
        <w:top w:val="none" w:sz="0" w:space="0" w:color="auto"/>
        <w:left w:val="none" w:sz="0" w:space="0" w:color="auto"/>
        <w:bottom w:val="none" w:sz="0" w:space="0" w:color="auto"/>
        <w:right w:val="none" w:sz="0" w:space="0" w:color="auto"/>
      </w:divBdr>
      <w:divsChild>
        <w:div w:id="547843777">
          <w:marLeft w:val="0"/>
          <w:marRight w:val="0"/>
          <w:marTop w:val="0"/>
          <w:marBottom w:val="0"/>
          <w:divBdr>
            <w:top w:val="none" w:sz="0" w:space="0" w:color="auto"/>
            <w:left w:val="none" w:sz="0" w:space="0" w:color="auto"/>
            <w:bottom w:val="none" w:sz="0" w:space="0" w:color="auto"/>
            <w:right w:val="none" w:sz="0" w:space="0" w:color="auto"/>
          </w:divBdr>
          <w:divsChild>
            <w:div w:id="2067096497">
              <w:marLeft w:val="0"/>
              <w:marRight w:val="0"/>
              <w:marTop w:val="0"/>
              <w:marBottom w:val="0"/>
              <w:divBdr>
                <w:top w:val="none" w:sz="0" w:space="0" w:color="auto"/>
                <w:left w:val="none" w:sz="0" w:space="0" w:color="auto"/>
                <w:bottom w:val="none" w:sz="0" w:space="0" w:color="auto"/>
                <w:right w:val="none" w:sz="0" w:space="0" w:color="auto"/>
              </w:divBdr>
              <w:divsChild>
                <w:div w:id="910653515">
                  <w:marLeft w:val="0"/>
                  <w:marRight w:val="0"/>
                  <w:marTop w:val="0"/>
                  <w:marBottom w:val="0"/>
                  <w:divBdr>
                    <w:top w:val="none" w:sz="0" w:space="0" w:color="auto"/>
                    <w:left w:val="none" w:sz="0" w:space="0" w:color="auto"/>
                    <w:bottom w:val="none" w:sz="0" w:space="0" w:color="auto"/>
                    <w:right w:val="none" w:sz="0" w:space="0" w:color="auto"/>
                  </w:divBdr>
                  <w:divsChild>
                    <w:div w:id="16602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7973">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5">
          <w:marLeft w:val="446"/>
          <w:marRight w:val="0"/>
          <w:marTop w:val="120"/>
          <w:marBottom w:val="0"/>
          <w:divBdr>
            <w:top w:val="none" w:sz="0" w:space="0" w:color="auto"/>
            <w:left w:val="none" w:sz="0" w:space="0" w:color="auto"/>
            <w:bottom w:val="none" w:sz="0" w:space="0" w:color="auto"/>
            <w:right w:val="none" w:sz="0" w:space="0" w:color="auto"/>
          </w:divBdr>
        </w:div>
      </w:divsChild>
    </w:div>
    <w:div w:id="193200175">
      <w:bodyDiv w:val="1"/>
      <w:marLeft w:val="0"/>
      <w:marRight w:val="0"/>
      <w:marTop w:val="0"/>
      <w:marBottom w:val="0"/>
      <w:divBdr>
        <w:top w:val="none" w:sz="0" w:space="0" w:color="auto"/>
        <w:left w:val="none" w:sz="0" w:space="0" w:color="auto"/>
        <w:bottom w:val="none" w:sz="0" w:space="0" w:color="auto"/>
        <w:right w:val="none" w:sz="0" w:space="0" w:color="auto"/>
      </w:divBdr>
    </w:div>
    <w:div w:id="199710759">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35747016">
      <w:bodyDiv w:val="1"/>
      <w:marLeft w:val="0"/>
      <w:marRight w:val="0"/>
      <w:marTop w:val="0"/>
      <w:marBottom w:val="0"/>
      <w:divBdr>
        <w:top w:val="none" w:sz="0" w:space="0" w:color="auto"/>
        <w:left w:val="none" w:sz="0" w:space="0" w:color="auto"/>
        <w:bottom w:val="none" w:sz="0" w:space="0" w:color="auto"/>
        <w:right w:val="none" w:sz="0" w:space="0" w:color="auto"/>
      </w:divBdr>
      <w:divsChild>
        <w:div w:id="1302231372">
          <w:marLeft w:val="0"/>
          <w:marRight w:val="0"/>
          <w:marTop w:val="0"/>
          <w:marBottom w:val="0"/>
          <w:divBdr>
            <w:top w:val="none" w:sz="0" w:space="0" w:color="auto"/>
            <w:left w:val="none" w:sz="0" w:space="0" w:color="auto"/>
            <w:bottom w:val="none" w:sz="0" w:space="0" w:color="auto"/>
            <w:right w:val="none" w:sz="0" w:space="0" w:color="auto"/>
          </w:divBdr>
          <w:divsChild>
            <w:div w:id="1600214941">
              <w:marLeft w:val="0"/>
              <w:marRight w:val="0"/>
              <w:marTop w:val="0"/>
              <w:marBottom w:val="0"/>
              <w:divBdr>
                <w:top w:val="none" w:sz="0" w:space="0" w:color="auto"/>
                <w:left w:val="none" w:sz="0" w:space="0" w:color="auto"/>
                <w:bottom w:val="none" w:sz="0" w:space="0" w:color="auto"/>
                <w:right w:val="none" w:sz="0" w:space="0" w:color="auto"/>
              </w:divBdr>
              <w:divsChild>
                <w:div w:id="367532266">
                  <w:marLeft w:val="0"/>
                  <w:marRight w:val="0"/>
                  <w:marTop w:val="0"/>
                  <w:marBottom w:val="0"/>
                  <w:divBdr>
                    <w:top w:val="none" w:sz="0" w:space="0" w:color="auto"/>
                    <w:left w:val="none" w:sz="0" w:space="0" w:color="auto"/>
                    <w:bottom w:val="none" w:sz="0" w:space="0" w:color="auto"/>
                    <w:right w:val="none" w:sz="0" w:space="0" w:color="auto"/>
                  </w:divBdr>
                  <w:divsChild>
                    <w:div w:id="20412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5113">
      <w:bodyDiv w:val="1"/>
      <w:marLeft w:val="0"/>
      <w:marRight w:val="0"/>
      <w:marTop w:val="0"/>
      <w:marBottom w:val="0"/>
      <w:divBdr>
        <w:top w:val="none" w:sz="0" w:space="0" w:color="auto"/>
        <w:left w:val="none" w:sz="0" w:space="0" w:color="auto"/>
        <w:bottom w:val="none" w:sz="0" w:space="0" w:color="auto"/>
        <w:right w:val="none" w:sz="0" w:space="0" w:color="auto"/>
      </w:divBdr>
    </w:div>
    <w:div w:id="252251252">
      <w:bodyDiv w:val="1"/>
      <w:marLeft w:val="0"/>
      <w:marRight w:val="0"/>
      <w:marTop w:val="0"/>
      <w:marBottom w:val="0"/>
      <w:divBdr>
        <w:top w:val="none" w:sz="0" w:space="0" w:color="auto"/>
        <w:left w:val="none" w:sz="0" w:space="0" w:color="auto"/>
        <w:bottom w:val="none" w:sz="0" w:space="0" w:color="auto"/>
        <w:right w:val="none" w:sz="0" w:space="0" w:color="auto"/>
      </w:divBdr>
      <w:divsChild>
        <w:div w:id="1815216926">
          <w:marLeft w:val="0"/>
          <w:marRight w:val="0"/>
          <w:marTop w:val="0"/>
          <w:marBottom w:val="0"/>
          <w:divBdr>
            <w:top w:val="none" w:sz="0" w:space="0" w:color="auto"/>
            <w:left w:val="none" w:sz="0" w:space="0" w:color="auto"/>
            <w:bottom w:val="none" w:sz="0" w:space="0" w:color="auto"/>
            <w:right w:val="none" w:sz="0" w:space="0" w:color="auto"/>
          </w:divBdr>
          <w:divsChild>
            <w:div w:id="1762294582">
              <w:marLeft w:val="0"/>
              <w:marRight w:val="0"/>
              <w:marTop w:val="0"/>
              <w:marBottom w:val="0"/>
              <w:divBdr>
                <w:top w:val="none" w:sz="0" w:space="0" w:color="auto"/>
                <w:left w:val="none" w:sz="0" w:space="0" w:color="auto"/>
                <w:bottom w:val="none" w:sz="0" w:space="0" w:color="auto"/>
                <w:right w:val="none" w:sz="0" w:space="0" w:color="auto"/>
              </w:divBdr>
              <w:divsChild>
                <w:div w:id="5469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27337">
      <w:bodyDiv w:val="1"/>
      <w:marLeft w:val="0"/>
      <w:marRight w:val="0"/>
      <w:marTop w:val="0"/>
      <w:marBottom w:val="0"/>
      <w:divBdr>
        <w:top w:val="none" w:sz="0" w:space="0" w:color="auto"/>
        <w:left w:val="none" w:sz="0" w:space="0" w:color="auto"/>
        <w:bottom w:val="none" w:sz="0" w:space="0" w:color="auto"/>
        <w:right w:val="none" w:sz="0" w:space="0" w:color="auto"/>
      </w:divBdr>
      <w:divsChild>
        <w:div w:id="1857117054">
          <w:marLeft w:val="0"/>
          <w:marRight w:val="0"/>
          <w:marTop w:val="0"/>
          <w:marBottom w:val="0"/>
          <w:divBdr>
            <w:top w:val="none" w:sz="0" w:space="0" w:color="auto"/>
            <w:left w:val="none" w:sz="0" w:space="0" w:color="auto"/>
            <w:bottom w:val="none" w:sz="0" w:space="0" w:color="auto"/>
            <w:right w:val="none" w:sz="0" w:space="0" w:color="auto"/>
          </w:divBdr>
        </w:div>
      </w:divsChild>
    </w:div>
    <w:div w:id="280501224">
      <w:bodyDiv w:val="1"/>
      <w:marLeft w:val="0"/>
      <w:marRight w:val="0"/>
      <w:marTop w:val="0"/>
      <w:marBottom w:val="0"/>
      <w:divBdr>
        <w:top w:val="none" w:sz="0" w:space="0" w:color="auto"/>
        <w:left w:val="none" w:sz="0" w:space="0" w:color="auto"/>
        <w:bottom w:val="none" w:sz="0" w:space="0" w:color="auto"/>
        <w:right w:val="none" w:sz="0" w:space="0" w:color="auto"/>
      </w:divBdr>
    </w:div>
    <w:div w:id="284896394">
      <w:bodyDiv w:val="1"/>
      <w:marLeft w:val="0"/>
      <w:marRight w:val="0"/>
      <w:marTop w:val="0"/>
      <w:marBottom w:val="0"/>
      <w:divBdr>
        <w:top w:val="none" w:sz="0" w:space="0" w:color="auto"/>
        <w:left w:val="none" w:sz="0" w:space="0" w:color="auto"/>
        <w:bottom w:val="none" w:sz="0" w:space="0" w:color="auto"/>
        <w:right w:val="none" w:sz="0" w:space="0" w:color="auto"/>
      </w:divBdr>
    </w:div>
    <w:div w:id="286007573">
      <w:bodyDiv w:val="1"/>
      <w:marLeft w:val="0"/>
      <w:marRight w:val="0"/>
      <w:marTop w:val="0"/>
      <w:marBottom w:val="0"/>
      <w:divBdr>
        <w:top w:val="none" w:sz="0" w:space="0" w:color="auto"/>
        <w:left w:val="none" w:sz="0" w:space="0" w:color="auto"/>
        <w:bottom w:val="none" w:sz="0" w:space="0" w:color="auto"/>
        <w:right w:val="none" w:sz="0" w:space="0" w:color="auto"/>
      </w:divBdr>
    </w:div>
    <w:div w:id="298144540">
      <w:bodyDiv w:val="1"/>
      <w:marLeft w:val="0"/>
      <w:marRight w:val="0"/>
      <w:marTop w:val="0"/>
      <w:marBottom w:val="0"/>
      <w:divBdr>
        <w:top w:val="none" w:sz="0" w:space="0" w:color="auto"/>
        <w:left w:val="none" w:sz="0" w:space="0" w:color="auto"/>
        <w:bottom w:val="none" w:sz="0" w:space="0" w:color="auto"/>
        <w:right w:val="none" w:sz="0" w:space="0" w:color="auto"/>
      </w:divBdr>
      <w:divsChild>
        <w:div w:id="1698461915">
          <w:marLeft w:val="0"/>
          <w:marRight w:val="0"/>
          <w:marTop w:val="0"/>
          <w:marBottom w:val="0"/>
          <w:divBdr>
            <w:top w:val="none" w:sz="0" w:space="0" w:color="auto"/>
            <w:left w:val="none" w:sz="0" w:space="0" w:color="auto"/>
            <w:bottom w:val="none" w:sz="0" w:space="0" w:color="auto"/>
            <w:right w:val="none" w:sz="0" w:space="0" w:color="auto"/>
          </w:divBdr>
          <w:divsChild>
            <w:div w:id="1516529744">
              <w:marLeft w:val="0"/>
              <w:marRight w:val="0"/>
              <w:marTop w:val="0"/>
              <w:marBottom w:val="0"/>
              <w:divBdr>
                <w:top w:val="none" w:sz="0" w:space="0" w:color="auto"/>
                <w:left w:val="none" w:sz="0" w:space="0" w:color="auto"/>
                <w:bottom w:val="none" w:sz="0" w:space="0" w:color="auto"/>
                <w:right w:val="none" w:sz="0" w:space="0" w:color="auto"/>
              </w:divBdr>
              <w:divsChild>
                <w:div w:id="10995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268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8727302">
      <w:bodyDiv w:val="1"/>
      <w:marLeft w:val="0"/>
      <w:marRight w:val="0"/>
      <w:marTop w:val="0"/>
      <w:marBottom w:val="0"/>
      <w:divBdr>
        <w:top w:val="none" w:sz="0" w:space="0" w:color="auto"/>
        <w:left w:val="none" w:sz="0" w:space="0" w:color="auto"/>
        <w:bottom w:val="none" w:sz="0" w:space="0" w:color="auto"/>
        <w:right w:val="none" w:sz="0" w:space="0" w:color="auto"/>
      </w:divBdr>
    </w:div>
    <w:div w:id="323433030">
      <w:bodyDiv w:val="1"/>
      <w:marLeft w:val="0"/>
      <w:marRight w:val="0"/>
      <w:marTop w:val="0"/>
      <w:marBottom w:val="0"/>
      <w:divBdr>
        <w:top w:val="none" w:sz="0" w:space="0" w:color="auto"/>
        <w:left w:val="none" w:sz="0" w:space="0" w:color="auto"/>
        <w:bottom w:val="none" w:sz="0" w:space="0" w:color="auto"/>
        <w:right w:val="none" w:sz="0" w:space="0" w:color="auto"/>
      </w:divBdr>
    </w:div>
    <w:div w:id="325665997">
      <w:bodyDiv w:val="1"/>
      <w:marLeft w:val="0"/>
      <w:marRight w:val="0"/>
      <w:marTop w:val="0"/>
      <w:marBottom w:val="0"/>
      <w:divBdr>
        <w:top w:val="none" w:sz="0" w:space="0" w:color="auto"/>
        <w:left w:val="none" w:sz="0" w:space="0" w:color="auto"/>
        <w:bottom w:val="none" w:sz="0" w:space="0" w:color="auto"/>
        <w:right w:val="none" w:sz="0" w:space="0" w:color="auto"/>
      </w:divBdr>
    </w:div>
    <w:div w:id="329873599">
      <w:bodyDiv w:val="1"/>
      <w:marLeft w:val="0"/>
      <w:marRight w:val="0"/>
      <w:marTop w:val="0"/>
      <w:marBottom w:val="0"/>
      <w:divBdr>
        <w:top w:val="none" w:sz="0" w:space="0" w:color="auto"/>
        <w:left w:val="none" w:sz="0" w:space="0" w:color="auto"/>
        <w:bottom w:val="none" w:sz="0" w:space="0" w:color="auto"/>
        <w:right w:val="none" w:sz="0" w:space="0" w:color="auto"/>
      </w:divBdr>
    </w:div>
    <w:div w:id="373622379">
      <w:bodyDiv w:val="1"/>
      <w:marLeft w:val="0"/>
      <w:marRight w:val="0"/>
      <w:marTop w:val="0"/>
      <w:marBottom w:val="0"/>
      <w:divBdr>
        <w:top w:val="none" w:sz="0" w:space="0" w:color="auto"/>
        <w:left w:val="none" w:sz="0" w:space="0" w:color="auto"/>
        <w:bottom w:val="none" w:sz="0" w:space="0" w:color="auto"/>
        <w:right w:val="none" w:sz="0" w:space="0" w:color="auto"/>
      </w:divBdr>
    </w:div>
    <w:div w:id="375198635">
      <w:bodyDiv w:val="1"/>
      <w:marLeft w:val="0"/>
      <w:marRight w:val="0"/>
      <w:marTop w:val="0"/>
      <w:marBottom w:val="0"/>
      <w:divBdr>
        <w:top w:val="none" w:sz="0" w:space="0" w:color="auto"/>
        <w:left w:val="none" w:sz="0" w:space="0" w:color="auto"/>
        <w:bottom w:val="none" w:sz="0" w:space="0" w:color="auto"/>
        <w:right w:val="none" w:sz="0" w:space="0" w:color="auto"/>
      </w:divBdr>
    </w:div>
    <w:div w:id="392581543">
      <w:bodyDiv w:val="1"/>
      <w:marLeft w:val="0"/>
      <w:marRight w:val="0"/>
      <w:marTop w:val="0"/>
      <w:marBottom w:val="0"/>
      <w:divBdr>
        <w:top w:val="none" w:sz="0" w:space="0" w:color="auto"/>
        <w:left w:val="none" w:sz="0" w:space="0" w:color="auto"/>
        <w:bottom w:val="none" w:sz="0" w:space="0" w:color="auto"/>
        <w:right w:val="none" w:sz="0" w:space="0" w:color="auto"/>
      </w:divBdr>
    </w:div>
    <w:div w:id="399325710">
      <w:bodyDiv w:val="1"/>
      <w:marLeft w:val="0"/>
      <w:marRight w:val="0"/>
      <w:marTop w:val="0"/>
      <w:marBottom w:val="0"/>
      <w:divBdr>
        <w:top w:val="none" w:sz="0" w:space="0" w:color="auto"/>
        <w:left w:val="none" w:sz="0" w:space="0" w:color="auto"/>
        <w:bottom w:val="none" w:sz="0" w:space="0" w:color="auto"/>
        <w:right w:val="none" w:sz="0" w:space="0" w:color="auto"/>
      </w:divBdr>
      <w:divsChild>
        <w:div w:id="1166093993">
          <w:marLeft w:val="0"/>
          <w:marRight w:val="0"/>
          <w:marTop w:val="0"/>
          <w:marBottom w:val="0"/>
          <w:divBdr>
            <w:top w:val="none" w:sz="0" w:space="0" w:color="auto"/>
            <w:left w:val="none" w:sz="0" w:space="0" w:color="auto"/>
            <w:bottom w:val="none" w:sz="0" w:space="0" w:color="auto"/>
            <w:right w:val="none" w:sz="0" w:space="0" w:color="auto"/>
          </w:divBdr>
          <w:divsChild>
            <w:div w:id="583496770">
              <w:marLeft w:val="0"/>
              <w:marRight w:val="0"/>
              <w:marTop w:val="0"/>
              <w:marBottom w:val="0"/>
              <w:divBdr>
                <w:top w:val="none" w:sz="0" w:space="0" w:color="auto"/>
                <w:left w:val="none" w:sz="0" w:space="0" w:color="auto"/>
                <w:bottom w:val="none" w:sz="0" w:space="0" w:color="auto"/>
                <w:right w:val="none" w:sz="0" w:space="0" w:color="auto"/>
              </w:divBdr>
              <w:divsChild>
                <w:div w:id="20362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5014">
      <w:bodyDiv w:val="1"/>
      <w:marLeft w:val="0"/>
      <w:marRight w:val="0"/>
      <w:marTop w:val="0"/>
      <w:marBottom w:val="0"/>
      <w:divBdr>
        <w:top w:val="none" w:sz="0" w:space="0" w:color="auto"/>
        <w:left w:val="none" w:sz="0" w:space="0" w:color="auto"/>
        <w:bottom w:val="none" w:sz="0" w:space="0" w:color="auto"/>
        <w:right w:val="none" w:sz="0" w:space="0" w:color="auto"/>
      </w:divBdr>
    </w:div>
    <w:div w:id="442044783">
      <w:bodyDiv w:val="1"/>
      <w:marLeft w:val="0"/>
      <w:marRight w:val="0"/>
      <w:marTop w:val="0"/>
      <w:marBottom w:val="0"/>
      <w:divBdr>
        <w:top w:val="none" w:sz="0" w:space="0" w:color="auto"/>
        <w:left w:val="none" w:sz="0" w:space="0" w:color="auto"/>
        <w:bottom w:val="none" w:sz="0" w:space="0" w:color="auto"/>
        <w:right w:val="none" w:sz="0" w:space="0" w:color="auto"/>
      </w:divBdr>
      <w:divsChild>
        <w:div w:id="619069061">
          <w:marLeft w:val="0"/>
          <w:marRight w:val="0"/>
          <w:marTop w:val="0"/>
          <w:marBottom w:val="0"/>
          <w:divBdr>
            <w:top w:val="none" w:sz="0" w:space="0" w:color="auto"/>
            <w:left w:val="none" w:sz="0" w:space="0" w:color="auto"/>
            <w:bottom w:val="none" w:sz="0" w:space="0" w:color="auto"/>
            <w:right w:val="none" w:sz="0" w:space="0" w:color="auto"/>
          </w:divBdr>
          <w:divsChild>
            <w:div w:id="955137569">
              <w:marLeft w:val="0"/>
              <w:marRight w:val="0"/>
              <w:marTop w:val="0"/>
              <w:marBottom w:val="0"/>
              <w:divBdr>
                <w:top w:val="none" w:sz="0" w:space="0" w:color="auto"/>
                <w:left w:val="none" w:sz="0" w:space="0" w:color="auto"/>
                <w:bottom w:val="none" w:sz="0" w:space="0" w:color="auto"/>
                <w:right w:val="none" w:sz="0" w:space="0" w:color="auto"/>
              </w:divBdr>
              <w:divsChild>
                <w:div w:id="20430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8027">
      <w:bodyDiv w:val="1"/>
      <w:marLeft w:val="0"/>
      <w:marRight w:val="0"/>
      <w:marTop w:val="0"/>
      <w:marBottom w:val="0"/>
      <w:divBdr>
        <w:top w:val="none" w:sz="0" w:space="0" w:color="auto"/>
        <w:left w:val="none" w:sz="0" w:space="0" w:color="auto"/>
        <w:bottom w:val="none" w:sz="0" w:space="0" w:color="auto"/>
        <w:right w:val="none" w:sz="0" w:space="0" w:color="auto"/>
      </w:divBdr>
    </w:div>
    <w:div w:id="485628321">
      <w:bodyDiv w:val="1"/>
      <w:marLeft w:val="0"/>
      <w:marRight w:val="0"/>
      <w:marTop w:val="0"/>
      <w:marBottom w:val="0"/>
      <w:divBdr>
        <w:top w:val="none" w:sz="0" w:space="0" w:color="auto"/>
        <w:left w:val="none" w:sz="0" w:space="0" w:color="auto"/>
        <w:bottom w:val="none" w:sz="0" w:space="0" w:color="auto"/>
        <w:right w:val="none" w:sz="0" w:space="0" w:color="auto"/>
      </w:divBdr>
    </w:div>
    <w:div w:id="502477830">
      <w:bodyDiv w:val="1"/>
      <w:marLeft w:val="0"/>
      <w:marRight w:val="0"/>
      <w:marTop w:val="0"/>
      <w:marBottom w:val="0"/>
      <w:divBdr>
        <w:top w:val="none" w:sz="0" w:space="0" w:color="auto"/>
        <w:left w:val="none" w:sz="0" w:space="0" w:color="auto"/>
        <w:bottom w:val="none" w:sz="0" w:space="0" w:color="auto"/>
        <w:right w:val="none" w:sz="0" w:space="0" w:color="auto"/>
      </w:divBdr>
      <w:divsChild>
        <w:div w:id="360975368">
          <w:marLeft w:val="0"/>
          <w:marRight w:val="0"/>
          <w:marTop w:val="0"/>
          <w:marBottom w:val="0"/>
          <w:divBdr>
            <w:top w:val="none" w:sz="0" w:space="0" w:color="auto"/>
            <w:left w:val="none" w:sz="0" w:space="0" w:color="auto"/>
            <w:bottom w:val="none" w:sz="0" w:space="0" w:color="auto"/>
            <w:right w:val="none" w:sz="0" w:space="0" w:color="auto"/>
          </w:divBdr>
          <w:divsChild>
            <w:div w:id="865218434">
              <w:marLeft w:val="0"/>
              <w:marRight w:val="0"/>
              <w:marTop w:val="0"/>
              <w:marBottom w:val="0"/>
              <w:divBdr>
                <w:top w:val="none" w:sz="0" w:space="0" w:color="auto"/>
                <w:left w:val="none" w:sz="0" w:space="0" w:color="auto"/>
                <w:bottom w:val="none" w:sz="0" w:space="0" w:color="auto"/>
                <w:right w:val="none" w:sz="0" w:space="0" w:color="auto"/>
              </w:divBdr>
              <w:divsChild>
                <w:div w:id="18617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03424">
      <w:bodyDiv w:val="1"/>
      <w:marLeft w:val="0"/>
      <w:marRight w:val="0"/>
      <w:marTop w:val="0"/>
      <w:marBottom w:val="0"/>
      <w:divBdr>
        <w:top w:val="none" w:sz="0" w:space="0" w:color="auto"/>
        <w:left w:val="none" w:sz="0" w:space="0" w:color="auto"/>
        <w:bottom w:val="none" w:sz="0" w:space="0" w:color="auto"/>
        <w:right w:val="none" w:sz="0" w:space="0" w:color="auto"/>
      </w:divBdr>
    </w:div>
    <w:div w:id="507714162">
      <w:bodyDiv w:val="1"/>
      <w:marLeft w:val="0"/>
      <w:marRight w:val="0"/>
      <w:marTop w:val="0"/>
      <w:marBottom w:val="0"/>
      <w:divBdr>
        <w:top w:val="none" w:sz="0" w:space="0" w:color="auto"/>
        <w:left w:val="none" w:sz="0" w:space="0" w:color="auto"/>
        <w:bottom w:val="none" w:sz="0" w:space="0" w:color="auto"/>
        <w:right w:val="none" w:sz="0" w:space="0" w:color="auto"/>
      </w:divBdr>
    </w:div>
    <w:div w:id="526720723">
      <w:bodyDiv w:val="1"/>
      <w:marLeft w:val="0"/>
      <w:marRight w:val="0"/>
      <w:marTop w:val="0"/>
      <w:marBottom w:val="0"/>
      <w:divBdr>
        <w:top w:val="none" w:sz="0" w:space="0" w:color="auto"/>
        <w:left w:val="none" w:sz="0" w:space="0" w:color="auto"/>
        <w:bottom w:val="none" w:sz="0" w:space="0" w:color="auto"/>
        <w:right w:val="none" w:sz="0" w:space="0" w:color="auto"/>
      </w:divBdr>
      <w:divsChild>
        <w:div w:id="1002465491">
          <w:marLeft w:val="173"/>
          <w:marRight w:val="0"/>
          <w:marTop w:val="200"/>
          <w:marBottom w:val="0"/>
          <w:divBdr>
            <w:top w:val="none" w:sz="0" w:space="0" w:color="auto"/>
            <w:left w:val="none" w:sz="0" w:space="0" w:color="auto"/>
            <w:bottom w:val="none" w:sz="0" w:space="0" w:color="auto"/>
            <w:right w:val="none" w:sz="0" w:space="0" w:color="auto"/>
          </w:divBdr>
        </w:div>
        <w:div w:id="1982735795">
          <w:marLeft w:val="173"/>
          <w:marRight w:val="0"/>
          <w:marTop w:val="200"/>
          <w:marBottom w:val="0"/>
          <w:divBdr>
            <w:top w:val="none" w:sz="0" w:space="0" w:color="auto"/>
            <w:left w:val="none" w:sz="0" w:space="0" w:color="auto"/>
            <w:bottom w:val="none" w:sz="0" w:space="0" w:color="auto"/>
            <w:right w:val="none" w:sz="0" w:space="0" w:color="auto"/>
          </w:divBdr>
        </w:div>
        <w:div w:id="2113894322">
          <w:marLeft w:val="173"/>
          <w:marRight w:val="0"/>
          <w:marTop w:val="200"/>
          <w:marBottom w:val="0"/>
          <w:divBdr>
            <w:top w:val="none" w:sz="0" w:space="0" w:color="auto"/>
            <w:left w:val="none" w:sz="0" w:space="0" w:color="auto"/>
            <w:bottom w:val="none" w:sz="0" w:space="0" w:color="auto"/>
            <w:right w:val="none" w:sz="0" w:space="0" w:color="auto"/>
          </w:divBdr>
        </w:div>
      </w:divsChild>
    </w:div>
    <w:div w:id="555358170">
      <w:bodyDiv w:val="1"/>
      <w:marLeft w:val="0"/>
      <w:marRight w:val="0"/>
      <w:marTop w:val="0"/>
      <w:marBottom w:val="0"/>
      <w:divBdr>
        <w:top w:val="none" w:sz="0" w:space="0" w:color="auto"/>
        <w:left w:val="none" w:sz="0" w:space="0" w:color="auto"/>
        <w:bottom w:val="none" w:sz="0" w:space="0" w:color="auto"/>
        <w:right w:val="none" w:sz="0" w:space="0" w:color="auto"/>
      </w:divBdr>
    </w:div>
    <w:div w:id="558519855">
      <w:bodyDiv w:val="1"/>
      <w:marLeft w:val="0"/>
      <w:marRight w:val="0"/>
      <w:marTop w:val="0"/>
      <w:marBottom w:val="0"/>
      <w:divBdr>
        <w:top w:val="none" w:sz="0" w:space="0" w:color="auto"/>
        <w:left w:val="none" w:sz="0" w:space="0" w:color="auto"/>
        <w:bottom w:val="none" w:sz="0" w:space="0" w:color="auto"/>
        <w:right w:val="none" w:sz="0" w:space="0" w:color="auto"/>
      </w:divBdr>
    </w:div>
    <w:div w:id="561675340">
      <w:bodyDiv w:val="1"/>
      <w:marLeft w:val="0"/>
      <w:marRight w:val="0"/>
      <w:marTop w:val="0"/>
      <w:marBottom w:val="0"/>
      <w:divBdr>
        <w:top w:val="none" w:sz="0" w:space="0" w:color="auto"/>
        <w:left w:val="none" w:sz="0" w:space="0" w:color="auto"/>
        <w:bottom w:val="none" w:sz="0" w:space="0" w:color="auto"/>
        <w:right w:val="none" w:sz="0" w:space="0" w:color="auto"/>
      </w:divBdr>
    </w:div>
    <w:div w:id="570887138">
      <w:bodyDiv w:val="1"/>
      <w:marLeft w:val="0"/>
      <w:marRight w:val="0"/>
      <w:marTop w:val="0"/>
      <w:marBottom w:val="0"/>
      <w:divBdr>
        <w:top w:val="none" w:sz="0" w:space="0" w:color="auto"/>
        <w:left w:val="none" w:sz="0" w:space="0" w:color="auto"/>
        <w:bottom w:val="none" w:sz="0" w:space="0" w:color="auto"/>
        <w:right w:val="none" w:sz="0" w:space="0" w:color="auto"/>
      </w:divBdr>
      <w:divsChild>
        <w:div w:id="383915334">
          <w:marLeft w:val="0"/>
          <w:marRight w:val="0"/>
          <w:marTop w:val="0"/>
          <w:marBottom w:val="0"/>
          <w:divBdr>
            <w:top w:val="none" w:sz="0" w:space="0" w:color="auto"/>
            <w:left w:val="none" w:sz="0" w:space="0" w:color="auto"/>
            <w:bottom w:val="none" w:sz="0" w:space="0" w:color="auto"/>
            <w:right w:val="none" w:sz="0" w:space="0" w:color="auto"/>
          </w:divBdr>
          <w:divsChild>
            <w:div w:id="909340483">
              <w:marLeft w:val="0"/>
              <w:marRight w:val="0"/>
              <w:marTop w:val="0"/>
              <w:marBottom w:val="0"/>
              <w:divBdr>
                <w:top w:val="none" w:sz="0" w:space="0" w:color="auto"/>
                <w:left w:val="none" w:sz="0" w:space="0" w:color="auto"/>
                <w:bottom w:val="none" w:sz="0" w:space="0" w:color="auto"/>
                <w:right w:val="none" w:sz="0" w:space="0" w:color="auto"/>
              </w:divBdr>
              <w:divsChild>
                <w:div w:id="1543056485">
                  <w:marLeft w:val="0"/>
                  <w:marRight w:val="0"/>
                  <w:marTop w:val="0"/>
                  <w:marBottom w:val="0"/>
                  <w:divBdr>
                    <w:top w:val="none" w:sz="0" w:space="0" w:color="auto"/>
                    <w:left w:val="none" w:sz="0" w:space="0" w:color="auto"/>
                    <w:bottom w:val="none" w:sz="0" w:space="0" w:color="auto"/>
                    <w:right w:val="none" w:sz="0" w:space="0" w:color="auto"/>
                  </w:divBdr>
                  <w:divsChild>
                    <w:div w:id="1102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38307">
      <w:bodyDiv w:val="1"/>
      <w:marLeft w:val="0"/>
      <w:marRight w:val="0"/>
      <w:marTop w:val="0"/>
      <w:marBottom w:val="0"/>
      <w:divBdr>
        <w:top w:val="none" w:sz="0" w:space="0" w:color="auto"/>
        <w:left w:val="none" w:sz="0" w:space="0" w:color="auto"/>
        <w:bottom w:val="none" w:sz="0" w:space="0" w:color="auto"/>
        <w:right w:val="none" w:sz="0" w:space="0" w:color="auto"/>
      </w:divBdr>
    </w:div>
    <w:div w:id="594174013">
      <w:bodyDiv w:val="1"/>
      <w:marLeft w:val="0"/>
      <w:marRight w:val="0"/>
      <w:marTop w:val="0"/>
      <w:marBottom w:val="0"/>
      <w:divBdr>
        <w:top w:val="none" w:sz="0" w:space="0" w:color="auto"/>
        <w:left w:val="none" w:sz="0" w:space="0" w:color="auto"/>
        <w:bottom w:val="none" w:sz="0" w:space="0" w:color="auto"/>
        <w:right w:val="none" w:sz="0" w:space="0" w:color="auto"/>
      </w:divBdr>
    </w:div>
    <w:div w:id="596449363">
      <w:bodyDiv w:val="1"/>
      <w:marLeft w:val="0"/>
      <w:marRight w:val="0"/>
      <w:marTop w:val="0"/>
      <w:marBottom w:val="0"/>
      <w:divBdr>
        <w:top w:val="none" w:sz="0" w:space="0" w:color="auto"/>
        <w:left w:val="none" w:sz="0" w:space="0" w:color="auto"/>
        <w:bottom w:val="none" w:sz="0" w:space="0" w:color="auto"/>
        <w:right w:val="none" w:sz="0" w:space="0" w:color="auto"/>
      </w:divBdr>
    </w:div>
    <w:div w:id="603072925">
      <w:bodyDiv w:val="1"/>
      <w:marLeft w:val="0"/>
      <w:marRight w:val="0"/>
      <w:marTop w:val="0"/>
      <w:marBottom w:val="0"/>
      <w:divBdr>
        <w:top w:val="none" w:sz="0" w:space="0" w:color="auto"/>
        <w:left w:val="none" w:sz="0" w:space="0" w:color="auto"/>
        <w:bottom w:val="none" w:sz="0" w:space="0" w:color="auto"/>
        <w:right w:val="none" w:sz="0" w:space="0" w:color="auto"/>
      </w:divBdr>
    </w:div>
    <w:div w:id="622227297">
      <w:bodyDiv w:val="1"/>
      <w:marLeft w:val="0"/>
      <w:marRight w:val="0"/>
      <w:marTop w:val="0"/>
      <w:marBottom w:val="0"/>
      <w:divBdr>
        <w:top w:val="none" w:sz="0" w:space="0" w:color="auto"/>
        <w:left w:val="none" w:sz="0" w:space="0" w:color="auto"/>
        <w:bottom w:val="none" w:sz="0" w:space="0" w:color="auto"/>
        <w:right w:val="none" w:sz="0" w:space="0" w:color="auto"/>
      </w:divBdr>
    </w:div>
    <w:div w:id="636879743">
      <w:bodyDiv w:val="1"/>
      <w:marLeft w:val="0"/>
      <w:marRight w:val="0"/>
      <w:marTop w:val="0"/>
      <w:marBottom w:val="0"/>
      <w:divBdr>
        <w:top w:val="none" w:sz="0" w:space="0" w:color="auto"/>
        <w:left w:val="none" w:sz="0" w:space="0" w:color="auto"/>
        <w:bottom w:val="none" w:sz="0" w:space="0" w:color="auto"/>
        <w:right w:val="none" w:sz="0" w:space="0" w:color="auto"/>
      </w:divBdr>
    </w:div>
    <w:div w:id="662006515">
      <w:bodyDiv w:val="1"/>
      <w:marLeft w:val="0"/>
      <w:marRight w:val="0"/>
      <w:marTop w:val="0"/>
      <w:marBottom w:val="0"/>
      <w:divBdr>
        <w:top w:val="none" w:sz="0" w:space="0" w:color="auto"/>
        <w:left w:val="none" w:sz="0" w:space="0" w:color="auto"/>
        <w:bottom w:val="none" w:sz="0" w:space="0" w:color="auto"/>
        <w:right w:val="none" w:sz="0" w:space="0" w:color="auto"/>
      </w:divBdr>
    </w:div>
    <w:div w:id="664207669">
      <w:bodyDiv w:val="1"/>
      <w:marLeft w:val="0"/>
      <w:marRight w:val="0"/>
      <w:marTop w:val="0"/>
      <w:marBottom w:val="0"/>
      <w:divBdr>
        <w:top w:val="none" w:sz="0" w:space="0" w:color="auto"/>
        <w:left w:val="none" w:sz="0" w:space="0" w:color="auto"/>
        <w:bottom w:val="none" w:sz="0" w:space="0" w:color="auto"/>
        <w:right w:val="none" w:sz="0" w:space="0" w:color="auto"/>
      </w:divBdr>
    </w:div>
    <w:div w:id="682244265">
      <w:bodyDiv w:val="1"/>
      <w:marLeft w:val="0"/>
      <w:marRight w:val="0"/>
      <w:marTop w:val="0"/>
      <w:marBottom w:val="0"/>
      <w:divBdr>
        <w:top w:val="none" w:sz="0" w:space="0" w:color="auto"/>
        <w:left w:val="none" w:sz="0" w:space="0" w:color="auto"/>
        <w:bottom w:val="none" w:sz="0" w:space="0" w:color="auto"/>
        <w:right w:val="none" w:sz="0" w:space="0" w:color="auto"/>
      </w:divBdr>
      <w:divsChild>
        <w:div w:id="599338335">
          <w:marLeft w:val="0"/>
          <w:marRight w:val="0"/>
          <w:marTop w:val="0"/>
          <w:marBottom w:val="0"/>
          <w:divBdr>
            <w:top w:val="none" w:sz="0" w:space="0" w:color="auto"/>
            <w:left w:val="none" w:sz="0" w:space="0" w:color="auto"/>
            <w:bottom w:val="none" w:sz="0" w:space="0" w:color="auto"/>
            <w:right w:val="none" w:sz="0" w:space="0" w:color="auto"/>
          </w:divBdr>
          <w:divsChild>
            <w:div w:id="1128937527">
              <w:marLeft w:val="0"/>
              <w:marRight w:val="0"/>
              <w:marTop w:val="0"/>
              <w:marBottom w:val="0"/>
              <w:divBdr>
                <w:top w:val="none" w:sz="0" w:space="0" w:color="auto"/>
                <w:left w:val="none" w:sz="0" w:space="0" w:color="auto"/>
                <w:bottom w:val="none" w:sz="0" w:space="0" w:color="auto"/>
                <w:right w:val="none" w:sz="0" w:space="0" w:color="auto"/>
              </w:divBdr>
              <w:divsChild>
                <w:div w:id="1729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4985">
      <w:bodyDiv w:val="1"/>
      <w:marLeft w:val="0"/>
      <w:marRight w:val="0"/>
      <w:marTop w:val="0"/>
      <w:marBottom w:val="0"/>
      <w:divBdr>
        <w:top w:val="none" w:sz="0" w:space="0" w:color="auto"/>
        <w:left w:val="none" w:sz="0" w:space="0" w:color="auto"/>
        <w:bottom w:val="none" w:sz="0" w:space="0" w:color="auto"/>
        <w:right w:val="none" w:sz="0" w:space="0" w:color="auto"/>
      </w:divBdr>
      <w:divsChild>
        <w:div w:id="1738360031">
          <w:marLeft w:val="0"/>
          <w:marRight w:val="0"/>
          <w:marTop w:val="0"/>
          <w:marBottom w:val="0"/>
          <w:divBdr>
            <w:top w:val="none" w:sz="0" w:space="0" w:color="auto"/>
            <w:left w:val="none" w:sz="0" w:space="0" w:color="auto"/>
            <w:bottom w:val="none" w:sz="0" w:space="0" w:color="auto"/>
            <w:right w:val="none" w:sz="0" w:space="0" w:color="auto"/>
          </w:divBdr>
          <w:divsChild>
            <w:div w:id="204678946">
              <w:marLeft w:val="0"/>
              <w:marRight w:val="0"/>
              <w:marTop w:val="0"/>
              <w:marBottom w:val="0"/>
              <w:divBdr>
                <w:top w:val="none" w:sz="0" w:space="0" w:color="auto"/>
                <w:left w:val="none" w:sz="0" w:space="0" w:color="auto"/>
                <w:bottom w:val="none" w:sz="0" w:space="0" w:color="auto"/>
                <w:right w:val="none" w:sz="0" w:space="0" w:color="auto"/>
              </w:divBdr>
              <w:divsChild>
                <w:div w:id="1335112791">
                  <w:marLeft w:val="0"/>
                  <w:marRight w:val="0"/>
                  <w:marTop w:val="0"/>
                  <w:marBottom w:val="0"/>
                  <w:divBdr>
                    <w:top w:val="none" w:sz="0" w:space="0" w:color="auto"/>
                    <w:left w:val="none" w:sz="0" w:space="0" w:color="auto"/>
                    <w:bottom w:val="none" w:sz="0" w:space="0" w:color="auto"/>
                    <w:right w:val="none" w:sz="0" w:space="0" w:color="auto"/>
                  </w:divBdr>
                  <w:divsChild>
                    <w:div w:id="3316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6489">
      <w:bodyDiv w:val="1"/>
      <w:marLeft w:val="0"/>
      <w:marRight w:val="0"/>
      <w:marTop w:val="0"/>
      <w:marBottom w:val="0"/>
      <w:divBdr>
        <w:top w:val="none" w:sz="0" w:space="0" w:color="auto"/>
        <w:left w:val="none" w:sz="0" w:space="0" w:color="auto"/>
        <w:bottom w:val="none" w:sz="0" w:space="0" w:color="auto"/>
        <w:right w:val="none" w:sz="0" w:space="0" w:color="auto"/>
      </w:divBdr>
    </w:div>
    <w:div w:id="738597525">
      <w:bodyDiv w:val="1"/>
      <w:marLeft w:val="0"/>
      <w:marRight w:val="0"/>
      <w:marTop w:val="0"/>
      <w:marBottom w:val="0"/>
      <w:divBdr>
        <w:top w:val="none" w:sz="0" w:space="0" w:color="auto"/>
        <w:left w:val="none" w:sz="0" w:space="0" w:color="auto"/>
        <w:bottom w:val="none" w:sz="0" w:space="0" w:color="auto"/>
        <w:right w:val="none" w:sz="0" w:space="0" w:color="auto"/>
      </w:divBdr>
      <w:divsChild>
        <w:div w:id="1922181347">
          <w:marLeft w:val="0"/>
          <w:marRight w:val="0"/>
          <w:marTop w:val="0"/>
          <w:marBottom w:val="0"/>
          <w:divBdr>
            <w:top w:val="none" w:sz="0" w:space="0" w:color="auto"/>
            <w:left w:val="none" w:sz="0" w:space="0" w:color="auto"/>
            <w:bottom w:val="none" w:sz="0" w:space="0" w:color="auto"/>
            <w:right w:val="none" w:sz="0" w:space="0" w:color="auto"/>
          </w:divBdr>
          <w:divsChild>
            <w:div w:id="770975896">
              <w:marLeft w:val="0"/>
              <w:marRight w:val="0"/>
              <w:marTop w:val="0"/>
              <w:marBottom w:val="0"/>
              <w:divBdr>
                <w:top w:val="none" w:sz="0" w:space="0" w:color="auto"/>
                <w:left w:val="none" w:sz="0" w:space="0" w:color="auto"/>
                <w:bottom w:val="none" w:sz="0" w:space="0" w:color="auto"/>
                <w:right w:val="none" w:sz="0" w:space="0" w:color="auto"/>
              </w:divBdr>
              <w:divsChild>
                <w:div w:id="55202443">
                  <w:marLeft w:val="0"/>
                  <w:marRight w:val="0"/>
                  <w:marTop w:val="0"/>
                  <w:marBottom w:val="0"/>
                  <w:divBdr>
                    <w:top w:val="none" w:sz="0" w:space="0" w:color="auto"/>
                    <w:left w:val="none" w:sz="0" w:space="0" w:color="auto"/>
                    <w:bottom w:val="none" w:sz="0" w:space="0" w:color="auto"/>
                    <w:right w:val="none" w:sz="0" w:space="0" w:color="auto"/>
                  </w:divBdr>
                  <w:divsChild>
                    <w:div w:id="5199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2862">
      <w:bodyDiv w:val="1"/>
      <w:marLeft w:val="0"/>
      <w:marRight w:val="0"/>
      <w:marTop w:val="0"/>
      <w:marBottom w:val="0"/>
      <w:divBdr>
        <w:top w:val="none" w:sz="0" w:space="0" w:color="auto"/>
        <w:left w:val="none" w:sz="0" w:space="0" w:color="auto"/>
        <w:bottom w:val="none" w:sz="0" w:space="0" w:color="auto"/>
        <w:right w:val="none" w:sz="0" w:space="0" w:color="auto"/>
      </w:divBdr>
    </w:div>
    <w:div w:id="782648189">
      <w:bodyDiv w:val="1"/>
      <w:marLeft w:val="0"/>
      <w:marRight w:val="0"/>
      <w:marTop w:val="0"/>
      <w:marBottom w:val="0"/>
      <w:divBdr>
        <w:top w:val="none" w:sz="0" w:space="0" w:color="auto"/>
        <w:left w:val="none" w:sz="0" w:space="0" w:color="auto"/>
        <w:bottom w:val="none" w:sz="0" w:space="0" w:color="auto"/>
        <w:right w:val="none" w:sz="0" w:space="0" w:color="auto"/>
      </w:divBdr>
    </w:div>
    <w:div w:id="799617362">
      <w:bodyDiv w:val="1"/>
      <w:marLeft w:val="0"/>
      <w:marRight w:val="0"/>
      <w:marTop w:val="0"/>
      <w:marBottom w:val="0"/>
      <w:divBdr>
        <w:top w:val="none" w:sz="0" w:space="0" w:color="auto"/>
        <w:left w:val="none" w:sz="0" w:space="0" w:color="auto"/>
        <w:bottom w:val="none" w:sz="0" w:space="0" w:color="auto"/>
        <w:right w:val="none" w:sz="0" w:space="0" w:color="auto"/>
      </w:divBdr>
    </w:div>
    <w:div w:id="838693830">
      <w:bodyDiv w:val="1"/>
      <w:marLeft w:val="0"/>
      <w:marRight w:val="0"/>
      <w:marTop w:val="0"/>
      <w:marBottom w:val="0"/>
      <w:divBdr>
        <w:top w:val="none" w:sz="0" w:space="0" w:color="auto"/>
        <w:left w:val="none" w:sz="0" w:space="0" w:color="auto"/>
        <w:bottom w:val="none" w:sz="0" w:space="0" w:color="auto"/>
        <w:right w:val="none" w:sz="0" w:space="0" w:color="auto"/>
      </w:divBdr>
    </w:div>
    <w:div w:id="843084207">
      <w:bodyDiv w:val="1"/>
      <w:marLeft w:val="0"/>
      <w:marRight w:val="0"/>
      <w:marTop w:val="0"/>
      <w:marBottom w:val="0"/>
      <w:divBdr>
        <w:top w:val="none" w:sz="0" w:space="0" w:color="auto"/>
        <w:left w:val="none" w:sz="0" w:space="0" w:color="auto"/>
        <w:bottom w:val="none" w:sz="0" w:space="0" w:color="auto"/>
        <w:right w:val="none" w:sz="0" w:space="0" w:color="auto"/>
      </w:divBdr>
    </w:div>
    <w:div w:id="844126622">
      <w:bodyDiv w:val="1"/>
      <w:marLeft w:val="0"/>
      <w:marRight w:val="0"/>
      <w:marTop w:val="0"/>
      <w:marBottom w:val="0"/>
      <w:divBdr>
        <w:top w:val="none" w:sz="0" w:space="0" w:color="auto"/>
        <w:left w:val="none" w:sz="0" w:space="0" w:color="auto"/>
        <w:bottom w:val="none" w:sz="0" w:space="0" w:color="auto"/>
        <w:right w:val="none" w:sz="0" w:space="0" w:color="auto"/>
      </w:divBdr>
    </w:div>
    <w:div w:id="854346561">
      <w:bodyDiv w:val="1"/>
      <w:marLeft w:val="0"/>
      <w:marRight w:val="0"/>
      <w:marTop w:val="0"/>
      <w:marBottom w:val="0"/>
      <w:divBdr>
        <w:top w:val="none" w:sz="0" w:space="0" w:color="auto"/>
        <w:left w:val="none" w:sz="0" w:space="0" w:color="auto"/>
        <w:bottom w:val="none" w:sz="0" w:space="0" w:color="auto"/>
        <w:right w:val="none" w:sz="0" w:space="0" w:color="auto"/>
      </w:divBdr>
      <w:divsChild>
        <w:div w:id="1065495847">
          <w:marLeft w:val="547"/>
          <w:marRight w:val="0"/>
          <w:marTop w:val="0"/>
          <w:marBottom w:val="0"/>
          <w:divBdr>
            <w:top w:val="none" w:sz="0" w:space="0" w:color="auto"/>
            <w:left w:val="none" w:sz="0" w:space="0" w:color="auto"/>
            <w:bottom w:val="none" w:sz="0" w:space="0" w:color="auto"/>
            <w:right w:val="none" w:sz="0" w:space="0" w:color="auto"/>
          </w:divBdr>
        </w:div>
        <w:div w:id="1722438968">
          <w:marLeft w:val="547"/>
          <w:marRight w:val="0"/>
          <w:marTop w:val="0"/>
          <w:marBottom w:val="0"/>
          <w:divBdr>
            <w:top w:val="none" w:sz="0" w:space="0" w:color="auto"/>
            <w:left w:val="none" w:sz="0" w:space="0" w:color="auto"/>
            <w:bottom w:val="none" w:sz="0" w:space="0" w:color="auto"/>
            <w:right w:val="none" w:sz="0" w:space="0" w:color="auto"/>
          </w:divBdr>
        </w:div>
        <w:div w:id="1936161858">
          <w:marLeft w:val="547"/>
          <w:marRight w:val="0"/>
          <w:marTop w:val="0"/>
          <w:marBottom w:val="0"/>
          <w:divBdr>
            <w:top w:val="none" w:sz="0" w:space="0" w:color="auto"/>
            <w:left w:val="none" w:sz="0" w:space="0" w:color="auto"/>
            <w:bottom w:val="none" w:sz="0" w:space="0" w:color="auto"/>
            <w:right w:val="none" w:sz="0" w:space="0" w:color="auto"/>
          </w:divBdr>
        </w:div>
        <w:div w:id="1560097063">
          <w:marLeft w:val="547"/>
          <w:marRight w:val="0"/>
          <w:marTop w:val="0"/>
          <w:marBottom w:val="0"/>
          <w:divBdr>
            <w:top w:val="none" w:sz="0" w:space="0" w:color="auto"/>
            <w:left w:val="none" w:sz="0" w:space="0" w:color="auto"/>
            <w:bottom w:val="none" w:sz="0" w:space="0" w:color="auto"/>
            <w:right w:val="none" w:sz="0" w:space="0" w:color="auto"/>
          </w:divBdr>
        </w:div>
      </w:divsChild>
    </w:div>
    <w:div w:id="894663089">
      <w:bodyDiv w:val="1"/>
      <w:marLeft w:val="0"/>
      <w:marRight w:val="0"/>
      <w:marTop w:val="0"/>
      <w:marBottom w:val="0"/>
      <w:divBdr>
        <w:top w:val="none" w:sz="0" w:space="0" w:color="auto"/>
        <w:left w:val="none" w:sz="0" w:space="0" w:color="auto"/>
        <w:bottom w:val="none" w:sz="0" w:space="0" w:color="auto"/>
        <w:right w:val="none" w:sz="0" w:space="0" w:color="auto"/>
      </w:divBdr>
    </w:div>
    <w:div w:id="900675374">
      <w:bodyDiv w:val="1"/>
      <w:marLeft w:val="0"/>
      <w:marRight w:val="0"/>
      <w:marTop w:val="0"/>
      <w:marBottom w:val="0"/>
      <w:divBdr>
        <w:top w:val="none" w:sz="0" w:space="0" w:color="auto"/>
        <w:left w:val="none" w:sz="0" w:space="0" w:color="auto"/>
        <w:bottom w:val="none" w:sz="0" w:space="0" w:color="auto"/>
        <w:right w:val="none" w:sz="0" w:space="0" w:color="auto"/>
      </w:divBdr>
    </w:div>
    <w:div w:id="904219009">
      <w:bodyDiv w:val="1"/>
      <w:marLeft w:val="0"/>
      <w:marRight w:val="0"/>
      <w:marTop w:val="0"/>
      <w:marBottom w:val="0"/>
      <w:divBdr>
        <w:top w:val="none" w:sz="0" w:space="0" w:color="auto"/>
        <w:left w:val="none" w:sz="0" w:space="0" w:color="auto"/>
        <w:bottom w:val="none" w:sz="0" w:space="0" w:color="auto"/>
        <w:right w:val="none" w:sz="0" w:space="0" w:color="auto"/>
      </w:divBdr>
    </w:div>
    <w:div w:id="925530358">
      <w:bodyDiv w:val="1"/>
      <w:marLeft w:val="0"/>
      <w:marRight w:val="0"/>
      <w:marTop w:val="0"/>
      <w:marBottom w:val="0"/>
      <w:divBdr>
        <w:top w:val="none" w:sz="0" w:space="0" w:color="auto"/>
        <w:left w:val="none" w:sz="0" w:space="0" w:color="auto"/>
        <w:bottom w:val="none" w:sz="0" w:space="0" w:color="auto"/>
        <w:right w:val="none" w:sz="0" w:space="0" w:color="auto"/>
      </w:divBdr>
    </w:div>
    <w:div w:id="928193899">
      <w:bodyDiv w:val="1"/>
      <w:marLeft w:val="0"/>
      <w:marRight w:val="0"/>
      <w:marTop w:val="0"/>
      <w:marBottom w:val="0"/>
      <w:divBdr>
        <w:top w:val="none" w:sz="0" w:space="0" w:color="auto"/>
        <w:left w:val="none" w:sz="0" w:space="0" w:color="auto"/>
        <w:bottom w:val="none" w:sz="0" w:space="0" w:color="auto"/>
        <w:right w:val="none" w:sz="0" w:space="0" w:color="auto"/>
      </w:divBdr>
    </w:div>
    <w:div w:id="953101451">
      <w:bodyDiv w:val="1"/>
      <w:marLeft w:val="0"/>
      <w:marRight w:val="0"/>
      <w:marTop w:val="0"/>
      <w:marBottom w:val="0"/>
      <w:divBdr>
        <w:top w:val="none" w:sz="0" w:space="0" w:color="auto"/>
        <w:left w:val="none" w:sz="0" w:space="0" w:color="auto"/>
        <w:bottom w:val="none" w:sz="0" w:space="0" w:color="auto"/>
        <w:right w:val="none" w:sz="0" w:space="0" w:color="auto"/>
      </w:divBdr>
      <w:divsChild>
        <w:div w:id="2133865490">
          <w:marLeft w:val="0"/>
          <w:marRight w:val="0"/>
          <w:marTop w:val="0"/>
          <w:marBottom w:val="0"/>
          <w:divBdr>
            <w:top w:val="none" w:sz="0" w:space="0" w:color="auto"/>
            <w:left w:val="none" w:sz="0" w:space="0" w:color="auto"/>
            <w:bottom w:val="none" w:sz="0" w:space="0" w:color="auto"/>
            <w:right w:val="none" w:sz="0" w:space="0" w:color="auto"/>
          </w:divBdr>
          <w:divsChild>
            <w:div w:id="2065718115">
              <w:marLeft w:val="0"/>
              <w:marRight w:val="0"/>
              <w:marTop w:val="0"/>
              <w:marBottom w:val="0"/>
              <w:divBdr>
                <w:top w:val="none" w:sz="0" w:space="0" w:color="auto"/>
                <w:left w:val="none" w:sz="0" w:space="0" w:color="auto"/>
                <w:bottom w:val="none" w:sz="0" w:space="0" w:color="auto"/>
                <w:right w:val="none" w:sz="0" w:space="0" w:color="auto"/>
              </w:divBdr>
              <w:divsChild>
                <w:div w:id="479225239">
                  <w:marLeft w:val="0"/>
                  <w:marRight w:val="0"/>
                  <w:marTop w:val="0"/>
                  <w:marBottom w:val="0"/>
                  <w:divBdr>
                    <w:top w:val="none" w:sz="0" w:space="0" w:color="auto"/>
                    <w:left w:val="none" w:sz="0" w:space="0" w:color="auto"/>
                    <w:bottom w:val="none" w:sz="0" w:space="0" w:color="auto"/>
                    <w:right w:val="none" w:sz="0" w:space="0" w:color="auto"/>
                  </w:divBdr>
                  <w:divsChild>
                    <w:div w:id="2015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9127">
      <w:bodyDiv w:val="1"/>
      <w:marLeft w:val="0"/>
      <w:marRight w:val="0"/>
      <w:marTop w:val="0"/>
      <w:marBottom w:val="0"/>
      <w:divBdr>
        <w:top w:val="none" w:sz="0" w:space="0" w:color="auto"/>
        <w:left w:val="none" w:sz="0" w:space="0" w:color="auto"/>
        <w:bottom w:val="none" w:sz="0" w:space="0" w:color="auto"/>
        <w:right w:val="none" w:sz="0" w:space="0" w:color="auto"/>
      </w:divBdr>
    </w:div>
    <w:div w:id="972641342">
      <w:bodyDiv w:val="1"/>
      <w:marLeft w:val="0"/>
      <w:marRight w:val="0"/>
      <w:marTop w:val="0"/>
      <w:marBottom w:val="0"/>
      <w:divBdr>
        <w:top w:val="none" w:sz="0" w:space="0" w:color="auto"/>
        <w:left w:val="none" w:sz="0" w:space="0" w:color="auto"/>
        <w:bottom w:val="none" w:sz="0" w:space="0" w:color="auto"/>
        <w:right w:val="none" w:sz="0" w:space="0" w:color="auto"/>
      </w:divBdr>
    </w:div>
    <w:div w:id="1005207857">
      <w:bodyDiv w:val="1"/>
      <w:marLeft w:val="0"/>
      <w:marRight w:val="0"/>
      <w:marTop w:val="0"/>
      <w:marBottom w:val="0"/>
      <w:divBdr>
        <w:top w:val="none" w:sz="0" w:space="0" w:color="auto"/>
        <w:left w:val="none" w:sz="0" w:space="0" w:color="auto"/>
        <w:bottom w:val="none" w:sz="0" w:space="0" w:color="auto"/>
        <w:right w:val="none" w:sz="0" w:space="0" w:color="auto"/>
      </w:divBdr>
    </w:div>
    <w:div w:id="1007975573">
      <w:bodyDiv w:val="1"/>
      <w:marLeft w:val="0"/>
      <w:marRight w:val="0"/>
      <w:marTop w:val="0"/>
      <w:marBottom w:val="0"/>
      <w:divBdr>
        <w:top w:val="none" w:sz="0" w:space="0" w:color="auto"/>
        <w:left w:val="none" w:sz="0" w:space="0" w:color="auto"/>
        <w:bottom w:val="none" w:sz="0" w:space="0" w:color="auto"/>
        <w:right w:val="none" w:sz="0" w:space="0" w:color="auto"/>
      </w:divBdr>
    </w:div>
    <w:div w:id="1011682916">
      <w:bodyDiv w:val="1"/>
      <w:marLeft w:val="0"/>
      <w:marRight w:val="0"/>
      <w:marTop w:val="0"/>
      <w:marBottom w:val="0"/>
      <w:divBdr>
        <w:top w:val="none" w:sz="0" w:space="0" w:color="auto"/>
        <w:left w:val="none" w:sz="0" w:space="0" w:color="auto"/>
        <w:bottom w:val="none" w:sz="0" w:space="0" w:color="auto"/>
        <w:right w:val="none" w:sz="0" w:space="0" w:color="auto"/>
      </w:divBdr>
      <w:divsChild>
        <w:div w:id="1293100656">
          <w:marLeft w:val="0"/>
          <w:marRight w:val="0"/>
          <w:marTop w:val="0"/>
          <w:marBottom w:val="0"/>
          <w:divBdr>
            <w:top w:val="none" w:sz="0" w:space="0" w:color="auto"/>
            <w:left w:val="none" w:sz="0" w:space="0" w:color="auto"/>
            <w:bottom w:val="none" w:sz="0" w:space="0" w:color="auto"/>
            <w:right w:val="none" w:sz="0" w:space="0" w:color="auto"/>
          </w:divBdr>
          <w:divsChild>
            <w:div w:id="2110806561">
              <w:marLeft w:val="0"/>
              <w:marRight w:val="0"/>
              <w:marTop w:val="0"/>
              <w:marBottom w:val="0"/>
              <w:divBdr>
                <w:top w:val="none" w:sz="0" w:space="0" w:color="auto"/>
                <w:left w:val="none" w:sz="0" w:space="0" w:color="auto"/>
                <w:bottom w:val="none" w:sz="0" w:space="0" w:color="auto"/>
                <w:right w:val="none" w:sz="0" w:space="0" w:color="auto"/>
              </w:divBdr>
              <w:divsChild>
                <w:div w:id="1833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8280">
      <w:bodyDiv w:val="1"/>
      <w:marLeft w:val="0"/>
      <w:marRight w:val="0"/>
      <w:marTop w:val="0"/>
      <w:marBottom w:val="0"/>
      <w:divBdr>
        <w:top w:val="none" w:sz="0" w:space="0" w:color="auto"/>
        <w:left w:val="none" w:sz="0" w:space="0" w:color="auto"/>
        <w:bottom w:val="none" w:sz="0" w:space="0" w:color="auto"/>
        <w:right w:val="none" w:sz="0" w:space="0" w:color="auto"/>
      </w:divBdr>
      <w:divsChild>
        <w:div w:id="1975794470">
          <w:marLeft w:val="0"/>
          <w:marRight w:val="0"/>
          <w:marTop w:val="0"/>
          <w:marBottom w:val="0"/>
          <w:divBdr>
            <w:top w:val="none" w:sz="0" w:space="0" w:color="auto"/>
            <w:left w:val="none" w:sz="0" w:space="0" w:color="auto"/>
            <w:bottom w:val="none" w:sz="0" w:space="0" w:color="auto"/>
            <w:right w:val="none" w:sz="0" w:space="0" w:color="auto"/>
          </w:divBdr>
          <w:divsChild>
            <w:div w:id="1020427512">
              <w:marLeft w:val="0"/>
              <w:marRight w:val="0"/>
              <w:marTop w:val="0"/>
              <w:marBottom w:val="0"/>
              <w:divBdr>
                <w:top w:val="none" w:sz="0" w:space="0" w:color="auto"/>
                <w:left w:val="none" w:sz="0" w:space="0" w:color="auto"/>
                <w:bottom w:val="none" w:sz="0" w:space="0" w:color="auto"/>
                <w:right w:val="none" w:sz="0" w:space="0" w:color="auto"/>
              </w:divBdr>
              <w:divsChild>
                <w:div w:id="8949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4890">
      <w:bodyDiv w:val="1"/>
      <w:marLeft w:val="0"/>
      <w:marRight w:val="0"/>
      <w:marTop w:val="0"/>
      <w:marBottom w:val="0"/>
      <w:divBdr>
        <w:top w:val="none" w:sz="0" w:space="0" w:color="auto"/>
        <w:left w:val="none" w:sz="0" w:space="0" w:color="auto"/>
        <w:bottom w:val="none" w:sz="0" w:space="0" w:color="auto"/>
        <w:right w:val="none" w:sz="0" w:space="0" w:color="auto"/>
      </w:divBdr>
    </w:div>
    <w:div w:id="1033573000">
      <w:bodyDiv w:val="1"/>
      <w:marLeft w:val="0"/>
      <w:marRight w:val="0"/>
      <w:marTop w:val="0"/>
      <w:marBottom w:val="0"/>
      <w:divBdr>
        <w:top w:val="none" w:sz="0" w:space="0" w:color="auto"/>
        <w:left w:val="none" w:sz="0" w:space="0" w:color="auto"/>
        <w:bottom w:val="none" w:sz="0" w:space="0" w:color="auto"/>
        <w:right w:val="none" w:sz="0" w:space="0" w:color="auto"/>
      </w:divBdr>
      <w:divsChild>
        <w:div w:id="1715620127">
          <w:marLeft w:val="547"/>
          <w:marRight w:val="0"/>
          <w:marTop w:val="432"/>
          <w:marBottom w:val="0"/>
          <w:divBdr>
            <w:top w:val="none" w:sz="0" w:space="0" w:color="auto"/>
            <w:left w:val="none" w:sz="0" w:space="0" w:color="auto"/>
            <w:bottom w:val="none" w:sz="0" w:space="0" w:color="auto"/>
            <w:right w:val="none" w:sz="0" w:space="0" w:color="auto"/>
          </w:divBdr>
        </w:div>
        <w:div w:id="1450779065">
          <w:marLeft w:val="547"/>
          <w:marRight w:val="0"/>
          <w:marTop w:val="432"/>
          <w:marBottom w:val="0"/>
          <w:divBdr>
            <w:top w:val="none" w:sz="0" w:space="0" w:color="auto"/>
            <w:left w:val="none" w:sz="0" w:space="0" w:color="auto"/>
            <w:bottom w:val="none" w:sz="0" w:space="0" w:color="auto"/>
            <w:right w:val="none" w:sz="0" w:space="0" w:color="auto"/>
          </w:divBdr>
        </w:div>
        <w:div w:id="647706190">
          <w:marLeft w:val="1181"/>
          <w:marRight w:val="0"/>
          <w:marTop w:val="0"/>
          <w:marBottom w:val="0"/>
          <w:divBdr>
            <w:top w:val="none" w:sz="0" w:space="0" w:color="auto"/>
            <w:left w:val="none" w:sz="0" w:space="0" w:color="auto"/>
            <w:bottom w:val="none" w:sz="0" w:space="0" w:color="auto"/>
            <w:right w:val="none" w:sz="0" w:space="0" w:color="auto"/>
          </w:divBdr>
        </w:div>
        <w:div w:id="441997460">
          <w:marLeft w:val="1181"/>
          <w:marRight w:val="0"/>
          <w:marTop w:val="0"/>
          <w:marBottom w:val="0"/>
          <w:divBdr>
            <w:top w:val="none" w:sz="0" w:space="0" w:color="auto"/>
            <w:left w:val="none" w:sz="0" w:space="0" w:color="auto"/>
            <w:bottom w:val="none" w:sz="0" w:space="0" w:color="auto"/>
            <w:right w:val="none" w:sz="0" w:space="0" w:color="auto"/>
          </w:divBdr>
        </w:div>
        <w:div w:id="1470050206">
          <w:marLeft w:val="1181"/>
          <w:marRight w:val="0"/>
          <w:marTop w:val="0"/>
          <w:marBottom w:val="0"/>
          <w:divBdr>
            <w:top w:val="none" w:sz="0" w:space="0" w:color="auto"/>
            <w:left w:val="none" w:sz="0" w:space="0" w:color="auto"/>
            <w:bottom w:val="none" w:sz="0" w:space="0" w:color="auto"/>
            <w:right w:val="none" w:sz="0" w:space="0" w:color="auto"/>
          </w:divBdr>
        </w:div>
        <w:div w:id="1298149365">
          <w:marLeft w:val="1181"/>
          <w:marRight w:val="0"/>
          <w:marTop w:val="0"/>
          <w:marBottom w:val="0"/>
          <w:divBdr>
            <w:top w:val="none" w:sz="0" w:space="0" w:color="auto"/>
            <w:left w:val="none" w:sz="0" w:space="0" w:color="auto"/>
            <w:bottom w:val="none" w:sz="0" w:space="0" w:color="auto"/>
            <w:right w:val="none" w:sz="0" w:space="0" w:color="auto"/>
          </w:divBdr>
        </w:div>
        <w:div w:id="1090007956">
          <w:marLeft w:val="547"/>
          <w:marRight w:val="0"/>
          <w:marTop w:val="432"/>
          <w:marBottom w:val="0"/>
          <w:divBdr>
            <w:top w:val="none" w:sz="0" w:space="0" w:color="auto"/>
            <w:left w:val="none" w:sz="0" w:space="0" w:color="auto"/>
            <w:bottom w:val="none" w:sz="0" w:space="0" w:color="auto"/>
            <w:right w:val="none" w:sz="0" w:space="0" w:color="auto"/>
          </w:divBdr>
        </w:div>
      </w:divsChild>
    </w:div>
    <w:div w:id="1033766942">
      <w:bodyDiv w:val="1"/>
      <w:marLeft w:val="0"/>
      <w:marRight w:val="0"/>
      <w:marTop w:val="0"/>
      <w:marBottom w:val="0"/>
      <w:divBdr>
        <w:top w:val="none" w:sz="0" w:space="0" w:color="auto"/>
        <w:left w:val="none" w:sz="0" w:space="0" w:color="auto"/>
        <w:bottom w:val="none" w:sz="0" w:space="0" w:color="auto"/>
        <w:right w:val="none" w:sz="0" w:space="0" w:color="auto"/>
      </w:divBdr>
    </w:div>
    <w:div w:id="1037315304">
      <w:bodyDiv w:val="1"/>
      <w:marLeft w:val="0"/>
      <w:marRight w:val="0"/>
      <w:marTop w:val="0"/>
      <w:marBottom w:val="0"/>
      <w:divBdr>
        <w:top w:val="none" w:sz="0" w:space="0" w:color="auto"/>
        <w:left w:val="none" w:sz="0" w:space="0" w:color="auto"/>
        <w:bottom w:val="none" w:sz="0" w:space="0" w:color="auto"/>
        <w:right w:val="none" w:sz="0" w:space="0" w:color="auto"/>
      </w:divBdr>
    </w:div>
    <w:div w:id="1039818048">
      <w:bodyDiv w:val="1"/>
      <w:marLeft w:val="0"/>
      <w:marRight w:val="0"/>
      <w:marTop w:val="0"/>
      <w:marBottom w:val="0"/>
      <w:divBdr>
        <w:top w:val="none" w:sz="0" w:space="0" w:color="auto"/>
        <w:left w:val="none" w:sz="0" w:space="0" w:color="auto"/>
        <w:bottom w:val="none" w:sz="0" w:space="0" w:color="auto"/>
        <w:right w:val="none" w:sz="0" w:space="0" w:color="auto"/>
      </w:divBdr>
    </w:div>
    <w:div w:id="1041397609">
      <w:bodyDiv w:val="1"/>
      <w:marLeft w:val="0"/>
      <w:marRight w:val="0"/>
      <w:marTop w:val="0"/>
      <w:marBottom w:val="0"/>
      <w:divBdr>
        <w:top w:val="none" w:sz="0" w:space="0" w:color="auto"/>
        <w:left w:val="none" w:sz="0" w:space="0" w:color="auto"/>
        <w:bottom w:val="none" w:sz="0" w:space="0" w:color="auto"/>
        <w:right w:val="none" w:sz="0" w:space="0" w:color="auto"/>
      </w:divBdr>
    </w:div>
    <w:div w:id="1044867372">
      <w:bodyDiv w:val="1"/>
      <w:marLeft w:val="0"/>
      <w:marRight w:val="0"/>
      <w:marTop w:val="0"/>
      <w:marBottom w:val="0"/>
      <w:divBdr>
        <w:top w:val="none" w:sz="0" w:space="0" w:color="auto"/>
        <w:left w:val="none" w:sz="0" w:space="0" w:color="auto"/>
        <w:bottom w:val="none" w:sz="0" w:space="0" w:color="auto"/>
        <w:right w:val="none" w:sz="0" w:space="0" w:color="auto"/>
      </w:divBdr>
    </w:div>
    <w:div w:id="1062142205">
      <w:bodyDiv w:val="1"/>
      <w:marLeft w:val="0"/>
      <w:marRight w:val="0"/>
      <w:marTop w:val="0"/>
      <w:marBottom w:val="0"/>
      <w:divBdr>
        <w:top w:val="none" w:sz="0" w:space="0" w:color="auto"/>
        <w:left w:val="none" w:sz="0" w:space="0" w:color="auto"/>
        <w:bottom w:val="none" w:sz="0" w:space="0" w:color="auto"/>
        <w:right w:val="none" w:sz="0" w:space="0" w:color="auto"/>
      </w:divBdr>
    </w:div>
    <w:div w:id="1063672691">
      <w:bodyDiv w:val="1"/>
      <w:marLeft w:val="0"/>
      <w:marRight w:val="0"/>
      <w:marTop w:val="0"/>
      <w:marBottom w:val="0"/>
      <w:divBdr>
        <w:top w:val="none" w:sz="0" w:space="0" w:color="auto"/>
        <w:left w:val="none" w:sz="0" w:space="0" w:color="auto"/>
        <w:bottom w:val="none" w:sz="0" w:space="0" w:color="auto"/>
        <w:right w:val="none" w:sz="0" w:space="0" w:color="auto"/>
      </w:divBdr>
      <w:divsChild>
        <w:div w:id="533537983">
          <w:marLeft w:val="0"/>
          <w:marRight w:val="0"/>
          <w:marTop w:val="0"/>
          <w:marBottom w:val="0"/>
          <w:divBdr>
            <w:top w:val="none" w:sz="0" w:space="0" w:color="auto"/>
            <w:left w:val="none" w:sz="0" w:space="0" w:color="auto"/>
            <w:bottom w:val="none" w:sz="0" w:space="0" w:color="auto"/>
            <w:right w:val="none" w:sz="0" w:space="0" w:color="auto"/>
          </w:divBdr>
          <w:divsChild>
            <w:div w:id="928121460">
              <w:marLeft w:val="0"/>
              <w:marRight w:val="0"/>
              <w:marTop w:val="0"/>
              <w:marBottom w:val="0"/>
              <w:divBdr>
                <w:top w:val="none" w:sz="0" w:space="0" w:color="auto"/>
                <w:left w:val="none" w:sz="0" w:space="0" w:color="auto"/>
                <w:bottom w:val="none" w:sz="0" w:space="0" w:color="auto"/>
                <w:right w:val="none" w:sz="0" w:space="0" w:color="auto"/>
              </w:divBdr>
              <w:divsChild>
                <w:div w:id="599222180">
                  <w:marLeft w:val="0"/>
                  <w:marRight w:val="0"/>
                  <w:marTop w:val="0"/>
                  <w:marBottom w:val="0"/>
                  <w:divBdr>
                    <w:top w:val="none" w:sz="0" w:space="0" w:color="auto"/>
                    <w:left w:val="none" w:sz="0" w:space="0" w:color="auto"/>
                    <w:bottom w:val="none" w:sz="0" w:space="0" w:color="auto"/>
                    <w:right w:val="none" w:sz="0" w:space="0" w:color="auto"/>
                  </w:divBdr>
                  <w:divsChild>
                    <w:div w:id="7947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1495">
      <w:bodyDiv w:val="1"/>
      <w:marLeft w:val="0"/>
      <w:marRight w:val="0"/>
      <w:marTop w:val="0"/>
      <w:marBottom w:val="0"/>
      <w:divBdr>
        <w:top w:val="none" w:sz="0" w:space="0" w:color="auto"/>
        <w:left w:val="none" w:sz="0" w:space="0" w:color="auto"/>
        <w:bottom w:val="none" w:sz="0" w:space="0" w:color="auto"/>
        <w:right w:val="none" w:sz="0" w:space="0" w:color="auto"/>
      </w:divBdr>
    </w:div>
    <w:div w:id="1140921275">
      <w:bodyDiv w:val="1"/>
      <w:marLeft w:val="0"/>
      <w:marRight w:val="0"/>
      <w:marTop w:val="0"/>
      <w:marBottom w:val="0"/>
      <w:divBdr>
        <w:top w:val="none" w:sz="0" w:space="0" w:color="auto"/>
        <w:left w:val="none" w:sz="0" w:space="0" w:color="auto"/>
        <w:bottom w:val="none" w:sz="0" w:space="0" w:color="auto"/>
        <w:right w:val="none" w:sz="0" w:space="0" w:color="auto"/>
      </w:divBdr>
    </w:div>
    <w:div w:id="1157917985">
      <w:bodyDiv w:val="1"/>
      <w:marLeft w:val="0"/>
      <w:marRight w:val="0"/>
      <w:marTop w:val="0"/>
      <w:marBottom w:val="0"/>
      <w:divBdr>
        <w:top w:val="none" w:sz="0" w:space="0" w:color="auto"/>
        <w:left w:val="none" w:sz="0" w:space="0" w:color="auto"/>
        <w:bottom w:val="none" w:sz="0" w:space="0" w:color="auto"/>
        <w:right w:val="none" w:sz="0" w:space="0" w:color="auto"/>
      </w:divBdr>
    </w:div>
    <w:div w:id="1174035819">
      <w:bodyDiv w:val="1"/>
      <w:marLeft w:val="0"/>
      <w:marRight w:val="0"/>
      <w:marTop w:val="0"/>
      <w:marBottom w:val="0"/>
      <w:divBdr>
        <w:top w:val="none" w:sz="0" w:space="0" w:color="auto"/>
        <w:left w:val="none" w:sz="0" w:space="0" w:color="auto"/>
        <w:bottom w:val="none" w:sz="0" w:space="0" w:color="auto"/>
        <w:right w:val="none" w:sz="0" w:space="0" w:color="auto"/>
      </w:divBdr>
    </w:div>
    <w:div w:id="1176850032">
      <w:bodyDiv w:val="1"/>
      <w:marLeft w:val="0"/>
      <w:marRight w:val="0"/>
      <w:marTop w:val="0"/>
      <w:marBottom w:val="0"/>
      <w:divBdr>
        <w:top w:val="none" w:sz="0" w:space="0" w:color="auto"/>
        <w:left w:val="none" w:sz="0" w:space="0" w:color="auto"/>
        <w:bottom w:val="none" w:sz="0" w:space="0" w:color="auto"/>
        <w:right w:val="none" w:sz="0" w:space="0" w:color="auto"/>
      </w:divBdr>
      <w:divsChild>
        <w:div w:id="160897014">
          <w:marLeft w:val="0"/>
          <w:marRight w:val="0"/>
          <w:marTop w:val="0"/>
          <w:marBottom w:val="0"/>
          <w:divBdr>
            <w:top w:val="none" w:sz="0" w:space="0" w:color="auto"/>
            <w:left w:val="none" w:sz="0" w:space="0" w:color="auto"/>
            <w:bottom w:val="none" w:sz="0" w:space="0" w:color="auto"/>
            <w:right w:val="none" w:sz="0" w:space="0" w:color="auto"/>
          </w:divBdr>
          <w:divsChild>
            <w:div w:id="138035595">
              <w:marLeft w:val="0"/>
              <w:marRight w:val="0"/>
              <w:marTop w:val="0"/>
              <w:marBottom w:val="0"/>
              <w:divBdr>
                <w:top w:val="none" w:sz="0" w:space="0" w:color="auto"/>
                <w:left w:val="none" w:sz="0" w:space="0" w:color="auto"/>
                <w:bottom w:val="none" w:sz="0" w:space="0" w:color="auto"/>
                <w:right w:val="none" w:sz="0" w:space="0" w:color="auto"/>
              </w:divBdr>
              <w:divsChild>
                <w:div w:id="14504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4413">
      <w:bodyDiv w:val="1"/>
      <w:marLeft w:val="0"/>
      <w:marRight w:val="0"/>
      <w:marTop w:val="0"/>
      <w:marBottom w:val="0"/>
      <w:divBdr>
        <w:top w:val="none" w:sz="0" w:space="0" w:color="auto"/>
        <w:left w:val="none" w:sz="0" w:space="0" w:color="auto"/>
        <w:bottom w:val="none" w:sz="0" w:space="0" w:color="auto"/>
        <w:right w:val="none" w:sz="0" w:space="0" w:color="auto"/>
      </w:divBdr>
    </w:div>
    <w:div w:id="1203205510">
      <w:bodyDiv w:val="1"/>
      <w:marLeft w:val="0"/>
      <w:marRight w:val="0"/>
      <w:marTop w:val="0"/>
      <w:marBottom w:val="0"/>
      <w:divBdr>
        <w:top w:val="none" w:sz="0" w:space="0" w:color="auto"/>
        <w:left w:val="none" w:sz="0" w:space="0" w:color="auto"/>
        <w:bottom w:val="none" w:sz="0" w:space="0" w:color="auto"/>
        <w:right w:val="none" w:sz="0" w:space="0" w:color="auto"/>
      </w:divBdr>
      <w:divsChild>
        <w:div w:id="762993344">
          <w:marLeft w:val="259"/>
          <w:marRight w:val="0"/>
          <w:marTop w:val="200"/>
          <w:marBottom w:val="0"/>
          <w:divBdr>
            <w:top w:val="none" w:sz="0" w:space="0" w:color="auto"/>
            <w:left w:val="none" w:sz="0" w:space="0" w:color="auto"/>
            <w:bottom w:val="none" w:sz="0" w:space="0" w:color="auto"/>
            <w:right w:val="none" w:sz="0" w:space="0" w:color="auto"/>
          </w:divBdr>
        </w:div>
        <w:div w:id="157618461">
          <w:marLeft w:val="979"/>
          <w:marRight w:val="0"/>
          <w:marTop w:val="40"/>
          <w:marBottom w:val="0"/>
          <w:divBdr>
            <w:top w:val="none" w:sz="0" w:space="0" w:color="auto"/>
            <w:left w:val="none" w:sz="0" w:space="0" w:color="auto"/>
            <w:bottom w:val="none" w:sz="0" w:space="0" w:color="auto"/>
            <w:right w:val="none" w:sz="0" w:space="0" w:color="auto"/>
          </w:divBdr>
        </w:div>
        <w:div w:id="294457997">
          <w:marLeft w:val="979"/>
          <w:marRight w:val="0"/>
          <w:marTop w:val="40"/>
          <w:marBottom w:val="0"/>
          <w:divBdr>
            <w:top w:val="none" w:sz="0" w:space="0" w:color="auto"/>
            <w:left w:val="none" w:sz="0" w:space="0" w:color="auto"/>
            <w:bottom w:val="none" w:sz="0" w:space="0" w:color="auto"/>
            <w:right w:val="none" w:sz="0" w:space="0" w:color="auto"/>
          </w:divBdr>
        </w:div>
        <w:div w:id="1288660812">
          <w:marLeft w:val="979"/>
          <w:marRight w:val="0"/>
          <w:marTop w:val="40"/>
          <w:marBottom w:val="0"/>
          <w:divBdr>
            <w:top w:val="none" w:sz="0" w:space="0" w:color="auto"/>
            <w:left w:val="none" w:sz="0" w:space="0" w:color="auto"/>
            <w:bottom w:val="none" w:sz="0" w:space="0" w:color="auto"/>
            <w:right w:val="none" w:sz="0" w:space="0" w:color="auto"/>
          </w:divBdr>
        </w:div>
        <w:div w:id="792598502">
          <w:marLeft w:val="173"/>
          <w:marRight w:val="0"/>
          <w:marTop w:val="200"/>
          <w:marBottom w:val="0"/>
          <w:divBdr>
            <w:top w:val="none" w:sz="0" w:space="0" w:color="auto"/>
            <w:left w:val="none" w:sz="0" w:space="0" w:color="auto"/>
            <w:bottom w:val="none" w:sz="0" w:space="0" w:color="auto"/>
            <w:right w:val="none" w:sz="0" w:space="0" w:color="auto"/>
          </w:divBdr>
        </w:div>
        <w:div w:id="1114056543">
          <w:marLeft w:val="274"/>
          <w:marRight w:val="0"/>
          <w:marTop w:val="200"/>
          <w:marBottom w:val="0"/>
          <w:divBdr>
            <w:top w:val="none" w:sz="0" w:space="0" w:color="auto"/>
            <w:left w:val="none" w:sz="0" w:space="0" w:color="auto"/>
            <w:bottom w:val="none" w:sz="0" w:space="0" w:color="auto"/>
            <w:right w:val="none" w:sz="0" w:space="0" w:color="auto"/>
          </w:divBdr>
        </w:div>
        <w:div w:id="1595747379">
          <w:marLeft w:val="274"/>
          <w:marRight w:val="0"/>
          <w:marTop w:val="200"/>
          <w:marBottom w:val="0"/>
          <w:divBdr>
            <w:top w:val="none" w:sz="0" w:space="0" w:color="auto"/>
            <w:left w:val="none" w:sz="0" w:space="0" w:color="auto"/>
            <w:bottom w:val="none" w:sz="0" w:space="0" w:color="auto"/>
            <w:right w:val="none" w:sz="0" w:space="0" w:color="auto"/>
          </w:divBdr>
        </w:div>
        <w:div w:id="1144421868">
          <w:marLeft w:val="274"/>
          <w:marRight w:val="0"/>
          <w:marTop w:val="200"/>
          <w:marBottom w:val="0"/>
          <w:divBdr>
            <w:top w:val="none" w:sz="0" w:space="0" w:color="auto"/>
            <w:left w:val="none" w:sz="0" w:space="0" w:color="auto"/>
            <w:bottom w:val="none" w:sz="0" w:space="0" w:color="auto"/>
            <w:right w:val="none" w:sz="0" w:space="0" w:color="auto"/>
          </w:divBdr>
        </w:div>
        <w:div w:id="1522354346">
          <w:marLeft w:val="274"/>
          <w:marRight w:val="0"/>
          <w:marTop w:val="200"/>
          <w:marBottom w:val="0"/>
          <w:divBdr>
            <w:top w:val="none" w:sz="0" w:space="0" w:color="auto"/>
            <w:left w:val="none" w:sz="0" w:space="0" w:color="auto"/>
            <w:bottom w:val="none" w:sz="0" w:space="0" w:color="auto"/>
            <w:right w:val="none" w:sz="0" w:space="0" w:color="auto"/>
          </w:divBdr>
        </w:div>
      </w:divsChild>
    </w:div>
    <w:div w:id="1208446319">
      <w:bodyDiv w:val="1"/>
      <w:marLeft w:val="0"/>
      <w:marRight w:val="0"/>
      <w:marTop w:val="0"/>
      <w:marBottom w:val="0"/>
      <w:divBdr>
        <w:top w:val="none" w:sz="0" w:space="0" w:color="auto"/>
        <w:left w:val="none" w:sz="0" w:space="0" w:color="auto"/>
        <w:bottom w:val="none" w:sz="0" w:space="0" w:color="auto"/>
        <w:right w:val="none" w:sz="0" w:space="0" w:color="auto"/>
      </w:divBdr>
    </w:div>
    <w:div w:id="1208764067">
      <w:bodyDiv w:val="1"/>
      <w:marLeft w:val="0"/>
      <w:marRight w:val="0"/>
      <w:marTop w:val="0"/>
      <w:marBottom w:val="0"/>
      <w:divBdr>
        <w:top w:val="none" w:sz="0" w:space="0" w:color="auto"/>
        <w:left w:val="none" w:sz="0" w:space="0" w:color="auto"/>
        <w:bottom w:val="none" w:sz="0" w:space="0" w:color="auto"/>
        <w:right w:val="none" w:sz="0" w:space="0" w:color="auto"/>
      </w:divBdr>
    </w:div>
    <w:div w:id="1211838559">
      <w:bodyDiv w:val="1"/>
      <w:marLeft w:val="0"/>
      <w:marRight w:val="0"/>
      <w:marTop w:val="0"/>
      <w:marBottom w:val="0"/>
      <w:divBdr>
        <w:top w:val="none" w:sz="0" w:space="0" w:color="auto"/>
        <w:left w:val="none" w:sz="0" w:space="0" w:color="auto"/>
        <w:bottom w:val="none" w:sz="0" w:space="0" w:color="auto"/>
        <w:right w:val="none" w:sz="0" w:space="0" w:color="auto"/>
      </w:divBdr>
      <w:divsChild>
        <w:div w:id="1455633357">
          <w:marLeft w:val="0"/>
          <w:marRight w:val="0"/>
          <w:marTop w:val="0"/>
          <w:marBottom w:val="0"/>
          <w:divBdr>
            <w:top w:val="none" w:sz="0" w:space="0" w:color="auto"/>
            <w:left w:val="none" w:sz="0" w:space="0" w:color="auto"/>
            <w:bottom w:val="none" w:sz="0" w:space="0" w:color="auto"/>
            <w:right w:val="none" w:sz="0" w:space="0" w:color="auto"/>
          </w:divBdr>
          <w:divsChild>
            <w:div w:id="433090837">
              <w:marLeft w:val="0"/>
              <w:marRight w:val="0"/>
              <w:marTop w:val="0"/>
              <w:marBottom w:val="0"/>
              <w:divBdr>
                <w:top w:val="none" w:sz="0" w:space="0" w:color="auto"/>
                <w:left w:val="none" w:sz="0" w:space="0" w:color="auto"/>
                <w:bottom w:val="none" w:sz="0" w:space="0" w:color="auto"/>
                <w:right w:val="none" w:sz="0" w:space="0" w:color="auto"/>
              </w:divBdr>
              <w:divsChild>
                <w:div w:id="17814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2108">
      <w:bodyDiv w:val="1"/>
      <w:marLeft w:val="0"/>
      <w:marRight w:val="0"/>
      <w:marTop w:val="0"/>
      <w:marBottom w:val="0"/>
      <w:divBdr>
        <w:top w:val="none" w:sz="0" w:space="0" w:color="auto"/>
        <w:left w:val="none" w:sz="0" w:space="0" w:color="auto"/>
        <w:bottom w:val="none" w:sz="0" w:space="0" w:color="auto"/>
        <w:right w:val="none" w:sz="0" w:space="0" w:color="auto"/>
      </w:divBdr>
    </w:div>
    <w:div w:id="1220704881">
      <w:bodyDiv w:val="1"/>
      <w:marLeft w:val="0"/>
      <w:marRight w:val="0"/>
      <w:marTop w:val="0"/>
      <w:marBottom w:val="0"/>
      <w:divBdr>
        <w:top w:val="none" w:sz="0" w:space="0" w:color="auto"/>
        <w:left w:val="none" w:sz="0" w:space="0" w:color="auto"/>
        <w:bottom w:val="none" w:sz="0" w:space="0" w:color="auto"/>
        <w:right w:val="none" w:sz="0" w:space="0" w:color="auto"/>
      </w:divBdr>
    </w:div>
    <w:div w:id="1223371965">
      <w:bodyDiv w:val="1"/>
      <w:marLeft w:val="0"/>
      <w:marRight w:val="0"/>
      <w:marTop w:val="0"/>
      <w:marBottom w:val="0"/>
      <w:divBdr>
        <w:top w:val="none" w:sz="0" w:space="0" w:color="auto"/>
        <w:left w:val="none" w:sz="0" w:space="0" w:color="auto"/>
        <w:bottom w:val="none" w:sz="0" w:space="0" w:color="auto"/>
        <w:right w:val="none" w:sz="0" w:space="0" w:color="auto"/>
      </w:divBdr>
    </w:div>
    <w:div w:id="1228299273">
      <w:bodyDiv w:val="1"/>
      <w:marLeft w:val="0"/>
      <w:marRight w:val="0"/>
      <w:marTop w:val="0"/>
      <w:marBottom w:val="0"/>
      <w:divBdr>
        <w:top w:val="none" w:sz="0" w:space="0" w:color="auto"/>
        <w:left w:val="none" w:sz="0" w:space="0" w:color="auto"/>
        <w:bottom w:val="none" w:sz="0" w:space="0" w:color="auto"/>
        <w:right w:val="none" w:sz="0" w:space="0" w:color="auto"/>
      </w:divBdr>
    </w:div>
    <w:div w:id="1249925651">
      <w:bodyDiv w:val="1"/>
      <w:marLeft w:val="0"/>
      <w:marRight w:val="0"/>
      <w:marTop w:val="0"/>
      <w:marBottom w:val="0"/>
      <w:divBdr>
        <w:top w:val="none" w:sz="0" w:space="0" w:color="auto"/>
        <w:left w:val="none" w:sz="0" w:space="0" w:color="auto"/>
        <w:bottom w:val="none" w:sz="0" w:space="0" w:color="auto"/>
        <w:right w:val="none" w:sz="0" w:space="0" w:color="auto"/>
      </w:divBdr>
    </w:div>
    <w:div w:id="1258833444">
      <w:bodyDiv w:val="1"/>
      <w:marLeft w:val="0"/>
      <w:marRight w:val="0"/>
      <w:marTop w:val="0"/>
      <w:marBottom w:val="0"/>
      <w:divBdr>
        <w:top w:val="none" w:sz="0" w:space="0" w:color="auto"/>
        <w:left w:val="none" w:sz="0" w:space="0" w:color="auto"/>
        <w:bottom w:val="none" w:sz="0" w:space="0" w:color="auto"/>
        <w:right w:val="none" w:sz="0" w:space="0" w:color="auto"/>
      </w:divBdr>
    </w:div>
    <w:div w:id="1276870633">
      <w:bodyDiv w:val="1"/>
      <w:marLeft w:val="0"/>
      <w:marRight w:val="0"/>
      <w:marTop w:val="0"/>
      <w:marBottom w:val="0"/>
      <w:divBdr>
        <w:top w:val="none" w:sz="0" w:space="0" w:color="auto"/>
        <w:left w:val="none" w:sz="0" w:space="0" w:color="auto"/>
        <w:bottom w:val="none" w:sz="0" w:space="0" w:color="auto"/>
        <w:right w:val="none" w:sz="0" w:space="0" w:color="auto"/>
      </w:divBdr>
    </w:div>
    <w:div w:id="1281455947">
      <w:bodyDiv w:val="1"/>
      <w:marLeft w:val="0"/>
      <w:marRight w:val="0"/>
      <w:marTop w:val="0"/>
      <w:marBottom w:val="0"/>
      <w:divBdr>
        <w:top w:val="none" w:sz="0" w:space="0" w:color="auto"/>
        <w:left w:val="none" w:sz="0" w:space="0" w:color="auto"/>
        <w:bottom w:val="none" w:sz="0" w:space="0" w:color="auto"/>
        <w:right w:val="none" w:sz="0" w:space="0" w:color="auto"/>
      </w:divBdr>
    </w:div>
    <w:div w:id="1300185915">
      <w:bodyDiv w:val="1"/>
      <w:marLeft w:val="0"/>
      <w:marRight w:val="0"/>
      <w:marTop w:val="0"/>
      <w:marBottom w:val="0"/>
      <w:divBdr>
        <w:top w:val="none" w:sz="0" w:space="0" w:color="auto"/>
        <w:left w:val="none" w:sz="0" w:space="0" w:color="auto"/>
        <w:bottom w:val="none" w:sz="0" w:space="0" w:color="auto"/>
        <w:right w:val="none" w:sz="0" w:space="0" w:color="auto"/>
      </w:divBdr>
    </w:div>
    <w:div w:id="1311322970">
      <w:bodyDiv w:val="1"/>
      <w:marLeft w:val="0"/>
      <w:marRight w:val="0"/>
      <w:marTop w:val="0"/>
      <w:marBottom w:val="0"/>
      <w:divBdr>
        <w:top w:val="none" w:sz="0" w:space="0" w:color="auto"/>
        <w:left w:val="none" w:sz="0" w:space="0" w:color="auto"/>
        <w:bottom w:val="none" w:sz="0" w:space="0" w:color="auto"/>
        <w:right w:val="none" w:sz="0" w:space="0" w:color="auto"/>
      </w:divBdr>
      <w:divsChild>
        <w:div w:id="2073112531">
          <w:marLeft w:val="547"/>
          <w:marRight w:val="0"/>
          <w:marTop w:val="202"/>
          <w:marBottom w:val="0"/>
          <w:divBdr>
            <w:top w:val="none" w:sz="0" w:space="0" w:color="auto"/>
            <w:left w:val="none" w:sz="0" w:space="0" w:color="auto"/>
            <w:bottom w:val="none" w:sz="0" w:space="0" w:color="auto"/>
            <w:right w:val="none" w:sz="0" w:space="0" w:color="auto"/>
          </w:divBdr>
        </w:div>
      </w:divsChild>
    </w:div>
    <w:div w:id="1312440326">
      <w:bodyDiv w:val="1"/>
      <w:marLeft w:val="0"/>
      <w:marRight w:val="0"/>
      <w:marTop w:val="0"/>
      <w:marBottom w:val="0"/>
      <w:divBdr>
        <w:top w:val="none" w:sz="0" w:space="0" w:color="auto"/>
        <w:left w:val="none" w:sz="0" w:space="0" w:color="auto"/>
        <w:bottom w:val="none" w:sz="0" w:space="0" w:color="auto"/>
        <w:right w:val="none" w:sz="0" w:space="0" w:color="auto"/>
      </w:divBdr>
    </w:div>
    <w:div w:id="1324502990">
      <w:bodyDiv w:val="1"/>
      <w:marLeft w:val="0"/>
      <w:marRight w:val="0"/>
      <w:marTop w:val="0"/>
      <w:marBottom w:val="0"/>
      <w:divBdr>
        <w:top w:val="none" w:sz="0" w:space="0" w:color="auto"/>
        <w:left w:val="none" w:sz="0" w:space="0" w:color="auto"/>
        <w:bottom w:val="none" w:sz="0" w:space="0" w:color="auto"/>
        <w:right w:val="none" w:sz="0" w:space="0" w:color="auto"/>
      </w:divBdr>
      <w:divsChild>
        <w:div w:id="662976932">
          <w:marLeft w:val="0"/>
          <w:marRight w:val="0"/>
          <w:marTop w:val="0"/>
          <w:marBottom w:val="0"/>
          <w:divBdr>
            <w:top w:val="none" w:sz="0" w:space="0" w:color="auto"/>
            <w:left w:val="none" w:sz="0" w:space="0" w:color="auto"/>
            <w:bottom w:val="none" w:sz="0" w:space="0" w:color="auto"/>
            <w:right w:val="none" w:sz="0" w:space="0" w:color="auto"/>
          </w:divBdr>
          <w:divsChild>
            <w:div w:id="18437747">
              <w:marLeft w:val="0"/>
              <w:marRight w:val="0"/>
              <w:marTop w:val="0"/>
              <w:marBottom w:val="0"/>
              <w:divBdr>
                <w:top w:val="none" w:sz="0" w:space="0" w:color="auto"/>
                <w:left w:val="none" w:sz="0" w:space="0" w:color="auto"/>
                <w:bottom w:val="none" w:sz="0" w:space="0" w:color="auto"/>
                <w:right w:val="none" w:sz="0" w:space="0" w:color="auto"/>
              </w:divBdr>
              <w:divsChild>
                <w:div w:id="628556196">
                  <w:marLeft w:val="0"/>
                  <w:marRight w:val="0"/>
                  <w:marTop w:val="0"/>
                  <w:marBottom w:val="0"/>
                  <w:divBdr>
                    <w:top w:val="none" w:sz="0" w:space="0" w:color="auto"/>
                    <w:left w:val="none" w:sz="0" w:space="0" w:color="auto"/>
                    <w:bottom w:val="none" w:sz="0" w:space="0" w:color="auto"/>
                    <w:right w:val="none" w:sz="0" w:space="0" w:color="auto"/>
                  </w:divBdr>
                  <w:divsChild>
                    <w:div w:id="18987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2105">
      <w:bodyDiv w:val="1"/>
      <w:marLeft w:val="0"/>
      <w:marRight w:val="0"/>
      <w:marTop w:val="0"/>
      <w:marBottom w:val="0"/>
      <w:divBdr>
        <w:top w:val="none" w:sz="0" w:space="0" w:color="auto"/>
        <w:left w:val="none" w:sz="0" w:space="0" w:color="auto"/>
        <w:bottom w:val="none" w:sz="0" w:space="0" w:color="auto"/>
        <w:right w:val="none" w:sz="0" w:space="0" w:color="auto"/>
      </w:divBdr>
    </w:div>
    <w:div w:id="1339389562">
      <w:bodyDiv w:val="1"/>
      <w:marLeft w:val="0"/>
      <w:marRight w:val="0"/>
      <w:marTop w:val="0"/>
      <w:marBottom w:val="0"/>
      <w:divBdr>
        <w:top w:val="none" w:sz="0" w:space="0" w:color="auto"/>
        <w:left w:val="none" w:sz="0" w:space="0" w:color="auto"/>
        <w:bottom w:val="none" w:sz="0" w:space="0" w:color="auto"/>
        <w:right w:val="none" w:sz="0" w:space="0" w:color="auto"/>
      </w:divBdr>
    </w:div>
    <w:div w:id="1364943295">
      <w:bodyDiv w:val="1"/>
      <w:marLeft w:val="0"/>
      <w:marRight w:val="0"/>
      <w:marTop w:val="0"/>
      <w:marBottom w:val="0"/>
      <w:divBdr>
        <w:top w:val="none" w:sz="0" w:space="0" w:color="auto"/>
        <w:left w:val="none" w:sz="0" w:space="0" w:color="auto"/>
        <w:bottom w:val="none" w:sz="0" w:space="0" w:color="auto"/>
        <w:right w:val="none" w:sz="0" w:space="0" w:color="auto"/>
      </w:divBdr>
    </w:div>
    <w:div w:id="1394238954">
      <w:bodyDiv w:val="1"/>
      <w:marLeft w:val="0"/>
      <w:marRight w:val="0"/>
      <w:marTop w:val="0"/>
      <w:marBottom w:val="0"/>
      <w:divBdr>
        <w:top w:val="none" w:sz="0" w:space="0" w:color="auto"/>
        <w:left w:val="none" w:sz="0" w:space="0" w:color="auto"/>
        <w:bottom w:val="none" w:sz="0" w:space="0" w:color="auto"/>
        <w:right w:val="none" w:sz="0" w:space="0" w:color="auto"/>
      </w:divBdr>
    </w:div>
    <w:div w:id="1402677317">
      <w:bodyDiv w:val="1"/>
      <w:marLeft w:val="0"/>
      <w:marRight w:val="0"/>
      <w:marTop w:val="0"/>
      <w:marBottom w:val="0"/>
      <w:divBdr>
        <w:top w:val="none" w:sz="0" w:space="0" w:color="auto"/>
        <w:left w:val="none" w:sz="0" w:space="0" w:color="auto"/>
        <w:bottom w:val="none" w:sz="0" w:space="0" w:color="auto"/>
        <w:right w:val="none" w:sz="0" w:space="0" w:color="auto"/>
      </w:divBdr>
    </w:div>
    <w:div w:id="1410694455">
      <w:bodyDiv w:val="1"/>
      <w:marLeft w:val="0"/>
      <w:marRight w:val="0"/>
      <w:marTop w:val="0"/>
      <w:marBottom w:val="0"/>
      <w:divBdr>
        <w:top w:val="none" w:sz="0" w:space="0" w:color="auto"/>
        <w:left w:val="none" w:sz="0" w:space="0" w:color="auto"/>
        <w:bottom w:val="none" w:sz="0" w:space="0" w:color="auto"/>
        <w:right w:val="none" w:sz="0" w:space="0" w:color="auto"/>
      </w:divBdr>
    </w:div>
    <w:div w:id="1410731221">
      <w:bodyDiv w:val="1"/>
      <w:marLeft w:val="0"/>
      <w:marRight w:val="0"/>
      <w:marTop w:val="0"/>
      <w:marBottom w:val="0"/>
      <w:divBdr>
        <w:top w:val="none" w:sz="0" w:space="0" w:color="auto"/>
        <w:left w:val="none" w:sz="0" w:space="0" w:color="auto"/>
        <w:bottom w:val="none" w:sz="0" w:space="0" w:color="auto"/>
        <w:right w:val="none" w:sz="0" w:space="0" w:color="auto"/>
      </w:divBdr>
      <w:divsChild>
        <w:div w:id="1925600134">
          <w:marLeft w:val="446"/>
          <w:marRight w:val="0"/>
          <w:marTop w:val="432"/>
          <w:marBottom w:val="0"/>
          <w:divBdr>
            <w:top w:val="none" w:sz="0" w:space="0" w:color="auto"/>
            <w:left w:val="none" w:sz="0" w:space="0" w:color="auto"/>
            <w:bottom w:val="none" w:sz="0" w:space="0" w:color="auto"/>
            <w:right w:val="none" w:sz="0" w:space="0" w:color="auto"/>
          </w:divBdr>
        </w:div>
      </w:divsChild>
    </w:div>
    <w:div w:id="1419012952">
      <w:bodyDiv w:val="1"/>
      <w:marLeft w:val="0"/>
      <w:marRight w:val="0"/>
      <w:marTop w:val="0"/>
      <w:marBottom w:val="0"/>
      <w:divBdr>
        <w:top w:val="none" w:sz="0" w:space="0" w:color="auto"/>
        <w:left w:val="none" w:sz="0" w:space="0" w:color="auto"/>
        <w:bottom w:val="none" w:sz="0" w:space="0" w:color="auto"/>
        <w:right w:val="none" w:sz="0" w:space="0" w:color="auto"/>
      </w:divBdr>
      <w:divsChild>
        <w:div w:id="1222599382">
          <w:marLeft w:val="0"/>
          <w:marRight w:val="0"/>
          <w:marTop w:val="0"/>
          <w:marBottom w:val="0"/>
          <w:divBdr>
            <w:top w:val="none" w:sz="0" w:space="0" w:color="auto"/>
            <w:left w:val="none" w:sz="0" w:space="0" w:color="auto"/>
            <w:bottom w:val="none" w:sz="0" w:space="0" w:color="auto"/>
            <w:right w:val="none" w:sz="0" w:space="0" w:color="auto"/>
          </w:divBdr>
          <w:divsChild>
            <w:div w:id="172113216">
              <w:marLeft w:val="0"/>
              <w:marRight w:val="0"/>
              <w:marTop w:val="0"/>
              <w:marBottom w:val="0"/>
              <w:divBdr>
                <w:top w:val="none" w:sz="0" w:space="0" w:color="auto"/>
                <w:left w:val="none" w:sz="0" w:space="0" w:color="auto"/>
                <w:bottom w:val="none" w:sz="0" w:space="0" w:color="auto"/>
                <w:right w:val="none" w:sz="0" w:space="0" w:color="auto"/>
              </w:divBdr>
              <w:divsChild>
                <w:div w:id="13235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87087">
      <w:bodyDiv w:val="1"/>
      <w:marLeft w:val="0"/>
      <w:marRight w:val="0"/>
      <w:marTop w:val="0"/>
      <w:marBottom w:val="0"/>
      <w:divBdr>
        <w:top w:val="none" w:sz="0" w:space="0" w:color="auto"/>
        <w:left w:val="none" w:sz="0" w:space="0" w:color="auto"/>
        <w:bottom w:val="none" w:sz="0" w:space="0" w:color="auto"/>
        <w:right w:val="none" w:sz="0" w:space="0" w:color="auto"/>
      </w:divBdr>
    </w:div>
    <w:div w:id="1433819103">
      <w:bodyDiv w:val="1"/>
      <w:marLeft w:val="0"/>
      <w:marRight w:val="0"/>
      <w:marTop w:val="0"/>
      <w:marBottom w:val="0"/>
      <w:divBdr>
        <w:top w:val="none" w:sz="0" w:space="0" w:color="auto"/>
        <w:left w:val="none" w:sz="0" w:space="0" w:color="auto"/>
        <w:bottom w:val="none" w:sz="0" w:space="0" w:color="auto"/>
        <w:right w:val="none" w:sz="0" w:space="0" w:color="auto"/>
      </w:divBdr>
      <w:divsChild>
        <w:div w:id="1253204477">
          <w:marLeft w:val="0"/>
          <w:marRight w:val="0"/>
          <w:marTop w:val="0"/>
          <w:marBottom w:val="0"/>
          <w:divBdr>
            <w:top w:val="none" w:sz="0" w:space="0" w:color="auto"/>
            <w:left w:val="none" w:sz="0" w:space="0" w:color="auto"/>
            <w:bottom w:val="none" w:sz="0" w:space="0" w:color="auto"/>
            <w:right w:val="none" w:sz="0" w:space="0" w:color="auto"/>
          </w:divBdr>
          <w:divsChild>
            <w:div w:id="22755327">
              <w:marLeft w:val="0"/>
              <w:marRight w:val="0"/>
              <w:marTop w:val="0"/>
              <w:marBottom w:val="0"/>
              <w:divBdr>
                <w:top w:val="none" w:sz="0" w:space="0" w:color="auto"/>
                <w:left w:val="none" w:sz="0" w:space="0" w:color="auto"/>
                <w:bottom w:val="none" w:sz="0" w:space="0" w:color="auto"/>
                <w:right w:val="none" w:sz="0" w:space="0" w:color="auto"/>
              </w:divBdr>
              <w:divsChild>
                <w:div w:id="13456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4584">
      <w:bodyDiv w:val="1"/>
      <w:marLeft w:val="0"/>
      <w:marRight w:val="0"/>
      <w:marTop w:val="0"/>
      <w:marBottom w:val="0"/>
      <w:divBdr>
        <w:top w:val="none" w:sz="0" w:space="0" w:color="auto"/>
        <w:left w:val="none" w:sz="0" w:space="0" w:color="auto"/>
        <w:bottom w:val="none" w:sz="0" w:space="0" w:color="auto"/>
        <w:right w:val="none" w:sz="0" w:space="0" w:color="auto"/>
      </w:divBdr>
    </w:div>
    <w:div w:id="1443693291">
      <w:bodyDiv w:val="1"/>
      <w:marLeft w:val="0"/>
      <w:marRight w:val="0"/>
      <w:marTop w:val="0"/>
      <w:marBottom w:val="0"/>
      <w:divBdr>
        <w:top w:val="none" w:sz="0" w:space="0" w:color="auto"/>
        <w:left w:val="none" w:sz="0" w:space="0" w:color="auto"/>
        <w:bottom w:val="none" w:sz="0" w:space="0" w:color="auto"/>
        <w:right w:val="none" w:sz="0" w:space="0" w:color="auto"/>
      </w:divBdr>
    </w:div>
    <w:div w:id="1448231526">
      <w:bodyDiv w:val="1"/>
      <w:marLeft w:val="0"/>
      <w:marRight w:val="0"/>
      <w:marTop w:val="0"/>
      <w:marBottom w:val="0"/>
      <w:divBdr>
        <w:top w:val="none" w:sz="0" w:space="0" w:color="auto"/>
        <w:left w:val="none" w:sz="0" w:space="0" w:color="auto"/>
        <w:bottom w:val="none" w:sz="0" w:space="0" w:color="auto"/>
        <w:right w:val="none" w:sz="0" w:space="0" w:color="auto"/>
      </w:divBdr>
    </w:div>
    <w:div w:id="1461456202">
      <w:bodyDiv w:val="1"/>
      <w:marLeft w:val="0"/>
      <w:marRight w:val="0"/>
      <w:marTop w:val="0"/>
      <w:marBottom w:val="0"/>
      <w:divBdr>
        <w:top w:val="none" w:sz="0" w:space="0" w:color="auto"/>
        <w:left w:val="none" w:sz="0" w:space="0" w:color="auto"/>
        <w:bottom w:val="none" w:sz="0" w:space="0" w:color="auto"/>
        <w:right w:val="none" w:sz="0" w:space="0" w:color="auto"/>
      </w:divBdr>
    </w:div>
    <w:div w:id="1466237657">
      <w:bodyDiv w:val="1"/>
      <w:marLeft w:val="0"/>
      <w:marRight w:val="0"/>
      <w:marTop w:val="0"/>
      <w:marBottom w:val="0"/>
      <w:divBdr>
        <w:top w:val="none" w:sz="0" w:space="0" w:color="auto"/>
        <w:left w:val="none" w:sz="0" w:space="0" w:color="auto"/>
        <w:bottom w:val="none" w:sz="0" w:space="0" w:color="auto"/>
        <w:right w:val="none" w:sz="0" w:space="0" w:color="auto"/>
      </w:divBdr>
      <w:divsChild>
        <w:div w:id="903444978">
          <w:marLeft w:val="245"/>
          <w:marRight w:val="0"/>
          <w:marTop w:val="54"/>
          <w:marBottom w:val="0"/>
          <w:divBdr>
            <w:top w:val="none" w:sz="0" w:space="0" w:color="auto"/>
            <w:left w:val="none" w:sz="0" w:space="0" w:color="auto"/>
            <w:bottom w:val="none" w:sz="0" w:space="0" w:color="auto"/>
            <w:right w:val="none" w:sz="0" w:space="0" w:color="auto"/>
          </w:divBdr>
        </w:div>
      </w:divsChild>
    </w:div>
    <w:div w:id="1471096752">
      <w:bodyDiv w:val="1"/>
      <w:marLeft w:val="0"/>
      <w:marRight w:val="0"/>
      <w:marTop w:val="0"/>
      <w:marBottom w:val="0"/>
      <w:divBdr>
        <w:top w:val="none" w:sz="0" w:space="0" w:color="auto"/>
        <w:left w:val="none" w:sz="0" w:space="0" w:color="auto"/>
        <w:bottom w:val="none" w:sz="0" w:space="0" w:color="auto"/>
        <w:right w:val="none" w:sz="0" w:space="0" w:color="auto"/>
      </w:divBdr>
    </w:div>
    <w:div w:id="1475835438">
      <w:bodyDiv w:val="1"/>
      <w:marLeft w:val="0"/>
      <w:marRight w:val="0"/>
      <w:marTop w:val="0"/>
      <w:marBottom w:val="0"/>
      <w:divBdr>
        <w:top w:val="none" w:sz="0" w:space="0" w:color="auto"/>
        <w:left w:val="none" w:sz="0" w:space="0" w:color="auto"/>
        <w:bottom w:val="none" w:sz="0" w:space="0" w:color="auto"/>
        <w:right w:val="none" w:sz="0" w:space="0" w:color="auto"/>
      </w:divBdr>
    </w:div>
    <w:div w:id="1484854287">
      <w:bodyDiv w:val="1"/>
      <w:marLeft w:val="0"/>
      <w:marRight w:val="0"/>
      <w:marTop w:val="0"/>
      <w:marBottom w:val="0"/>
      <w:divBdr>
        <w:top w:val="none" w:sz="0" w:space="0" w:color="auto"/>
        <w:left w:val="none" w:sz="0" w:space="0" w:color="auto"/>
        <w:bottom w:val="none" w:sz="0" w:space="0" w:color="auto"/>
        <w:right w:val="none" w:sz="0" w:space="0" w:color="auto"/>
      </w:divBdr>
      <w:divsChild>
        <w:div w:id="1763837395">
          <w:marLeft w:val="547"/>
          <w:marRight w:val="0"/>
          <w:marTop w:val="432"/>
          <w:marBottom w:val="0"/>
          <w:divBdr>
            <w:top w:val="none" w:sz="0" w:space="0" w:color="auto"/>
            <w:left w:val="none" w:sz="0" w:space="0" w:color="auto"/>
            <w:bottom w:val="none" w:sz="0" w:space="0" w:color="auto"/>
            <w:right w:val="none" w:sz="0" w:space="0" w:color="auto"/>
          </w:divBdr>
        </w:div>
        <w:div w:id="321273225">
          <w:marLeft w:val="547"/>
          <w:marRight w:val="0"/>
          <w:marTop w:val="432"/>
          <w:marBottom w:val="0"/>
          <w:divBdr>
            <w:top w:val="none" w:sz="0" w:space="0" w:color="auto"/>
            <w:left w:val="none" w:sz="0" w:space="0" w:color="auto"/>
            <w:bottom w:val="none" w:sz="0" w:space="0" w:color="auto"/>
            <w:right w:val="none" w:sz="0" w:space="0" w:color="auto"/>
          </w:divBdr>
        </w:div>
      </w:divsChild>
    </w:div>
    <w:div w:id="1486967671">
      <w:bodyDiv w:val="1"/>
      <w:marLeft w:val="0"/>
      <w:marRight w:val="0"/>
      <w:marTop w:val="0"/>
      <w:marBottom w:val="0"/>
      <w:divBdr>
        <w:top w:val="none" w:sz="0" w:space="0" w:color="auto"/>
        <w:left w:val="none" w:sz="0" w:space="0" w:color="auto"/>
        <w:bottom w:val="none" w:sz="0" w:space="0" w:color="auto"/>
        <w:right w:val="none" w:sz="0" w:space="0" w:color="auto"/>
      </w:divBdr>
    </w:div>
    <w:div w:id="1490558131">
      <w:bodyDiv w:val="1"/>
      <w:marLeft w:val="0"/>
      <w:marRight w:val="0"/>
      <w:marTop w:val="0"/>
      <w:marBottom w:val="0"/>
      <w:divBdr>
        <w:top w:val="none" w:sz="0" w:space="0" w:color="auto"/>
        <w:left w:val="none" w:sz="0" w:space="0" w:color="auto"/>
        <w:bottom w:val="none" w:sz="0" w:space="0" w:color="auto"/>
        <w:right w:val="none" w:sz="0" w:space="0" w:color="auto"/>
      </w:divBdr>
    </w:div>
    <w:div w:id="1495492059">
      <w:bodyDiv w:val="1"/>
      <w:marLeft w:val="0"/>
      <w:marRight w:val="0"/>
      <w:marTop w:val="0"/>
      <w:marBottom w:val="0"/>
      <w:divBdr>
        <w:top w:val="none" w:sz="0" w:space="0" w:color="auto"/>
        <w:left w:val="none" w:sz="0" w:space="0" w:color="auto"/>
        <w:bottom w:val="none" w:sz="0" w:space="0" w:color="auto"/>
        <w:right w:val="none" w:sz="0" w:space="0" w:color="auto"/>
      </w:divBdr>
    </w:div>
    <w:div w:id="1507940861">
      <w:bodyDiv w:val="1"/>
      <w:marLeft w:val="0"/>
      <w:marRight w:val="0"/>
      <w:marTop w:val="0"/>
      <w:marBottom w:val="0"/>
      <w:divBdr>
        <w:top w:val="none" w:sz="0" w:space="0" w:color="auto"/>
        <w:left w:val="none" w:sz="0" w:space="0" w:color="auto"/>
        <w:bottom w:val="none" w:sz="0" w:space="0" w:color="auto"/>
        <w:right w:val="none" w:sz="0" w:space="0" w:color="auto"/>
      </w:divBdr>
    </w:div>
    <w:div w:id="1510755368">
      <w:bodyDiv w:val="1"/>
      <w:marLeft w:val="0"/>
      <w:marRight w:val="0"/>
      <w:marTop w:val="0"/>
      <w:marBottom w:val="0"/>
      <w:divBdr>
        <w:top w:val="none" w:sz="0" w:space="0" w:color="auto"/>
        <w:left w:val="none" w:sz="0" w:space="0" w:color="auto"/>
        <w:bottom w:val="none" w:sz="0" w:space="0" w:color="auto"/>
        <w:right w:val="none" w:sz="0" w:space="0" w:color="auto"/>
      </w:divBdr>
    </w:div>
    <w:div w:id="1517159224">
      <w:bodyDiv w:val="1"/>
      <w:marLeft w:val="0"/>
      <w:marRight w:val="0"/>
      <w:marTop w:val="0"/>
      <w:marBottom w:val="0"/>
      <w:divBdr>
        <w:top w:val="none" w:sz="0" w:space="0" w:color="auto"/>
        <w:left w:val="none" w:sz="0" w:space="0" w:color="auto"/>
        <w:bottom w:val="none" w:sz="0" w:space="0" w:color="auto"/>
        <w:right w:val="none" w:sz="0" w:space="0" w:color="auto"/>
      </w:divBdr>
      <w:divsChild>
        <w:div w:id="1075779094">
          <w:marLeft w:val="0"/>
          <w:marRight w:val="0"/>
          <w:marTop w:val="0"/>
          <w:marBottom w:val="0"/>
          <w:divBdr>
            <w:top w:val="none" w:sz="0" w:space="0" w:color="auto"/>
            <w:left w:val="none" w:sz="0" w:space="0" w:color="auto"/>
            <w:bottom w:val="none" w:sz="0" w:space="0" w:color="auto"/>
            <w:right w:val="none" w:sz="0" w:space="0" w:color="auto"/>
          </w:divBdr>
          <w:divsChild>
            <w:div w:id="2034764375">
              <w:marLeft w:val="0"/>
              <w:marRight w:val="0"/>
              <w:marTop w:val="0"/>
              <w:marBottom w:val="0"/>
              <w:divBdr>
                <w:top w:val="none" w:sz="0" w:space="0" w:color="auto"/>
                <w:left w:val="none" w:sz="0" w:space="0" w:color="auto"/>
                <w:bottom w:val="none" w:sz="0" w:space="0" w:color="auto"/>
                <w:right w:val="none" w:sz="0" w:space="0" w:color="auto"/>
              </w:divBdr>
              <w:divsChild>
                <w:div w:id="970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1840">
      <w:bodyDiv w:val="1"/>
      <w:marLeft w:val="0"/>
      <w:marRight w:val="0"/>
      <w:marTop w:val="0"/>
      <w:marBottom w:val="0"/>
      <w:divBdr>
        <w:top w:val="none" w:sz="0" w:space="0" w:color="auto"/>
        <w:left w:val="none" w:sz="0" w:space="0" w:color="auto"/>
        <w:bottom w:val="none" w:sz="0" w:space="0" w:color="auto"/>
        <w:right w:val="none" w:sz="0" w:space="0" w:color="auto"/>
      </w:divBdr>
    </w:div>
    <w:div w:id="1519197274">
      <w:bodyDiv w:val="1"/>
      <w:marLeft w:val="0"/>
      <w:marRight w:val="0"/>
      <w:marTop w:val="0"/>
      <w:marBottom w:val="0"/>
      <w:divBdr>
        <w:top w:val="none" w:sz="0" w:space="0" w:color="auto"/>
        <w:left w:val="none" w:sz="0" w:space="0" w:color="auto"/>
        <w:bottom w:val="none" w:sz="0" w:space="0" w:color="auto"/>
        <w:right w:val="none" w:sz="0" w:space="0" w:color="auto"/>
      </w:divBdr>
    </w:div>
    <w:div w:id="1529174489">
      <w:bodyDiv w:val="1"/>
      <w:marLeft w:val="0"/>
      <w:marRight w:val="0"/>
      <w:marTop w:val="0"/>
      <w:marBottom w:val="0"/>
      <w:divBdr>
        <w:top w:val="none" w:sz="0" w:space="0" w:color="auto"/>
        <w:left w:val="none" w:sz="0" w:space="0" w:color="auto"/>
        <w:bottom w:val="none" w:sz="0" w:space="0" w:color="auto"/>
        <w:right w:val="none" w:sz="0" w:space="0" w:color="auto"/>
      </w:divBdr>
      <w:divsChild>
        <w:div w:id="1353609109">
          <w:marLeft w:val="0"/>
          <w:marRight w:val="0"/>
          <w:marTop w:val="0"/>
          <w:marBottom w:val="0"/>
          <w:divBdr>
            <w:top w:val="none" w:sz="0" w:space="0" w:color="auto"/>
            <w:left w:val="none" w:sz="0" w:space="0" w:color="auto"/>
            <w:bottom w:val="none" w:sz="0" w:space="0" w:color="auto"/>
            <w:right w:val="none" w:sz="0" w:space="0" w:color="auto"/>
          </w:divBdr>
          <w:divsChild>
            <w:div w:id="907156484">
              <w:marLeft w:val="0"/>
              <w:marRight w:val="0"/>
              <w:marTop w:val="0"/>
              <w:marBottom w:val="0"/>
              <w:divBdr>
                <w:top w:val="none" w:sz="0" w:space="0" w:color="auto"/>
                <w:left w:val="none" w:sz="0" w:space="0" w:color="auto"/>
                <w:bottom w:val="none" w:sz="0" w:space="0" w:color="auto"/>
                <w:right w:val="none" w:sz="0" w:space="0" w:color="auto"/>
              </w:divBdr>
              <w:divsChild>
                <w:div w:id="2020038840">
                  <w:marLeft w:val="0"/>
                  <w:marRight w:val="0"/>
                  <w:marTop w:val="0"/>
                  <w:marBottom w:val="0"/>
                  <w:divBdr>
                    <w:top w:val="none" w:sz="0" w:space="0" w:color="auto"/>
                    <w:left w:val="none" w:sz="0" w:space="0" w:color="auto"/>
                    <w:bottom w:val="none" w:sz="0" w:space="0" w:color="auto"/>
                    <w:right w:val="none" w:sz="0" w:space="0" w:color="auto"/>
                  </w:divBdr>
                  <w:divsChild>
                    <w:div w:id="11687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60480">
      <w:bodyDiv w:val="1"/>
      <w:marLeft w:val="0"/>
      <w:marRight w:val="0"/>
      <w:marTop w:val="0"/>
      <w:marBottom w:val="0"/>
      <w:divBdr>
        <w:top w:val="none" w:sz="0" w:space="0" w:color="auto"/>
        <w:left w:val="none" w:sz="0" w:space="0" w:color="auto"/>
        <w:bottom w:val="none" w:sz="0" w:space="0" w:color="auto"/>
        <w:right w:val="none" w:sz="0" w:space="0" w:color="auto"/>
      </w:divBdr>
      <w:divsChild>
        <w:div w:id="141434437">
          <w:marLeft w:val="0"/>
          <w:marRight w:val="0"/>
          <w:marTop w:val="0"/>
          <w:marBottom w:val="0"/>
          <w:divBdr>
            <w:top w:val="none" w:sz="0" w:space="0" w:color="auto"/>
            <w:left w:val="none" w:sz="0" w:space="0" w:color="auto"/>
            <w:bottom w:val="none" w:sz="0" w:space="0" w:color="auto"/>
            <w:right w:val="none" w:sz="0" w:space="0" w:color="auto"/>
          </w:divBdr>
          <w:divsChild>
            <w:div w:id="24792340">
              <w:marLeft w:val="0"/>
              <w:marRight w:val="0"/>
              <w:marTop w:val="0"/>
              <w:marBottom w:val="0"/>
              <w:divBdr>
                <w:top w:val="none" w:sz="0" w:space="0" w:color="auto"/>
                <w:left w:val="none" w:sz="0" w:space="0" w:color="auto"/>
                <w:bottom w:val="none" w:sz="0" w:space="0" w:color="auto"/>
                <w:right w:val="none" w:sz="0" w:space="0" w:color="auto"/>
              </w:divBdr>
              <w:divsChild>
                <w:div w:id="17974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9028">
      <w:bodyDiv w:val="1"/>
      <w:marLeft w:val="0"/>
      <w:marRight w:val="0"/>
      <w:marTop w:val="0"/>
      <w:marBottom w:val="0"/>
      <w:divBdr>
        <w:top w:val="none" w:sz="0" w:space="0" w:color="auto"/>
        <w:left w:val="none" w:sz="0" w:space="0" w:color="auto"/>
        <w:bottom w:val="none" w:sz="0" w:space="0" w:color="auto"/>
        <w:right w:val="none" w:sz="0" w:space="0" w:color="auto"/>
      </w:divBdr>
    </w:div>
    <w:div w:id="1557280288">
      <w:bodyDiv w:val="1"/>
      <w:marLeft w:val="0"/>
      <w:marRight w:val="0"/>
      <w:marTop w:val="0"/>
      <w:marBottom w:val="0"/>
      <w:divBdr>
        <w:top w:val="none" w:sz="0" w:space="0" w:color="auto"/>
        <w:left w:val="none" w:sz="0" w:space="0" w:color="auto"/>
        <w:bottom w:val="none" w:sz="0" w:space="0" w:color="auto"/>
        <w:right w:val="none" w:sz="0" w:space="0" w:color="auto"/>
      </w:divBdr>
      <w:divsChild>
        <w:div w:id="1317998238">
          <w:marLeft w:val="0"/>
          <w:marRight w:val="0"/>
          <w:marTop w:val="0"/>
          <w:marBottom w:val="0"/>
          <w:divBdr>
            <w:top w:val="none" w:sz="0" w:space="0" w:color="auto"/>
            <w:left w:val="none" w:sz="0" w:space="0" w:color="auto"/>
            <w:bottom w:val="none" w:sz="0" w:space="0" w:color="auto"/>
            <w:right w:val="none" w:sz="0" w:space="0" w:color="auto"/>
          </w:divBdr>
          <w:divsChild>
            <w:div w:id="573392926">
              <w:marLeft w:val="0"/>
              <w:marRight w:val="0"/>
              <w:marTop w:val="0"/>
              <w:marBottom w:val="0"/>
              <w:divBdr>
                <w:top w:val="none" w:sz="0" w:space="0" w:color="auto"/>
                <w:left w:val="none" w:sz="0" w:space="0" w:color="auto"/>
                <w:bottom w:val="none" w:sz="0" w:space="0" w:color="auto"/>
                <w:right w:val="none" w:sz="0" w:space="0" w:color="auto"/>
              </w:divBdr>
              <w:divsChild>
                <w:div w:id="1103959019">
                  <w:marLeft w:val="0"/>
                  <w:marRight w:val="0"/>
                  <w:marTop w:val="0"/>
                  <w:marBottom w:val="0"/>
                  <w:divBdr>
                    <w:top w:val="none" w:sz="0" w:space="0" w:color="auto"/>
                    <w:left w:val="none" w:sz="0" w:space="0" w:color="auto"/>
                    <w:bottom w:val="none" w:sz="0" w:space="0" w:color="auto"/>
                    <w:right w:val="none" w:sz="0" w:space="0" w:color="auto"/>
                  </w:divBdr>
                  <w:divsChild>
                    <w:div w:id="20222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39728">
      <w:bodyDiv w:val="1"/>
      <w:marLeft w:val="0"/>
      <w:marRight w:val="0"/>
      <w:marTop w:val="0"/>
      <w:marBottom w:val="0"/>
      <w:divBdr>
        <w:top w:val="none" w:sz="0" w:space="0" w:color="auto"/>
        <w:left w:val="none" w:sz="0" w:space="0" w:color="auto"/>
        <w:bottom w:val="none" w:sz="0" w:space="0" w:color="auto"/>
        <w:right w:val="none" w:sz="0" w:space="0" w:color="auto"/>
      </w:divBdr>
    </w:div>
    <w:div w:id="1567761609">
      <w:bodyDiv w:val="1"/>
      <w:marLeft w:val="0"/>
      <w:marRight w:val="0"/>
      <w:marTop w:val="0"/>
      <w:marBottom w:val="0"/>
      <w:divBdr>
        <w:top w:val="none" w:sz="0" w:space="0" w:color="auto"/>
        <w:left w:val="none" w:sz="0" w:space="0" w:color="auto"/>
        <w:bottom w:val="none" w:sz="0" w:space="0" w:color="auto"/>
        <w:right w:val="none" w:sz="0" w:space="0" w:color="auto"/>
      </w:divBdr>
    </w:div>
    <w:div w:id="1599750798">
      <w:bodyDiv w:val="1"/>
      <w:marLeft w:val="0"/>
      <w:marRight w:val="0"/>
      <w:marTop w:val="0"/>
      <w:marBottom w:val="0"/>
      <w:divBdr>
        <w:top w:val="none" w:sz="0" w:space="0" w:color="auto"/>
        <w:left w:val="none" w:sz="0" w:space="0" w:color="auto"/>
        <w:bottom w:val="none" w:sz="0" w:space="0" w:color="auto"/>
        <w:right w:val="none" w:sz="0" w:space="0" w:color="auto"/>
      </w:divBdr>
      <w:divsChild>
        <w:div w:id="25061746">
          <w:marLeft w:val="0"/>
          <w:marRight w:val="0"/>
          <w:marTop w:val="0"/>
          <w:marBottom w:val="0"/>
          <w:divBdr>
            <w:top w:val="none" w:sz="0" w:space="0" w:color="auto"/>
            <w:left w:val="none" w:sz="0" w:space="0" w:color="auto"/>
            <w:bottom w:val="none" w:sz="0" w:space="0" w:color="auto"/>
            <w:right w:val="none" w:sz="0" w:space="0" w:color="auto"/>
          </w:divBdr>
        </w:div>
      </w:divsChild>
    </w:div>
    <w:div w:id="1610622882">
      <w:bodyDiv w:val="1"/>
      <w:marLeft w:val="0"/>
      <w:marRight w:val="0"/>
      <w:marTop w:val="0"/>
      <w:marBottom w:val="0"/>
      <w:divBdr>
        <w:top w:val="none" w:sz="0" w:space="0" w:color="auto"/>
        <w:left w:val="none" w:sz="0" w:space="0" w:color="auto"/>
        <w:bottom w:val="none" w:sz="0" w:space="0" w:color="auto"/>
        <w:right w:val="none" w:sz="0" w:space="0" w:color="auto"/>
      </w:divBdr>
      <w:divsChild>
        <w:div w:id="216400722">
          <w:marLeft w:val="0"/>
          <w:marRight w:val="0"/>
          <w:marTop w:val="0"/>
          <w:marBottom w:val="0"/>
          <w:divBdr>
            <w:top w:val="none" w:sz="0" w:space="0" w:color="auto"/>
            <w:left w:val="none" w:sz="0" w:space="0" w:color="auto"/>
            <w:bottom w:val="none" w:sz="0" w:space="0" w:color="auto"/>
            <w:right w:val="none" w:sz="0" w:space="0" w:color="auto"/>
          </w:divBdr>
          <w:divsChild>
            <w:div w:id="230116614">
              <w:marLeft w:val="0"/>
              <w:marRight w:val="0"/>
              <w:marTop w:val="0"/>
              <w:marBottom w:val="0"/>
              <w:divBdr>
                <w:top w:val="none" w:sz="0" w:space="0" w:color="auto"/>
                <w:left w:val="none" w:sz="0" w:space="0" w:color="auto"/>
                <w:bottom w:val="none" w:sz="0" w:space="0" w:color="auto"/>
                <w:right w:val="none" w:sz="0" w:space="0" w:color="auto"/>
              </w:divBdr>
              <w:divsChild>
                <w:div w:id="1455976806">
                  <w:marLeft w:val="0"/>
                  <w:marRight w:val="0"/>
                  <w:marTop w:val="0"/>
                  <w:marBottom w:val="0"/>
                  <w:divBdr>
                    <w:top w:val="none" w:sz="0" w:space="0" w:color="auto"/>
                    <w:left w:val="none" w:sz="0" w:space="0" w:color="auto"/>
                    <w:bottom w:val="none" w:sz="0" w:space="0" w:color="auto"/>
                    <w:right w:val="none" w:sz="0" w:space="0" w:color="auto"/>
                  </w:divBdr>
                  <w:divsChild>
                    <w:div w:id="355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28405">
      <w:bodyDiv w:val="1"/>
      <w:marLeft w:val="0"/>
      <w:marRight w:val="0"/>
      <w:marTop w:val="0"/>
      <w:marBottom w:val="0"/>
      <w:divBdr>
        <w:top w:val="none" w:sz="0" w:space="0" w:color="auto"/>
        <w:left w:val="none" w:sz="0" w:space="0" w:color="auto"/>
        <w:bottom w:val="none" w:sz="0" w:space="0" w:color="auto"/>
        <w:right w:val="none" w:sz="0" w:space="0" w:color="auto"/>
      </w:divBdr>
    </w:div>
    <w:div w:id="1656953975">
      <w:bodyDiv w:val="1"/>
      <w:marLeft w:val="0"/>
      <w:marRight w:val="0"/>
      <w:marTop w:val="0"/>
      <w:marBottom w:val="0"/>
      <w:divBdr>
        <w:top w:val="none" w:sz="0" w:space="0" w:color="auto"/>
        <w:left w:val="none" w:sz="0" w:space="0" w:color="auto"/>
        <w:bottom w:val="none" w:sz="0" w:space="0" w:color="auto"/>
        <w:right w:val="none" w:sz="0" w:space="0" w:color="auto"/>
      </w:divBdr>
    </w:div>
    <w:div w:id="1657756752">
      <w:bodyDiv w:val="1"/>
      <w:marLeft w:val="0"/>
      <w:marRight w:val="0"/>
      <w:marTop w:val="0"/>
      <w:marBottom w:val="0"/>
      <w:divBdr>
        <w:top w:val="none" w:sz="0" w:space="0" w:color="auto"/>
        <w:left w:val="none" w:sz="0" w:space="0" w:color="auto"/>
        <w:bottom w:val="none" w:sz="0" w:space="0" w:color="auto"/>
        <w:right w:val="none" w:sz="0" w:space="0" w:color="auto"/>
      </w:divBdr>
    </w:div>
    <w:div w:id="1664160626">
      <w:bodyDiv w:val="1"/>
      <w:marLeft w:val="0"/>
      <w:marRight w:val="0"/>
      <w:marTop w:val="0"/>
      <w:marBottom w:val="0"/>
      <w:divBdr>
        <w:top w:val="none" w:sz="0" w:space="0" w:color="auto"/>
        <w:left w:val="none" w:sz="0" w:space="0" w:color="auto"/>
        <w:bottom w:val="none" w:sz="0" w:space="0" w:color="auto"/>
        <w:right w:val="none" w:sz="0" w:space="0" w:color="auto"/>
      </w:divBdr>
      <w:divsChild>
        <w:div w:id="2040935391">
          <w:marLeft w:val="0"/>
          <w:marRight w:val="0"/>
          <w:marTop w:val="0"/>
          <w:marBottom w:val="150"/>
          <w:divBdr>
            <w:top w:val="none" w:sz="0" w:space="0" w:color="auto"/>
            <w:left w:val="none" w:sz="0" w:space="0" w:color="auto"/>
            <w:bottom w:val="none" w:sz="0" w:space="0" w:color="auto"/>
            <w:right w:val="none" w:sz="0" w:space="0" w:color="auto"/>
          </w:divBdr>
        </w:div>
        <w:div w:id="400758828">
          <w:marLeft w:val="0"/>
          <w:marRight w:val="0"/>
          <w:marTop w:val="0"/>
          <w:marBottom w:val="210"/>
          <w:divBdr>
            <w:top w:val="none" w:sz="0" w:space="0" w:color="auto"/>
            <w:left w:val="none" w:sz="0" w:space="0" w:color="auto"/>
            <w:bottom w:val="none" w:sz="0" w:space="0" w:color="auto"/>
            <w:right w:val="none" w:sz="0" w:space="0" w:color="auto"/>
          </w:divBdr>
        </w:div>
      </w:divsChild>
    </w:div>
    <w:div w:id="1672373791">
      <w:bodyDiv w:val="1"/>
      <w:marLeft w:val="0"/>
      <w:marRight w:val="0"/>
      <w:marTop w:val="0"/>
      <w:marBottom w:val="0"/>
      <w:divBdr>
        <w:top w:val="none" w:sz="0" w:space="0" w:color="auto"/>
        <w:left w:val="none" w:sz="0" w:space="0" w:color="auto"/>
        <w:bottom w:val="none" w:sz="0" w:space="0" w:color="auto"/>
        <w:right w:val="none" w:sz="0" w:space="0" w:color="auto"/>
      </w:divBdr>
      <w:divsChild>
        <w:div w:id="1576554571">
          <w:marLeft w:val="0"/>
          <w:marRight w:val="0"/>
          <w:marTop w:val="0"/>
          <w:marBottom w:val="0"/>
          <w:divBdr>
            <w:top w:val="none" w:sz="0" w:space="0" w:color="auto"/>
            <w:left w:val="none" w:sz="0" w:space="0" w:color="auto"/>
            <w:bottom w:val="none" w:sz="0" w:space="0" w:color="auto"/>
            <w:right w:val="none" w:sz="0" w:space="0" w:color="auto"/>
          </w:divBdr>
          <w:divsChild>
            <w:div w:id="860824457">
              <w:marLeft w:val="0"/>
              <w:marRight w:val="0"/>
              <w:marTop w:val="0"/>
              <w:marBottom w:val="0"/>
              <w:divBdr>
                <w:top w:val="none" w:sz="0" w:space="0" w:color="auto"/>
                <w:left w:val="none" w:sz="0" w:space="0" w:color="auto"/>
                <w:bottom w:val="none" w:sz="0" w:space="0" w:color="auto"/>
                <w:right w:val="none" w:sz="0" w:space="0" w:color="auto"/>
              </w:divBdr>
              <w:divsChild>
                <w:div w:id="1669478599">
                  <w:marLeft w:val="0"/>
                  <w:marRight w:val="0"/>
                  <w:marTop w:val="0"/>
                  <w:marBottom w:val="0"/>
                  <w:divBdr>
                    <w:top w:val="none" w:sz="0" w:space="0" w:color="auto"/>
                    <w:left w:val="none" w:sz="0" w:space="0" w:color="auto"/>
                    <w:bottom w:val="none" w:sz="0" w:space="0" w:color="auto"/>
                    <w:right w:val="none" w:sz="0" w:space="0" w:color="auto"/>
                  </w:divBdr>
                  <w:divsChild>
                    <w:div w:id="11417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46716">
      <w:bodyDiv w:val="1"/>
      <w:marLeft w:val="0"/>
      <w:marRight w:val="0"/>
      <w:marTop w:val="0"/>
      <w:marBottom w:val="0"/>
      <w:divBdr>
        <w:top w:val="none" w:sz="0" w:space="0" w:color="auto"/>
        <w:left w:val="none" w:sz="0" w:space="0" w:color="auto"/>
        <w:bottom w:val="none" w:sz="0" w:space="0" w:color="auto"/>
        <w:right w:val="none" w:sz="0" w:space="0" w:color="auto"/>
      </w:divBdr>
      <w:divsChild>
        <w:div w:id="1705213029">
          <w:marLeft w:val="0"/>
          <w:marRight w:val="0"/>
          <w:marTop w:val="0"/>
          <w:marBottom w:val="0"/>
          <w:divBdr>
            <w:top w:val="none" w:sz="0" w:space="0" w:color="auto"/>
            <w:left w:val="none" w:sz="0" w:space="0" w:color="auto"/>
            <w:bottom w:val="none" w:sz="0" w:space="0" w:color="auto"/>
            <w:right w:val="none" w:sz="0" w:space="0" w:color="auto"/>
          </w:divBdr>
          <w:divsChild>
            <w:div w:id="1875145815">
              <w:marLeft w:val="0"/>
              <w:marRight w:val="0"/>
              <w:marTop w:val="0"/>
              <w:marBottom w:val="0"/>
              <w:divBdr>
                <w:top w:val="none" w:sz="0" w:space="0" w:color="auto"/>
                <w:left w:val="none" w:sz="0" w:space="0" w:color="auto"/>
                <w:bottom w:val="none" w:sz="0" w:space="0" w:color="auto"/>
                <w:right w:val="none" w:sz="0" w:space="0" w:color="auto"/>
              </w:divBdr>
              <w:divsChild>
                <w:div w:id="174155089">
                  <w:marLeft w:val="0"/>
                  <w:marRight w:val="0"/>
                  <w:marTop w:val="0"/>
                  <w:marBottom w:val="0"/>
                  <w:divBdr>
                    <w:top w:val="none" w:sz="0" w:space="0" w:color="auto"/>
                    <w:left w:val="none" w:sz="0" w:space="0" w:color="auto"/>
                    <w:bottom w:val="none" w:sz="0" w:space="0" w:color="auto"/>
                    <w:right w:val="none" w:sz="0" w:space="0" w:color="auto"/>
                  </w:divBdr>
                  <w:divsChild>
                    <w:div w:id="336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91308">
      <w:bodyDiv w:val="1"/>
      <w:marLeft w:val="0"/>
      <w:marRight w:val="0"/>
      <w:marTop w:val="0"/>
      <w:marBottom w:val="0"/>
      <w:divBdr>
        <w:top w:val="none" w:sz="0" w:space="0" w:color="auto"/>
        <w:left w:val="none" w:sz="0" w:space="0" w:color="auto"/>
        <w:bottom w:val="none" w:sz="0" w:space="0" w:color="auto"/>
        <w:right w:val="none" w:sz="0" w:space="0" w:color="auto"/>
      </w:divBdr>
    </w:div>
    <w:div w:id="1725517218">
      <w:bodyDiv w:val="1"/>
      <w:marLeft w:val="0"/>
      <w:marRight w:val="0"/>
      <w:marTop w:val="0"/>
      <w:marBottom w:val="0"/>
      <w:divBdr>
        <w:top w:val="none" w:sz="0" w:space="0" w:color="auto"/>
        <w:left w:val="none" w:sz="0" w:space="0" w:color="auto"/>
        <w:bottom w:val="none" w:sz="0" w:space="0" w:color="auto"/>
        <w:right w:val="none" w:sz="0" w:space="0" w:color="auto"/>
      </w:divBdr>
      <w:divsChild>
        <w:div w:id="1316226438">
          <w:marLeft w:val="0"/>
          <w:marRight w:val="0"/>
          <w:marTop w:val="0"/>
          <w:marBottom w:val="0"/>
          <w:divBdr>
            <w:top w:val="none" w:sz="0" w:space="0" w:color="auto"/>
            <w:left w:val="none" w:sz="0" w:space="0" w:color="auto"/>
            <w:bottom w:val="none" w:sz="0" w:space="0" w:color="auto"/>
            <w:right w:val="none" w:sz="0" w:space="0" w:color="auto"/>
          </w:divBdr>
          <w:divsChild>
            <w:div w:id="1290865403">
              <w:marLeft w:val="0"/>
              <w:marRight w:val="0"/>
              <w:marTop w:val="0"/>
              <w:marBottom w:val="0"/>
              <w:divBdr>
                <w:top w:val="none" w:sz="0" w:space="0" w:color="auto"/>
                <w:left w:val="none" w:sz="0" w:space="0" w:color="auto"/>
                <w:bottom w:val="none" w:sz="0" w:space="0" w:color="auto"/>
                <w:right w:val="none" w:sz="0" w:space="0" w:color="auto"/>
              </w:divBdr>
              <w:divsChild>
                <w:div w:id="532229872">
                  <w:marLeft w:val="0"/>
                  <w:marRight w:val="0"/>
                  <w:marTop w:val="0"/>
                  <w:marBottom w:val="0"/>
                  <w:divBdr>
                    <w:top w:val="none" w:sz="0" w:space="0" w:color="auto"/>
                    <w:left w:val="none" w:sz="0" w:space="0" w:color="auto"/>
                    <w:bottom w:val="none" w:sz="0" w:space="0" w:color="auto"/>
                    <w:right w:val="none" w:sz="0" w:space="0" w:color="auto"/>
                  </w:divBdr>
                  <w:divsChild>
                    <w:div w:id="11238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07129">
      <w:bodyDiv w:val="1"/>
      <w:marLeft w:val="0"/>
      <w:marRight w:val="0"/>
      <w:marTop w:val="0"/>
      <w:marBottom w:val="0"/>
      <w:divBdr>
        <w:top w:val="none" w:sz="0" w:space="0" w:color="auto"/>
        <w:left w:val="none" w:sz="0" w:space="0" w:color="auto"/>
        <w:bottom w:val="none" w:sz="0" w:space="0" w:color="auto"/>
        <w:right w:val="none" w:sz="0" w:space="0" w:color="auto"/>
      </w:divBdr>
    </w:div>
    <w:div w:id="1733502834">
      <w:bodyDiv w:val="1"/>
      <w:marLeft w:val="0"/>
      <w:marRight w:val="0"/>
      <w:marTop w:val="0"/>
      <w:marBottom w:val="0"/>
      <w:divBdr>
        <w:top w:val="none" w:sz="0" w:space="0" w:color="auto"/>
        <w:left w:val="none" w:sz="0" w:space="0" w:color="auto"/>
        <w:bottom w:val="none" w:sz="0" w:space="0" w:color="auto"/>
        <w:right w:val="none" w:sz="0" w:space="0" w:color="auto"/>
      </w:divBdr>
    </w:div>
    <w:div w:id="1787382464">
      <w:bodyDiv w:val="1"/>
      <w:marLeft w:val="0"/>
      <w:marRight w:val="0"/>
      <w:marTop w:val="0"/>
      <w:marBottom w:val="0"/>
      <w:divBdr>
        <w:top w:val="none" w:sz="0" w:space="0" w:color="auto"/>
        <w:left w:val="none" w:sz="0" w:space="0" w:color="auto"/>
        <w:bottom w:val="none" w:sz="0" w:space="0" w:color="auto"/>
        <w:right w:val="none" w:sz="0" w:space="0" w:color="auto"/>
      </w:divBdr>
    </w:div>
    <w:div w:id="1789273980">
      <w:bodyDiv w:val="1"/>
      <w:marLeft w:val="0"/>
      <w:marRight w:val="0"/>
      <w:marTop w:val="0"/>
      <w:marBottom w:val="0"/>
      <w:divBdr>
        <w:top w:val="none" w:sz="0" w:space="0" w:color="auto"/>
        <w:left w:val="none" w:sz="0" w:space="0" w:color="auto"/>
        <w:bottom w:val="none" w:sz="0" w:space="0" w:color="auto"/>
        <w:right w:val="none" w:sz="0" w:space="0" w:color="auto"/>
      </w:divBdr>
    </w:div>
    <w:div w:id="1811822124">
      <w:bodyDiv w:val="1"/>
      <w:marLeft w:val="0"/>
      <w:marRight w:val="0"/>
      <w:marTop w:val="0"/>
      <w:marBottom w:val="0"/>
      <w:divBdr>
        <w:top w:val="none" w:sz="0" w:space="0" w:color="auto"/>
        <w:left w:val="none" w:sz="0" w:space="0" w:color="auto"/>
        <w:bottom w:val="none" w:sz="0" w:space="0" w:color="auto"/>
        <w:right w:val="none" w:sz="0" w:space="0" w:color="auto"/>
      </w:divBdr>
    </w:div>
    <w:div w:id="1814104976">
      <w:bodyDiv w:val="1"/>
      <w:marLeft w:val="0"/>
      <w:marRight w:val="0"/>
      <w:marTop w:val="0"/>
      <w:marBottom w:val="0"/>
      <w:divBdr>
        <w:top w:val="none" w:sz="0" w:space="0" w:color="auto"/>
        <w:left w:val="none" w:sz="0" w:space="0" w:color="auto"/>
        <w:bottom w:val="none" w:sz="0" w:space="0" w:color="auto"/>
        <w:right w:val="none" w:sz="0" w:space="0" w:color="auto"/>
      </w:divBdr>
    </w:div>
    <w:div w:id="1815171018">
      <w:bodyDiv w:val="1"/>
      <w:marLeft w:val="0"/>
      <w:marRight w:val="0"/>
      <w:marTop w:val="0"/>
      <w:marBottom w:val="0"/>
      <w:divBdr>
        <w:top w:val="none" w:sz="0" w:space="0" w:color="auto"/>
        <w:left w:val="none" w:sz="0" w:space="0" w:color="auto"/>
        <w:bottom w:val="none" w:sz="0" w:space="0" w:color="auto"/>
        <w:right w:val="none" w:sz="0" w:space="0" w:color="auto"/>
      </w:divBdr>
    </w:div>
    <w:div w:id="1815486956">
      <w:bodyDiv w:val="1"/>
      <w:marLeft w:val="0"/>
      <w:marRight w:val="0"/>
      <w:marTop w:val="0"/>
      <w:marBottom w:val="0"/>
      <w:divBdr>
        <w:top w:val="none" w:sz="0" w:space="0" w:color="auto"/>
        <w:left w:val="none" w:sz="0" w:space="0" w:color="auto"/>
        <w:bottom w:val="none" w:sz="0" w:space="0" w:color="auto"/>
        <w:right w:val="none" w:sz="0" w:space="0" w:color="auto"/>
      </w:divBdr>
    </w:div>
    <w:div w:id="1828206176">
      <w:bodyDiv w:val="1"/>
      <w:marLeft w:val="0"/>
      <w:marRight w:val="0"/>
      <w:marTop w:val="0"/>
      <w:marBottom w:val="0"/>
      <w:divBdr>
        <w:top w:val="none" w:sz="0" w:space="0" w:color="auto"/>
        <w:left w:val="none" w:sz="0" w:space="0" w:color="auto"/>
        <w:bottom w:val="none" w:sz="0" w:space="0" w:color="auto"/>
        <w:right w:val="none" w:sz="0" w:space="0" w:color="auto"/>
      </w:divBdr>
    </w:div>
    <w:div w:id="1869752581">
      <w:bodyDiv w:val="1"/>
      <w:marLeft w:val="0"/>
      <w:marRight w:val="0"/>
      <w:marTop w:val="0"/>
      <w:marBottom w:val="0"/>
      <w:divBdr>
        <w:top w:val="none" w:sz="0" w:space="0" w:color="auto"/>
        <w:left w:val="none" w:sz="0" w:space="0" w:color="auto"/>
        <w:bottom w:val="none" w:sz="0" w:space="0" w:color="auto"/>
        <w:right w:val="none" w:sz="0" w:space="0" w:color="auto"/>
      </w:divBdr>
    </w:div>
    <w:div w:id="1895460160">
      <w:bodyDiv w:val="1"/>
      <w:marLeft w:val="0"/>
      <w:marRight w:val="0"/>
      <w:marTop w:val="0"/>
      <w:marBottom w:val="0"/>
      <w:divBdr>
        <w:top w:val="none" w:sz="0" w:space="0" w:color="auto"/>
        <w:left w:val="none" w:sz="0" w:space="0" w:color="auto"/>
        <w:bottom w:val="none" w:sz="0" w:space="0" w:color="auto"/>
        <w:right w:val="none" w:sz="0" w:space="0" w:color="auto"/>
      </w:divBdr>
    </w:div>
    <w:div w:id="1900092228">
      <w:bodyDiv w:val="1"/>
      <w:marLeft w:val="0"/>
      <w:marRight w:val="0"/>
      <w:marTop w:val="0"/>
      <w:marBottom w:val="0"/>
      <w:divBdr>
        <w:top w:val="none" w:sz="0" w:space="0" w:color="auto"/>
        <w:left w:val="none" w:sz="0" w:space="0" w:color="auto"/>
        <w:bottom w:val="none" w:sz="0" w:space="0" w:color="auto"/>
        <w:right w:val="none" w:sz="0" w:space="0" w:color="auto"/>
      </w:divBdr>
    </w:div>
    <w:div w:id="1908177524">
      <w:bodyDiv w:val="1"/>
      <w:marLeft w:val="0"/>
      <w:marRight w:val="0"/>
      <w:marTop w:val="0"/>
      <w:marBottom w:val="0"/>
      <w:divBdr>
        <w:top w:val="none" w:sz="0" w:space="0" w:color="auto"/>
        <w:left w:val="none" w:sz="0" w:space="0" w:color="auto"/>
        <w:bottom w:val="none" w:sz="0" w:space="0" w:color="auto"/>
        <w:right w:val="none" w:sz="0" w:space="0" w:color="auto"/>
      </w:divBdr>
    </w:div>
    <w:div w:id="1918055735">
      <w:bodyDiv w:val="1"/>
      <w:marLeft w:val="0"/>
      <w:marRight w:val="0"/>
      <w:marTop w:val="0"/>
      <w:marBottom w:val="0"/>
      <w:divBdr>
        <w:top w:val="none" w:sz="0" w:space="0" w:color="auto"/>
        <w:left w:val="none" w:sz="0" w:space="0" w:color="auto"/>
        <w:bottom w:val="none" w:sz="0" w:space="0" w:color="auto"/>
        <w:right w:val="none" w:sz="0" w:space="0" w:color="auto"/>
      </w:divBdr>
    </w:div>
    <w:div w:id="1967154611">
      <w:bodyDiv w:val="1"/>
      <w:marLeft w:val="0"/>
      <w:marRight w:val="0"/>
      <w:marTop w:val="0"/>
      <w:marBottom w:val="0"/>
      <w:divBdr>
        <w:top w:val="none" w:sz="0" w:space="0" w:color="auto"/>
        <w:left w:val="none" w:sz="0" w:space="0" w:color="auto"/>
        <w:bottom w:val="none" w:sz="0" w:space="0" w:color="auto"/>
        <w:right w:val="none" w:sz="0" w:space="0" w:color="auto"/>
      </w:divBdr>
    </w:div>
    <w:div w:id="1981299775">
      <w:bodyDiv w:val="1"/>
      <w:marLeft w:val="0"/>
      <w:marRight w:val="0"/>
      <w:marTop w:val="0"/>
      <w:marBottom w:val="0"/>
      <w:divBdr>
        <w:top w:val="none" w:sz="0" w:space="0" w:color="auto"/>
        <w:left w:val="none" w:sz="0" w:space="0" w:color="auto"/>
        <w:bottom w:val="none" w:sz="0" w:space="0" w:color="auto"/>
        <w:right w:val="none" w:sz="0" w:space="0" w:color="auto"/>
      </w:divBdr>
      <w:divsChild>
        <w:div w:id="633215209">
          <w:marLeft w:val="547"/>
          <w:marRight w:val="0"/>
          <w:marTop w:val="96"/>
          <w:marBottom w:val="0"/>
          <w:divBdr>
            <w:top w:val="none" w:sz="0" w:space="0" w:color="auto"/>
            <w:left w:val="none" w:sz="0" w:space="0" w:color="auto"/>
            <w:bottom w:val="none" w:sz="0" w:space="0" w:color="auto"/>
            <w:right w:val="none" w:sz="0" w:space="0" w:color="auto"/>
          </w:divBdr>
        </w:div>
        <w:div w:id="1005782975">
          <w:marLeft w:val="547"/>
          <w:marRight w:val="0"/>
          <w:marTop w:val="96"/>
          <w:marBottom w:val="0"/>
          <w:divBdr>
            <w:top w:val="none" w:sz="0" w:space="0" w:color="auto"/>
            <w:left w:val="none" w:sz="0" w:space="0" w:color="auto"/>
            <w:bottom w:val="none" w:sz="0" w:space="0" w:color="auto"/>
            <w:right w:val="none" w:sz="0" w:space="0" w:color="auto"/>
          </w:divBdr>
        </w:div>
        <w:div w:id="1671634272">
          <w:marLeft w:val="547"/>
          <w:marRight w:val="0"/>
          <w:marTop w:val="96"/>
          <w:marBottom w:val="0"/>
          <w:divBdr>
            <w:top w:val="none" w:sz="0" w:space="0" w:color="auto"/>
            <w:left w:val="none" w:sz="0" w:space="0" w:color="auto"/>
            <w:bottom w:val="none" w:sz="0" w:space="0" w:color="auto"/>
            <w:right w:val="none" w:sz="0" w:space="0" w:color="auto"/>
          </w:divBdr>
        </w:div>
        <w:div w:id="1479179609">
          <w:marLeft w:val="547"/>
          <w:marRight w:val="0"/>
          <w:marTop w:val="96"/>
          <w:marBottom w:val="0"/>
          <w:divBdr>
            <w:top w:val="none" w:sz="0" w:space="0" w:color="auto"/>
            <w:left w:val="none" w:sz="0" w:space="0" w:color="auto"/>
            <w:bottom w:val="none" w:sz="0" w:space="0" w:color="auto"/>
            <w:right w:val="none" w:sz="0" w:space="0" w:color="auto"/>
          </w:divBdr>
        </w:div>
      </w:divsChild>
    </w:div>
    <w:div w:id="1991060057">
      <w:bodyDiv w:val="1"/>
      <w:marLeft w:val="0"/>
      <w:marRight w:val="0"/>
      <w:marTop w:val="0"/>
      <w:marBottom w:val="0"/>
      <w:divBdr>
        <w:top w:val="none" w:sz="0" w:space="0" w:color="auto"/>
        <w:left w:val="none" w:sz="0" w:space="0" w:color="auto"/>
        <w:bottom w:val="none" w:sz="0" w:space="0" w:color="auto"/>
        <w:right w:val="none" w:sz="0" w:space="0" w:color="auto"/>
      </w:divBdr>
      <w:divsChild>
        <w:div w:id="1060664705">
          <w:marLeft w:val="0"/>
          <w:marRight w:val="0"/>
          <w:marTop w:val="0"/>
          <w:marBottom w:val="0"/>
          <w:divBdr>
            <w:top w:val="none" w:sz="0" w:space="0" w:color="auto"/>
            <w:left w:val="none" w:sz="0" w:space="0" w:color="auto"/>
            <w:bottom w:val="none" w:sz="0" w:space="0" w:color="auto"/>
            <w:right w:val="none" w:sz="0" w:space="0" w:color="auto"/>
          </w:divBdr>
          <w:divsChild>
            <w:div w:id="2072998701">
              <w:marLeft w:val="0"/>
              <w:marRight w:val="0"/>
              <w:marTop w:val="0"/>
              <w:marBottom w:val="0"/>
              <w:divBdr>
                <w:top w:val="none" w:sz="0" w:space="0" w:color="auto"/>
                <w:left w:val="none" w:sz="0" w:space="0" w:color="auto"/>
                <w:bottom w:val="none" w:sz="0" w:space="0" w:color="auto"/>
                <w:right w:val="none" w:sz="0" w:space="0" w:color="auto"/>
              </w:divBdr>
              <w:divsChild>
                <w:div w:id="730007129">
                  <w:marLeft w:val="0"/>
                  <w:marRight w:val="0"/>
                  <w:marTop w:val="0"/>
                  <w:marBottom w:val="0"/>
                  <w:divBdr>
                    <w:top w:val="none" w:sz="0" w:space="0" w:color="auto"/>
                    <w:left w:val="none" w:sz="0" w:space="0" w:color="auto"/>
                    <w:bottom w:val="none" w:sz="0" w:space="0" w:color="auto"/>
                    <w:right w:val="none" w:sz="0" w:space="0" w:color="auto"/>
                  </w:divBdr>
                  <w:divsChild>
                    <w:div w:id="2503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8714">
      <w:bodyDiv w:val="1"/>
      <w:marLeft w:val="0"/>
      <w:marRight w:val="0"/>
      <w:marTop w:val="0"/>
      <w:marBottom w:val="0"/>
      <w:divBdr>
        <w:top w:val="none" w:sz="0" w:space="0" w:color="auto"/>
        <w:left w:val="none" w:sz="0" w:space="0" w:color="auto"/>
        <w:bottom w:val="none" w:sz="0" w:space="0" w:color="auto"/>
        <w:right w:val="none" w:sz="0" w:space="0" w:color="auto"/>
      </w:divBdr>
    </w:div>
    <w:div w:id="2008286040">
      <w:bodyDiv w:val="1"/>
      <w:marLeft w:val="0"/>
      <w:marRight w:val="0"/>
      <w:marTop w:val="0"/>
      <w:marBottom w:val="0"/>
      <w:divBdr>
        <w:top w:val="none" w:sz="0" w:space="0" w:color="auto"/>
        <w:left w:val="none" w:sz="0" w:space="0" w:color="auto"/>
        <w:bottom w:val="none" w:sz="0" w:space="0" w:color="auto"/>
        <w:right w:val="none" w:sz="0" w:space="0" w:color="auto"/>
      </w:divBdr>
    </w:div>
    <w:div w:id="2009937156">
      <w:bodyDiv w:val="1"/>
      <w:marLeft w:val="0"/>
      <w:marRight w:val="0"/>
      <w:marTop w:val="0"/>
      <w:marBottom w:val="0"/>
      <w:divBdr>
        <w:top w:val="none" w:sz="0" w:space="0" w:color="auto"/>
        <w:left w:val="none" w:sz="0" w:space="0" w:color="auto"/>
        <w:bottom w:val="none" w:sz="0" w:space="0" w:color="auto"/>
        <w:right w:val="none" w:sz="0" w:space="0" w:color="auto"/>
      </w:divBdr>
      <w:divsChild>
        <w:div w:id="1933735875">
          <w:marLeft w:val="0"/>
          <w:marRight w:val="0"/>
          <w:marTop w:val="0"/>
          <w:marBottom w:val="0"/>
          <w:divBdr>
            <w:top w:val="none" w:sz="0" w:space="0" w:color="auto"/>
            <w:left w:val="none" w:sz="0" w:space="0" w:color="auto"/>
            <w:bottom w:val="none" w:sz="0" w:space="0" w:color="auto"/>
            <w:right w:val="none" w:sz="0" w:space="0" w:color="auto"/>
          </w:divBdr>
          <w:divsChild>
            <w:div w:id="554588516">
              <w:marLeft w:val="0"/>
              <w:marRight w:val="0"/>
              <w:marTop w:val="0"/>
              <w:marBottom w:val="0"/>
              <w:divBdr>
                <w:top w:val="none" w:sz="0" w:space="0" w:color="auto"/>
                <w:left w:val="none" w:sz="0" w:space="0" w:color="auto"/>
                <w:bottom w:val="none" w:sz="0" w:space="0" w:color="auto"/>
                <w:right w:val="none" w:sz="0" w:space="0" w:color="auto"/>
              </w:divBdr>
              <w:divsChild>
                <w:div w:id="1739667210">
                  <w:marLeft w:val="0"/>
                  <w:marRight w:val="0"/>
                  <w:marTop w:val="0"/>
                  <w:marBottom w:val="0"/>
                  <w:divBdr>
                    <w:top w:val="none" w:sz="0" w:space="0" w:color="auto"/>
                    <w:left w:val="none" w:sz="0" w:space="0" w:color="auto"/>
                    <w:bottom w:val="none" w:sz="0" w:space="0" w:color="auto"/>
                    <w:right w:val="none" w:sz="0" w:space="0" w:color="auto"/>
                  </w:divBdr>
                  <w:divsChild>
                    <w:div w:id="1475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96709">
          <w:marLeft w:val="0"/>
          <w:marRight w:val="0"/>
          <w:marTop w:val="0"/>
          <w:marBottom w:val="0"/>
          <w:divBdr>
            <w:top w:val="none" w:sz="0" w:space="0" w:color="auto"/>
            <w:left w:val="none" w:sz="0" w:space="0" w:color="auto"/>
            <w:bottom w:val="none" w:sz="0" w:space="0" w:color="auto"/>
            <w:right w:val="none" w:sz="0" w:space="0" w:color="auto"/>
          </w:divBdr>
          <w:divsChild>
            <w:div w:id="1023215255">
              <w:marLeft w:val="0"/>
              <w:marRight w:val="0"/>
              <w:marTop w:val="0"/>
              <w:marBottom w:val="0"/>
              <w:divBdr>
                <w:top w:val="none" w:sz="0" w:space="0" w:color="auto"/>
                <w:left w:val="none" w:sz="0" w:space="0" w:color="auto"/>
                <w:bottom w:val="none" w:sz="0" w:space="0" w:color="auto"/>
                <w:right w:val="none" w:sz="0" w:space="0" w:color="auto"/>
              </w:divBdr>
              <w:divsChild>
                <w:div w:id="505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8132">
          <w:marLeft w:val="0"/>
          <w:marRight w:val="0"/>
          <w:marTop w:val="0"/>
          <w:marBottom w:val="0"/>
          <w:divBdr>
            <w:top w:val="none" w:sz="0" w:space="0" w:color="auto"/>
            <w:left w:val="none" w:sz="0" w:space="0" w:color="auto"/>
            <w:bottom w:val="none" w:sz="0" w:space="0" w:color="auto"/>
            <w:right w:val="none" w:sz="0" w:space="0" w:color="auto"/>
          </w:divBdr>
        </w:div>
      </w:divsChild>
    </w:div>
    <w:div w:id="2030174641">
      <w:bodyDiv w:val="1"/>
      <w:marLeft w:val="0"/>
      <w:marRight w:val="0"/>
      <w:marTop w:val="0"/>
      <w:marBottom w:val="0"/>
      <w:divBdr>
        <w:top w:val="none" w:sz="0" w:space="0" w:color="auto"/>
        <w:left w:val="none" w:sz="0" w:space="0" w:color="auto"/>
        <w:bottom w:val="none" w:sz="0" w:space="0" w:color="auto"/>
        <w:right w:val="none" w:sz="0" w:space="0" w:color="auto"/>
      </w:divBdr>
    </w:div>
    <w:div w:id="2036731738">
      <w:bodyDiv w:val="1"/>
      <w:marLeft w:val="0"/>
      <w:marRight w:val="0"/>
      <w:marTop w:val="0"/>
      <w:marBottom w:val="0"/>
      <w:divBdr>
        <w:top w:val="none" w:sz="0" w:space="0" w:color="auto"/>
        <w:left w:val="none" w:sz="0" w:space="0" w:color="auto"/>
        <w:bottom w:val="none" w:sz="0" w:space="0" w:color="auto"/>
        <w:right w:val="none" w:sz="0" w:space="0" w:color="auto"/>
      </w:divBdr>
    </w:div>
    <w:div w:id="2036805451">
      <w:bodyDiv w:val="1"/>
      <w:marLeft w:val="0"/>
      <w:marRight w:val="0"/>
      <w:marTop w:val="0"/>
      <w:marBottom w:val="0"/>
      <w:divBdr>
        <w:top w:val="none" w:sz="0" w:space="0" w:color="auto"/>
        <w:left w:val="none" w:sz="0" w:space="0" w:color="auto"/>
        <w:bottom w:val="none" w:sz="0" w:space="0" w:color="auto"/>
        <w:right w:val="none" w:sz="0" w:space="0" w:color="auto"/>
      </w:divBdr>
    </w:div>
    <w:div w:id="2066486885">
      <w:bodyDiv w:val="1"/>
      <w:marLeft w:val="0"/>
      <w:marRight w:val="0"/>
      <w:marTop w:val="0"/>
      <w:marBottom w:val="0"/>
      <w:divBdr>
        <w:top w:val="none" w:sz="0" w:space="0" w:color="auto"/>
        <w:left w:val="none" w:sz="0" w:space="0" w:color="auto"/>
        <w:bottom w:val="none" w:sz="0" w:space="0" w:color="auto"/>
        <w:right w:val="none" w:sz="0" w:space="0" w:color="auto"/>
      </w:divBdr>
      <w:divsChild>
        <w:div w:id="1689528980">
          <w:marLeft w:val="0"/>
          <w:marRight w:val="0"/>
          <w:marTop w:val="0"/>
          <w:marBottom w:val="0"/>
          <w:divBdr>
            <w:top w:val="none" w:sz="0" w:space="0" w:color="auto"/>
            <w:left w:val="none" w:sz="0" w:space="0" w:color="auto"/>
            <w:bottom w:val="none" w:sz="0" w:space="0" w:color="auto"/>
            <w:right w:val="none" w:sz="0" w:space="0" w:color="auto"/>
          </w:divBdr>
          <w:divsChild>
            <w:div w:id="2132939083">
              <w:marLeft w:val="0"/>
              <w:marRight w:val="0"/>
              <w:marTop w:val="0"/>
              <w:marBottom w:val="0"/>
              <w:divBdr>
                <w:top w:val="none" w:sz="0" w:space="0" w:color="auto"/>
                <w:left w:val="none" w:sz="0" w:space="0" w:color="auto"/>
                <w:bottom w:val="none" w:sz="0" w:space="0" w:color="auto"/>
                <w:right w:val="none" w:sz="0" w:space="0" w:color="auto"/>
              </w:divBdr>
              <w:divsChild>
                <w:div w:id="626476300">
                  <w:marLeft w:val="0"/>
                  <w:marRight w:val="0"/>
                  <w:marTop w:val="0"/>
                  <w:marBottom w:val="0"/>
                  <w:divBdr>
                    <w:top w:val="none" w:sz="0" w:space="0" w:color="auto"/>
                    <w:left w:val="none" w:sz="0" w:space="0" w:color="auto"/>
                    <w:bottom w:val="none" w:sz="0" w:space="0" w:color="auto"/>
                    <w:right w:val="none" w:sz="0" w:space="0" w:color="auto"/>
                  </w:divBdr>
                  <w:divsChild>
                    <w:div w:id="4520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1197390">
      <w:bodyDiv w:val="1"/>
      <w:marLeft w:val="0"/>
      <w:marRight w:val="0"/>
      <w:marTop w:val="0"/>
      <w:marBottom w:val="0"/>
      <w:divBdr>
        <w:top w:val="none" w:sz="0" w:space="0" w:color="auto"/>
        <w:left w:val="none" w:sz="0" w:space="0" w:color="auto"/>
        <w:bottom w:val="none" w:sz="0" w:space="0" w:color="auto"/>
        <w:right w:val="none" w:sz="0" w:space="0" w:color="auto"/>
      </w:divBdr>
    </w:div>
    <w:div w:id="2138639597">
      <w:bodyDiv w:val="1"/>
      <w:marLeft w:val="0"/>
      <w:marRight w:val="0"/>
      <w:marTop w:val="0"/>
      <w:marBottom w:val="0"/>
      <w:divBdr>
        <w:top w:val="none" w:sz="0" w:space="0" w:color="auto"/>
        <w:left w:val="none" w:sz="0" w:space="0" w:color="auto"/>
        <w:bottom w:val="none" w:sz="0" w:space="0" w:color="auto"/>
        <w:right w:val="none" w:sz="0" w:space="0" w:color="auto"/>
      </w:divBdr>
      <w:divsChild>
        <w:div w:id="462041926">
          <w:marLeft w:val="0"/>
          <w:marRight w:val="0"/>
          <w:marTop w:val="0"/>
          <w:marBottom w:val="150"/>
          <w:divBdr>
            <w:top w:val="none" w:sz="0" w:space="0" w:color="auto"/>
            <w:left w:val="none" w:sz="0" w:space="0" w:color="auto"/>
            <w:bottom w:val="none" w:sz="0" w:space="0" w:color="auto"/>
            <w:right w:val="none" w:sz="0" w:space="0" w:color="auto"/>
          </w:divBdr>
        </w:div>
        <w:div w:id="627661110">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S0140-6736(21)00933-8"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clinicaltrials.gov/show/NCT03548207" TargetMode="External"/><Relationship Id="rId17" Type="http://schemas.openxmlformats.org/officeDocument/2006/relationships/footer" Target="footer2.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ascopubs.org/doi/abs/10.1200/JCO.2021.39.15_suppl.8005" TargetMode="External"/><Relationship Id="rId20" Type="http://schemas.openxmlformats.org/officeDocument/2006/relationships/image" Target="media/image4.png"/><Relationship Id="rId29" Type="http://schemas.openxmlformats.org/officeDocument/2006/relationships/hyperlink" Target="https://ascopubs.org/doi/pdf/10.1200/EDBK_159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copubs.org/doi/abs/10.1200/JCO.2020.38.15_suppl.8505" TargetMode="External"/><Relationship Id="rId23" Type="http://schemas.openxmlformats.org/officeDocument/2006/relationships/image" Target="media/image7.png"/><Relationship Id="rId28" Type="http://schemas.openxmlformats.org/officeDocument/2006/relationships/hyperlink" Target="https://myeloma.org.au/wp-content/uploads/2019/10/myeloma_clinical_practice_guideline_oct19" TargetMode="External"/><Relationship Id="rId10" Type="http://schemas.openxmlformats.org/officeDocument/2006/relationships/hyperlink" Target="http://www.msac.gov.au/"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doi.org/10.1016/S0140-6736(21)00933-8" TargetMode="External"/><Relationship Id="rId22" Type="http://schemas.openxmlformats.org/officeDocument/2006/relationships/image" Target="media/image6.png"/><Relationship Id="rId27" Type="http://schemas.openxmlformats.org/officeDocument/2006/relationships/hyperlink" Target="https://doi.org/10.1016/S0140-6736(21)00933-8" TargetMode="External"/><Relationship Id="rId30" Type="http://schemas.openxmlformats.org/officeDocument/2006/relationships/hyperlink" Target="https://www.hsanz.org.au/resources/Documents/Blood%20Abstract%20Supplement/Blood%202019%20abstract%20supp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4EDE-14C9-418B-B8DE-94988F0F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9483</Words>
  <Characters>54056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63413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6</cp:revision>
  <cp:lastPrinted>2019-03-18T21:14:00Z</cp:lastPrinted>
  <dcterms:created xsi:type="dcterms:W3CDTF">2021-09-22T03:19:00Z</dcterms:created>
  <dcterms:modified xsi:type="dcterms:W3CDTF">2021-09-27T00:26:00Z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