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D5EA6" w14:textId="77777777" w:rsidR="00E44B80" w:rsidRPr="00F637B3" w:rsidRDefault="00E44B80" w:rsidP="00E44B80">
      <w:pPr>
        <w:jc w:val="center"/>
        <w:rPr>
          <w:b/>
          <w:szCs w:val="20"/>
        </w:rPr>
      </w:pPr>
      <w:r w:rsidRPr="00F637B3">
        <w:rPr>
          <w:b/>
          <w:noProof/>
          <w:szCs w:val="20"/>
          <w:lang w:eastAsia="en-AU"/>
        </w:rPr>
        <w:drawing>
          <wp:inline distT="0" distB="0" distL="0" distR="0" wp14:anchorId="3909C9B1" wp14:editId="478B5794">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ED502B0" w14:textId="3CD398E5" w:rsidR="008B2610" w:rsidRDefault="0087328D" w:rsidP="00F971CC">
      <w:pPr>
        <w:pStyle w:val="Title"/>
        <w:spacing w:before="2600"/>
      </w:pPr>
      <w:r>
        <w:t xml:space="preserve">MSAC Application </w:t>
      </w:r>
      <w:r w:rsidR="003611AC">
        <w:t>1642</w:t>
      </w:r>
    </w:p>
    <w:p w14:paraId="3CD4E17F" w14:textId="77777777" w:rsidR="0056015F" w:rsidRDefault="0056015F" w:rsidP="0056015F"/>
    <w:p w14:paraId="4DDB8A85" w14:textId="7B785D2E" w:rsidR="0056015F" w:rsidRPr="00D97D2D" w:rsidRDefault="00D97D2D" w:rsidP="0087328D">
      <w:pPr>
        <w:pStyle w:val="TitleBlue"/>
        <w:spacing w:after="840"/>
        <w:rPr>
          <w:sz w:val="48"/>
          <w:szCs w:val="48"/>
        </w:rPr>
      </w:pPr>
      <w:r w:rsidRPr="00D97D2D">
        <w:rPr>
          <w:sz w:val="48"/>
          <w:szCs w:val="48"/>
        </w:rPr>
        <w:t>PD-L1 testing for access to Cemiplimab for the treatment of locally advanced or metastatic NSCLC</w:t>
      </w:r>
    </w:p>
    <w:p w14:paraId="48520311"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0D4C6C7F" w14:textId="77777777" w:rsidR="008B2610" w:rsidRPr="00154B00" w:rsidRDefault="008B2610" w:rsidP="003F7CB9">
      <w:r w:rsidRPr="00154B00">
        <w:lastRenderedPageBreak/>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47EB00AE"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1D85E410" w14:textId="77777777" w:rsidR="009F5758" w:rsidRPr="00154B00" w:rsidRDefault="009F5758" w:rsidP="003F7CB9">
      <w:pPr>
        <w:spacing w:before="0" w:after="0"/>
      </w:pPr>
    </w:p>
    <w:p w14:paraId="348AECEA"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50AFA233"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7CEE6C85"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61C61D08"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08549958" w14:textId="733ACB4D"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3E51C6" w:rsidRPr="003E51C6">
        <w:t xml:space="preserve">sanofi-aventis </w:t>
      </w:r>
      <w:r w:rsidR="003E51C6" w:rsidRPr="00C00B24">
        <w:t xml:space="preserve">/ </w:t>
      </w:r>
      <w:r w:rsidR="00C00B24" w:rsidRPr="00C00B24">
        <w:t>Regeneron Pharmaceuticals</w:t>
      </w:r>
    </w:p>
    <w:p w14:paraId="308B8BDA" w14:textId="57A32308"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3E51C6" w:rsidRPr="003E51C6">
        <w:t>sanofi-aventis Australia Pty Ltd</w:t>
      </w:r>
    </w:p>
    <w:p w14:paraId="7480FD96" w14:textId="475D35EE"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3E51C6" w:rsidRPr="003E51C6">
        <w:t>31 008 558 807</w:t>
      </w:r>
    </w:p>
    <w:p w14:paraId="138D6A11" w14:textId="7D677DE8"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E17753" w:rsidRPr="00E17753">
        <w:t>sanofi-aventis Australia Pty Ltd</w:t>
      </w:r>
    </w:p>
    <w:p w14:paraId="332ACA58" w14:textId="77777777" w:rsidR="00C171FB" w:rsidRPr="00C171FB" w:rsidRDefault="00C171FB" w:rsidP="00C171FB"/>
    <w:p w14:paraId="0BA16657" w14:textId="4D2D5F52" w:rsidR="00C171FB" w:rsidRPr="00C171FB" w:rsidRDefault="00C171FB" w:rsidP="00C171FB">
      <w:pPr>
        <w:rPr>
          <w:b/>
        </w:rPr>
      </w:pPr>
      <w:r>
        <w:rPr>
          <w:b/>
        </w:rPr>
        <w:t xml:space="preserve">Primary contact name: </w:t>
      </w:r>
      <w:r w:rsidR="004F6719" w:rsidRPr="004F6719">
        <w:rPr>
          <w:b/>
        </w:rPr>
        <w:t>REDACTED</w:t>
      </w:r>
    </w:p>
    <w:p w14:paraId="49DFDF50"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2C86D362" w14:textId="001A43B5"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4F6719" w:rsidRPr="004F6719">
        <w:rPr>
          <w:b/>
        </w:rPr>
        <w:t>REDACTED</w:t>
      </w:r>
    </w:p>
    <w:p w14:paraId="09202EA4" w14:textId="77777777" w:rsidR="004F6719" w:rsidRDefault="00C171FB" w:rsidP="00C171FB">
      <w:pPr>
        <w:pBdr>
          <w:top w:val="single" w:sz="4" w:space="1" w:color="auto"/>
          <w:left w:val="single" w:sz="4" w:space="4" w:color="auto"/>
          <w:bottom w:val="single" w:sz="4" w:space="1" w:color="auto"/>
          <w:right w:val="single" w:sz="4" w:space="4" w:color="auto"/>
        </w:pBdr>
      </w:pPr>
      <w:r>
        <w:t>Mobile:</w:t>
      </w:r>
      <w:r>
        <w:tab/>
      </w:r>
      <w:r w:rsidR="004F6719" w:rsidRPr="004F6719">
        <w:rPr>
          <w:b/>
        </w:rPr>
        <w:t>REDACTED</w:t>
      </w:r>
      <w:r w:rsidR="004F6719">
        <w:t xml:space="preserve"> </w:t>
      </w:r>
    </w:p>
    <w:p w14:paraId="770031C1" w14:textId="0A5B84EE"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4F6719" w:rsidRPr="004F6719">
        <w:rPr>
          <w:b/>
        </w:rPr>
        <w:t>REDACTED</w:t>
      </w:r>
    </w:p>
    <w:p w14:paraId="5D81B378" w14:textId="77777777" w:rsidR="00C171FB" w:rsidRDefault="00C171FB" w:rsidP="00C171FB">
      <w:pPr>
        <w:rPr>
          <w:b/>
        </w:rPr>
      </w:pPr>
    </w:p>
    <w:p w14:paraId="53CEF442" w14:textId="06D01953" w:rsidR="00C171FB" w:rsidRPr="00C171FB" w:rsidRDefault="00C171FB" w:rsidP="00C171FB">
      <w:pPr>
        <w:rPr>
          <w:b/>
        </w:rPr>
      </w:pPr>
      <w:r>
        <w:rPr>
          <w:b/>
        </w:rPr>
        <w:t xml:space="preserve">Alternative contact name: </w:t>
      </w:r>
      <w:r w:rsidR="004F6719" w:rsidRPr="004F6719">
        <w:rPr>
          <w:b/>
        </w:rPr>
        <w:t>REDACTED</w:t>
      </w:r>
    </w:p>
    <w:p w14:paraId="457D76DF"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79461C41" w14:textId="73F2233F"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4F6719" w:rsidRPr="004F6719">
        <w:rPr>
          <w:b/>
        </w:rPr>
        <w:t>REDACTED</w:t>
      </w:r>
    </w:p>
    <w:p w14:paraId="11B6E240" w14:textId="78E9F79A"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4F6719" w:rsidRPr="004F6719">
        <w:rPr>
          <w:b/>
        </w:rPr>
        <w:t>REDACTED</w:t>
      </w:r>
    </w:p>
    <w:p w14:paraId="301275D0" w14:textId="2DEBECC1"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4F6719" w:rsidRPr="004F6719">
        <w:rPr>
          <w:b/>
        </w:rPr>
        <w:t>REDACTED</w:t>
      </w:r>
    </w:p>
    <w:p w14:paraId="4F3E67C1" w14:textId="77777777" w:rsidR="00C171FB" w:rsidRPr="00C171FB" w:rsidRDefault="00C171FB" w:rsidP="00C171FB"/>
    <w:p w14:paraId="281F43FC" w14:textId="77777777" w:rsidR="00534C5F" w:rsidRPr="00154B00" w:rsidRDefault="00494011" w:rsidP="004A0BF4">
      <w:pPr>
        <w:pStyle w:val="Heading2"/>
      </w:pPr>
      <w:r>
        <w:t xml:space="preserve">(a) </w:t>
      </w:r>
      <w:r w:rsidR="00534C5F">
        <w:t>Are you a lobbyist acting on behalf of an Applicant?</w:t>
      </w:r>
    </w:p>
    <w:p w14:paraId="527FF177"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F6719">
        <w:rPr>
          <w:szCs w:val="20"/>
        </w:rPr>
      </w:r>
      <w:r w:rsidR="004F6719">
        <w:rPr>
          <w:szCs w:val="20"/>
        </w:rPr>
        <w:fldChar w:fldCharType="separate"/>
      </w:r>
      <w:r w:rsidRPr="00753C44">
        <w:rPr>
          <w:szCs w:val="20"/>
        </w:rPr>
        <w:fldChar w:fldCharType="end"/>
      </w:r>
      <w:r>
        <w:rPr>
          <w:szCs w:val="20"/>
        </w:rPr>
        <w:t xml:space="preserve"> Yes</w:t>
      </w:r>
    </w:p>
    <w:p w14:paraId="115F30AF" w14:textId="04AB3DF8" w:rsidR="00A6491A" w:rsidRPr="00753C44" w:rsidRDefault="00ED338A"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6719">
        <w:rPr>
          <w:szCs w:val="20"/>
        </w:rPr>
      </w:r>
      <w:r w:rsidR="004F6719">
        <w:rPr>
          <w:szCs w:val="20"/>
        </w:rPr>
        <w:fldChar w:fldCharType="separate"/>
      </w:r>
      <w:r>
        <w:rPr>
          <w:szCs w:val="20"/>
        </w:rPr>
        <w:fldChar w:fldCharType="end"/>
      </w:r>
      <w:r w:rsidR="00A6491A">
        <w:rPr>
          <w:szCs w:val="20"/>
        </w:rPr>
        <w:t xml:space="preserve"> No</w:t>
      </w:r>
      <w:r w:rsidR="00A6491A" w:rsidRPr="00753C44">
        <w:rPr>
          <w:szCs w:val="20"/>
        </w:rPr>
        <w:t xml:space="preserve">  </w:t>
      </w:r>
    </w:p>
    <w:p w14:paraId="0BDB63DF"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7A93219F"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F6719">
        <w:rPr>
          <w:szCs w:val="20"/>
        </w:rPr>
      </w:r>
      <w:r w:rsidR="004F6719">
        <w:rPr>
          <w:szCs w:val="20"/>
        </w:rPr>
        <w:fldChar w:fldCharType="separate"/>
      </w:r>
      <w:r w:rsidRPr="00753C44">
        <w:rPr>
          <w:szCs w:val="20"/>
        </w:rPr>
        <w:fldChar w:fldCharType="end"/>
      </w:r>
      <w:r>
        <w:rPr>
          <w:szCs w:val="20"/>
        </w:rPr>
        <w:t xml:space="preserve"> Yes</w:t>
      </w:r>
    </w:p>
    <w:p w14:paraId="797DD921"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F6719">
        <w:rPr>
          <w:szCs w:val="20"/>
        </w:rPr>
      </w:r>
      <w:r w:rsidR="004F6719">
        <w:rPr>
          <w:szCs w:val="20"/>
        </w:rPr>
        <w:fldChar w:fldCharType="separate"/>
      </w:r>
      <w:r w:rsidRPr="00753C44">
        <w:rPr>
          <w:szCs w:val="20"/>
        </w:rPr>
        <w:fldChar w:fldCharType="end"/>
      </w:r>
      <w:r>
        <w:rPr>
          <w:szCs w:val="20"/>
        </w:rPr>
        <w:t xml:space="preserve"> No</w:t>
      </w:r>
      <w:r w:rsidRPr="00753C44">
        <w:rPr>
          <w:szCs w:val="20"/>
        </w:rPr>
        <w:t xml:space="preserve">  </w:t>
      </w:r>
    </w:p>
    <w:p w14:paraId="6BFFB74E" w14:textId="77777777" w:rsidR="00E04FB3" w:rsidRDefault="00E04FB3" w:rsidP="005C333E">
      <w:pPr>
        <w:spacing w:before="0" w:after="0"/>
        <w:ind w:left="426"/>
        <w:rPr>
          <w:b/>
          <w:szCs w:val="20"/>
        </w:rPr>
      </w:pPr>
      <w:r w:rsidRPr="00154B00">
        <w:rPr>
          <w:b/>
          <w:szCs w:val="20"/>
        </w:rPr>
        <w:br w:type="page"/>
      </w:r>
    </w:p>
    <w:p w14:paraId="4C280FF7"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37F94E79" w14:textId="77777777" w:rsidR="000B3CD0" w:rsidRDefault="000B3CD0" w:rsidP="00730C04">
      <w:pPr>
        <w:pStyle w:val="Heading2"/>
      </w:pPr>
      <w:r w:rsidRPr="00154B00">
        <w:t>Application title</w:t>
      </w:r>
      <w:r w:rsidR="00A8732C">
        <w:t xml:space="preserve"> </w:t>
      </w:r>
    </w:p>
    <w:p w14:paraId="72444654" w14:textId="02E4B078" w:rsidR="009056C5" w:rsidRPr="009056C5" w:rsidRDefault="00ED338A" w:rsidP="00FD08F6">
      <w:pPr>
        <w:ind w:left="284"/>
        <w:jc w:val="both"/>
      </w:pPr>
      <w:r w:rsidRPr="00ED338A">
        <w:t xml:space="preserve">PD-L1 testing for access to </w:t>
      </w:r>
      <w:r w:rsidR="00FE6788">
        <w:t>c</w:t>
      </w:r>
      <w:r w:rsidRPr="00ED338A">
        <w:t xml:space="preserve">emiplimab for the treatment of locally advanced or metastatic </w:t>
      </w:r>
      <w:r w:rsidR="00FE6788">
        <w:t>n</w:t>
      </w:r>
      <w:r w:rsidR="00FE6788" w:rsidRPr="00FE6788">
        <w:t>on-small cell lung cancer (NSCLC)</w:t>
      </w:r>
    </w:p>
    <w:p w14:paraId="404B0492"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03D7DC49" w14:textId="6EE104E2" w:rsidR="00DF72A3" w:rsidRDefault="00DF72A3" w:rsidP="00FD08F6">
      <w:pPr>
        <w:ind w:left="284"/>
        <w:jc w:val="both"/>
      </w:pPr>
      <w:r w:rsidRPr="00DF72A3">
        <w:t xml:space="preserve">Lung cancer is the leading cause of cancer death in Australia and worldwide. At least </w:t>
      </w:r>
      <w:r w:rsidR="004A3980">
        <w:t>5</w:t>
      </w:r>
      <w:r w:rsidRPr="00DF72A3">
        <w:t>0% of lung cancer cases are stage</w:t>
      </w:r>
      <w:r w:rsidR="004A3980">
        <w:t xml:space="preserve"> II</w:t>
      </w:r>
      <w:r w:rsidR="001463D1">
        <w:t>I</w:t>
      </w:r>
      <w:r w:rsidR="004A3980">
        <w:t xml:space="preserve"> or</w:t>
      </w:r>
      <w:r w:rsidRPr="00DF72A3">
        <w:t xml:space="preserve"> IV at diagnosis</w:t>
      </w:r>
      <w:r w:rsidR="004A3980">
        <w:t xml:space="preserve"> (AIHW 2019a)</w:t>
      </w:r>
      <w:r w:rsidRPr="00DF72A3">
        <w:t xml:space="preserve">. The 5-year relative survival for </w:t>
      </w:r>
      <w:r w:rsidR="00FE6788">
        <w:t>s</w:t>
      </w:r>
      <w:r w:rsidR="004A3980">
        <w:t xml:space="preserve">tage III </w:t>
      </w:r>
      <w:r w:rsidRPr="00DF72A3">
        <w:t>lung cancer is 17.</w:t>
      </w:r>
      <w:r w:rsidR="004A3980">
        <w:t>1</w:t>
      </w:r>
      <w:r w:rsidRPr="00DF72A3">
        <w:t>% and for stage IV only 3.2% (AIHW 2019</w:t>
      </w:r>
      <w:r w:rsidR="004A3980">
        <w:t xml:space="preserve"> a,b</w:t>
      </w:r>
      <w:r w:rsidRPr="00DF72A3">
        <w:t>).</w:t>
      </w:r>
    </w:p>
    <w:p w14:paraId="7C2C5389" w14:textId="7BE15A8D" w:rsidR="00DF72A3" w:rsidRDefault="00DF72A3" w:rsidP="00FD08F6">
      <w:pPr>
        <w:ind w:left="284"/>
        <w:jc w:val="both"/>
      </w:pPr>
      <w:bookmarkStart w:id="1" w:name="_Hlk47949633"/>
      <w:r w:rsidRPr="00DF72A3">
        <w:t xml:space="preserve">Non-small cell lung cancer (NSCLC) </w:t>
      </w:r>
      <w:bookmarkEnd w:id="1"/>
      <w:r w:rsidRPr="00DF72A3">
        <w:t xml:space="preserve">is the most common type of lung cancer, accounting for </w:t>
      </w:r>
      <w:r w:rsidR="00594200" w:rsidRPr="00594200">
        <w:t>approximately 85% of all lung cancer cases</w:t>
      </w:r>
      <w:r w:rsidRPr="00DF72A3">
        <w:t xml:space="preserve">. </w:t>
      </w:r>
      <w:r>
        <w:t xml:space="preserve">The majority of </w:t>
      </w:r>
      <w:r w:rsidRPr="00DF72A3">
        <w:t>NSCLC</w:t>
      </w:r>
      <w:r>
        <w:t xml:space="preserve"> lack defined mutations</w:t>
      </w:r>
      <w:r w:rsidR="00BB53B9">
        <w:t xml:space="preserve"> </w:t>
      </w:r>
      <w:r w:rsidR="00FE6788">
        <w:t xml:space="preserve">(such as EGFR and ALK) </w:t>
      </w:r>
      <w:r>
        <w:t>that can be targeted by tyrosine kinase inhibitors.</w:t>
      </w:r>
    </w:p>
    <w:p w14:paraId="01D7FF6C" w14:textId="13062966" w:rsidR="00DF72A3" w:rsidRDefault="009B12B6" w:rsidP="00FD08F6">
      <w:pPr>
        <w:ind w:left="284"/>
        <w:jc w:val="both"/>
      </w:pPr>
      <w:r>
        <w:t xml:space="preserve">NSCLC is most commonly treated with </w:t>
      </w:r>
      <w:r w:rsidR="006638C6">
        <w:t>platinum</w:t>
      </w:r>
      <w:r>
        <w:t xml:space="preserve">-based </w:t>
      </w:r>
      <w:r w:rsidR="006638C6">
        <w:t xml:space="preserve">chemoradiation and more recently immunotherapies, </w:t>
      </w:r>
      <w:r w:rsidR="0044530A">
        <w:t>inhibiting p</w:t>
      </w:r>
      <w:r w:rsidR="0044530A" w:rsidRPr="0044530A">
        <w:t xml:space="preserve">rogrammed cell death protein 1 (PD-1) </w:t>
      </w:r>
      <w:r w:rsidR="0044530A">
        <w:t>or p</w:t>
      </w:r>
      <w:r w:rsidR="0044530A" w:rsidRPr="0044530A">
        <w:t>rogrammed cell death ligand 1 (PD-L1)</w:t>
      </w:r>
      <w:r w:rsidR="0044530A">
        <w:t>.</w:t>
      </w:r>
    </w:p>
    <w:p w14:paraId="20442FB1" w14:textId="47AD8029" w:rsidR="004A3980" w:rsidRPr="004A3980" w:rsidRDefault="004A3980" w:rsidP="004A3980">
      <w:pPr>
        <w:ind w:left="284"/>
        <w:rPr>
          <w:color w:val="002060"/>
          <w:sz w:val="18"/>
          <w:szCs w:val="20"/>
        </w:rPr>
      </w:pPr>
      <w:r w:rsidRPr="004A3980">
        <w:rPr>
          <w:color w:val="002060"/>
          <w:sz w:val="18"/>
          <w:szCs w:val="20"/>
        </w:rPr>
        <w:t>Australian Institute of Health and Welfare 2019a. Cancer in Australia 2019. Cancer series no.119. Cat. no. CAN 123. Canberra: AIHW.</w:t>
      </w:r>
    </w:p>
    <w:p w14:paraId="2026EF9C" w14:textId="77C79585" w:rsidR="004A3980" w:rsidRPr="004A3980" w:rsidRDefault="004A3980" w:rsidP="00A6491A">
      <w:pPr>
        <w:ind w:left="284"/>
        <w:rPr>
          <w:color w:val="002060"/>
          <w:sz w:val="18"/>
          <w:szCs w:val="20"/>
        </w:rPr>
      </w:pPr>
      <w:r w:rsidRPr="004A3980">
        <w:rPr>
          <w:color w:val="002060"/>
          <w:sz w:val="18"/>
          <w:szCs w:val="20"/>
        </w:rPr>
        <w:t xml:space="preserve">AIHW 2019b. Cancer data in Australia. Web report  Last updated: 26 Jul 2019. Available at: </w:t>
      </w:r>
      <w:hyperlink r:id="rId11" w:history="1">
        <w:r w:rsidRPr="004A3980">
          <w:rPr>
            <w:rStyle w:val="Hyperlink"/>
            <w:color w:val="002060"/>
            <w:sz w:val="18"/>
            <w:szCs w:val="20"/>
          </w:rPr>
          <w:t>https://www.aihw.gov.au/reports/cancer/cancer-data-in-australia/contents/incidence-and-survival-by-stage</w:t>
        </w:r>
      </w:hyperlink>
      <w:r w:rsidRPr="004A3980">
        <w:rPr>
          <w:color w:val="002060"/>
          <w:sz w:val="18"/>
          <w:szCs w:val="20"/>
        </w:rPr>
        <w:br/>
        <w:t>Accessed 27/5/2020</w:t>
      </w:r>
    </w:p>
    <w:p w14:paraId="0D3B04FF" w14:textId="77777777" w:rsidR="004A3980" w:rsidRPr="009056C5" w:rsidRDefault="004A3980" w:rsidP="00A6491A">
      <w:pPr>
        <w:ind w:left="284"/>
      </w:pPr>
    </w:p>
    <w:p w14:paraId="73F5256E"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1EA9DCAE" w14:textId="13AA3986" w:rsidR="00CB12EC" w:rsidRPr="00CB12EC" w:rsidRDefault="003C5CFC" w:rsidP="00FD08F6">
      <w:pPr>
        <w:ind w:left="284"/>
        <w:jc w:val="both"/>
      </w:pPr>
      <w:r w:rsidRPr="003C5CFC">
        <w:t>The proposed service measures PD-L1 levels</w:t>
      </w:r>
      <w:r>
        <w:t xml:space="preserve"> in tumour material from a patient diagnosed with </w:t>
      </w:r>
      <w:r w:rsidR="006248AF">
        <w:t>NSCLC</w:t>
      </w:r>
      <w:r>
        <w:t>.</w:t>
      </w:r>
      <w:r w:rsidR="006248AF">
        <w:t xml:space="preserve"> A</w:t>
      </w:r>
      <w:r w:rsidR="00456B97">
        <w:t xml:space="preserve"> </w:t>
      </w:r>
      <w:r w:rsidR="006248AF">
        <w:t xml:space="preserve">current MBS item determines </w:t>
      </w:r>
      <w:r w:rsidR="006248AF" w:rsidRPr="006248AF">
        <w:t xml:space="preserve">if the requirements relating to PD-L1 status for access to pembrolizumab </w:t>
      </w:r>
      <w:r w:rsidR="001463D1">
        <w:t xml:space="preserve">(a </w:t>
      </w:r>
      <w:r w:rsidR="001463D1" w:rsidRPr="0044530A">
        <w:t>PD-1</w:t>
      </w:r>
      <w:r w:rsidR="001463D1">
        <w:t xml:space="preserve"> inhibitor) </w:t>
      </w:r>
      <w:r w:rsidR="006248AF" w:rsidRPr="006248AF">
        <w:t xml:space="preserve">under the Pharmaceutical Benefits Scheme </w:t>
      </w:r>
      <w:r w:rsidR="00C165F3">
        <w:t xml:space="preserve">(PBS) </w:t>
      </w:r>
      <w:r w:rsidR="006248AF" w:rsidRPr="006248AF">
        <w:t>are fulfilled</w:t>
      </w:r>
      <w:r w:rsidR="006248AF">
        <w:t>. This submission requests an amendment of the item description to include c</w:t>
      </w:r>
      <w:r w:rsidR="006248AF" w:rsidRPr="006248AF">
        <w:t>emiplimab</w:t>
      </w:r>
      <w:r w:rsidR="006248AF">
        <w:t xml:space="preserve">, which is also a </w:t>
      </w:r>
      <w:r w:rsidR="006248AF" w:rsidRPr="0044530A">
        <w:t>PD-1</w:t>
      </w:r>
      <w:r w:rsidR="006248AF">
        <w:t xml:space="preserve"> inhibitor.</w:t>
      </w:r>
    </w:p>
    <w:p w14:paraId="7583D274"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5D2DA4C6" w14:textId="1A832797" w:rsidR="00753C44" w:rsidRDefault="003C5CFC"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4F6719">
        <w:rPr>
          <w:szCs w:val="20"/>
        </w:rPr>
      </w:r>
      <w:r w:rsidR="004F6719">
        <w:rPr>
          <w:szCs w:val="20"/>
        </w:rPr>
        <w:fldChar w:fldCharType="separate"/>
      </w:r>
      <w:r>
        <w:rPr>
          <w:szCs w:val="20"/>
        </w:rPr>
        <w:fldChar w:fldCharType="end"/>
      </w:r>
      <w:bookmarkEnd w:id="2"/>
      <w:r w:rsidR="006B6390">
        <w:rPr>
          <w:szCs w:val="20"/>
        </w:rPr>
        <w:t xml:space="preserve"> Yes</w:t>
      </w:r>
    </w:p>
    <w:p w14:paraId="3B172ADA" w14:textId="77777777" w:rsidR="00753C44" w:rsidRPr="00753C44" w:rsidRDefault="006B6390" w:rsidP="00A6491A">
      <w:pPr>
        <w:spacing w:before="0" w:after="0"/>
        <w:ind w:left="284"/>
        <w:rPr>
          <w:szCs w:val="20"/>
        </w:rPr>
      </w:pPr>
      <w:r w:rsidRPr="00753C44">
        <w:rPr>
          <w:szCs w:val="20"/>
        </w:rPr>
        <w:lastRenderedPageBreak/>
        <w:fldChar w:fldCharType="begin">
          <w:ffData>
            <w:name w:val="Check2"/>
            <w:enabled/>
            <w:calcOnExit w:val="0"/>
            <w:checkBox>
              <w:sizeAuto/>
              <w:default w:val="0"/>
            </w:checkBox>
          </w:ffData>
        </w:fldChar>
      </w:r>
      <w:r w:rsidRPr="00753C44">
        <w:rPr>
          <w:szCs w:val="20"/>
        </w:rPr>
        <w:instrText xml:space="preserve"> FORMCHECKBOX </w:instrText>
      </w:r>
      <w:r w:rsidR="004F6719">
        <w:rPr>
          <w:szCs w:val="20"/>
        </w:rPr>
      </w:r>
      <w:r w:rsidR="004F6719">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02D3CEC2"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bookmarkStart w:id="3" w:name="_GoBack"/>
    </w:p>
    <w:p w14:paraId="12AF88A0" w14:textId="3D3062EC" w:rsidR="00753C44" w:rsidRDefault="003C5CF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6719">
        <w:rPr>
          <w:szCs w:val="20"/>
        </w:rPr>
      </w:r>
      <w:r w:rsidR="004F6719">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731912AE"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F6719">
        <w:rPr>
          <w:szCs w:val="20"/>
        </w:rPr>
      </w:r>
      <w:r w:rsidR="004F6719">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14:paraId="23EE82AA"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29C5FD61" w14:textId="4600C07D" w:rsidR="00A018AC" w:rsidRDefault="00A018AC" w:rsidP="00A018AC">
      <w:pPr>
        <w:ind w:left="284"/>
      </w:pPr>
      <w:r w:rsidRPr="00A018AC">
        <w:rPr>
          <w:b/>
          <w:bCs/>
        </w:rPr>
        <w:t>MBS item 72814</w:t>
      </w:r>
      <w:r>
        <w:t>,  a Category 6 pathology service for:</w:t>
      </w:r>
    </w:p>
    <w:p w14:paraId="6A2F67FB" w14:textId="77777777" w:rsidR="00A018AC" w:rsidRDefault="00A018AC" w:rsidP="00A018AC">
      <w:pPr>
        <w:ind w:left="284"/>
      </w:pPr>
      <w:r>
        <w:t xml:space="preserve">Immunohistochemical examination by immunoperoxidase or other labelled antibody techniques using the </w:t>
      </w:r>
      <w:bookmarkStart w:id="4" w:name="_Hlk41505615"/>
      <w:r>
        <w:t>programmed cell death ligand 1 (PD-L1)</w:t>
      </w:r>
      <w:bookmarkEnd w:id="4"/>
      <w:r>
        <w:t xml:space="preserve"> antibody of tumour material from a patient diagnosed with non-small cell lung cancer, to determine if the requirements relating to PD-L1 status for access to pembrolizumab under the Pharmaceutical Benefits Scheme are fulfilled. </w:t>
      </w:r>
    </w:p>
    <w:p w14:paraId="10178B81" w14:textId="25E55660" w:rsidR="003D795C" w:rsidRPr="00CB12EC" w:rsidRDefault="00A018AC" w:rsidP="00A018AC">
      <w:pPr>
        <w:ind w:left="284"/>
      </w:pPr>
      <w:r>
        <w:t>Fee: $74.50 Benefit: 75% = $55.90 85% = $63.35.</w:t>
      </w:r>
    </w:p>
    <w:p w14:paraId="7507D795" w14:textId="77777777" w:rsidR="004F6719" w:rsidRDefault="004F6719">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14:paraId="724F7BDF" w14:textId="64CF0536"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6E501A1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6719">
        <w:rPr>
          <w:b/>
          <w:szCs w:val="20"/>
        </w:rPr>
      </w:r>
      <w:r w:rsidR="004F671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1204C1F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6719">
        <w:rPr>
          <w:b/>
          <w:szCs w:val="20"/>
        </w:rPr>
      </w:r>
      <w:r w:rsidR="004F671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5B92C93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6719">
        <w:rPr>
          <w:b/>
          <w:szCs w:val="20"/>
        </w:rPr>
      </w:r>
      <w:r w:rsidR="004F671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293E600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6719">
        <w:rPr>
          <w:b/>
          <w:szCs w:val="20"/>
        </w:rPr>
      </w:r>
      <w:r w:rsidR="004F671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58F6E1F4"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6719">
        <w:rPr>
          <w:b/>
          <w:szCs w:val="20"/>
        </w:rPr>
      </w:r>
      <w:r w:rsidR="004F6719">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12473FAF" w14:textId="20EAEEBD" w:rsidR="002A270B" w:rsidRPr="004A263B" w:rsidRDefault="00A018AC" w:rsidP="004A263B">
      <w:pPr>
        <w:pStyle w:val="ListParagraph"/>
        <w:numPr>
          <w:ilvl w:val="0"/>
          <w:numId w:val="34"/>
        </w:numPr>
        <w:spacing w:before="0" w:after="0"/>
        <w:ind w:left="851" w:hanging="425"/>
        <w:rPr>
          <w:rStyle w:val="Strong"/>
          <w:b w:val="0"/>
        </w:rPr>
      </w:pPr>
      <w:r>
        <w:rPr>
          <w:b/>
          <w:szCs w:val="20"/>
        </w:rPr>
        <w:fldChar w:fldCharType="begin">
          <w:ffData>
            <w:name w:val="Check2"/>
            <w:enabled/>
            <w:calcOnExit w:val="0"/>
            <w:checkBox>
              <w:sizeAuto/>
              <w:default w:val="1"/>
            </w:checkBox>
          </w:ffData>
        </w:fldChar>
      </w:r>
      <w:bookmarkStart w:id="5" w:name="Check2"/>
      <w:r>
        <w:rPr>
          <w:b/>
          <w:szCs w:val="20"/>
        </w:rPr>
        <w:instrText xml:space="preserve"> FORMCHECKBOX </w:instrText>
      </w:r>
      <w:r w:rsidR="004F6719">
        <w:rPr>
          <w:b/>
          <w:szCs w:val="20"/>
        </w:rPr>
      </w:r>
      <w:r w:rsidR="004F6719">
        <w:rPr>
          <w:b/>
          <w:szCs w:val="20"/>
        </w:rPr>
        <w:fldChar w:fldCharType="separate"/>
      </w:r>
      <w:r>
        <w:rPr>
          <w:b/>
          <w:szCs w:val="20"/>
        </w:rPr>
        <w:fldChar w:fldCharType="end"/>
      </w:r>
      <w:bookmarkEnd w:id="5"/>
      <w:r w:rsidR="002A270B" w:rsidRPr="004A263B">
        <w:rPr>
          <w:b/>
          <w:szCs w:val="20"/>
        </w:rPr>
        <w:t xml:space="preserve"> </w:t>
      </w:r>
      <w:r w:rsidR="002A270B" w:rsidRPr="004A263B">
        <w:rPr>
          <w:rStyle w:val="Strong"/>
          <w:b w:val="0"/>
        </w:rPr>
        <w:t>Minor amendments to the item descriptor that does not affect how the service is delivered</w:t>
      </w:r>
    </w:p>
    <w:p w14:paraId="5262E19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6719">
        <w:rPr>
          <w:b/>
          <w:szCs w:val="20"/>
        </w:rPr>
      </w:r>
      <w:r w:rsidR="004F671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3674F62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6719">
        <w:rPr>
          <w:b/>
          <w:szCs w:val="20"/>
        </w:rPr>
      </w:r>
      <w:r w:rsidR="004F671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40134A7F"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F6719">
        <w:rPr>
          <w:b/>
          <w:szCs w:val="20"/>
        </w:rPr>
      </w:r>
      <w:r w:rsidR="004F6719">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73DA40A7"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6EF4526"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F6719">
        <w:rPr>
          <w:b/>
          <w:szCs w:val="20"/>
        </w:rPr>
      </w:r>
      <w:r w:rsidR="004F6719">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743C8DA8"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F6719">
        <w:rPr>
          <w:b/>
          <w:szCs w:val="20"/>
        </w:rPr>
      </w:r>
      <w:r w:rsidR="004F6719">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5213517A"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F6719">
        <w:rPr>
          <w:b/>
          <w:szCs w:val="20"/>
        </w:rPr>
      </w:r>
      <w:r w:rsidR="004F6719">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4A29A171"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F6719">
        <w:rPr>
          <w:b/>
          <w:szCs w:val="20"/>
        </w:rPr>
      </w:r>
      <w:r w:rsidR="004F6719">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3A234A03"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Is the proposed service seeking public funding other than the MBS?</w:t>
      </w:r>
    </w:p>
    <w:p w14:paraId="76DB2662"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sidRPr="000A5B32">
        <w:rPr>
          <w:szCs w:val="20"/>
        </w:rPr>
        <w:t xml:space="preserve"> Yes</w:t>
      </w:r>
    </w:p>
    <w:p w14:paraId="505C80E0" w14:textId="62819718" w:rsidR="00626365" w:rsidRDefault="00FD08F6"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6719">
        <w:rPr>
          <w:szCs w:val="20"/>
        </w:rPr>
      </w:r>
      <w:r w:rsidR="004F6719">
        <w:rPr>
          <w:szCs w:val="20"/>
        </w:rPr>
        <w:fldChar w:fldCharType="separate"/>
      </w:r>
      <w:r>
        <w:rPr>
          <w:szCs w:val="20"/>
        </w:rPr>
        <w:fldChar w:fldCharType="end"/>
      </w:r>
      <w:r w:rsidR="000A5B32" w:rsidRPr="000A5B32">
        <w:rPr>
          <w:szCs w:val="20"/>
        </w:rPr>
        <w:t xml:space="preserve"> No</w:t>
      </w:r>
    </w:p>
    <w:p w14:paraId="0A4778F1" w14:textId="4DDDE276" w:rsidR="003027BB" w:rsidRDefault="003027BB" w:rsidP="004F6719">
      <w:pPr>
        <w:pStyle w:val="Heading2"/>
        <w:numPr>
          <w:ilvl w:val="0"/>
          <w:numId w:val="24"/>
        </w:numPr>
        <w:ind w:left="714" w:hanging="357"/>
        <w:contextualSpacing w:val="0"/>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5445A4F4" w14:textId="0EFBA766" w:rsidR="004F6719" w:rsidRPr="004F6719" w:rsidRDefault="004F6719" w:rsidP="004F6719">
      <w:pPr>
        <w:ind w:firstLine="357"/>
        <w:rPr>
          <w:b/>
          <w:szCs w:val="20"/>
        </w:rPr>
      </w:pPr>
      <w:r>
        <w:t>Not applicable</w:t>
      </w:r>
    </w:p>
    <w:p w14:paraId="17C46BE2" w14:textId="77777777" w:rsidR="000B3CD0" w:rsidRDefault="000B3CD0" w:rsidP="004F6719">
      <w:pPr>
        <w:pStyle w:val="Heading2"/>
        <w:ind w:left="357" w:hanging="357"/>
        <w:contextualSpacing w:val="0"/>
      </w:pPr>
      <w:r w:rsidRPr="00154B00">
        <w:t>What is the type of service:</w:t>
      </w:r>
    </w:p>
    <w:p w14:paraId="656B77C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F6719">
        <w:rPr>
          <w:b/>
          <w:szCs w:val="20"/>
        </w:rPr>
      </w:r>
      <w:r w:rsidR="004F6719">
        <w:rPr>
          <w:b/>
          <w:szCs w:val="20"/>
        </w:rPr>
        <w:fldChar w:fldCharType="separate"/>
      </w:r>
      <w:r w:rsidRPr="0027105F">
        <w:rPr>
          <w:b/>
          <w:szCs w:val="20"/>
        </w:rPr>
        <w:fldChar w:fldCharType="end"/>
      </w:r>
      <w:r w:rsidRPr="0027105F">
        <w:rPr>
          <w:b/>
          <w:szCs w:val="20"/>
        </w:rPr>
        <w:t xml:space="preserve"> </w:t>
      </w:r>
      <w:r>
        <w:t>Therapeutic medical service</w:t>
      </w:r>
    </w:p>
    <w:p w14:paraId="66DEA305" w14:textId="4F9655E0" w:rsidR="00A6594E" w:rsidRDefault="007803DF"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4F6719">
        <w:rPr>
          <w:b/>
          <w:szCs w:val="20"/>
        </w:rPr>
      </w:r>
      <w:r w:rsidR="004F6719">
        <w:rPr>
          <w:b/>
          <w:szCs w:val="20"/>
        </w:rPr>
        <w:fldChar w:fldCharType="separate"/>
      </w:r>
      <w:r>
        <w:rPr>
          <w:b/>
          <w:szCs w:val="20"/>
        </w:rPr>
        <w:fldChar w:fldCharType="end"/>
      </w:r>
      <w:r w:rsidR="00A6594E" w:rsidRPr="0027105F">
        <w:rPr>
          <w:b/>
          <w:szCs w:val="20"/>
        </w:rPr>
        <w:t xml:space="preserve"> </w:t>
      </w:r>
      <w:r w:rsidR="00A6594E">
        <w:t>Investigative medical service</w:t>
      </w:r>
    </w:p>
    <w:p w14:paraId="0620EA9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F6719">
        <w:rPr>
          <w:b/>
          <w:szCs w:val="20"/>
        </w:rPr>
      </w:r>
      <w:r w:rsidR="004F6719">
        <w:rPr>
          <w:b/>
          <w:szCs w:val="20"/>
        </w:rPr>
        <w:fldChar w:fldCharType="separate"/>
      </w:r>
      <w:r w:rsidRPr="0027105F">
        <w:rPr>
          <w:b/>
          <w:szCs w:val="20"/>
        </w:rPr>
        <w:fldChar w:fldCharType="end"/>
      </w:r>
      <w:r w:rsidRPr="0027105F">
        <w:rPr>
          <w:b/>
          <w:szCs w:val="20"/>
        </w:rPr>
        <w:t xml:space="preserve"> </w:t>
      </w:r>
      <w:r>
        <w:t>Single consultation medical service</w:t>
      </w:r>
    </w:p>
    <w:p w14:paraId="37D421F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F6719">
        <w:rPr>
          <w:b/>
          <w:szCs w:val="20"/>
        </w:rPr>
      </w:r>
      <w:r w:rsidR="004F6719">
        <w:rPr>
          <w:b/>
          <w:szCs w:val="20"/>
        </w:rPr>
        <w:fldChar w:fldCharType="separate"/>
      </w:r>
      <w:r w:rsidRPr="0027105F">
        <w:rPr>
          <w:b/>
          <w:szCs w:val="20"/>
        </w:rPr>
        <w:fldChar w:fldCharType="end"/>
      </w:r>
      <w:r w:rsidRPr="0027105F">
        <w:rPr>
          <w:b/>
          <w:szCs w:val="20"/>
        </w:rPr>
        <w:t xml:space="preserve"> </w:t>
      </w:r>
      <w:r>
        <w:t>Global consultation medical service</w:t>
      </w:r>
    </w:p>
    <w:p w14:paraId="602786F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F6719">
        <w:rPr>
          <w:b/>
          <w:szCs w:val="20"/>
        </w:rPr>
      </w:r>
      <w:r w:rsidR="004F6719">
        <w:rPr>
          <w:b/>
          <w:szCs w:val="20"/>
        </w:rPr>
        <w:fldChar w:fldCharType="separate"/>
      </w:r>
      <w:r w:rsidRPr="0027105F">
        <w:rPr>
          <w:b/>
          <w:szCs w:val="20"/>
        </w:rPr>
        <w:fldChar w:fldCharType="end"/>
      </w:r>
      <w:r w:rsidRPr="0027105F">
        <w:rPr>
          <w:b/>
          <w:szCs w:val="20"/>
        </w:rPr>
        <w:t xml:space="preserve"> </w:t>
      </w:r>
      <w:r>
        <w:t>Allied health service</w:t>
      </w:r>
    </w:p>
    <w:p w14:paraId="6770F509" w14:textId="6FD6306C" w:rsidR="00A6594E" w:rsidRDefault="007803DF" w:rsidP="00A6491A">
      <w:pPr>
        <w:spacing w:before="0" w:after="0"/>
        <w:ind w:left="284"/>
      </w:pPr>
      <w:r>
        <w:rPr>
          <w:b/>
          <w:szCs w:val="20"/>
        </w:rPr>
        <w:fldChar w:fldCharType="begin">
          <w:ffData>
            <w:name w:val=""/>
            <w:enabled/>
            <w:calcOnExit w:val="0"/>
            <w:checkBox>
              <w:sizeAuto/>
              <w:default w:val="0"/>
            </w:checkBox>
          </w:ffData>
        </w:fldChar>
      </w:r>
      <w:r>
        <w:rPr>
          <w:b/>
          <w:szCs w:val="20"/>
        </w:rPr>
        <w:instrText xml:space="preserve"> FORMCHECKBOX </w:instrText>
      </w:r>
      <w:r w:rsidR="004F6719">
        <w:rPr>
          <w:b/>
          <w:szCs w:val="20"/>
        </w:rPr>
      </w:r>
      <w:r w:rsidR="004F6719">
        <w:rPr>
          <w:b/>
          <w:szCs w:val="20"/>
        </w:rPr>
        <w:fldChar w:fldCharType="separate"/>
      </w:r>
      <w:r>
        <w:rPr>
          <w:b/>
          <w:szCs w:val="20"/>
        </w:rPr>
        <w:fldChar w:fldCharType="end"/>
      </w:r>
      <w:r w:rsidR="00A6594E" w:rsidRPr="0027105F">
        <w:rPr>
          <w:b/>
          <w:szCs w:val="20"/>
        </w:rPr>
        <w:t xml:space="preserve"> </w:t>
      </w:r>
      <w:r w:rsidR="00A6594E">
        <w:t>Co-dependent technology</w:t>
      </w:r>
    </w:p>
    <w:p w14:paraId="73755586"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F6719">
        <w:rPr>
          <w:b/>
          <w:szCs w:val="20"/>
        </w:rPr>
      </w:r>
      <w:r w:rsidR="004F6719">
        <w:rPr>
          <w:b/>
          <w:szCs w:val="20"/>
        </w:rPr>
        <w:fldChar w:fldCharType="separate"/>
      </w:r>
      <w:r w:rsidRPr="0027105F">
        <w:rPr>
          <w:b/>
          <w:szCs w:val="20"/>
        </w:rPr>
        <w:fldChar w:fldCharType="end"/>
      </w:r>
      <w:r w:rsidRPr="0027105F">
        <w:rPr>
          <w:b/>
          <w:szCs w:val="20"/>
        </w:rPr>
        <w:t xml:space="preserve"> </w:t>
      </w:r>
      <w:r>
        <w:t>Hybrid health technology</w:t>
      </w:r>
    </w:p>
    <w:p w14:paraId="775EEE29"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0FE39E19"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F6719">
        <w:rPr>
          <w:b/>
          <w:szCs w:val="20"/>
        </w:rPr>
      </w:r>
      <w:r w:rsidR="004F6719">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2A34DAA8"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F6719">
        <w:rPr>
          <w:b/>
          <w:szCs w:val="20"/>
        </w:rPr>
      </w:r>
      <w:r w:rsidR="004F6719">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48B53400"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F6719">
        <w:rPr>
          <w:b/>
          <w:szCs w:val="20"/>
        </w:rPr>
      </w:r>
      <w:r w:rsidR="004F6719">
        <w:rPr>
          <w:b/>
          <w:szCs w:val="20"/>
        </w:rPr>
        <w:fldChar w:fldCharType="separate"/>
      </w:r>
      <w:r w:rsidRPr="00AF4466">
        <w:rPr>
          <w:b/>
          <w:szCs w:val="20"/>
        </w:rPr>
        <w:fldChar w:fldCharType="end"/>
      </w:r>
      <w:r w:rsidRPr="00AF4466">
        <w:rPr>
          <w:b/>
          <w:szCs w:val="20"/>
        </w:rPr>
        <w:t xml:space="preserve"> </w:t>
      </w:r>
      <w:r>
        <w:t>Provides information about prognosis</w:t>
      </w:r>
    </w:p>
    <w:p w14:paraId="6A98BD16" w14:textId="3043C8B9" w:rsidR="00A6594E" w:rsidRDefault="007803DF"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4F6719">
        <w:rPr>
          <w:b/>
          <w:szCs w:val="20"/>
        </w:rPr>
      </w:r>
      <w:r w:rsidR="004F6719">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009AF413"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F6719">
        <w:rPr>
          <w:b/>
          <w:szCs w:val="20"/>
        </w:rPr>
      </w:r>
      <w:r w:rsidR="004F6719">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539232C6"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2AB2C6C6" w14:textId="027B5E19" w:rsidR="00FE16C1" w:rsidRDefault="007803DF" w:rsidP="00A6491A">
      <w:pPr>
        <w:spacing w:before="0" w:after="0"/>
        <w:ind w:left="284"/>
      </w:pPr>
      <w:r>
        <w:rPr>
          <w:b/>
          <w:szCs w:val="20"/>
        </w:rPr>
        <w:fldChar w:fldCharType="begin">
          <w:ffData>
            <w:name w:val=""/>
            <w:enabled/>
            <w:calcOnExit w:val="0"/>
            <w:checkBox>
              <w:size w:val="20"/>
              <w:default w:val="1"/>
            </w:checkBox>
          </w:ffData>
        </w:fldChar>
      </w:r>
      <w:r>
        <w:rPr>
          <w:b/>
          <w:szCs w:val="20"/>
        </w:rPr>
        <w:instrText xml:space="preserve"> FORMCHECKBOX </w:instrText>
      </w:r>
      <w:r w:rsidR="004F6719">
        <w:rPr>
          <w:b/>
          <w:szCs w:val="20"/>
        </w:rPr>
      </w:r>
      <w:r w:rsidR="004F6719">
        <w:rPr>
          <w:b/>
          <w:szCs w:val="20"/>
        </w:rPr>
        <w:fldChar w:fldCharType="separate"/>
      </w:r>
      <w:r>
        <w:rPr>
          <w:b/>
          <w:szCs w:val="20"/>
        </w:rPr>
        <w:fldChar w:fldCharType="end"/>
      </w:r>
      <w:r w:rsidR="00FE16C1" w:rsidRPr="0027105F">
        <w:rPr>
          <w:b/>
          <w:szCs w:val="20"/>
        </w:rPr>
        <w:t xml:space="preserve"> </w:t>
      </w:r>
      <w:r w:rsidR="00FE16C1">
        <w:t>Pharmaceutical / Biological</w:t>
      </w:r>
    </w:p>
    <w:p w14:paraId="27806E00"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F6719">
        <w:rPr>
          <w:b/>
          <w:szCs w:val="20"/>
        </w:rPr>
      </w:r>
      <w:r w:rsidR="004F6719">
        <w:rPr>
          <w:b/>
          <w:szCs w:val="20"/>
        </w:rPr>
        <w:fldChar w:fldCharType="separate"/>
      </w:r>
      <w:r w:rsidRPr="0027105F">
        <w:rPr>
          <w:b/>
          <w:szCs w:val="20"/>
        </w:rPr>
        <w:fldChar w:fldCharType="end"/>
      </w:r>
      <w:r w:rsidRPr="0027105F">
        <w:rPr>
          <w:b/>
          <w:szCs w:val="20"/>
        </w:rPr>
        <w:t xml:space="preserve"> </w:t>
      </w:r>
      <w:r>
        <w:t>Prosthesis or device</w:t>
      </w:r>
    </w:p>
    <w:p w14:paraId="0508C833"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F6719">
        <w:rPr>
          <w:b/>
          <w:szCs w:val="20"/>
        </w:rPr>
      </w:r>
      <w:r w:rsidR="004F6719">
        <w:rPr>
          <w:b/>
          <w:szCs w:val="20"/>
        </w:rPr>
        <w:fldChar w:fldCharType="separate"/>
      </w:r>
      <w:r w:rsidRPr="0027105F">
        <w:rPr>
          <w:b/>
          <w:szCs w:val="20"/>
        </w:rPr>
        <w:fldChar w:fldCharType="end"/>
      </w:r>
      <w:r w:rsidRPr="0027105F">
        <w:rPr>
          <w:b/>
          <w:szCs w:val="20"/>
        </w:rPr>
        <w:t xml:space="preserve"> </w:t>
      </w:r>
      <w:r>
        <w:t>No</w:t>
      </w:r>
    </w:p>
    <w:p w14:paraId="3CF509F8"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1F8C46D6"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sidRPr="000A5B32">
        <w:rPr>
          <w:szCs w:val="20"/>
        </w:rPr>
        <w:t xml:space="preserve"> Yes</w:t>
      </w:r>
    </w:p>
    <w:p w14:paraId="63864E1E" w14:textId="65818F41" w:rsidR="00FE16C1" w:rsidRPr="00FE16C1" w:rsidRDefault="007803DF"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6719">
        <w:rPr>
          <w:szCs w:val="20"/>
        </w:rPr>
      </w:r>
      <w:r w:rsidR="004F6719">
        <w:rPr>
          <w:szCs w:val="20"/>
        </w:rPr>
        <w:fldChar w:fldCharType="separate"/>
      </w:r>
      <w:r>
        <w:rPr>
          <w:szCs w:val="20"/>
        </w:rPr>
        <w:fldChar w:fldCharType="end"/>
      </w:r>
      <w:r w:rsidR="00FE16C1">
        <w:rPr>
          <w:szCs w:val="20"/>
        </w:rPr>
        <w:t xml:space="preserve"> No  </w:t>
      </w:r>
    </w:p>
    <w:p w14:paraId="326FAE97"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01899A98" w14:textId="1C62162A" w:rsidR="007E39E4" w:rsidRPr="007E39E4" w:rsidRDefault="004F6719" w:rsidP="004F6719">
      <w:pPr>
        <w:ind w:left="284" w:firstLine="76"/>
        <w:rPr>
          <w:b/>
          <w:szCs w:val="20"/>
        </w:rPr>
      </w:pPr>
      <w:r>
        <w:t>Not applicable</w:t>
      </w:r>
    </w:p>
    <w:bookmarkEnd w:id="3"/>
    <w:p w14:paraId="6ECF9CB7" w14:textId="77777777" w:rsidR="004F6719" w:rsidRDefault="004F6719">
      <w:pPr>
        <w:spacing w:before="0" w:after="200" w:line="276" w:lineRule="auto"/>
        <w:rPr>
          <w:b/>
          <w:szCs w:val="20"/>
        </w:rPr>
      </w:pPr>
      <w:r>
        <w:br w:type="page"/>
      </w:r>
    </w:p>
    <w:p w14:paraId="16FC747D" w14:textId="33AC29E2"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6E0DACE2"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1DAE5EC4" w14:textId="430A1572" w:rsidR="001E6919" w:rsidRDefault="007803DF"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6719">
        <w:rPr>
          <w:szCs w:val="20"/>
        </w:rPr>
      </w:r>
      <w:r w:rsidR="004F6719">
        <w:rPr>
          <w:szCs w:val="20"/>
        </w:rPr>
        <w:fldChar w:fldCharType="separate"/>
      </w:r>
      <w:r>
        <w:rPr>
          <w:szCs w:val="20"/>
        </w:rPr>
        <w:fldChar w:fldCharType="end"/>
      </w:r>
      <w:r w:rsidR="001E6919">
        <w:rPr>
          <w:szCs w:val="20"/>
        </w:rPr>
        <w:t xml:space="preserve"> No</w:t>
      </w:r>
    </w:p>
    <w:p w14:paraId="45763C6D" w14:textId="51D5A2F9" w:rsidR="001E6919" w:rsidRPr="007E39E4" w:rsidRDefault="007803DF" w:rsidP="00A6491A">
      <w:pPr>
        <w:spacing w:before="0" w:after="0"/>
        <w:ind w:left="284"/>
        <w:rPr>
          <w:szCs w:val="20"/>
        </w:rPr>
      </w:pPr>
      <w:r>
        <w:t xml:space="preserve">Application to </w:t>
      </w:r>
      <w:r w:rsidR="00C165F3">
        <w:t>the PBS expected to be</w:t>
      </w:r>
      <w:r>
        <w:t xml:space="preserve"> made </w:t>
      </w:r>
      <w:r w:rsidR="004F6719" w:rsidRPr="004F6719">
        <w:rPr>
          <w:b/>
        </w:rPr>
        <w:t>REDACTED</w:t>
      </w:r>
    </w:p>
    <w:p w14:paraId="63F8F66A" w14:textId="77777777" w:rsidR="000E5439" w:rsidRDefault="000E5439" w:rsidP="00530204">
      <w:pPr>
        <w:pStyle w:val="Heading2"/>
        <w:numPr>
          <w:ilvl w:val="0"/>
          <w:numId w:val="25"/>
        </w:numPr>
      </w:pPr>
      <w:r w:rsidRPr="007E39E4">
        <w:lastRenderedPageBreak/>
        <w:t>If you are seeking both MBS and PBS listing</w:t>
      </w:r>
      <w:r w:rsidR="00B75965" w:rsidRPr="007E39E4">
        <w:t>, what is the trade name and generic name of the pharmaceutical?</w:t>
      </w:r>
    </w:p>
    <w:p w14:paraId="61123206" w14:textId="23916AA3" w:rsidR="001E6958" w:rsidRDefault="001E6958" w:rsidP="00A6491A">
      <w:pPr>
        <w:spacing w:before="0" w:after="0"/>
        <w:ind w:left="284"/>
      </w:pPr>
      <w:r>
        <w:t xml:space="preserve">Trade name: </w:t>
      </w:r>
      <w:r w:rsidR="007803DF">
        <w:t>LIBTAYO</w:t>
      </w:r>
    </w:p>
    <w:p w14:paraId="1215F124" w14:textId="7E2C6FBF" w:rsidR="001E6958" w:rsidRPr="001E6958" w:rsidRDefault="001E6958" w:rsidP="00A6491A">
      <w:pPr>
        <w:spacing w:before="0" w:after="0"/>
        <w:ind w:left="284"/>
      </w:pPr>
      <w:r>
        <w:t xml:space="preserve">Generic name: </w:t>
      </w:r>
      <w:r w:rsidR="007803DF">
        <w:t>Cemiplimab</w:t>
      </w:r>
    </w:p>
    <w:p w14:paraId="6ED0A733"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55AB4769" w14:textId="77777777" w:rsidR="001E6958" w:rsidRDefault="001E6958" w:rsidP="004F6719">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sidRPr="000A5B32">
        <w:rPr>
          <w:szCs w:val="20"/>
        </w:rPr>
        <w:t xml:space="preserve"> Yes</w:t>
      </w:r>
    </w:p>
    <w:p w14:paraId="26DF78F6" w14:textId="5DFE29D0" w:rsidR="001E6958" w:rsidRDefault="001463D1" w:rsidP="004F6719">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6719">
        <w:rPr>
          <w:szCs w:val="20"/>
        </w:rPr>
      </w:r>
      <w:r w:rsidR="004F6719">
        <w:rPr>
          <w:szCs w:val="20"/>
        </w:rPr>
        <w:fldChar w:fldCharType="separate"/>
      </w:r>
      <w:r>
        <w:rPr>
          <w:szCs w:val="20"/>
        </w:rPr>
        <w:fldChar w:fldCharType="end"/>
      </w:r>
      <w:r w:rsidR="001E6958">
        <w:rPr>
          <w:szCs w:val="20"/>
        </w:rPr>
        <w:t xml:space="preserve"> No  </w:t>
      </w:r>
    </w:p>
    <w:p w14:paraId="65DA1BBE" w14:textId="77777777" w:rsidR="001E6919" w:rsidRPr="001E6958" w:rsidRDefault="001E6919" w:rsidP="00A6491A">
      <w:pPr>
        <w:spacing w:before="0" w:after="0"/>
        <w:ind w:left="284"/>
        <w:rPr>
          <w:szCs w:val="20"/>
        </w:rPr>
      </w:pPr>
    </w:p>
    <w:p w14:paraId="7B674167"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0D62F26C" w14:textId="33E77077" w:rsidR="009939DC" w:rsidRDefault="004F6719" w:rsidP="004F6719">
      <w:pPr>
        <w:spacing w:before="0" w:after="0"/>
        <w:ind w:left="284" w:firstLine="76"/>
      </w:pPr>
      <w:r>
        <w:t>Not applicable</w:t>
      </w:r>
    </w:p>
    <w:p w14:paraId="27FAD63A" w14:textId="77777777" w:rsidR="00411735" w:rsidRDefault="00411735" w:rsidP="004F6719">
      <w:pPr>
        <w:pStyle w:val="Heading2"/>
        <w:numPr>
          <w:ilvl w:val="0"/>
          <w:numId w:val="26"/>
        </w:numPr>
        <w:ind w:left="714" w:hanging="357"/>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619A2DE2" w14:textId="652337DC" w:rsidR="001E6958" w:rsidRPr="009939DC" w:rsidRDefault="004F6719" w:rsidP="004F6719">
      <w:pPr>
        <w:spacing w:before="0" w:after="0"/>
        <w:ind w:left="360"/>
        <w:rPr>
          <w:szCs w:val="20"/>
        </w:rPr>
      </w:pPr>
      <w:r>
        <w:rPr>
          <w:szCs w:val="20"/>
        </w:rPr>
        <w:t>No comment</w:t>
      </w:r>
    </w:p>
    <w:p w14:paraId="72DF34E7" w14:textId="49AE4802" w:rsidR="00016B6E" w:rsidRPr="009939DC" w:rsidRDefault="00016B6E" w:rsidP="00530204">
      <w:pPr>
        <w:pStyle w:val="Heading2"/>
        <w:numPr>
          <w:ilvl w:val="0"/>
          <w:numId w:val="26"/>
        </w:numPr>
      </w:pPr>
      <w:r w:rsidRPr="009939DC">
        <w:t>Are t</w:t>
      </w:r>
      <w:r w:rsidR="004F6719">
        <w:t>here any other sponsor(s) and/</w:t>
      </w:r>
      <w:r w:rsidRPr="009939DC">
        <w:t>or manufacturer(</w:t>
      </w:r>
      <w:r w:rsidR="008B729C" w:rsidRPr="009939DC">
        <w:t>s) that have a similar prosthesi</w:t>
      </w:r>
      <w:r w:rsidRPr="009939DC">
        <w:t>s or device component in the Australian market place which this application is relevant to?</w:t>
      </w:r>
    </w:p>
    <w:p w14:paraId="535052C4" w14:textId="2812C2D2" w:rsidR="009939DC" w:rsidRPr="001E6958" w:rsidRDefault="004F6719" w:rsidP="004F6719">
      <w:pPr>
        <w:spacing w:before="0" w:after="0"/>
        <w:ind w:left="360"/>
        <w:rPr>
          <w:szCs w:val="20"/>
        </w:rPr>
      </w:pPr>
      <w:r>
        <w:rPr>
          <w:szCs w:val="20"/>
        </w:rPr>
        <w:t>No comment</w:t>
      </w:r>
    </w:p>
    <w:p w14:paraId="4B83F973"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21059F39" w14:textId="0601BDD2" w:rsidR="00016B6E" w:rsidRPr="009939DC" w:rsidRDefault="004F6719" w:rsidP="004F6719">
      <w:pPr>
        <w:ind w:left="284" w:firstLine="76"/>
      </w:pPr>
      <w:r>
        <w:t>No comment</w:t>
      </w:r>
    </w:p>
    <w:p w14:paraId="6FBA1D81"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02C88873" w14:textId="7F52AEF9" w:rsidR="00F301F1" w:rsidRPr="00855944" w:rsidRDefault="004F6719" w:rsidP="004F6719">
      <w:pPr>
        <w:spacing w:before="0" w:after="0"/>
        <w:ind w:left="284" w:firstLine="76"/>
      </w:pPr>
      <w:r>
        <w:t>No comment</w:t>
      </w:r>
      <w:r w:rsidR="00F301F1" w:rsidRPr="00855944">
        <w:br w:type="page"/>
      </w:r>
    </w:p>
    <w:p w14:paraId="62276629"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1C87308E"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w:t>
      </w:r>
      <w:r w:rsidR="001A1ADF" w:rsidRPr="00C4357F">
        <w:t xml:space="preserv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095E7328" w14:textId="1A3CBF86"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A6099E" w:rsidRPr="00671242">
        <w:rPr>
          <w:i/>
          <w:iCs/>
        </w:rPr>
        <w:t>in-vitro</w:t>
      </w:r>
      <w:r w:rsidR="00A6099E" w:rsidRPr="00A6099E">
        <w:t xml:space="preserve"> diagnostic test</w:t>
      </w:r>
    </w:p>
    <w:p w14:paraId="07748885" w14:textId="44008239" w:rsidR="00A26343" w:rsidRPr="00A26343" w:rsidRDefault="00A26343" w:rsidP="00A6491A">
      <w:pPr>
        <w:spacing w:before="0" w:after="0"/>
        <w:ind w:left="284"/>
        <w:rPr>
          <w:szCs w:val="20"/>
        </w:rPr>
      </w:pPr>
      <w:r w:rsidRPr="00A26343">
        <w:rPr>
          <w:szCs w:val="20"/>
        </w:rPr>
        <w:t>Manufacturer’s name</w:t>
      </w:r>
      <w:r>
        <w:rPr>
          <w:szCs w:val="20"/>
        </w:rPr>
        <w:t xml:space="preserve">: </w:t>
      </w:r>
      <w:r w:rsidR="00F26679" w:rsidRPr="00F26679">
        <w:t>Dako</w:t>
      </w:r>
    </w:p>
    <w:p w14:paraId="1CA618A1" w14:textId="2290407E" w:rsidR="00A26343" w:rsidRDefault="00A26343" w:rsidP="00A6491A">
      <w:pPr>
        <w:spacing w:before="0" w:after="0"/>
        <w:ind w:left="284"/>
      </w:pPr>
      <w:r w:rsidRPr="00A26343">
        <w:rPr>
          <w:szCs w:val="20"/>
        </w:rPr>
        <w:t>Sponsor’s name</w:t>
      </w:r>
      <w:r>
        <w:rPr>
          <w:szCs w:val="20"/>
        </w:rPr>
        <w:t xml:space="preserve">: </w:t>
      </w:r>
      <w:r w:rsidR="00742988" w:rsidRPr="00742988">
        <w:t>Agilent Technologies Australia Pty Ltd</w:t>
      </w:r>
    </w:p>
    <w:p w14:paraId="26891E0F" w14:textId="527E0C56" w:rsidR="00197D2F" w:rsidRDefault="00197D2F" w:rsidP="00A6491A">
      <w:pPr>
        <w:spacing w:before="0" w:after="0"/>
        <w:ind w:left="284"/>
      </w:pPr>
    </w:p>
    <w:p w14:paraId="48AC1FC0" w14:textId="40A416C6" w:rsidR="00197D2F" w:rsidRDefault="00197D2F" w:rsidP="00A6491A">
      <w:pPr>
        <w:spacing w:before="0" w:after="0"/>
        <w:ind w:left="284"/>
      </w:pPr>
      <w:r>
        <w:t xml:space="preserve">The relevant </w:t>
      </w:r>
      <w:r w:rsidR="0052739B">
        <w:t>cemiplimab</w:t>
      </w:r>
      <w:r>
        <w:t xml:space="preserve"> clinical trial, </w:t>
      </w:r>
      <w:r w:rsidRPr="00197D2F">
        <w:t>R2810-ONC-1624 (Trial 1624; NCT03088540)</w:t>
      </w:r>
      <w:r>
        <w:t xml:space="preserve"> used the same PD-1</w:t>
      </w:r>
      <w:r w:rsidR="001463D1">
        <w:t>L</w:t>
      </w:r>
      <w:r>
        <w:t xml:space="preserve"> test as </w:t>
      </w:r>
      <w:r w:rsidR="001463D1">
        <w:t xml:space="preserve">pembrolizumab trials conducted by </w:t>
      </w:r>
      <w:r w:rsidRPr="00197D2F">
        <w:t>Merck, Sharp &amp; Dohme</w:t>
      </w:r>
      <w:r>
        <w:t xml:space="preserve">, the </w:t>
      </w:r>
      <w:r w:rsidRPr="00197D2F">
        <w:t>Dako PD-L1 IHC 22C3 pharmDx test</w:t>
      </w:r>
      <w:r w:rsidR="00283EDD">
        <w:t xml:space="preserve"> (</w:t>
      </w:r>
      <w:r w:rsidRPr="00197D2F">
        <w:t>Dako 22C3 test</w:t>
      </w:r>
      <w:r w:rsidR="00283EDD">
        <w:t>)</w:t>
      </w:r>
      <w:r>
        <w:t>.</w:t>
      </w:r>
      <w:r w:rsidR="001463D1">
        <w:t xml:space="preserve"> </w:t>
      </w:r>
      <w:r w:rsidR="00671242">
        <w:t>T</w:t>
      </w:r>
      <w:r w:rsidR="00671242" w:rsidRPr="00671242">
        <w:t>he Dako 22C3 assay used to determine eligibility for enrolment in the KN-024 trial</w:t>
      </w:r>
      <w:r w:rsidR="00671242">
        <w:t>.</w:t>
      </w:r>
      <w:r w:rsidR="00671242" w:rsidRPr="00671242">
        <w:t xml:space="preserve"> </w:t>
      </w:r>
      <w:r w:rsidR="001463D1">
        <w:t>This test was evaluated in prior submissions to MSAC:</w:t>
      </w:r>
    </w:p>
    <w:p w14:paraId="5E50BB1C" w14:textId="19CB3421" w:rsidR="001463D1" w:rsidRPr="00D37092" w:rsidRDefault="001463D1" w:rsidP="001463D1">
      <w:pPr>
        <w:pStyle w:val="ListParagraph"/>
        <w:numPr>
          <w:ilvl w:val="0"/>
          <w:numId w:val="37"/>
        </w:numPr>
        <w:spacing w:before="0" w:after="0"/>
      </w:pPr>
      <w:r w:rsidRPr="00D37092">
        <w:t>1414 - PD-L1 testing for access to Pembrolizumab for the treatment of locally advanced or metastatic NSCLC</w:t>
      </w:r>
    </w:p>
    <w:p w14:paraId="20E22A42" w14:textId="6C0A32EE" w:rsidR="001463D1" w:rsidRPr="00D37092" w:rsidRDefault="001463D1" w:rsidP="001463D1">
      <w:pPr>
        <w:pStyle w:val="ListParagraph"/>
        <w:numPr>
          <w:ilvl w:val="0"/>
          <w:numId w:val="37"/>
        </w:numPr>
        <w:spacing w:before="0" w:after="0"/>
      </w:pPr>
      <w:r w:rsidRPr="00D37092">
        <w:t>1440 - PD-L1 testing for access to pembrolizumab in treatment naïve patients with locally advanced or metastatic non-small cell lung cancer</w:t>
      </w:r>
    </w:p>
    <w:p w14:paraId="10C870E0" w14:textId="5F207054" w:rsidR="001463D1" w:rsidRPr="00D37092" w:rsidRDefault="001463D1" w:rsidP="001463D1">
      <w:pPr>
        <w:pStyle w:val="ListParagraph"/>
        <w:numPr>
          <w:ilvl w:val="0"/>
          <w:numId w:val="37"/>
        </w:numPr>
        <w:spacing w:before="0" w:after="0"/>
      </w:pPr>
      <w:r w:rsidRPr="00D37092">
        <w:t>1440.1 - PD-L1 testing for access to pembrolizumab in treatment naïve patients with locally advanced or metastatic non-small cell lung cancer</w:t>
      </w:r>
      <w:r w:rsidR="00D37092">
        <w:t>.</w:t>
      </w:r>
    </w:p>
    <w:p w14:paraId="27B01FF8" w14:textId="5B12B45E" w:rsidR="00A6099E" w:rsidRDefault="00A6099E" w:rsidP="00A6491A">
      <w:pPr>
        <w:spacing w:before="0" w:after="0"/>
        <w:ind w:left="284"/>
      </w:pPr>
    </w:p>
    <w:p w14:paraId="35308797" w14:textId="295D144E" w:rsidR="00A6099E" w:rsidRDefault="00283EDD" w:rsidP="00A6099E">
      <w:pPr>
        <w:spacing w:before="0" w:after="0"/>
        <w:ind w:left="284"/>
      </w:pPr>
      <w:r>
        <w:t>The Public Summary Document for Application No. 1440.1</w:t>
      </w:r>
      <w:r w:rsidR="00D37092">
        <w:t xml:space="preserve"> </w:t>
      </w:r>
      <w:r>
        <w:t>indicates that r</w:t>
      </w:r>
      <w:r w:rsidR="00A6099E">
        <w:t xml:space="preserve">egistration of the PD-L1 22C3 pharmDXTM kit was approved by the TGA on </w:t>
      </w:r>
      <w:r w:rsidR="00A6099E" w:rsidRPr="00BB53B9">
        <w:t>17 November 2016</w:t>
      </w:r>
      <w:r w:rsidR="00A6099E">
        <w:t>. This kit is intended for use in the detection of PD-L1 protein in formalin-fixed paraffin-embedded (FFPE) NSCLC tissue using the Dako Autostainer Link 48 platform as an aid in identifying NSCLC patients for treatment with pembrolizumab.</w:t>
      </w:r>
      <w:r>
        <w:t xml:space="preserve"> </w:t>
      </w:r>
      <w:r w:rsidR="00A6099E">
        <w:t>The SP263, SP142 and 28-8 antibody kits are also registered by the TGA.</w:t>
      </w:r>
    </w:p>
    <w:p w14:paraId="097BDFE5" w14:textId="77777777" w:rsidR="00A6099E" w:rsidRPr="00A26343" w:rsidRDefault="00A6099E" w:rsidP="00A6491A">
      <w:pPr>
        <w:spacing w:before="0" w:after="0"/>
        <w:ind w:left="284"/>
        <w:rPr>
          <w:szCs w:val="20"/>
        </w:rPr>
      </w:pPr>
    </w:p>
    <w:p w14:paraId="2B0BA8D0"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7958029C" w14:textId="77777777" w:rsidR="00615F42" w:rsidRPr="00615F42" w:rsidRDefault="00615F42" w:rsidP="004F6719">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sidRPr="000A5B32">
        <w:rPr>
          <w:szCs w:val="20"/>
        </w:rPr>
        <w:t xml:space="preserve"> </w:t>
      </w:r>
      <w:r w:rsidRPr="00615F42">
        <w:rPr>
          <w:szCs w:val="20"/>
        </w:rPr>
        <w:t>Class III</w:t>
      </w:r>
    </w:p>
    <w:p w14:paraId="40690CB7" w14:textId="77777777" w:rsidR="00615F42" w:rsidRPr="00615F42" w:rsidRDefault="00615F42" w:rsidP="004F6719">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sidRPr="000A5B32">
        <w:rPr>
          <w:szCs w:val="20"/>
        </w:rPr>
        <w:t xml:space="preserve"> </w:t>
      </w:r>
      <w:r w:rsidRPr="00615F42">
        <w:rPr>
          <w:szCs w:val="20"/>
        </w:rPr>
        <w:t>AIMD</w:t>
      </w:r>
    </w:p>
    <w:p w14:paraId="19198DA4" w14:textId="71B44D7E" w:rsidR="005E2CE3" w:rsidRPr="00154B00" w:rsidRDefault="00283EDD" w:rsidP="004F6719">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6719">
        <w:rPr>
          <w:szCs w:val="20"/>
        </w:rPr>
      </w:r>
      <w:r w:rsidR="004F6719">
        <w:rPr>
          <w:szCs w:val="20"/>
        </w:rPr>
        <w:fldChar w:fldCharType="separate"/>
      </w:r>
      <w:r>
        <w:rPr>
          <w:szCs w:val="20"/>
        </w:rPr>
        <w:fldChar w:fldCharType="end"/>
      </w:r>
      <w:r w:rsidR="00615F42" w:rsidRPr="000A5B32">
        <w:rPr>
          <w:szCs w:val="20"/>
        </w:rPr>
        <w:t xml:space="preserve"> </w:t>
      </w:r>
      <w:r w:rsidR="00615F42" w:rsidRPr="00615F42">
        <w:rPr>
          <w:szCs w:val="20"/>
        </w:rPr>
        <w:t>N/A</w:t>
      </w:r>
    </w:p>
    <w:p w14:paraId="045B9929"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490F5F6F" w14:textId="77777777" w:rsidR="00615F42" w:rsidRDefault="00615F42" w:rsidP="004F6719">
      <w:pPr>
        <w:spacing w:before="0" w:after="0"/>
        <w:ind w:left="360"/>
        <w:rPr>
          <w:szCs w:val="20"/>
        </w:rPr>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6DCCFF3C" w14:textId="3A51D459" w:rsidR="003421AE" w:rsidRPr="00615F42" w:rsidRDefault="00283EDD" w:rsidP="004F6719">
      <w:pPr>
        <w:spacing w:before="0" w:after="0"/>
        <w:ind w:left="360"/>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6719">
        <w:rPr>
          <w:szCs w:val="20"/>
        </w:rPr>
      </w:r>
      <w:r w:rsidR="004F6719">
        <w:rPr>
          <w:szCs w:val="20"/>
        </w:rPr>
        <w:fldChar w:fldCharType="separate"/>
      </w:r>
      <w:r>
        <w:rPr>
          <w:szCs w:val="20"/>
        </w:rPr>
        <w:fldChar w:fldCharType="end"/>
      </w:r>
      <w:r w:rsidR="00615F42">
        <w:rPr>
          <w:szCs w:val="20"/>
        </w:rPr>
        <w:t xml:space="preserve"> No</w:t>
      </w:r>
    </w:p>
    <w:p w14:paraId="6C689FCC"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04C750D2" w14:textId="23511089" w:rsidR="0043654D" w:rsidRDefault="00D453C9" w:rsidP="004F6719">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6719">
        <w:rPr>
          <w:szCs w:val="20"/>
        </w:rPr>
      </w:r>
      <w:r w:rsidR="004F6719">
        <w:rPr>
          <w:szCs w:val="20"/>
        </w:rPr>
        <w:fldChar w:fldCharType="separate"/>
      </w:r>
      <w:r>
        <w:rPr>
          <w:szCs w:val="20"/>
        </w:rPr>
        <w:fldChar w:fldCharType="end"/>
      </w:r>
      <w:r w:rsidR="0043654D">
        <w:rPr>
          <w:szCs w:val="20"/>
        </w:rPr>
        <w:t xml:space="preserve"> Yes (if yes, please provide details below)</w:t>
      </w:r>
      <w:r w:rsidR="00F247ED">
        <w:rPr>
          <w:szCs w:val="20"/>
        </w:rPr>
        <w:t xml:space="preserve"> </w:t>
      </w:r>
    </w:p>
    <w:p w14:paraId="6D743791" w14:textId="44E1FC98" w:rsidR="0043654D" w:rsidRDefault="00D453C9" w:rsidP="004F6719">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4F6719">
        <w:rPr>
          <w:szCs w:val="20"/>
        </w:rPr>
      </w:r>
      <w:r w:rsidR="004F6719">
        <w:rPr>
          <w:szCs w:val="20"/>
        </w:rPr>
        <w:fldChar w:fldCharType="separate"/>
      </w:r>
      <w:r>
        <w:rPr>
          <w:szCs w:val="20"/>
        </w:rPr>
        <w:fldChar w:fldCharType="end"/>
      </w:r>
      <w:r w:rsidR="0043654D">
        <w:rPr>
          <w:szCs w:val="20"/>
        </w:rPr>
        <w:t xml:space="preserve"> No</w:t>
      </w:r>
    </w:p>
    <w:p w14:paraId="2D06D9A3" w14:textId="77777777" w:rsidR="004F6719" w:rsidRDefault="004F6719" w:rsidP="004F6719">
      <w:pPr>
        <w:spacing w:before="0" w:after="0"/>
        <w:ind w:left="360"/>
        <w:rPr>
          <w:bCs/>
          <w:szCs w:val="20"/>
        </w:rPr>
      </w:pPr>
    </w:p>
    <w:p w14:paraId="1E84A71F" w14:textId="0908ADF9" w:rsidR="0043654D" w:rsidRPr="00F247ED" w:rsidRDefault="00F247ED" w:rsidP="004F6719">
      <w:pPr>
        <w:spacing w:before="0" w:after="0"/>
        <w:ind w:left="360"/>
        <w:rPr>
          <w:bCs/>
          <w:szCs w:val="20"/>
        </w:rPr>
      </w:pPr>
      <w:r w:rsidRPr="00F247ED">
        <w:rPr>
          <w:bCs/>
          <w:szCs w:val="20"/>
        </w:rPr>
        <w:t>Immunohistology cell marker IVDs</w:t>
      </w:r>
    </w:p>
    <w:p w14:paraId="43B002B1" w14:textId="53059A51" w:rsidR="00242229" w:rsidRDefault="0043654D" w:rsidP="004F6719">
      <w:pPr>
        <w:spacing w:before="0" w:after="0"/>
        <w:ind w:left="360"/>
        <w:rPr>
          <w:szCs w:val="20"/>
        </w:rPr>
      </w:pPr>
      <w:r w:rsidRPr="0043654D">
        <w:rPr>
          <w:szCs w:val="20"/>
        </w:rPr>
        <w:t>ARTG listing, registration or inclusion number:</w:t>
      </w:r>
      <w:r>
        <w:rPr>
          <w:szCs w:val="20"/>
        </w:rPr>
        <w:t xml:space="preserve">  </w:t>
      </w:r>
      <w:r w:rsidR="00242229" w:rsidRPr="00242229">
        <w:rPr>
          <w:szCs w:val="20"/>
        </w:rPr>
        <w:t>282595</w:t>
      </w:r>
      <w:r w:rsidR="00C4357F">
        <w:rPr>
          <w:szCs w:val="20"/>
        </w:rPr>
        <w:t xml:space="preserve"> (Approved </w:t>
      </w:r>
      <w:r w:rsidR="00C4357F" w:rsidRPr="00C4357F">
        <w:rPr>
          <w:szCs w:val="20"/>
        </w:rPr>
        <w:t>17 November 2016</w:t>
      </w:r>
      <w:r w:rsidR="00C4357F">
        <w:rPr>
          <w:szCs w:val="20"/>
        </w:rPr>
        <w:t>)</w:t>
      </w:r>
    </w:p>
    <w:p w14:paraId="3D82F883" w14:textId="3AF55E30" w:rsidR="006C18B8" w:rsidRDefault="006C18B8" w:rsidP="004F6719">
      <w:pPr>
        <w:spacing w:before="0" w:after="0"/>
        <w:ind w:left="360"/>
      </w:pPr>
      <w:r>
        <w:t>Intended Purpose</w:t>
      </w:r>
      <w:r w:rsidR="00D3152D">
        <w:t>:</w:t>
      </w:r>
      <w:r>
        <w:t xml:space="preserve"> For </w:t>
      </w:r>
      <w:r w:rsidR="00D3152D">
        <w:t>In-</w:t>
      </w:r>
      <w:r>
        <w:t>Vitro Diagnostic Use. IVDs that are intended to be used in histology and cytology to provide information about the presence and localisation of specific proteins and antigens present in histological tissue sections, cytological smears and fluids</w:t>
      </w:r>
    </w:p>
    <w:p w14:paraId="11549962" w14:textId="77777777" w:rsidR="006C18B8" w:rsidRPr="0043654D" w:rsidRDefault="006C18B8" w:rsidP="0043654D">
      <w:pPr>
        <w:spacing w:before="0" w:after="0"/>
        <w:ind w:left="284"/>
        <w:rPr>
          <w:szCs w:val="20"/>
        </w:rPr>
      </w:pPr>
    </w:p>
    <w:p w14:paraId="76DFF473" w14:textId="77777777" w:rsidR="004F6719" w:rsidRDefault="004F6719">
      <w:pPr>
        <w:spacing w:before="0" w:after="200" w:line="276" w:lineRule="auto"/>
        <w:rPr>
          <w:b/>
          <w:szCs w:val="20"/>
        </w:rPr>
      </w:pPr>
      <w:r>
        <w:br w:type="page"/>
      </w:r>
    </w:p>
    <w:p w14:paraId="214D371B" w14:textId="66055D7A"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39FDF2C1" w14:textId="386075BB" w:rsidR="0047581D" w:rsidRPr="004F6719" w:rsidRDefault="004F6719" w:rsidP="004F6719">
      <w:pPr>
        <w:spacing w:before="0" w:after="0"/>
        <w:ind w:left="360"/>
        <w:rPr>
          <w:szCs w:val="20"/>
        </w:rPr>
      </w:pPr>
      <w:r>
        <w:rPr>
          <w:szCs w:val="20"/>
        </w:rPr>
        <w:t>Not applicable</w:t>
      </w:r>
    </w:p>
    <w:p w14:paraId="4D772CC6"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6FFD78ED"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Yes (please provide details below)</w:t>
      </w:r>
    </w:p>
    <w:p w14:paraId="6A15037F" w14:textId="7AA14C91" w:rsidR="000A110D" w:rsidRDefault="00DC2C99"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6719">
        <w:rPr>
          <w:szCs w:val="20"/>
        </w:rPr>
      </w:r>
      <w:r w:rsidR="004F6719">
        <w:rPr>
          <w:szCs w:val="20"/>
        </w:rPr>
        <w:fldChar w:fldCharType="separate"/>
      </w:r>
      <w:r>
        <w:rPr>
          <w:szCs w:val="20"/>
        </w:rPr>
        <w:fldChar w:fldCharType="end"/>
      </w:r>
      <w:r w:rsidR="000A110D">
        <w:rPr>
          <w:szCs w:val="20"/>
        </w:rPr>
        <w:t xml:space="preserve"> No</w:t>
      </w:r>
    </w:p>
    <w:p w14:paraId="1B0DE8A4" w14:textId="2EDD15FE" w:rsidR="00DD308E" w:rsidRDefault="00DD308E">
      <w:pPr>
        <w:rPr>
          <w:b/>
          <w:sz w:val="32"/>
          <w:szCs w:val="32"/>
        </w:rPr>
        <w:sectPr w:rsidR="00DD308E" w:rsidSect="00991E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p w14:paraId="7FA2AD2C"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1EDA69C5"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661"/>
        <w:gridCol w:w="2156"/>
        <w:gridCol w:w="2759"/>
        <w:gridCol w:w="2642"/>
        <w:gridCol w:w="3741"/>
        <w:gridCol w:w="1989"/>
      </w:tblGrid>
      <w:tr w:rsidR="00DD308E" w14:paraId="0BB9671C" w14:textId="77777777" w:rsidTr="00EA6E8A">
        <w:trPr>
          <w:cantSplit/>
          <w:tblHeader/>
        </w:trPr>
        <w:tc>
          <w:tcPr>
            <w:tcW w:w="237" w:type="pct"/>
          </w:tcPr>
          <w:p w14:paraId="3C187CEA" w14:textId="77777777" w:rsidR="00DD308E" w:rsidRDefault="00DD308E" w:rsidP="00855944">
            <w:pPr>
              <w:pStyle w:val="TableHEADER"/>
            </w:pPr>
          </w:p>
        </w:tc>
        <w:tc>
          <w:tcPr>
            <w:tcW w:w="773" w:type="pct"/>
          </w:tcPr>
          <w:p w14:paraId="127CE864" w14:textId="77777777" w:rsidR="00DD308E" w:rsidRDefault="00DD308E" w:rsidP="00855944">
            <w:pPr>
              <w:pStyle w:val="TableHEADER"/>
            </w:pPr>
            <w:r>
              <w:t>Type of study design*</w:t>
            </w:r>
          </w:p>
        </w:tc>
        <w:tc>
          <w:tcPr>
            <w:tcW w:w="989" w:type="pct"/>
          </w:tcPr>
          <w:p w14:paraId="5CEBED76" w14:textId="77777777" w:rsidR="00DD308E" w:rsidRDefault="00DD308E" w:rsidP="00855944">
            <w:pPr>
              <w:pStyle w:val="TableHEADER"/>
            </w:pPr>
            <w:r>
              <w:t>Title of journal article  or research project (including any trial identifier or study lead if relevant)</w:t>
            </w:r>
          </w:p>
        </w:tc>
        <w:tc>
          <w:tcPr>
            <w:tcW w:w="947" w:type="pct"/>
          </w:tcPr>
          <w:p w14:paraId="6201BD5A" w14:textId="77777777" w:rsidR="00DD308E" w:rsidRDefault="00DD308E" w:rsidP="00855944">
            <w:pPr>
              <w:pStyle w:val="TableHEADER"/>
            </w:pPr>
            <w:r>
              <w:t>Short description of research  (max 50 words)**</w:t>
            </w:r>
          </w:p>
        </w:tc>
        <w:tc>
          <w:tcPr>
            <w:tcW w:w="1341" w:type="pct"/>
          </w:tcPr>
          <w:p w14:paraId="77CA1EB4" w14:textId="77777777" w:rsidR="00DD308E" w:rsidRDefault="00DD308E" w:rsidP="00855944">
            <w:pPr>
              <w:pStyle w:val="TableHEADER"/>
            </w:pPr>
            <w:r w:rsidRPr="00E82F54">
              <w:t xml:space="preserve">Website link to </w:t>
            </w:r>
            <w:r>
              <w:t>journal article or research (if available)</w:t>
            </w:r>
          </w:p>
        </w:tc>
        <w:tc>
          <w:tcPr>
            <w:tcW w:w="713" w:type="pct"/>
          </w:tcPr>
          <w:p w14:paraId="2008C6A5" w14:textId="77777777" w:rsidR="00DD308E" w:rsidRDefault="00DD308E" w:rsidP="00855944">
            <w:pPr>
              <w:pStyle w:val="TableHEADER"/>
            </w:pPr>
            <w:r w:rsidRPr="00E82F54">
              <w:t>Date</w:t>
            </w:r>
            <w:r>
              <w:t xml:space="preserve"> of publication</w:t>
            </w:r>
            <w:r w:rsidRPr="00E82F54">
              <w:t>*</w:t>
            </w:r>
            <w:r>
              <w:t>**</w:t>
            </w:r>
          </w:p>
        </w:tc>
      </w:tr>
      <w:tr w:rsidR="00DD308E" w14:paraId="196DD1EE" w14:textId="77777777" w:rsidTr="00EA6E8A">
        <w:trPr>
          <w:cantSplit/>
        </w:trPr>
        <w:tc>
          <w:tcPr>
            <w:tcW w:w="237" w:type="pct"/>
          </w:tcPr>
          <w:p w14:paraId="62B5555E" w14:textId="77777777" w:rsidR="00DD308E" w:rsidRPr="00965B6B" w:rsidRDefault="00DD308E" w:rsidP="00DD308E">
            <w:pPr>
              <w:rPr>
                <w:szCs w:val="20"/>
              </w:rPr>
            </w:pPr>
            <w:r w:rsidRPr="00965B6B">
              <w:rPr>
                <w:szCs w:val="20"/>
              </w:rPr>
              <w:t>1</w:t>
            </w:r>
            <w:r>
              <w:rPr>
                <w:szCs w:val="20"/>
              </w:rPr>
              <w:t>.</w:t>
            </w:r>
          </w:p>
        </w:tc>
        <w:tc>
          <w:tcPr>
            <w:tcW w:w="773" w:type="pct"/>
          </w:tcPr>
          <w:p w14:paraId="6198D9D4" w14:textId="31F3D496" w:rsidR="00DD308E" w:rsidRDefault="00605CBC" w:rsidP="00DD308E">
            <w:pPr>
              <w:rPr>
                <w:b/>
                <w:szCs w:val="20"/>
              </w:rPr>
            </w:pPr>
            <w:r>
              <w:t>S</w:t>
            </w:r>
            <w:r w:rsidRPr="00A86E19">
              <w:t>tudy R2810-ONC-1624 (Trial 1624</w:t>
            </w:r>
            <w:r>
              <w:t>)</w:t>
            </w:r>
            <w:r>
              <w:rPr>
                <w:bCs/>
                <w:szCs w:val="20"/>
              </w:rPr>
              <w:t>, a</w:t>
            </w:r>
            <w:r w:rsidRPr="00DC2C99">
              <w:rPr>
                <w:bCs/>
                <w:szCs w:val="20"/>
              </w:rPr>
              <w:t xml:space="preserve"> Phase 3</w:t>
            </w:r>
            <w:r>
              <w:rPr>
                <w:bCs/>
                <w:szCs w:val="20"/>
              </w:rPr>
              <w:t xml:space="preserve">, </w:t>
            </w:r>
            <w:r w:rsidRPr="00DC2C99">
              <w:rPr>
                <w:bCs/>
                <w:szCs w:val="20"/>
              </w:rPr>
              <w:t>open-label</w:t>
            </w:r>
            <w:r>
              <w:rPr>
                <w:bCs/>
                <w:szCs w:val="20"/>
              </w:rPr>
              <w:t xml:space="preserve"> randomised controlled trial</w:t>
            </w:r>
          </w:p>
        </w:tc>
        <w:tc>
          <w:tcPr>
            <w:tcW w:w="989" w:type="pct"/>
          </w:tcPr>
          <w:p w14:paraId="047E2C93" w14:textId="77777777" w:rsidR="00DD308E" w:rsidRDefault="00A86E19" w:rsidP="00DD308E">
            <w:r w:rsidRPr="00A86E19">
              <w:t>NCT03088540</w:t>
            </w:r>
            <w:r>
              <w:t xml:space="preserve">. </w:t>
            </w:r>
            <w:r w:rsidRPr="00A86E19">
              <w:t>Study of REGN 2810 Compared to Platinum-Based Chemotherapies in Participants With Metastatic Non-Small Cell Lung Cancer (NSCLC)</w:t>
            </w:r>
            <w:r w:rsidR="00EA6E8A">
              <w:t>.</w:t>
            </w:r>
          </w:p>
          <w:p w14:paraId="3FE97C52" w14:textId="4E1258FF" w:rsidR="00EA6E8A" w:rsidRPr="00EA6E8A" w:rsidRDefault="00EA6E8A" w:rsidP="00DD308E">
            <w:pPr>
              <w:rPr>
                <w:bCs/>
                <w:szCs w:val="20"/>
              </w:rPr>
            </w:pPr>
            <w:r w:rsidRPr="00EA6E8A">
              <w:rPr>
                <w:bCs/>
                <w:szCs w:val="20"/>
              </w:rPr>
              <w:t>Press Releases from Sanofi and Regeneron of protocol-specified interim analysis</w:t>
            </w:r>
          </w:p>
        </w:tc>
        <w:tc>
          <w:tcPr>
            <w:tcW w:w="947" w:type="pct"/>
          </w:tcPr>
          <w:p w14:paraId="7B533B9D" w14:textId="34C9944D" w:rsidR="00DD308E" w:rsidRPr="00605CBC" w:rsidRDefault="00605CBC" w:rsidP="00605CBC">
            <w:pPr>
              <w:rPr>
                <w:bCs/>
                <w:szCs w:val="20"/>
              </w:rPr>
            </w:pPr>
            <w:r>
              <w:t>P</w:t>
            </w:r>
            <w:r w:rsidRPr="00605CBC">
              <w:t>atients with advanced NSCLC who tested positive for PD-L1 in ≥50% of tumour cells</w:t>
            </w:r>
            <w:r>
              <w:t xml:space="preserve"> (N=712) </w:t>
            </w:r>
            <w:r w:rsidRPr="00DC2C99">
              <w:rPr>
                <w:bCs/>
                <w:szCs w:val="20"/>
              </w:rPr>
              <w:t>were randomly assigned to</w:t>
            </w:r>
            <w:r>
              <w:rPr>
                <w:bCs/>
                <w:szCs w:val="20"/>
              </w:rPr>
              <w:t xml:space="preserve"> </w:t>
            </w:r>
            <w:r w:rsidRPr="00605CBC">
              <w:t>cemiplimab 350mg intravenously every 3</w:t>
            </w:r>
            <w:r>
              <w:t> </w:t>
            </w:r>
            <w:r w:rsidRPr="00605CBC">
              <w:t>weeks for up to 108</w:t>
            </w:r>
            <w:r>
              <w:t> </w:t>
            </w:r>
            <w:r w:rsidRPr="00605CBC">
              <w:t>weeks, or a platinum-based, doublet chemotherapy regimen for 4</w:t>
            </w:r>
            <w:r>
              <w:t>-</w:t>
            </w:r>
            <w:r w:rsidRPr="00605CBC">
              <w:t>6 cycles.</w:t>
            </w:r>
            <w:r>
              <w:t xml:space="preserve"> </w:t>
            </w:r>
            <w:r w:rsidRPr="00605CBC">
              <w:t>Patients in the chemotherapy arm were able to crossover to cemiplimab if their disease progressed.</w:t>
            </w:r>
          </w:p>
        </w:tc>
        <w:tc>
          <w:tcPr>
            <w:tcW w:w="1341" w:type="pct"/>
          </w:tcPr>
          <w:p w14:paraId="01E5FEB4" w14:textId="77777777" w:rsidR="00DD308E" w:rsidRDefault="004F6719" w:rsidP="00DD308E">
            <w:hyperlink r:id="rId18" w:history="1">
              <w:r w:rsidR="00605CBC" w:rsidRPr="00605CBC">
                <w:rPr>
                  <w:color w:val="0000FF"/>
                  <w:u w:val="single"/>
                </w:rPr>
                <w:t>https://clinicaltrials.gov/ct2/show/NCT03088540</w:t>
              </w:r>
            </w:hyperlink>
          </w:p>
          <w:p w14:paraId="5B811DF1" w14:textId="256B1C72" w:rsidR="00EA6E8A" w:rsidRPr="00EA6E8A" w:rsidRDefault="004F6719" w:rsidP="00DD308E">
            <w:pPr>
              <w:rPr>
                <w:bCs/>
                <w:szCs w:val="20"/>
              </w:rPr>
            </w:pPr>
            <w:hyperlink r:id="rId19" w:history="1">
              <w:r w:rsidR="00EA6E8A" w:rsidRPr="00EA6E8A">
                <w:rPr>
                  <w:rStyle w:val="Hyperlink"/>
                  <w:bCs/>
                  <w:szCs w:val="20"/>
                </w:rPr>
                <w:t>https://www.sanofi.com/en/media-room/press-releases/2020/2020-04-27-13-00-00</w:t>
              </w:r>
            </w:hyperlink>
            <w:r w:rsidR="00EA6E8A" w:rsidRPr="00EA6E8A">
              <w:rPr>
                <w:bCs/>
                <w:szCs w:val="20"/>
              </w:rPr>
              <w:t xml:space="preserve"> </w:t>
            </w:r>
          </w:p>
          <w:p w14:paraId="4322F078" w14:textId="63F7687C" w:rsidR="00EA6E8A" w:rsidRPr="00EA6E8A" w:rsidRDefault="004F6719" w:rsidP="00DD308E">
            <w:pPr>
              <w:rPr>
                <w:bCs/>
                <w:szCs w:val="20"/>
              </w:rPr>
            </w:pPr>
            <w:hyperlink r:id="rId20" w:history="1">
              <w:r w:rsidR="00EA6E8A" w:rsidRPr="00EA6E8A">
                <w:rPr>
                  <w:rStyle w:val="Hyperlink"/>
                  <w:bCs/>
                  <w:szCs w:val="20"/>
                </w:rPr>
                <w:t>https://investor.regeneron.com/index.php/news-releases/news-release-details/phase-3-trial-libtayor-cemiplimab-monotherapy-first-line</w:t>
              </w:r>
            </w:hyperlink>
          </w:p>
        </w:tc>
        <w:tc>
          <w:tcPr>
            <w:tcW w:w="713" w:type="pct"/>
          </w:tcPr>
          <w:p w14:paraId="0D44B78A" w14:textId="77777777" w:rsidR="00BB53B9" w:rsidRDefault="00BB53B9" w:rsidP="00DD308E">
            <w:r>
              <w:t>NCT:</w:t>
            </w:r>
          </w:p>
          <w:p w14:paraId="714FF836" w14:textId="1C308AAC" w:rsidR="00605CBC" w:rsidRDefault="00605CBC" w:rsidP="00DD308E">
            <w:r w:rsidRPr="00605CBC">
              <w:t>First Posted: March 23, 2017</w:t>
            </w:r>
            <w:r>
              <w:t>.</w:t>
            </w:r>
          </w:p>
          <w:p w14:paraId="5897F733" w14:textId="58F3340C" w:rsidR="00DD308E" w:rsidRDefault="00605CBC" w:rsidP="00DD308E">
            <w:r w:rsidRPr="00605CBC">
              <w:t>Last Update Posted:</w:t>
            </w:r>
            <w:r>
              <w:t xml:space="preserve"> </w:t>
            </w:r>
            <w:r w:rsidRPr="00605CBC">
              <w:t>April 14, 2020</w:t>
            </w:r>
            <w:r>
              <w:t>.</w:t>
            </w:r>
          </w:p>
          <w:p w14:paraId="2E6FFDF1" w14:textId="7C036E4B" w:rsidR="00BB53B9" w:rsidRPr="00BB53B9" w:rsidRDefault="00BB53B9" w:rsidP="00DD308E">
            <w:pPr>
              <w:rPr>
                <w:bCs/>
                <w:szCs w:val="20"/>
              </w:rPr>
            </w:pPr>
            <w:r w:rsidRPr="00BB53B9">
              <w:rPr>
                <w:bCs/>
                <w:szCs w:val="20"/>
              </w:rPr>
              <w:t>Press Release 27 April 2020</w:t>
            </w:r>
          </w:p>
        </w:tc>
      </w:tr>
      <w:tr w:rsidR="00DD308E" w14:paraId="77611372" w14:textId="77777777" w:rsidTr="00EA6E8A">
        <w:trPr>
          <w:cantSplit/>
        </w:trPr>
        <w:tc>
          <w:tcPr>
            <w:tcW w:w="237" w:type="pct"/>
          </w:tcPr>
          <w:p w14:paraId="251B66F6" w14:textId="77777777" w:rsidR="00DD308E" w:rsidRPr="00965B6B" w:rsidRDefault="00DD308E" w:rsidP="00DD308E">
            <w:pPr>
              <w:rPr>
                <w:szCs w:val="20"/>
              </w:rPr>
            </w:pPr>
            <w:r>
              <w:rPr>
                <w:szCs w:val="20"/>
              </w:rPr>
              <w:t>2.</w:t>
            </w:r>
          </w:p>
        </w:tc>
        <w:tc>
          <w:tcPr>
            <w:tcW w:w="773" w:type="pct"/>
          </w:tcPr>
          <w:p w14:paraId="2749BA7E" w14:textId="7424BE9F" w:rsidR="00DD308E" w:rsidRDefault="00DC2C99" w:rsidP="00DD308E">
            <w:pPr>
              <w:rPr>
                <w:b/>
                <w:szCs w:val="20"/>
              </w:rPr>
            </w:pPr>
            <w:r w:rsidRPr="00DC2C99">
              <w:rPr>
                <w:bCs/>
                <w:szCs w:val="20"/>
              </w:rPr>
              <w:t>KEYNOTE-024</w:t>
            </w:r>
            <w:r>
              <w:rPr>
                <w:bCs/>
                <w:szCs w:val="20"/>
              </w:rPr>
              <w:t>, a</w:t>
            </w:r>
            <w:r w:rsidRPr="00DC2C99">
              <w:rPr>
                <w:bCs/>
                <w:szCs w:val="20"/>
              </w:rPr>
              <w:t xml:space="preserve"> Phase 3</w:t>
            </w:r>
            <w:r>
              <w:rPr>
                <w:bCs/>
                <w:szCs w:val="20"/>
              </w:rPr>
              <w:t xml:space="preserve">, </w:t>
            </w:r>
            <w:r w:rsidRPr="00DC2C99">
              <w:rPr>
                <w:bCs/>
                <w:szCs w:val="20"/>
              </w:rPr>
              <w:t>open-label</w:t>
            </w:r>
            <w:r>
              <w:rPr>
                <w:bCs/>
                <w:szCs w:val="20"/>
              </w:rPr>
              <w:t xml:space="preserve"> randomised controlled trial</w:t>
            </w:r>
          </w:p>
        </w:tc>
        <w:tc>
          <w:tcPr>
            <w:tcW w:w="989" w:type="pct"/>
          </w:tcPr>
          <w:p w14:paraId="60FC1DB1" w14:textId="430BEE63" w:rsidR="00FD639A" w:rsidRDefault="00FD639A" w:rsidP="00DD308E">
            <w:r w:rsidRPr="00FD639A">
              <w:t>Pembrolizumab versus Chemotherapy for PD-L1–Positive Non–Small-Cell Lung Cancer.</w:t>
            </w:r>
          </w:p>
          <w:p w14:paraId="1FFF25EA" w14:textId="77777777" w:rsidR="00DD308E" w:rsidRDefault="00FD639A" w:rsidP="00DD308E">
            <w:r w:rsidRPr="00FD639A">
              <w:t>Updated Analysis of KEYNOTE-024: Pembrolizumab versus platinum-based chemotherapy for advanced non–small-cell lung cancer with PD-L1 Tumor Proportion Score of 50% or greater.</w:t>
            </w:r>
          </w:p>
          <w:p w14:paraId="5284466B" w14:textId="06914FB0" w:rsidR="00A86E19" w:rsidRDefault="00A86E19" w:rsidP="00DD308E">
            <w:pPr>
              <w:rPr>
                <w:b/>
                <w:szCs w:val="20"/>
              </w:rPr>
            </w:pPr>
            <w:r w:rsidRPr="00DC2C99">
              <w:rPr>
                <w:bCs/>
                <w:szCs w:val="20"/>
              </w:rPr>
              <w:t>NCT02142738</w:t>
            </w:r>
            <w:r>
              <w:rPr>
                <w:bCs/>
                <w:szCs w:val="20"/>
              </w:rPr>
              <w:t xml:space="preserve">. </w:t>
            </w:r>
            <w:r w:rsidRPr="00A86E19">
              <w:rPr>
                <w:bCs/>
                <w:szCs w:val="20"/>
              </w:rPr>
              <w:t>Study of Pembrolizumab (MK-3475) Compared to Platinum-Based Chemotherapies in Participants With Metastatic Non-Small Cell Lung Cancer (MK-3475-024/KEYNOTE-024)</w:t>
            </w:r>
            <w:r>
              <w:rPr>
                <w:bCs/>
                <w:szCs w:val="20"/>
              </w:rPr>
              <w:t>.</w:t>
            </w:r>
          </w:p>
        </w:tc>
        <w:tc>
          <w:tcPr>
            <w:tcW w:w="947" w:type="pct"/>
          </w:tcPr>
          <w:p w14:paraId="378E5E20" w14:textId="3DDCFABB" w:rsidR="00DC2C99" w:rsidRPr="00DC2C99" w:rsidRDefault="00DC2C99" w:rsidP="00DC2C99">
            <w:pPr>
              <w:rPr>
                <w:bCs/>
                <w:szCs w:val="20"/>
              </w:rPr>
            </w:pPr>
            <w:r>
              <w:rPr>
                <w:bCs/>
                <w:szCs w:val="20"/>
              </w:rPr>
              <w:t>P</w:t>
            </w:r>
            <w:r w:rsidRPr="00DC2C99">
              <w:rPr>
                <w:bCs/>
                <w:szCs w:val="20"/>
              </w:rPr>
              <w:t xml:space="preserve">atients </w:t>
            </w:r>
            <w:r w:rsidR="00D771A0">
              <w:rPr>
                <w:bCs/>
                <w:szCs w:val="20"/>
              </w:rPr>
              <w:t xml:space="preserve">with </w:t>
            </w:r>
            <w:r w:rsidRPr="00DC2C99">
              <w:rPr>
                <w:bCs/>
                <w:szCs w:val="20"/>
              </w:rPr>
              <w:t xml:space="preserve">untreated advanced NSCLC with PD-L1 expression on ≥50% of tumour cells </w:t>
            </w:r>
            <w:r>
              <w:rPr>
                <w:bCs/>
                <w:szCs w:val="20"/>
              </w:rPr>
              <w:t xml:space="preserve">(N=305) </w:t>
            </w:r>
            <w:r w:rsidRPr="00DC2C99">
              <w:rPr>
                <w:bCs/>
                <w:szCs w:val="20"/>
              </w:rPr>
              <w:t>were randomly assigned to pembrolizumab (200mg every 3 weeks) for 35</w:t>
            </w:r>
            <w:r w:rsidR="00D771A0">
              <w:rPr>
                <w:bCs/>
                <w:szCs w:val="20"/>
              </w:rPr>
              <w:t> </w:t>
            </w:r>
            <w:r w:rsidRPr="00DC2C99">
              <w:rPr>
                <w:bCs/>
                <w:szCs w:val="20"/>
              </w:rPr>
              <w:t>cycles or the investigator’s choice of platinum-based chemotherapy for 4</w:t>
            </w:r>
            <w:r w:rsidR="00D771A0">
              <w:rPr>
                <w:bCs/>
                <w:szCs w:val="20"/>
              </w:rPr>
              <w:t>-</w:t>
            </w:r>
            <w:r w:rsidRPr="00DC2C99">
              <w:rPr>
                <w:bCs/>
                <w:szCs w:val="20"/>
              </w:rPr>
              <w:t>6</w:t>
            </w:r>
            <w:r w:rsidR="00D771A0">
              <w:rPr>
                <w:bCs/>
                <w:szCs w:val="20"/>
              </w:rPr>
              <w:t> </w:t>
            </w:r>
            <w:r w:rsidRPr="00DC2C99">
              <w:rPr>
                <w:bCs/>
                <w:szCs w:val="20"/>
              </w:rPr>
              <w:t>cycles.</w:t>
            </w:r>
            <w:r w:rsidR="00605CBC">
              <w:rPr>
                <w:bCs/>
                <w:szCs w:val="20"/>
              </w:rPr>
              <w:t xml:space="preserve"> </w:t>
            </w:r>
            <w:r w:rsidR="00605CBC" w:rsidRPr="00605CBC">
              <w:rPr>
                <w:bCs/>
                <w:szCs w:val="20"/>
              </w:rPr>
              <w:t xml:space="preserve">Crossover from the chemotherapy group to the pembrolizumab group was permitted </w:t>
            </w:r>
            <w:r w:rsidR="00605CBC">
              <w:rPr>
                <w:bCs/>
                <w:szCs w:val="20"/>
              </w:rPr>
              <w:t>following</w:t>
            </w:r>
            <w:r w:rsidR="00605CBC" w:rsidRPr="00605CBC">
              <w:rPr>
                <w:bCs/>
                <w:szCs w:val="20"/>
              </w:rPr>
              <w:t xml:space="preserve"> disease progression.</w:t>
            </w:r>
          </w:p>
        </w:tc>
        <w:tc>
          <w:tcPr>
            <w:tcW w:w="1341" w:type="pct"/>
          </w:tcPr>
          <w:p w14:paraId="091DA861" w14:textId="77777777" w:rsidR="00FD639A" w:rsidRPr="00FD639A" w:rsidRDefault="00FD639A" w:rsidP="000D1ACE">
            <w:pPr>
              <w:shd w:val="clear" w:color="auto" w:fill="FFFFFF"/>
              <w:rPr>
                <w:rFonts w:eastAsia="Times New Roman" w:cstheme="minorHAnsi"/>
                <w:color w:val="212121"/>
                <w:szCs w:val="20"/>
                <w:lang w:eastAsia="en-AU"/>
              </w:rPr>
            </w:pPr>
            <w:r w:rsidRPr="00FD639A">
              <w:rPr>
                <w:rFonts w:cstheme="minorHAnsi"/>
                <w:szCs w:val="20"/>
              </w:rPr>
              <w:t xml:space="preserve">Reck M, et al. 2016. N Engl J Med 2016;375:1823-33. </w:t>
            </w:r>
            <w:r w:rsidRPr="00FD639A">
              <w:rPr>
                <w:rFonts w:cstheme="minorHAnsi"/>
                <w:szCs w:val="20"/>
              </w:rPr>
              <w:br/>
            </w:r>
            <w:r w:rsidRPr="00FD639A">
              <w:rPr>
                <w:rFonts w:eastAsia="Times New Roman" w:cstheme="minorHAnsi"/>
                <w:color w:val="212121"/>
                <w:szCs w:val="20"/>
                <w:lang w:eastAsia="en-AU"/>
              </w:rPr>
              <w:t>DOI: </w:t>
            </w:r>
            <w:hyperlink r:id="rId21" w:tgtFrame="_blank" w:history="1">
              <w:r w:rsidRPr="00FD639A">
                <w:rPr>
                  <w:rFonts w:eastAsia="Times New Roman" w:cstheme="minorHAnsi"/>
                  <w:color w:val="0071BC"/>
                  <w:szCs w:val="20"/>
                  <w:u w:val="single"/>
                  <w:lang w:eastAsia="en-AU"/>
                </w:rPr>
                <w:t>10.1056/NEJMoa1606774</w:t>
              </w:r>
            </w:hyperlink>
          </w:p>
          <w:p w14:paraId="5DC26E22" w14:textId="77777777" w:rsidR="00FD639A" w:rsidRPr="00FD639A" w:rsidRDefault="00FD639A" w:rsidP="000D1ACE">
            <w:pPr>
              <w:shd w:val="clear" w:color="auto" w:fill="FFFFFF"/>
              <w:rPr>
                <w:rFonts w:ascii="Segoe UI" w:eastAsia="Times New Roman" w:hAnsi="Segoe UI" w:cs="Segoe UI"/>
                <w:color w:val="212121"/>
                <w:szCs w:val="20"/>
                <w:lang w:eastAsia="en-AU"/>
              </w:rPr>
            </w:pPr>
            <w:r w:rsidRPr="00FD639A">
              <w:rPr>
                <w:szCs w:val="20"/>
              </w:rPr>
              <w:t>Reck M, et al. 2019. J Clin Oncol 37:537-546.</w:t>
            </w:r>
            <w:r w:rsidRPr="00FD639A">
              <w:rPr>
                <w:szCs w:val="20"/>
              </w:rPr>
              <w:br/>
            </w:r>
            <w:r w:rsidRPr="00FD639A">
              <w:rPr>
                <w:rFonts w:eastAsia="Times New Roman" w:cstheme="minorHAnsi"/>
                <w:color w:val="212121"/>
                <w:szCs w:val="20"/>
                <w:lang w:eastAsia="en-AU"/>
              </w:rPr>
              <w:t>DOI: </w:t>
            </w:r>
            <w:hyperlink r:id="rId22" w:tgtFrame="_blank" w:history="1">
              <w:r w:rsidRPr="00FD639A">
                <w:rPr>
                  <w:rFonts w:eastAsia="Times New Roman" w:cstheme="minorHAnsi"/>
                  <w:color w:val="0071BC"/>
                  <w:szCs w:val="20"/>
                  <w:u w:val="single"/>
                  <w:lang w:eastAsia="en-AU"/>
                </w:rPr>
                <w:t>10.1200/JCO.18.00149</w:t>
              </w:r>
            </w:hyperlink>
          </w:p>
          <w:p w14:paraId="6BBDB0A3" w14:textId="3C5BEB16" w:rsidR="00DC2C99" w:rsidRPr="00E82F54" w:rsidRDefault="004F6719" w:rsidP="00DD308E">
            <w:pPr>
              <w:rPr>
                <w:b/>
                <w:szCs w:val="20"/>
              </w:rPr>
            </w:pPr>
            <w:hyperlink r:id="rId23" w:history="1">
              <w:r w:rsidR="00A86E19" w:rsidRPr="00A86E19">
                <w:rPr>
                  <w:color w:val="0000FF"/>
                  <w:u w:val="single"/>
                </w:rPr>
                <w:t>https://clinicaltrials.gov/ct2/show/NCT02142738</w:t>
              </w:r>
            </w:hyperlink>
          </w:p>
        </w:tc>
        <w:tc>
          <w:tcPr>
            <w:tcW w:w="713" w:type="pct"/>
          </w:tcPr>
          <w:p w14:paraId="0AEB52CF" w14:textId="77777777" w:rsidR="00DD308E" w:rsidRDefault="000D1ACE" w:rsidP="00DD308E">
            <w:r w:rsidRPr="000D1ACE">
              <w:t>Epub 2016 Oct 8.</w:t>
            </w:r>
          </w:p>
          <w:p w14:paraId="7615BC74" w14:textId="77777777" w:rsidR="000D1ACE" w:rsidRDefault="000D1ACE" w:rsidP="00DD308E">
            <w:pPr>
              <w:rPr>
                <w:b/>
              </w:rPr>
            </w:pPr>
          </w:p>
          <w:p w14:paraId="6024AF63" w14:textId="77777777" w:rsidR="000D1ACE" w:rsidRDefault="000D1ACE" w:rsidP="00DD308E">
            <w:pPr>
              <w:rPr>
                <w:bCs/>
                <w:szCs w:val="20"/>
              </w:rPr>
            </w:pPr>
            <w:r w:rsidRPr="000D1ACE">
              <w:rPr>
                <w:bCs/>
                <w:szCs w:val="20"/>
              </w:rPr>
              <w:t>Epub 2019 Jan 8.</w:t>
            </w:r>
            <w:r>
              <w:rPr>
                <w:bCs/>
                <w:szCs w:val="20"/>
              </w:rPr>
              <w:t xml:space="preserve"> </w:t>
            </w:r>
            <w:r w:rsidRPr="00A86E19">
              <w:rPr>
                <w:bCs/>
                <w:i/>
                <w:iCs/>
                <w:szCs w:val="20"/>
              </w:rPr>
              <w:t>Follow-up to initial publication</w:t>
            </w:r>
          </w:p>
          <w:p w14:paraId="24B30BE2" w14:textId="77777777" w:rsidR="00A86E19" w:rsidRDefault="00A86E19" w:rsidP="00DD308E">
            <w:pPr>
              <w:rPr>
                <w:bCs/>
                <w:szCs w:val="20"/>
              </w:rPr>
            </w:pPr>
          </w:p>
          <w:p w14:paraId="672E5433" w14:textId="43937C14" w:rsidR="00A86E19" w:rsidRPr="00A86E19" w:rsidRDefault="00A86E19" w:rsidP="00DD308E">
            <w:pPr>
              <w:rPr>
                <w:bCs/>
                <w:szCs w:val="20"/>
              </w:rPr>
            </w:pPr>
            <w:r w:rsidRPr="00A86E19">
              <w:rPr>
                <w:bCs/>
                <w:szCs w:val="20"/>
              </w:rPr>
              <w:t>Last Update Posted:</w:t>
            </w:r>
            <w:r>
              <w:rPr>
                <w:bCs/>
                <w:szCs w:val="20"/>
              </w:rPr>
              <w:t xml:space="preserve"> </w:t>
            </w:r>
            <w:r w:rsidRPr="00A86E19">
              <w:rPr>
                <w:bCs/>
                <w:szCs w:val="20"/>
              </w:rPr>
              <w:t>December 24, 2019</w:t>
            </w:r>
          </w:p>
        </w:tc>
      </w:tr>
    </w:tbl>
    <w:p w14:paraId="1AB96E3F" w14:textId="77777777" w:rsidR="00DD308E" w:rsidRDefault="00DD308E" w:rsidP="004F6719">
      <w:pPr>
        <w:spacing w:before="0" w:after="0"/>
        <w:ind w:left="425"/>
        <w:rPr>
          <w:i/>
          <w:szCs w:val="20"/>
        </w:rPr>
      </w:pPr>
      <w:r>
        <w:rPr>
          <w:i/>
          <w:szCs w:val="20"/>
        </w:rPr>
        <w:t xml:space="preserve">* Categorise study design, for example meta-analysis, randomised trials, non-randomised trial or observational study, study of diagnostic accuracy, etc. </w:t>
      </w:r>
    </w:p>
    <w:p w14:paraId="56C72C58" w14:textId="77777777" w:rsidR="00DD308E" w:rsidRDefault="00DD308E" w:rsidP="004F6719">
      <w:pPr>
        <w:spacing w:before="0" w:after="0"/>
        <w:ind w:left="425"/>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31FD146C" w14:textId="77777777" w:rsidR="00DD308E" w:rsidRDefault="00DD308E" w:rsidP="004F6719">
      <w:pPr>
        <w:spacing w:before="0" w:after="0"/>
        <w:ind w:left="425"/>
        <w:rPr>
          <w:i/>
          <w:szCs w:val="20"/>
        </w:rPr>
      </w:pPr>
      <w:r w:rsidRPr="00E82F54">
        <w:rPr>
          <w:i/>
          <w:szCs w:val="20"/>
        </w:rPr>
        <w:t>*</w:t>
      </w:r>
      <w:r>
        <w:rPr>
          <w:szCs w:val="20"/>
        </w:rPr>
        <w:t>**</w:t>
      </w:r>
      <w:r>
        <w:rPr>
          <w:i/>
          <w:szCs w:val="20"/>
        </w:rPr>
        <w:t xml:space="preserve"> If the publication is a follow-up to an initial publication, please advise.</w:t>
      </w:r>
    </w:p>
    <w:p w14:paraId="7D66282E" w14:textId="77777777" w:rsidR="004C49EF" w:rsidRDefault="004C49EF" w:rsidP="00530204">
      <w:pPr>
        <w:pStyle w:val="Heading2"/>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57F03ABA" w14:textId="16A1C7B7" w:rsidR="00DD308E" w:rsidRPr="004F6719" w:rsidRDefault="004F6719" w:rsidP="004F6719">
      <w:pPr>
        <w:spacing w:after="0"/>
        <w:ind w:left="426"/>
        <w:rPr>
          <w:szCs w:val="20"/>
        </w:rPr>
        <w:sectPr w:rsidR="00DD308E" w:rsidRPr="004F6719" w:rsidSect="00DD308E">
          <w:pgSz w:w="16838" w:h="11906" w:orient="landscape"/>
          <w:pgMar w:top="1440" w:right="1440" w:bottom="1440" w:left="1440" w:header="708" w:footer="708" w:gutter="0"/>
          <w:cols w:space="708"/>
          <w:docGrid w:linePitch="360"/>
        </w:sectPr>
      </w:pPr>
      <w:r w:rsidRPr="004F6719">
        <w:rPr>
          <w:szCs w:val="20"/>
        </w:rPr>
        <w:t>None identified</w:t>
      </w:r>
      <w:r w:rsidR="00F301F1">
        <w:rPr>
          <w:b/>
          <w:sz w:val="32"/>
          <w:szCs w:val="32"/>
        </w:rPr>
        <w:br w:type="page"/>
      </w:r>
    </w:p>
    <w:p w14:paraId="3609E0EA" w14:textId="77777777" w:rsidR="00E82F54" w:rsidRPr="00C776B1" w:rsidRDefault="005C3AE7" w:rsidP="0056015F">
      <w:pPr>
        <w:pStyle w:val="Heading1"/>
      </w:pPr>
      <w:r>
        <w:t>PART 5</w:t>
      </w:r>
      <w:r w:rsidR="00F93784">
        <w:t xml:space="preserve"> – </w:t>
      </w:r>
      <w:r w:rsidR="00E82F54" w:rsidRPr="00C776B1">
        <w:t>CLINICAL ENDORSEMENT AND CONSUMER INFORMATION</w:t>
      </w:r>
    </w:p>
    <w:p w14:paraId="340647B3"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6FF97DEF" w14:textId="42164FED" w:rsidR="00A727B6" w:rsidRPr="00A727B6" w:rsidRDefault="00605CBC" w:rsidP="00605CBC">
      <w:pPr>
        <w:ind w:left="426"/>
      </w:pPr>
      <w:r>
        <w:t>C</w:t>
      </w:r>
      <w:r w:rsidRPr="00605CBC">
        <w:t>linical relevance</w:t>
      </w:r>
      <w:r>
        <w:t xml:space="preserve"> was established for MSAC applications 1414, 1440, </w:t>
      </w:r>
      <w:r w:rsidR="00B04C2A">
        <w:t xml:space="preserve">and </w:t>
      </w:r>
      <w:r>
        <w:t>1440.1</w:t>
      </w:r>
      <w:r w:rsidR="00B04C2A">
        <w:t>.</w:t>
      </w:r>
    </w:p>
    <w:p w14:paraId="516126D8"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171C1166" w14:textId="5BAAD905" w:rsidR="00EA173C" w:rsidRDefault="00B04C2A" w:rsidP="00A727B6">
      <w:pPr>
        <w:ind w:left="426"/>
      </w:pPr>
      <w:r>
        <w:t xml:space="preserve">No change from current criteria for MBS item </w:t>
      </w:r>
      <w:r w:rsidRPr="00B04C2A">
        <w:t>72814</w:t>
      </w:r>
      <w:r>
        <w:t>.</w:t>
      </w:r>
    </w:p>
    <w:p w14:paraId="2AD4433C"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2C240BB9" w14:textId="3C3AFA2A" w:rsidR="00E82F54" w:rsidRDefault="00242229" w:rsidP="00A727B6">
      <w:pPr>
        <w:ind w:left="426"/>
        <w:rPr>
          <w:szCs w:val="20"/>
        </w:rPr>
      </w:pPr>
      <w:r>
        <w:t xml:space="preserve">No change from current criteria for MBS item </w:t>
      </w:r>
      <w:r w:rsidRPr="00B04C2A">
        <w:t>72814</w:t>
      </w:r>
      <w:r w:rsidRPr="00242229">
        <w:t>.</w:t>
      </w:r>
    </w:p>
    <w:p w14:paraId="7DE27126"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2B6690BD" w14:textId="5EBE9E79" w:rsidR="00BB53B9" w:rsidRDefault="00BB53B9" w:rsidP="00EE6450">
      <w:pPr>
        <w:ind w:left="426"/>
        <w:rPr>
          <w:szCs w:val="20"/>
        </w:rPr>
      </w:pPr>
      <w:r w:rsidRPr="00BB53B9">
        <w:rPr>
          <w:szCs w:val="20"/>
        </w:rPr>
        <w:t>MBS item 72814</w:t>
      </w:r>
      <w:r>
        <w:rPr>
          <w:szCs w:val="20"/>
        </w:rPr>
        <w:t xml:space="preserve"> is not specific to one brand of test.</w:t>
      </w:r>
    </w:p>
    <w:p w14:paraId="0AC07E60" w14:textId="77777777" w:rsidR="00E82F54" w:rsidRDefault="00E82F54" w:rsidP="00530204">
      <w:pPr>
        <w:pStyle w:val="Heading2"/>
      </w:pPr>
      <w:r w:rsidRPr="00154B00">
        <w:t>Nominate two experts who could be approached about the proposed medical service and the current clinical management of the service(s):</w:t>
      </w:r>
    </w:p>
    <w:p w14:paraId="1D5DFEB4" w14:textId="45C297F6" w:rsidR="004F6719" w:rsidRPr="004F6719" w:rsidRDefault="00242229" w:rsidP="004F6719">
      <w:pPr>
        <w:ind w:left="360"/>
      </w:pPr>
      <w:r>
        <w:t xml:space="preserve">No change to </w:t>
      </w:r>
      <w:r w:rsidRPr="00154B00">
        <w:t>proposed medical service and the current clinical management of the service</w:t>
      </w:r>
      <w:r>
        <w:t xml:space="preserve"> from MSAC applications 1414, 1440, and 1440.1.</w:t>
      </w:r>
    </w:p>
    <w:p w14:paraId="52278318" w14:textId="40EAD0F5" w:rsidR="004F6719" w:rsidRPr="004F6719" w:rsidRDefault="004F6719" w:rsidP="004F6719">
      <w:pPr>
        <w:ind w:firstLine="360"/>
        <w:rPr>
          <w:b/>
          <w:i/>
          <w:szCs w:val="20"/>
        </w:rPr>
      </w:pPr>
      <w:r w:rsidRPr="004F6719">
        <w:rPr>
          <w:b/>
          <w:szCs w:val="20"/>
        </w:rPr>
        <w:t>REDACTED</w:t>
      </w:r>
    </w:p>
    <w:p w14:paraId="1CBC0CF2" w14:textId="77777777" w:rsidR="003433D1" w:rsidRDefault="003433D1">
      <w:pPr>
        <w:rPr>
          <w:b/>
          <w:sz w:val="32"/>
          <w:szCs w:val="32"/>
        </w:rPr>
      </w:pPr>
      <w:r>
        <w:rPr>
          <w:b/>
          <w:sz w:val="32"/>
          <w:szCs w:val="32"/>
        </w:rPr>
        <w:br w:type="page"/>
      </w:r>
    </w:p>
    <w:p w14:paraId="754953B0"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191C747C" w14:textId="77777777" w:rsidR="0021185D" w:rsidRPr="005C3AE7" w:rsidRDefault="005C3AE7" w:rsidP="00BC2EE6">
      <w:pPr>
        <w:pStyle w:val="Subtitle"/>
        <w:ind w:left="0"/>
      </w:pPr>
      <w:r w:rsidRPr="005C3AE7">
        <w:t xml:space="preserve">PART 6a – </w:t>
      </w:r>
      <w:r w:rsidR="0021185D" w:rsidRPr="005C3AE7">
        <w:t>INFORMATION ABOUT THE PROPOSED POPULATION</w:t>
      </w:r>
    </w:p>
    <w:p w14:paraId="73AD8219"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0BCE4492" w14:textId="584676A7" w:rsidR="007E063C" w:rsidRPr="007E063C" w:rsidRDefault="007E063C" w:rsidP="00BC2EE6">
      <w:pPr>
        <w:ind w:left="284"/>
        <w:rPr>
          <w:szCs w:val="20"/>
        </w:rPr>
      </w:pPr>
      <w:r w:rsidRPr="007E063C">
        <w:rPr>
          <w:szCs w:val="20"/>
        </w:rPr>
        <w:t>Lung cancer is the leading cause of cancer death in Australia and worldwide. In Australia in 2019, there were an estimated 9,034 deaths due to lung cancer (5,179 males and 3,855 females), an age standardised rate (ASR) of 28.8 per 100,000 of the population and 18% of all cancer-related deaths (AIHW 2019</w:t>
      </w:r>
      <w:r w:rsidR="00C00B24">
        <w:rPr>
          <w:szCs w:val="20"/>
        </w:rPr>
        <w:t>a</w:t>
      </w:r>
      <w:r w:rsidRPr="007E063C">
        <w:rPr>
          <w:szCs w:val="20"/>
        </w:rPr>
        <w:t xml:space="preserve">). </w:t>
      </w:r>
    </w:p>
    <w:p w14:paraId="62BB7705" w14:textId="0FA2EC19" w:rsidR="007E063C" w:rsidRPr="007E063C" w:rsidRDefault="007E063C" w:rsidP="00BC2EE6">
      <w:pPr>
        <w:ind w:left="284"/>
        <w:rPr>
          <w:szCs w:val="20"/>
        </w:rPr>
      </w:pPr>
      <w:r w:rsidRPr="007E063C">
        <w:rPr>
          <w:szCs w:val="20"/>
        </w:rPr>
        <w:t>In Australia lung cancer is the fifth most common cancer diagnosed (excluding non-melanoma skin cancer). The estimated incidence of lung cancer in 2019 is 12,817 persons (7,184 males and 5,633 females), corresponding to an ASR of 41.2 per 100,000 persons</w:t>
      </w:r>
      <w:r w:rsidR="00C00B24">
        <w:rPr>
          <w:szCs w:val="20"/>
        </w:rPr>
        <w:t xml:space="preserve"> (</w:t>
      </w:r>
      <w:r w:rsidR="00C00B24" w:rsidRPr="007E063C">
        <w:rPr>
          <w:szCs w:val="20"/>
        </w:rPr>
        <w:t>AIHW 2019</w:t>
      </w:r>
      <w:r w:rsidR="00C00B24">
        <w:rPr>
          <w:szCs w:val="20"/>
        </w:rPr>
        <w:t>a)</w:t>
      </w:r>
      <w:r w:rsidRPr="007E063C">
        <w:rPr>
          <w:szCs w:val="20"/>
        </w:rPr>
        <w:t>. Lung cancer is the third most commonly diagnosed cancer among people aged 65 years and older (9,517 cases in 2019).</w:t>
      </w:r>
    </w:p>
    <w:p w14:paraId="4CD1DB8D" w14:textId="77777777" w:rsidR="007E063C" w:rsidRPr="007E063C" w:rsidRDefault="007E063C" w:rsidP="00BC2EE6">
      <w:pPr>
        <w:ind w:left="284"/>
        <w:rPr>
          <w:szCs w:val="20"/>
        </w:rPr>
      </w:pPr>
      <w:r w:rsidRPr="007E063C">
        <w:rPr>
          <w:szCs w:val="20"/>
        </w:rPr>
        <w:t>The five-year prevalence at end of 2014 was 17,603 persons (9,411 males and 8,192 females).</w:t>
      </w:r>
    </w:p>
    <w:p w14:paraId="29E08DCF" w14:textId="07B2AD25" w:rsidR="007E063C" w:rsidRPr="007E063C" w:rsidRDefault="007E063C" w:rsidP="00BC2EE6">
      <w:pPr>
        <w:ind w:left="284"/>
        <w:rPr>
          <w:szCs w:val="20"/>
        </w:rPr>
      </w:pPr>
      <w:r w:rsidRPr="007E063C">
        <w:rPr>
          <w:szCs w:val="20"/>
        </w:rPr>
        <w:t>In 2011, over 40% of lung cancer cases were stage IV at diagnosis and this may be an under-representation, as stage at diagnosis was not able to be derived for over a quarter of cases</w:t>
      </w:r>
      <w:r w:rsidR="00C00B24">
        <w:rPr>
          <w:szCs w:val="20"/>
        </w:rPr>
        <w:t xml:space="preserve"> </w:t>
      </w:r>
      <w:r w:rsidR="00C00B24" w:rsidRPr="007E063C">
        <w:rPr>
          <w:szCs w:val="20"/>
        </w:rPr>
        <w:t>(AIHW 2019</w:t>
      </w:r>
      <w:r w:rsidR="00C00B24">
        <w:rPr>
          <w:szCs w:val="20"/>
        </w:rPr>
        <w:t>a</w:t>
      </w:r>
      <w:r w:rsidR="00C00B24" w:rsidRPr="007E063C">
        <w:rPr>
          <w:szCs w:val="20"/>
        </w:rPr>
        <w:t>)</w:t>
      </w:r>
      <w:r w:rsidRPr="007E063C">
        <w:rPr>
          <w:szCs w:val="20"/>
        </w:rPr>
        <w:t>.</w:t>
      </w:r>
    </w:p>
    <w:p w14:paraId="26AD1305" w14:textId="6D05D3E8" w:rsidR="007E063C" w:rsidRPr="007E063C" w:rsidRDefault="007E063C" w:rsidP="00BC2EE6">
      <w:pPr>
        <w:ind w:left="284"/>
        <w:rPr>
          <w:szCs w:val="20"/>
        </w:rPr>
      </w:pPr>
      <w:r w:rsidRPr="007E063C">
        <w:rPr>
          <w:szCs w:val="20"/>
        </w:rPr>
        <w:t>The overall 5-year relative survival (2011–2015) for lung cancer is 17.8% (15.0% for males and 20.8% for females) but the 5-year survival for stage IV just 3.2%</w:t>
      </w:r>
      <w:r w:rsidR="00C00B24" w:rsidRPr="007E063C">
        <w:rPr>
          <w:szCs w:val="20"/>
        </w:rPr>
        <w:t>(AIHW 2019</w:t>
      </w:r>
      <w:r w:rsidR="00C00B24">
        <w:rPr>
          <w:szCs w:val="20"/>
        </w:rPr>
        <w:t>a,b</w:t>
      </w:r>
      <w:r w:rsidR="00C00B24" w:rsidRPr="007E063C">
        <w:rPr>
          <w:szCs w:val="20"/>
        </w:rPr>
        <w:t>)</w:t>
      </w:r>
      <w:r w:rsidRPr="007E063C">
        <w:rPr>
          <w:szCs w:val="20"/>
        </w:rPr>
        <w:t>.</w:t>
      </w:r>
    </w:p>
    <w:p w14:paraId="58BF71F8" w14:textId="04EE0F0D" w:rsidR="007E063C" w:rsidRPr="007E063C" w:rsidRDefault="007E063C" w:rsidP="00BC2EE6">
      <w:pPr>
        <w:ind w:left="284"/>
        <w:rPr>
          <w:szCs w:val="20"/>
        </w:rPr>
      </w:pPr>
      <w:r w:rsidRPr="007E063C">
        <w:rPr>
          <w:szCs w:val="20"/>
        </w:rPr>
        <w:t>Among Aboriginal and Torres Strait Islander people, lung cancer was the most common cancer diagnosed in the 5 years from 2010 to 2014 in New South Wales, Victoria, Queensland, Western Australia and the Northern Territory, and the most common cancer causing mortality, with a 5-year survival rate of just 10%</w:t>
      </w:r>
      <w:r w:rsidR="00C00B24">
        <w:rPr>
          <w:szCs w:val="20"/>
        </w:rPr>
        <w:t xml:space="preserve"> </w:t>
      </w:r>
      <w:r w:rsidR="00C00B24" w:rsidRPr="007E063C">
        <w:rPr>
          <w:szCs w:val="20"/>
        </w:rPr>
        <w:t>(AIHW 2019</w:t>
      </w:r>
      <w:r w:rsidR="00C00B24">
        <w:rPr>
          <w:szCs w:val="20"/>
        </w:rPr>
        <w:t>a</w:t>
      </w:r>
      <w:r w:rsidR="00C00B24" w:rsidRPr="007E063C">
        <w:rPr>
          <w:szCs w:val="20"/>
        </w:rPr>
        <w:t>)</w:t>
      </w:r>
      <w:r w:rsidRPr="007E063C">
        <w:rPr>
          <w:szCs w:val="20"/>
        </w:rPr>
        <w:t xml:space="preserve">. </w:t>
      </w:r>
    </w:p>
    <w:p w14:paraId="4384180D" w14:textId="54D9F167" w:rsidR="007E063C" w:rsidRPr="007E063C" w:rsidRDefault="007E063C" w:rsidP="00BC2EE6">
      <w:pPr>
        <w:ind w:left="284"/>
        <w:rPr>
          <w:szCs w:val="20"/>
        </w:rPr>
      </w:pPr>
      <w:r w:rsidRPr="007E063C">
        <w:rPr>
          <w:szCs w:val="20"/>
        </w:rPr>
        <w:t>Mortality from lung cancer is also higher in very remote areas and socially disadvantaged areas</w:t>
      </w:r>
      <w:r w:rsidR="00C00B24">
        <w:rPr>
          <w:szCs w:val="20"/>
        </w:rPr>
        <w:t xml:space="preserve"> </w:t>
      </w:r>
      <w:r w:rsidR="00C00B24" w:rsidRPr="007E063C">
        <w:rPr>
          <w:szCs w:val="20"/>
        </w:rPr>
        <w:t>(AIHW 2019</w:t>
      </w:r>
      <w:r w:rsidR="00C00B24">
        <w:rPr>
          <w:szCs w:val="20"/>
        </w:rPr>
        <w:t>a</w:t>
      </w:r>
      <w:r w:rsidR="00C00B24" w:rsidRPr="007E063C">
        <w:rPr>
          <w:szCs w:val="20"/>
        </w:rPr>
        <w:t>)</w:t>
      </w:r>
      <w:r w:rsidR="009565F2">
        <w:rPr>
          <w:szCs w:val="20"/>
        </w:rPr>
        <w:t>.</w:t>
      </w:r>
    </w:p>
    <w:p w14:paraId="550636DF" w14:textId="04D78353" w:rsidR="007E063C" w:rsidRDefault="007E063C" w:rsidP="00BC2EE6">
      <w:pPr>
        <w:ind w:left="284"/>
        <w:rPr>
          <w:szCs w:val="20"/>
        </w:rPr>
      </w:pPr>
      <w:r w:rsidRPr="007E063C">
        <w:rPr>
          <w:szCs w:val="20"/>
        </w:rPr>
        <w:t>Non-small cell lung cancer</w:t>
      </w:r>
      <w:r w:rsidR="000F5F5B">
        <w:rPr>
          <w:szCs w:val="20"/>
        </w:rPr>
        <w:t xml:space="preserve"> (NSCLC)</w:t>
      </w:r>
      <w:r w:rsidRPr="007E063C">
        <w:rPr>
          <w:szCs w:val="20"/>
        </w:rPr>
        <w:t xml:space="preserve"> is the most common type of lung cancer, accounting for around 80-85% of cases.</w:t>
      </w:r>
    </w:p>
    <w:p w14:paraId="53BBEBCA" w14:textId="77777777" w:rsidR="00244E44" w:rsidRPr="000F5F5B" w:rsidRDefault="00244E44" w:rsidP="00BC2EE6">
      <w:pPr>
        <w:spacing w:after="0"/>
        <w:ind w:left="425" w:hanging="141"/>
        <w:rPr>
          <w:szCs w:val="20"/>
        </w:rPr>
      </w:pPr>
      <w:r w:rsidRPr="000F5F5B">
        <w:rPr>
          <w:szCs w:val="20"/>
        </w:rPr>
        <w:t xml:space="preserve">The most common </w:t>
      </w:r>
      <w:r>
        <w:rPr>
          <w:szCs w:val="20"/>
        </w:rPr>
        <w:t xml:space="preserve">sub-types </w:t>
      </w:r>
      <w:r w:rsidRPr="000F5F5B">
        <w:rPr>
          <w:szCs w:val="20"/>
        </w:rPr>
        <w:t>are:</w:t>
      </w:r>
    </w:p>
    <w:p w14:paraId="6B518ABC" w14:textId="77777777" w:rsidR="00244E44" w:rsidRPr="00244E44" w:rsidRDefault="00244E44" w:rsidP="00BC2EE6">
      <w:pPr>
        <w:pStyle w:val="ListParagraph"/>
        <w:numPr>
          <w:ilvl w:val="0"/>
          <w:numId w:val="42"/>
        </w:numPr>
        <w:spacing w:before="0"/>
        <w:ind w:left="851" w:hanging="284"/>
        <w:rPr>
          <w:szCs w:val="20"/>
        </w:rPr>
      </w:pPr>
      <w:r w:rsidRPr="00244E44">
        <w:rPr>
          <w:szCs w:val="20"/>
        </w:rPr>
        <w:t xml:space="preserve">Adenocarcinoma - begin in mucus-producing cells </w:t>
      </w:r>
      <w:r w:rsidRPr="00244E44">
        <w:t>in smaller airways</w:t>
      </w:r>
      <w:r w:rsidRPr="00244E44">
        <w:rPr>
          <w:szCs w:val="20"/>
        </w:rPr>
        <w:t xml:space="preserve"> and makes up about 40% of lung cancers. While this type of lung cancer is most commonly diagnosed in current or former smokers, it is also the most common lung cancer in non-smokers.</w:t>
      </w:r>
    </w:p>
    <w:p w14:paraId="32442CC8" w14:textId="77777777" w:rsidR="00244E44" w:rsidRPr="00244E44" w:rsidRDefault="00244E44" w:rsidP="00BC2EE6">
      <w:pPr>
        <w:pStyle w:val="ListParagraph"/>
        <w:numPr>
          <w:ilvl w:val="0"/>
          <w:numId w:val="42"/>
        </w:numPr>
        <w:ind w:left="851" w:hanging="284"/>
        <w:rPr>
          <w:szCs w:val="20"/>
        </w:rPr>
      </w:pPr>
      <w:r w:rsidRPr="00244E44">
        <w:rPr>
          <w:szCs w:val="20"/>
        </w:rPr>
        <w:t xml:space="preserve">Squamous cell (epidermoid) carcinoma - commonly develops in </w:t>
      </w:r>
      <w:r w:rsidRPr="00244E44">
        <w:t>the cells that line the</w:t>
      </w:r>
      <w:r w:rsidRPr="00244E44">
        <w:rPr>
          <w:szCs w:val="20"/>
        </w:rPr>
        <w:t xml:space="preserve"> larger airways of the lung </w:t>
      </w:r>
      <w:r w:rsidRPr="00244E44">
        <w:t>(bronchi)</w:t>
      </w:r>
      <w:r w:rsidRPr="00244E44">
        <w:rPr>
          <w:szCs w:val="20"/>
        </w:rPr>
        <w:t>. Approximately 30% of lung cancers.</w:t>
      </w:r>
    </w:p>
    <w:p w14:paraId="7C76D071" w14:textId="77777777" w:rsidR="00244E44" w:rsidRPr="00244E44" w:rsidRDefault="00244E44" w:rsidP="00BC2EE6">
      <w:pPr>
        <w:pStyle w:val="ListParagraph"/>
        <w:numPr>
          <w:ilvl w:val="0"/>
          <w:numId w:val="42"/>
        </w:numPr>
        <w:ind w:left="851" w:hanging="284"/>
        <w:rPr>
          <w:szCs w:val="20"/>
        </w:rPr>
      </w:pPr>
      <w:r w:rsidRPr="00244E44">
        <w:rPr>
          <w:szCs w:val="20"/>
        </w:rPr>
        <w:t xml:space="preserve">Large cell undifferentiated carcinoma - can appear in any part of the lung and are not clearly squamous cell or adenocarcinoma </w:t>
      </w:r>
      <w:r>
        <w:t>(large round cells under the microscope)</w:t>
      </w:r>
      <w:r w:rsidRPr="00244E44">
        <w:rPr>
          <w:szCs w:val="20"/>
        </w:rPr>
        <w:t>.</w:t>
      </w:r>
    </w:p>
    <w:p w14:paraId="75276C71" w14:textId="70E9D2AB" w:rsidR="00244E44" w:rsidRPr="00244E44" w:rsidRDefault="00244E44" w:rsidP="00BC2EE6">
      <w:pPr>
        <w:spacing w:after="0"/>
        <w:ind w:left="425" w:hanging="141"/>
      </w:pPr>
      <w:r w:rsidRPr="00244E44">
        <w:t>Staging of NSCLC</w:t>
      </w:r>
      <w:r w:rsidR="00CF3E2E">
        <w:t xml:space="preserve"> is as follows:</w:t>
      </w:r>
    </w:p>
    <w:p w14:paraId="047832C0" w14:textId="1BE7F0D3" w:rsidR="00244E44" w:rsidRDefault="00244E44" w:rsidP="00BC2EE6">
      <w:pPr>
        <w:pStyle w:val="ListParagraph"/>
        <w:numPr>
          <w:ilvl w:val="0"/>
          <w:numId w:val="41"/>
        </w:numPr>
        <w:spacing w:before="40" w:after="40"/>
        <w:ind w:left="851" w:hanging="284"/>
      </w:pPr>
      <w:r>
        <w:t>Stage 1</w:t>
      </w:r>
      <w:r w:rsidR="00BB53B9">
        <w:t xml:space="preserve"> -</w:t>
      </w:r>
      <w:r>
        <w:t xml:space="preserve"> The tumour is in only one lobe of the lung and has not spread. </w:t>
      </w:r>
    </w:p>
    <w:p w14:paraId="123FA16E" w14:textId="4460B520" w:rsidR="00244E44" w:rsidRDefault="00244E44" w:rsidP="00BC2EE6">
      <w:pPr>
        <w:pStyle w:val="ListParagraph"/>
        <w:numPr>
          <w:ilvl w:val="0"/>
          <w:numId w:val="41"/>
        </w:numPr>
        <w:spacing w:before="40" w:after="40"/>
        <w:ind w:left="851" w:hanging="284"/>
      </w:pPr>
      <w:r>
        <w:t xml:space="preserve">Stage 2 </w:t>
      </w:r>
      <w:r w:rsidR="00BB53B9">
        <w:t xml:space="preserve">- </w:t>
      </w:r>
      <w:r>
        <w:t xml:space="preserve">The tumour has spread to nearby lymph nodes, or has grown into the chest wall. </w:t>
      </w:r>
    </w:p>
    <w:p w14:paraId="2E20BCD9" w14:textId="2EFF3BA1" w:rsidR="00244E44" w:rsidRDefault="00244E44" w:rsidP="00BC2EE6">
      <w:pPr>
        <w:pStyle w:val="ListParagraph"/>
        <w:numPr>
          <w:ilvl w:val="0"/>
          <w:numId w:val="41"/>
        </w:numPr>
        <w:spacing w:before="40" w:after="40"/>
        <w:ind w:left="851" w:hanging="284"/>
      </w:pPr>
      <w:r>
        <w:t xml:space="preserve">Stage 3A </w:t>
      </w:r>
      <w:r w:rsidR="00BB53B9">
        <w:t xml:space="preserve">- </w:t>
      </w:r>
      <w:r>
        <w:t xml:space="preserve">Tumours have spread to lymph nodes in the centre of the chest (mediastinum). </w:t>
      </w:r>
    </w:p>
    <w:p w14:paraId="38F99A0A" w14:textId="4C25E961" w:rsidR="00244E44" w:rsidRDefault="00244E44" w:rsidP="00BC2EE6">
      <w:pPr>
        <w:pStyle w:val="ListParagraph"/>
        <w:numPr>
          <w:ilvl w:val="0"/>
          <w:numId w:val="41"/>
        </w:numPr>
        <w:spacing w:before="40" w:after="40"/>
        <w:ind w:left="851" w:hanging="284"/>
      </w:pPr>
      <w:r>
        <w:t xml:space="preserve">Stage 3B </w:t>
      </w:r>
      <w:r w:rsidR="00BB53B9">
        <w:t xml:space="preserve">- </w:t>
      </w:r>
      <w:r>
        <w:t xml:space="preserve">Tumours have spread more extensively to lymph nodes in the mediastinum, or have become attached to major blood vessels or the trachea (windpipe). </w:t>
      </w:r>
    </w:p>
    <w:p w14:paraId="5A9736DE" w14:textId="24D39E0A" w:rsidR="00244E44" w:rsidRDefault="00244E44" w:rsidP="00BC2EE6">
      <w:pPr>
        <w:pStyle w:val="ListParagraph"/>
        <w:numPr>
          <w:ilvl w:val="0"/>
          <w:numId w:val="41"/>
        </w:numPr>
        <w:spacing w:before="40" w:after="40"/>
        <w:ind w:left="851" w:hanging="284"/>
      </w:pPr>
      <w:r>
        <w:t xml:space="preserve">Stage 4 </w:t>
      </w:r>
      <w:r w:rsidR="00BB53B9">
        <w:t xml:space="preserve">- </w:t>
      </w:r>
      <w:r>
        <w:t>The cancer cells have spread to distant parts of the body, such as the bones, brain or liver</w:t>
      </w:r>
      <w:r w:rsidR="00BB53B9">
        <w:t>.</w:t>
      </w:r>
    </w:p>
    <w:p w14:paraId="250514F2" w14:textId="77777777" w:rsidR="00C00B24" w:rsidRPr="004A3980" w:rsidRDefault="00C00B24" w:rsidP="00C00B24">
      <w:pPr>
        <w:ind w:left="284"/>
        <w:rPr>
          <w:color w:val="002060"/>
          <w:sz w:val="18"/>
          <w:szCs w:val="20"/>
        </w:rPr>
      </w:pPr>
      <w:r w:rsidRPr="004A3980">
        <w:rPr>
          <w:color w:val="002060"/>
          <w:sz w:val="18"/>
          <w:szCs w:val="20"/>
        </w:rPr>
        <w:t>Australian Institute of Health and Welfare 2019a. Cancer in Australia 2019. Cancer series no.119. Cat. no. CAN 123. Canberra: AIHW.</w:t>
      </w:r>
    </w:p>
    <w:p w14:paraId="4F01595C" w14:textId="77777777" w:rsidR="00C00B24" w:rsidRPr="004A3980" w:rsidRDefault="00C00B24" w:rsidP="00C00B24">
      <w:pPr>
        <w:ind w:left="284"/>
        <w:rPr>
          <w:color w:val="002060"/>
          <w:sz w:val="18"/>
          <w:szCs w:val="20"/>
        </w:rPr>
      </w:pPr>
      <w:r w:rsidRPr="004A3980">
        <w:rPr>
          <w:color w:val="002060"/>
          <w:sz w:val="18"/>
          <w:szCs w:val="20"/>
        </w:rPr>
        <w:t xml:space="preserve">AIHW 2019b. Cancer data in Australia. Web report  Last updated: 26 Jul 2019. Available at: </w:t>
      </w:r>
      <w:hyperlink r:id="rId24" w:history="1">
        <w:r w:rsidRPr="004A3980">
          <w:rPr>
            <w:rStyle w:val="Hyperlink"/>
            <w:color w:val="002060"/>
            <w:sz w:val="18"/>
            <w:szCs w:val="20"/>
          </w:rPr>
          <w:t>https://www.aihw.gov.au/reports/cancer/cancer-data-in-australia/contents/incidence-and-survival-by-stage</w:t>
        </w:r>
      </w:hyperlink>
      <w:r w:rsidRPr="004A3980">
        <w:rPr>
          <w:color w:val="002060"/>
          <w:sz w:val="18"/>
          <w:szCs w:val="20"/>
        </w:rPr>
        <w:br/>
        <w:t>Accessed 27/5/2020</w:t>
      </w:r>
    </w:p>
    <w:p w14:paraId="7CAA1C1A" w14:textId="77777777" w:rsidR="00C00B24" w:rsidRPr="007E063C" w:rsidRDefault="00C00B24" w:rsidP="007E063C">
      <w:pPr>
        <w:ind w:left="426"/>
        <w:rPr>
          <w:szCs w:val="20"/>
        </w:rPr>
      </w:pPr>
    </w:p>
    <w:p w14:paraId="574ED0BF"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06213F4E" w14:textId="3F9652F9" w:rsidR="002E36D0" w:rsidRDefault="00BB53B9" w:rsidP="00244E44">
      <w:pPr>
        <w:ind w:left="426"/>
        <w:rPr>
          <w:szCs w:val="20"/>
        </w:rPr>
      </w:pPr>
      <w:r>
        <w:rPr>
          <w:szCs w:val="20"/>
        </w:rPr>
        <w:t>NSCLC affects mainly the elderly</w:t>
      </w:r>
      <w:r w:rsidR="003D0B4A">
        <w:rPr>
          <w:szCs w:val="20"/>
        </w:rPr>
        <w:t xml:space="preserve"> and is often diagnosed at stage IV (</w:t>
      </w:r>
      <w:r w:rsidR="003D0B4A" w:rsidRPr="003D0B4A">
        <w:rPr>
          <w:szCs w:val="20"/>
        </w:rPr>
        <w:fldChar w:fldCharType="begin"/>
      </w:r>
      <w:r w:rsidR="003D0B4A" w:rsidRPr="003D0B4A">
        <w:rPr>
          <w:szCs w:val="20"/>
        </w:rPr>
        <w:instrText xml:space="preserve"> REF _Ref43985957  \* MERGEFORMAT </w:instrText>
      </w:r>
      <w:r w:rsidR="003D0B4A" w:rsidRPr="003D0B4A">
        <w:rPr>
          <w:szCs w:val="20"/>
        </w:rPr>
        <w:fldChar w:fldCharType="separate"/>
      </w:r>
      <w:r w:rsidR="003D0B4A" w:rsidRPr="003D0B4A">
        <w:rPr>
          <w:szCs w:val="20"/>
        </w:rPr>
        <w:t>Figure 1</w:t>
      </w:r>
      <w:r w:rsidR="003D0B4A" w:rsidRPr="003D0B4A">
        <w:rPr>
          <w:szCs w:val="20"/>
        </w:rPr>
        <w:fldChar w:fldCharType="end"/>
      </w:r>
      <w:r w:rsidR="003D0B4A">
        <w:rPr>
          <w:szCs w:val="20"/>
        </w:rPr>
        <w:t xml:space="preserve">). </w:t>
      </w:r>
    </w:p>
    <w:p w14:paraId="3F5E8BCB" w14:textId="19C277EE" w:rsidR="003D0B4A" w:rsidRPr="003D0B4A" w:rsidRDefault="003D0B4A" w:rsidP="003D0B4A">
      <w:pPr>
        <w:ind w:left="426"/>
        <w:rPr>
          <w:szCs w:val="20"/>
        </w:rPr>
      </w:pPr>
      <w:r w:rsidRPr="003D0B4A">
        <w:rPr>
          <w:szCs w:val="20"/>
        </w:rPr>
        <w:t>Symptoms of lung cancer may include</w:t>
      </w:r>
      <w:r>
        <w:rPr>
          <w:szCs w:val="20"/>
        </w:rPr>
        <w:t xml:space="preserve"> (Cancer Council Australia 2019)</w:t>
      </w:r>
      <w:r w:rsidRPr="003D0B4A">
        <w:rPr>
          <w:szCs w:val="20"/>
        </w:rPr>
        <w:t>:</w:t>
      </w:r>
    </w:p>
    <w:p w14:paraId="2B1B6756" w14:textId="77777777" w:rsidR="003D0B4A" w:rsidRPr="003D0B4A" w:rsidRDefault="003D0B4A" w:rsidP="003D0B4A">
      <w:pPr>
        <w:pStyle w:val="ListParagraph"/>
        <w:numPr>
          <w:ilvl w:val="0"/>
          <w:numId w:val="43"/>
        </w:numPr>
        <w:rPr>
          <w:szCs w:val="20"/>
        </w:rPr>
      </w:pPr>
      <w:r w:rsidRPr="003D0B4A">
        <w:rPr>
          <w:szCs w:val="20"/>
        </w:rPr>
        <w:t>shortness of breath and wheezing</w:t>
      </w:r>
    </w:p>
    <w:p w14:paraId="55580FA7" w14:textId="77777777" w:rsidR="003D0B4A" w:rsidRPr="003D0B4A" w:rsidRDefault="003D0B4A" w:rsidP="003D0B4A">
      <w:pPr>
        <w:pStyle w:val="ListParagraph"/>
        <w:numPr>
          <w:ilvl w:val="0"/>
          <w:numId w:val="43"/>
        </w:numPr>
        <w:rPr>
          <w:szCs w:val="20"/>
        </w:rPr>
      </w:pPr>
      <w:r w:rsidRPr="003D0B4A">
        <w:rPr>
          <w:szCs w:val="20"/>
        </w:rPr>
        <w:t>hoarseness</w:t>
      </w:r>
    </w:p>
    <w:p w14:paraId="2E5D6976" w14:textId="77777777" w:rsidR="003D0B4A" w:rsidRPr="003D0B4A" w:rsidRDefault="003D0B4A" w:rsidP="003D0B4A">
      <w:pPr>
        <w:pStyle w:val="ListParagraph"/>
        <w:numPr>
          <w:ilvl w:val="0"/>
          <w:numId w:val="43"/>
        </w:numPr>
        <w:rPr>
          <w:szCs w:val="20"/>
        </w:rPr>
      </w:pPr>
      <w:r w:rsidRPr="003D0B4A">
        <w:rPr>
          <w:szCs w:val="20"/>
        </w:rPr>
        <w:lastRenderedPageBreak/>
        <w:t>chest pain</w:t>
      </w:r>
    </w:p>
    <w:p w14:paraId="50A3AE01" w14:textId="77777777" w:rsidR="003D0B4A" w:rsidRPr="003D0B4A" w:rsidRDefault="003D0B4A" w:rsidP="003D0B4A">
      <w:pPr>
        <w:pStyle w:val="ListParagraph"/>
        <w:numPr>
          <w:ilvl w:val="0"/>
          <w:numId w:val="43"/>
        </w:numPr>
        <w:rPr>
          <w:szCs w:val="20"/>
        </w:rPr>
      </w:pPr>
      <w:r w:rsidRPr="003D0B4A">
        <w:rPr>
          <w:szCs w:val="20"/>
        </w:rPr>
        <w:t>coughing or spitting up blood</w:t>
      </w:r>
    </w:p>
    <w:p w14:paraId="325749E9" w14:textId="77777777" w:rsidR="003D0B4A" w:rsidRPr="003D0B4A" w:rsidRDefault="003D0B4A" w:rsidP="003D0B4A">
      <w:pPr>
        <w:pStyle w:val="ListParagraph"/>
        <w:numPr>
          <w:ilvl w:val="0"/>
          <w:numId w:val="43"/>
        </w:numPr>
        <w:rPr>
          <w:szCs w:val="20"/>
        </w:rPr>
      </w:pPr>
      <w:r w:rsidRPr="003D0B4A">
        <w:rPr>
          <w:szCs w:val="20"/>
        </w:rPr>
        <w:t>a new cough that does not go away</w:t>
      </w:r>
    </w:p>
    <w:p w14:paraId="59BB388C" w14:textId="77777777" w:rsidR="003D0B4A" w:rsidRPr="003D0B4A" w:rsidRDefault="003D0B4A" w:rsidP="003D0B4A">
      <w:pPr>
        <w:pStyle w:val="ListParagraph"/>
        <w:numPr>
          <w:ilvl w:val="0"/>
          <w:numId w:val="43"/>
        </w:numPr>
        <w:rPr>
          <w:szCs w:val="20"/>
        </w:rPr>
      </w:pPr>
      <w:r w:rsidRPr="003D0B4A">
        <w:rPr>
          <w:szCs w:val="20"/>
        </w:rPr>
        <w:t>recurring bronchitis or pneumonia</w:t>
      </w:r>
    </w:p>
    <w:p w14:paraId="7E7548F1" w14:textId="77777777" w:rsidR="003D0B4A" w:rsidRPr="003D0B4A" w:rsidRDefault="003D0B4A" w:rsidP="003D0B4A">
      <w:pPr>
        <w:pStyle w:val="ListParagraph"/>
        <w:numPr>
          <w:ilvl w:val="0"/>
          <w:numId w:val="43"/>
        </w:numPr>
        <w:rPr>
          <w:szCs w:val="20"/>
        </w:rPr>
      </w:pPr>
      <w:r w:rsidRPr="003D0B4A">
        <w:rPr>
          <w:szCs w:val="20"/>
        </w:rPr>
        <w:t>loss of appetite</w:t>
      </w:r>
    </w:p>
    <w:p w14:paraId="747C4FF1" w14:textId="77777777" w:rsidR="003D0B4A" w:rsidRPr="003D0B4A" w:rsidRDefault="003D0B4A" w:rsidP="003D0B4A">
      <w:pPr>
        <w:pStyle w:val="ListParagraph"/>
        <w:numPr>
          <w:ilvl w:val="0"/>
          <w:numId w:val="43"/>
        </w:numPr>
        <w:rPr>
          <w:szCs w:val="20"/>
        </w:rPr>
      </w:pPr>
      <w:r w:rsidRPr="003D0B4A">
        <w:rPr>
          <w:szCs w:val="20"/>
        </w:rPr>
        <w:t>unexplained weight loss</w:t>
      </w:r>
    </w:p>
    <w:p w14:paraId="77870605" w14:textId="547FA90C" w:rsidR="00BB53B9" w:rsidRDefault="003D0B4A" w:rsidP="003D0B4A">
      <w:pPr>
        <w:pStyle w:val="ListParagraph"/>
        <w:numPr>
          <w:ilvl w:val="0"/>
          <w:numId w:val="43"/>
        </w:numPr>
        <w:rPr>
          <w:szCs w:val="20"/>
        </w:rPr>
      </w:pPr>
      <w:r w:rsidRPr="003D0B4A">
        <w:rPr>
          <w:szCs w:val="20"/>
        </w:rPr>
        <w:t>fatigue.</w:t>
      </w:r>
    </w:p>
    <w:p w14:paraId="58B29961" w14:textId="7D21A3FC" w:rsidR="00BD69A3" w:rsidRPr="00BD69A3" w:rsidRDefault="00BD69A3" w:rsidP="00D37092">
      <w:pPr>
        <w:ind w:left="426"/>
        <w:rPr>
          <w:szCs w:val="20"/>
        </w:rPr>
      </w:pPr>
      <w:r w:rsidRPr="00BD69A3">
        <w:rPr>
          <w:szCs w:val="20"/>
        </w:rPr>
        <w:t xml:space="preserve">Factors that can increase </w:t>
      </w:r>
      <w:r>
        <w:rPr>
          <w:szCs w:val="20"/>
        </w:rPr>
        <w:t>the</w:t>
      </w:r>
      <w:r w:rsidRPr="00BD69A3">
        <w:rPr>
          <w:szCs w:val="20"/>
        </w:rPr>
        <w:t xml:space="preserve"> risk of lung cancer include</w:t>
      </w:r>
      <w:r w:rsidR="00C357CB" w:rsidRPr="00C357CB">
        <w:rPr>
          <w:szCs w:val="20"/>
        </w:rPr>
        <w:t xml:space="preserve"> </w:t>
      </w:r>
      <w:r w:rsidR="00C357CB">
        <w:rPr>
          <w:szCs w:val="20"/>
        </w:rPr>
        <w:t>(Cancer Council Australia 2019)</w:t>
      </w:r>
      <w:r w:rsidRPr="00BD69A3">
        <w:rPr>
          <w:szCs w:val="20"/>
        </w:rPr>
        <w:t>:</w:t>
      </w:r>
    </w:p>
    <w:p w14:paraId="6818082F" w14:textId="5614E4E8" w:rsidR="00BD69A3" w:rsidRPr="00BD69A3" w:rsidRDefault="00BD69A3" w:rsidP="00D37092">
      <w:pPr>
        <w:pStyle w:val="ListParagraph"/>
        <w:numPr>
          <w:ilvl w:val="0"/>
          <w:numId w:val="43"/>
        </w:numPr>
        <w:rPr>
          <w:szCs w:val="20"/>
        </w:rPr>
      </w:pPr>
      <w:r w:rsidRPr="00BD69A3">
        <w:rPr>
          <w:szCs w:val="20"/>
        </w:rPr>
        <w:t>smoking tobacco or exposure to second-hand smoke</w:t>
      </w:r>
    </w:p>
    <w:p w14:paraId="13006B9D" w14:textId="11416365" w:rsidR="00BD69A3" w:rsidRPr="00BD69A3" w:rsidRDefault="00BD69A3" w:rsidP="00D37092">
      <w:pPr>
        <w:pStyle w:val="ListParagraph"/>
        <w:numPr>
          <w:ilvl w:val="0"/>
          <w:numId w:val="43"/>
        </w:numPr>
        <w:rPr>
          <w:szCs w:val="20"/>
        </w:rPr>
      </w:pPr>
      <w:r w:rsidRPr="00BD69A3">
        <w:rPr>
          <w:szCs w:val="20"/>
        </w:rPr>
        <w:t>exposure to asbestos or radon; exposure to occupational substances such as uranium, chromium, nickel, diesel fumes and soot</w:t>
      </w:r>
    </w:p>
    <w:p w14:paraId="122D20C8" w14:textId="77777777" w:rsidR="00BD69A3" w:rsidRPr="00BD69A3" w:rsidRDefault="00BD69A3" w:rsidP="00D37092">
      <w:pPr>
        <w:pStyle w:val="ListParagraph"/>
        <w:numPr>
          <w:ilvl w:val="0"/>
          <w:numId w:val="43"/>
        </w:numPr>
        <w:rPr>
          <w:szCs w:val="20"/>
        </w:rPr>
      </w:pPr>
      <w:r w:rsidRPr="00BD69A3">
        <w:rPr>
          <w:szCs w:val="20"/>
        </w:rPr>
        <w:t>HIV infection</w:t>
      </w:r>
    </w:p>
    <w:p w14:paraId="684F5BB7" w14:textId="77777777" w:rsidR="00BD69A3" w:rsidRPr="00BD69A3" w:rsidRDefault="00BD69A3" w:rsidP="00D37092">
      <w:pPr>
        <w:pStyle w:val="ListParagraph"/>
        <w:numPr>
          <w:ilvl w:val="0"/>
          <w:numId w:val="43"/>
        </w:numPr>
        <w:rPr>
          <w:szCs w:val="20"/>
        </w:rPr>
      </w:pPr>
      <w:r w:rsidRPr="00BD69A3">
        <w:rPr>
          <w:szCs w:val="20"/>
        </w:rPr>
        <w:t>family history</w:t>
      </w:r>
    </w:p>
    <w:p w14:paraId="4085050E" w14:textId="053CBB9F" w:rsidR="003D0B4A" w:rsidRDefault="00BD69A3" w:rsidP="00D37092">
      <w:pPr>
        <w:pStyle w:val="ListParagraph"/>
        <w:numPr>
          <w:ilvl w:val="0"/>
          <w:numId w:val="43"/>
        </w:numPr>
        <w:rPr>
          <w:szCs w:val="20"/>
        </w:rPr>
      </w:pPr>
      <w:r w:rsidRPr="00BD69A3">
        <w:rPr>
          <w:szCs w:val="20"/>
        </w:rPr>
        <w:t>history of lung diseases such as lung fibrosis or emphysema.</w:t>
      </w:r>
    </w:p>
    <w:p w14:paraId="05F681EE" w14:textId="3A1A4432" w:rsidR="00BD69A3" w:rsidRDefault="009565F2" w:rsidP="00D37092">
      <w:pPr>
        <w:ind w:left="426"/>
        <w:rPr>
          <w:szCs w:val="20"/>
        </w:rPr>
      </w:pPr>
      <w:r>
        <w:rPr>
          <w:szCs w:val="20"/>
        </w:rPr>
        <w:t xml:space="preserve">The burden of lung cancer is higher among </w:t>
      </w:r>
      <w:r w:rsidRPr="009565F2">
        <w:rPr>
          <w:szCs w:val="20"/>
        </w:rPr>
        <w:t>Aboriginal and Torres Strait Islander people</w:t>
      </w:r>
      <w:r>
        <w:rPr>
          <w:szCs w:val="20"/>
        </w:rPr>
        <w:t xml:space="preserve">, </w:t>
      </w:r>
      <w:r w:rsidRPr="009565F2">
        <w:rPr>
          <w:szCs w:val="20"/>
        </w:rPr>
        <w:t>very remote areas and socially disadvantaged areas (AIHW 2019a)</w:t>
      </w:r>
      <w:r>
        <w:rPr>
          <w:szCs w:val="20"/>
        </w:rPr>
        <w:t>.</w:t>
      </w:r>
    </w:p>
    <w:p w14:paraId="4ADC132C" w14:textId="77777777" w:rsidR="00BC2EE6" w:rsidRDefault="00BC2EE6" w:rsidP="009565F2">
      <w:pPr>
        <w:pStyle w:val="Caption"/>
        <w:keepNext/>
        <w:spacing w:before="120" w:after="0"/>
        <w:rPr>
          <w:b/>
          <w:bCs/>
          <w:i w:val="0"/>
          <w:iCs w:val="0"/>
          <w:color w:val="auto"/>
          <w:sz w:val="20"/>
          <w:szCs w:val="20"/>
        </w:rPr>
      </w:pPr>
      <w:bookmarkStart w:id="6" w:name="_Ref43985957"/>
    </w:p>
    <w:p w14:paraId="2A6337B9" w14:textId="389BC4DD" w:rsidR="003D0B4A" w:rsidRPr="003D0B4A" w:rsidRDefault="003D0B4A" w:rsidP="009565F2">
      <w:pPr>
        <w:pStyle w:val="Caption"/>
        <w:keepNext/>
        <w:spacing w:before="120" w:after="0"/>
        <w:rPr>
          <w:b/>
          <w:bCs/>
          <w:i w:val="0"/>
          <w:iCs w:val="0"/>
          <w:color w:val="auto"/>
          <w:sz w:val="20"/>
          <w:szCs w:val="20"/>
        </w:rPr>
      </w:pPr>
      <w:r w:rsidRPr="003D0B4A">
        <w:rPr>
          <w:b/>
          <w:bCs/>
          <w:i w:val="0"/>
          <w:iCs w:val="0"/>
          <w:color w:val="auto"/>
          <w:sz w:val="20"/>
          <w:szCs w:val="20"/>
        </w:rPr>
        <w:t xml:space="preserve">Figure </w:t>
      </w:r>
      <w:r w:rsidRPr="003D0B4A">
        <w:rPr>
          <w:b/>
          <w:bCs/>
          <w:i w:val="0"/>
          <w:iCs w:val="0"/>
          <w:color w:val="auto"/>
          <w:sz w:val="20"/>
          <w:szCs w:val="20"/>
        </w:rPr>
        <w:fldChar w:fldCharType="begin"/>
      </w:r>
      <w:r w:rsidRPr="003D0B4A">
        <w:rPr>
          <w:b/>
          <w:bCs/>
          <w:i w:val="0"/>
          <w:iCs w:val="0"/>
          <w:color w:val="auto"/>
          <w:sz w:val="20"/>
          <w:szCs w:val="20"/>
        </w:rPr>
        <w:instrText xml:space="preserve"> SEQ Figure \* ARABIC </w:instrText>
      </w:r>
      <w:r w:rsidRPr="003D0B4A">
        <w:rPr>
          <w:b/>
          <w:bCs/>
          <w:i w:val="0"/>
          <w:iCs w:val="0"/>
          <w:color w:val="auto"/>
          <w:sz w:val="20"/>
          <w:szCs w:val="20"/>
        </w:rPr>
        <w:fldChar w:fldCharType="separate"/>
      </w:r>
      <w:r w:rsidRPr="003D0B4A">
        <w:rPr>
          <w:b/>
          <w:bCs/>
          <w:i w:val="0"/>
          <w:iCs w:val="0"/>
          <w:color w:val="auto"/>
          <w:sz w:val="20"/>
          <w:szCs w:val="20"/>
        </w:rPr>
        <w:t>1</w:t>
      </w:r>
      <w:r w:rsidRPr="003D0B4A">
        <w:rPr>
          <w:b/>
          <w:bCs/>
          <w:i w:val="0"/>
          <w:iCs w:val="0"/>
          <w:color w:val="auto"/>
          <w:sz w:val="20"/>
          <w:szCs w:val="20"/>
        </w:rPr>
        <w:fldChar w:fldCharType="end"/>
      </w:r>
      <w:bookmarkEnd w:id="6"/>
      <w:r>
        <w:rPr>
          <w:b/>
          <w:bCs/>
          <w:i w:val="0"/>
          <w:iCs w:val="0"/>
          <w:color w:val="auto"/>
          <w:sz w:val="20"/>
          <w:szCs w:val="20"/>
        </w:rPr>
        <w:t>: Incidence of lung cancer by stage and age</w:t>
      </w:r>
    </w:p>
    <w:p w14:paraId="7BAAAB63" w14:textId="6AB38999" w:rsidR="00BB53B9" w:rsidRDefault="00BB53B9" w:rsidP="009565F2">
      <w:pPr>
        <w:rPr>
          <w:szCs w:val="20"/>
        </w:rPr>
      </w:pPr>
      <w:r>
        <w:rPr>
          <w:noProof/>
          <w:lang w:eastAsia="en-AU"/>
        </w:rPr>
        <w:drawing>
          <wp:inline distT="0" distB="0" distL="0" distR="0" wp14:anchorId="0D1F8782" wp14:editId="05E202BB">
            <wp:extent cx="5545394" cy="2013434"/>
            <wp:effectExtent l="0" t="0" r="0" b="6350"/>
            <wp:docPr id="4" name="Picture 4" descr="Picture of incidenc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r="646"/>
                    <a:stretch/>
                  </pic:blipFill>
                  <pic:spPr bwMode="auto">
                    <a:xfrm>
                      <a:off x="0" y="0"/>
                      <a:ext cx="5579629" cy="2025864"/>
                    </a:xfrm>
                    <a:prstGeom prst="rect">
                      <a:avLst/>
                    </a:prstGeom>
                    <a:ln>
                      <a:noFill/>
                    </a:ln>
                    <a:extLst>
                      <a:ext uri="{53640926-AAD7-44D8-BBD7-CCE9431645EC}">
                        <a14:shadowObscured xmlns:a14="http://schemas.microsoft.com/office/drawing/2010/main"/>
                      </a:ext>
                    </a:extLst>
                  </pic:spPr>
                </pic:pic>
              </a:graphicData>
            </a:graphic>
          </wp:inline>
        </w:drawing>
      </w:r>
    </w:p>
    <w:p w14:paraId="04B291F8" w14:textId="11AB2440" w:rsidR="003D0B4A" w:rsidRPr="00C357CB" w:rsidRDefault="003D0B4A" w:rsidP="00244E44">
      <w:pPr>
        <w:ind w:left="426"/>
        <w:rPr>
          <w:sz w:val="16"/>
          <w:szCs w:val="16"/>
        </w:rPr>
      </w:pPr>
      <w:r w:rsidRPr="00C357CB">
        <w:rPr>
          <w:sz w:val="16"/>
          <w:szCs w:val="16"/>
        </w:rPr>
        <w:t>Source: https://www.aihw.gov.au/reports/cancer/cancer-data-in-australia/contents/incidence-and-survival-by-stage</w:t>
      </w:r>
    </w:p>
    <w:p w14:paraId="759098E2" w14:textId="77777777" w:rsidR="00B26AED" w:rsidRPr="00B26AED" w:rsidRDefault="00B26AED" w:rsidP="00244E44">
      <w:pPr>
        <w:ind w:left="426"/>
        <w:rPr>
          <w:highlight w:val="yellow"/>
        </w:rPr>
      </w:pPr>
    </w:p>
    <w:p w14:paraId="652AD685" w14:textId="0EBCD944" w:rsidR="00C357CB" w:rsidRPr="00C357CB" w:rsidRDefault="00C357CB" w:rsidP="00C357CB">
      <w:pPr>
        <w:spacing w:before="60" w:after="60"/>
        <w:ind w:left="425"/>
        <w:rPr>
          <w:color w:val="002060"/>
          <w:sz w:val="16"/>
          <w:szCs w:val="16"/>
        </w:rPr>
      </w:pPr>
      <w:r w:rsidRPr="00C357CB">
        <w:rPr>
          <w:color w:val="002060"/>
          <w:sz w:val="16"/>
          <w:szCs w:val="16"/>
        </w:rPr>
        <w:t>Australian Institute of Health and Welfare 2019a. Cancer in Australia 2019. Cancer series no.119. Cat. no. CAN 123. Canberra: AIHW.</w:t>
      </w:r>
    </w:p>
    <w:p w14:paraId="00441278" w14:textId="5CF60501" w:rsidR="000F5F5B" w:rsidRPr="00C357CB" w:rsidRDefault="00BC2E70" w:rsidP="00C357CB">
      <w:pPr>
        <w:spacing w:before="60" w:after="60"/>
        <w:ind w:left="425"/>
        <w:rPr>
          <w:color w:val="002060"/>
          <w:sz w:val="16"/>
          <w:szCs w:val="16"/>
        </w:rPr>
      </w:pPr>
      <w:r w:rsidRPr="00C357CB">
        <w:rPr>
          <w:color w:val="002060"/>
          <w:sz w:val="16"/>
          <w:szCs w:val="16"/>
        </w:rPr>
        <w:t>Cancer Council. 2019. Lung Cancer. Available at: cancer.org.au/about-cancer/types-of-cancer/lung-cancer.html Accessed 24/06/2020. Page last updated on: Friday, March 22, 2019</w:t>
      </w:r>
      <w:r w:rsidR="00854C39" w:rsidRPr="00C357CB">
        <w:rPr>
          <w:color w:val="002060"/>
          <w:sz w:val="16"/>
          <w:szCs w:val="16"/>
        </w:rPr>
        <w:t>.</w:t>
      </w:r>
    </w:p>
    <w:p w14:paraId="05B104FC" w14:textId="77777777" w:rsidR="00BC2EE6" w:rsidRDefault="00BC2EE6">
      <w:pPr>
        <w:spacing w:before="0" w:after="200" w:line="276" w:lineRule="auto"/>
        <w:rPr>
          <w:b/>
          <w:szCs w:val="20"/>
        </w:rPr>
      </w:pPr>
      <w:r>
        <w:br w:type="page"/>
      </w:r>
    </w:p>
    <w:p w14:paraId="0CD2F027" w14:textId="1D028B91"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18E70F9E" w14:textId="77777777" w:rsidR="00B26AED" w:rsidRDefault="00B26AED" w:rsidP="00B26AED">
      <w:pPr>
        <w:ind w:left="426"/>
      </w:pPr>
      <w:r>
        <w:t>Diagnosis of lung cancer may include a number of tests as follows (Cancer Council 2019).</w:t>
      </w:r>
    </w:p>
    <w:p w14:paraId="734EE8C7" w14:textId="77777777" w:rsidR="00B26AED" w:rsidRDefault="00B26AED" w:rsidP="00B26AED">
      <w:pPr>
        <w:pStyle w:val="ListParagraph"/>
        <w:numPr>
          <w:ilvl w:val="0"/>
          <w:numId w:val="40"/>
        </w:numPr>
      </w:pPr>
      <w:r>
        <w:lastRenderedPageBreak/>
        <w:t>Chest X-ray, which can show larger tumours (more than 1cm wide).</w:t>
      </w:r>
    </w:p>
    <w:p w14:paraId="354505F7" w14:textId="77777777" w:rsidR="00B26AED" w:rsidRDefault="00B26AED" w:rsidP="00B26AED">
      <w:pPr>
        <w:pStyle w:val="ListParagraph"/>
        <w:numPr>
          <w:ilvl w:val="0"/>
          <w:numId w:val="40"/>
        </w:numPr>
      </w:pPr>
      <w:r>
        <w:t xml:space="preserve">A computerised tomography (CT) scan uses X-ray beams to take pictures inside your body and create a cross-sectional image. A CT scan is able to detect smaller tumours as well as providing information about the tumour and lymph nodes. </w:t>
      </w:r>
    </w:p>
    <w:p w14:paraId="3402AF52" w14:textId="77777777" w:rsidR="00B26AED" w:rsidRDefault="00B26AED" w:rsidP="00B26AED">
      <w:pPr>
        <w:pStyle w:val="ListParagraph"/>
        <w:numPr>
          <w:ilvl w:val="0"/>
          <w:numId w:val="40"/>
        </w:numPr>
      </w:pPr>
      <w:r>
        <w:t>A positron emission tomography (PET) scan is used to stage lung cancer after a diagnosis.</w:t>
      </w:r>
    </w:p>
    <w:p w14:paraId="660CA76A" w14:textId="77777777" w:rsidR="00B26AED" w:rsidRDefault="00B26AED" w:rsidP="00B26AED">
      <w:pPr>
        <w:pStyle w:val="ListParagraph"/>
        <w:numPr>
          <w:ilvl w:val="0"/>
          <w:numId w:val="40"/>
        </w:numPr>
      </w:pPr>
      <w:r>
        <w:t xml:space="preserve">A lung function test (spirometry) </w:t>
      </w:r>
    </w:p>
    <w:p w14:paraId="0E7F8A6B" w14:textId="77777777" w:rsidR="00B26AED" w:rsidRDefault="00B26AED" w:rsidP="00B26AED">
      <w:pPr>
        <w:pStyle w:val="ListParagraph"/>
        <w:numPr>
          <w:ilvl w:val="0"/>
          <w:numId w:val="40"/>
        </w:numPr>
      </w:pPr>
      <w:r>
        <w:t>Biopsy - a small sample of tissue will be taken if a tumour is suspected after a CT scan or X-ray. There are different types of biopsy including a bronchoscopy, CT-guided core biopsy and endobronchial ultrasound.</w:t>
      </w:r>
    </w:p>
    <w:p w14:paraId="4DEDD67B" w14:textId="77777777" w:rsidR="00B26AED" w:rsidRDefault="00B26AED" w:rsidP="00B26AED">
      <w:pPr>
        <w:pStyle w:val="ListParagraph"/>
        <w:numPr>
          <w:ilvl w:val="0"/>
          <w:numId w:val="40"/>
        </w:numPr>
      </w:pPr>
      <w:r>
        <w:t>Sputum cytology</w:t>
      </w:r>
    </w:p>
    <w:p w14:paraId="3849FB95" w14:textId="77777777" w:rsidR="00B26AED" w:rsidRDefault="00B26AED" w:rsidP="00B26AED">
      <w:pPr>
        <w:ind w:left="426"/>
        <w:rPr>
          <w:szCs w:val="20"/>
        </w:rPr>
      </w:pPr>
      <w:r>
        <w:rPr>
          <w:szCs w:val="20"/>
        </w:rPr>
        <w:t>A</w:t>
      </w:r>
      <w:r w:rsidRPr="000F5F5B">
        <w:rPr>
          <w:szCs w:val="20"/>
        </w:rPr>
        <w:t>ll patients suspected of having NSCLC</w:t>
      </w:r>
      <w:r>
        <w:rPr>
          <w:szCs w:val="20"/>
        </w:rPr>
        <w:t xml:space="preserve">, based on </w:t>
      </w:r>
      <w:r>
        <w:t>CT scan or X-ray,</w:t>
      </w:r>
      <w:r w:rsidRPr="000F5F5B">
        <w:rPr>
          <w:szCs w:val="20"/>
        </w:rPr>
        <w:t xml:space="preserve"> will undergo a biopsy at initial diagnosis to determine histology</w:t>
      </w:r>
      <w:r>
        <w:rPr>
          <w:szCs w:val="20"/>
        </w:rPr>
        <w:t>, including the</w:t>
      </w:r>
      <w:r w:rsidRPr="000F5F5B">
        <w:rPr>
          <w:szCs w:val="20"/>
        </w:rPr>
        <w:t xml:space="preserve"> sub-type of </w:t>
      </w:r>
      <w:r>
        <w:rPr>
          <w:szCs w:val="20"/>
        </w:rPr>
        <w:t>NSCLC</w:t>
      </w:r>
      <w:r w:rsidRPr="000F5F5B">
        <w:rPr>
          <w:szCs w:val="20"/>
        </w:rPr>
        <w:t>.</w:t>
      </w:r>
      <w:r w:rsidRPr="00B26AED">
        <w:rPr>
          <w:szCs w:val="20"/>
        </w:rPr>
        <w:t xml:space="preserve"> </w:t>
      </w:r>
      <w:r>
        <w:rPr>
          <w:szCs w:val="20"/>
        </w:rPr>
        <w:t xml:space="preserve">The biopsy can be used for genetic testing (EGFR, ALK) and </w:t>
      </w:r>
      <w:r w:rsidRPr="00244E44">
        <w:rPr>
          <w:szCs w:val="20"/>
        </w:rPr>
        <w:t>PD-L1</w:t>
      </w:r>
      <w:r>
        <w:rPr>
          <w:szCs w:val="20"/>
        </w:rPr>
        <w:t xml:space="preserve"> expression by IHC.</w:t>
      </w:r>
    </w:p>
    <w:p w14:paraId="5854107A" w14:textId="77777777" w:rsidR="00340630" w:rsidRPr="00BC424B" w:rsidRDefault="00340630" w:rsidP="00D73646">
      <w:pPr>
        <w:ind w:left="426"/>
      </w:pPr>
    </w:p>
    <w:p w14:paraId="0E275C8E" w14:textId="77777777" w:rsidR="002A50FD" w:rsidRPr="00881F93" w:rsidRDefault="005C3AE7" w:rsidP="00D3152D">
      <w:pPr>
        <w:pStyle w:val="Subtitle"/>
        <w:ind w:left="0"/>
      </w:pPr>
      <w:r>
        <w:t xml:space="preserve">PART 6b – </w:t>
      </w:r>
      <w:r w:rsidR="002A50FD" w:rsidRPr="00881F93">
        <w:t>INFORMATION ABOUT THE INTERVENTION</w:t>
      </w:r>
    </w:p>
    <w:p w14:paraId="17167E11"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28EB516B" w14:textId="1E3526D2" w:rsidR="00BC0D9E" w:rsidRDefault="00340630" w:rsidP="00E357B9">
      <w:pPr>
        <w:ind w:left="426"/>
        <w:rPr>
          <w:szCs w:val="20"/>
        </w:rPr>
      </w:pPr>
      <w:r>
        <w:rPr>
          <w:szCs w:val="20"/>
        </w:rPr>
        <w:t>P</w:t>
      </w:r>
      <w:r w:rsidRPr="000F5F5B">
        <w:rPr>
          <w:szCs w:val="20"/>
        </w:rPr>
        <w:t>atients suspected of having NSCLC</w:t>
      </w:r>
      <w:r w:rsidRPr="00BC0D9E">
        <w:rPr>
          <w:szCs w:val="20"/>
        </w:rPr>
        <w:t xml:space="preserve"> </w:t>
      </w:r>
      <w:r>
        <w:rPr>
          <w:szCs w:val="20"/>
        </w:rPr>
        <w:t xml:space="preserve">based on </w:t>
      </w:r>
      <w:r>
        <w:t>CT scan or X-ray</w:t>
      </w:r>
      <w:r w:rsidRPr="000F5F5B">
        <w:rPr>
          <w:szCs w:val="20"/>
        </w:rPr>
        <w:t xml:space="preserve"> will undergo a biopsy at initial diagnosis to determine histology. For patients with NSCLC of squamous histology, assessment of PD-L1 status through </w:t>
      </w:r>
      <w:r>
        <w:rPr>
          <w:szCs w:val="20"/>
        </w:rPr>
        <w:t>immunohistochemistry (</w:t>
      </w:r>
      <w:r w:rsidRPr="000F5F5B">
        <w:rPr>
          <w:szCs w:val="20"/>
        </w:rPr>
        <w:t>IHC</w:t>
      </w:r>
      <w:r>
        <w:rPr>
          <w:szCs w:val="20"/>
        </w:rPr>
        <w:t>)</w:t>
      </w:r>
      <w:r w:rsidRPr="000F5F5B">
        <w:rPr>
          <w:szCs w:val="20"/>
        </w:rPr>
        <w:t xml:space="preserve"> will be the only biomarker test undertaken at diagnosis. For patients who have non-squamous or not otherwise specified NSCLC, PD-L1 IHC testing will be performed at initial diagnosis, along with EGFR and ALK testing.</w:t>
      </w:r>
    </w:p>
    <w:p w14:paraId="781EFFD5" w14:textId="2B4C050A" w:rsidR="00C357CB" w:rsidRDefault="00C357CB" w:rsidP="00C357CB">
      <w:pPr>
        <w:ind w:left="426"/>
        <w:rPr>
          <w:szCs w:val="20"/>
        </w:rPr>
      </w:pPr>
      <w:r w:rsidRPr="00C357CB">
        <w:rPr>
          <w:szCs w:val="20"/>
        </w:rPr>
        <w:t>The pembrolizumab PSD (1440.1) indicates</w:t>
      </w:r>
      <w:r>
        <w:rPr>
          <w:szCs w:val="20"/>
        </w:rPr>
        <w:t xml:space="preserve"> that </w:t>
      </w:r>
      <w:r w:rsidRPr="00C357CB">
        <w:rPr>
          <w:szCs w:val="20"/>
        </w:rPr>
        <w:t xml:space="preserve">PD-L1 testing is to be performed on tissue sections taken from a biopsy specimen obtained as part of standard diagnostic work-up. IHC </w:t>
      </w:r>
      <w:r>
        <w:rPr>
          <w:szCs w:val="20"/>
        </w:rPr>
        <w:t xml:space="preserve">(for PD-L1 testing) </w:t>
      </w:r>
      <w:r w:rsidRPr="00C357CB">
        <w:rPr>
          <w:szCs w:val="20"/>
        </w:rPr>
        <w:t>only uses one 4-5 micron section compared to approximately 50 microns required for EGFR mutation testing, and so it is unlikely that a re-biopsy would be required for the PD-L1 test alone. The addition of the PD-L1 biomarker to the testing protocol at initial diagnosis would be unlikely to increase the overall re-biopsy rate.</w:t>
      </w:r>
      <w:r>
        <w:rPr>
          <w:szCs w:val="20"/>
        </w:rPr>
        <w:t xml:space="preserve"> </w:t>
      </w:r>
      <w:r w:rsidRPr="00C357CB">
        <w:rPr>
          <w:szCs w:val="20"/>
        </w:rPr>
        <w:t>A re-biopsy may be required due to PD-L1 expression changes in patients diagnosed at an earlier stage disease and receiving subsequent treatment. However, cytology samples (fine needle aspirations and effusions) may be used for PD-L1 testing.</w:t>
      </w:r>
    </w:p>
    <w:p w14:paraId="0BA44E9E" w14:textId="77777777" w:rsidR="00B26AED" w:rsidRPr="00154B00" w:rsidRDefault="00B26AED" w:rsidP="00E357B9">
      <w:pPr>
        <w:ind w:left="426"/>
        <w:rPr>
          <w:szCs w:val="20"/>
        </w:rPr>
      </w:pPr>
    </w:p>
    <w:p w14:paraId="73E344DE" w14:textId="77777777" w:rsidR="002A6753" w:rsidRPr="00154B00" w:rsidRDefault="002A6753" w:rsidP="00530204">
      <w:pPr>
        <w:pStyle w:val="Heading2"/>
      </w:pPr>
      <w:r w:rsidRPr="00154B00">
        <w:lastRenderedPageBreak/>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0BF861C3" w14:textId="186E90B1" w:rsidR="0051364A" w:rsidRDefault="00B26AED" w:rsidP="00E357B9">
      <w:pPr>
        <w:ind w:left="426"/>
      </w:pPr>
      <w:r>
        <w:t>The relevant cemiplimab clinical study (</w:t>
      </w:r>
      <w:r w:rsidR="00CF3E2E">
        <w:t>T</w:t>
      </w:r>
      <w:r>
        <w:t xml:space="preserve">rial 1624) was conducted using the same </w:t>
      </w:r>
      <w:r w:rsidR="0051364A">
        <w:t>PD-L1 test as for pembrolizumab (manufactured by Dako).</w:t>
      </w:r>
    </w:p>
    <w:p w14:paraId="6E967493" w14:textId="775F847D" w:rsidR="0051364A" w:rsidRDefault="00CF3E2E" w:rsidP="00E357B9">
      <w:pPr>
        <w:ind w:left="426"/>
      </w:pPr>
      <w:r>
        <w:t>T</w:t>
      </w:r>
      <w:r w:rsidR="0051364A">
        <w:t xml:space="preserve">he </w:t>
      </w:r>
      <w:r w:rsidR="0051364A" w:rsidRPr="0051364A">
        <w:t>pembrolizumab PSD (1440.1)</w:t>
      </w:r>
      <w:r w:rsidR="0051364A">
        <w:t xml:space="preserve"> </w:t>
      </w:r>
      <w:r>
        <w:t xml:space="preserve">indicates </w:t>
      </w:r>
      <w:r w:rsidR="0051364A">
        <w:t xml:space="preserve">that this test is the </w:t>
      </w:r>
      <w:r w:rsidR="0051364A" w:rsidRPr="0051364A">
        <w:t>PD-L1 22C3 pharmDX</w:t>
      </w:r>
      <w:r w:rsidR="0051364A" w:rsidRPr="00CF3E2E">
        <w:rPr>
          <w:vertAlign w:val="superscript"/>
        </w:rPr>
        <w:t>TM</w:t>
      </w:r>
      <w:r w:rsidR="0051364A" w:rsidRPr="0051364A">
        <w:t xml:space="preserve"> kit approved by the TGA on 17 November 2016. Th</w:t>
      </w:r>
      <w:r w:rsidR="0051364A">
        <w:t>e</w:t>
      </w:r>
      <w:r w:rsidR="0051364A" w:rsidRPr="0051364A">
        <w:t xml:space="preserve"> kit is intended for use in the detection of PD-L1 protein in formalin-fixed paraffin-embedded (FFPE) NSCLC tissue using the Dako Autostainer Link 48 platform as an aid in identifying NSCLC patients for treatment with pembrolizumab. </w:t>
      </w:r>
    </w:p>
    <w:p w14:paraId="114BC5BB" w14:textId="32D7D141" w:rsidR="0051364A" w:rsidRDefault="0051364A" w:rsidP="00E357B9">
      <w:pPr>
        <w:ind w:left="426"/>
      </w:pPr>
      <w:r>
        <w:t>Other test kits, t</w:t>
      </w:r>
      <w:r w:rsidRPr="0051364A">
        <w:t xml:space="preserve">he SP263, SP142 and 28-8 antibody kits are also registered by the TGA. </w:t>
      </w:r>
      <w:r>
        <w:t>The MBS item descriptor does not specify which test must be used.</w:t>
      </w:r>
    </w:p>
    <w:p w14:paraId="59F8291E"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204E3B0B" w14:textId="732A3B44" w:rsidR="00DF0C51" w:rsidRDefault="00AF581D" w:rsidP="00E357B9">
      <w:pPr>
        <w:ind w:left="426"/>
        <w:rPr>
          <w:b/>
          <w:szCs w:val="20"/>
        </w:rPr>
      </w:pPr>
      <w:bookmarkStart w:id="7" w:name="_Hlk43928183"/>
      <w:r>
        <w:t xml:space="preserve">No change to MBS item </w:t>
      </w:r>
      <w:r w:rsidRPr="00AF581D">
        <w:t>72814</w:t>
      </w:r>
      <w:bookmarkEnd w:id="7"/>
    </w:p>
    <w:p w14:paraId="743BD1FC"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35F3AB35" w14:textId="2E17AE30" w:rsidR="00CC09D7" w:rsidRPr="00154B00" w:rsidRDefault="00AF581D" w:rsidP="00E357B9">
      <w:pPr>
        <w:ind w:left="426"/>
        <w:rPr>
          <w:szCs w:val="20"/>
        </w:rPr>
      </w:pPr>
      <w:r>
        <w:t>No</w:t>
      </w:r>
    </w:p>
    <w:p w14:paraId="5FFBD111"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5A905796" w14:textId="66AAD6DE" w:rsidR="00791C8D" w:rsidRPr="00154B00" w:rsidRDefault="00AF581D" w:rsidP="00884E69">
      <w:pPr>
        <w:ind w:left="426"/>
        <w:rPr>
          <w:szCs w:val="20"/>
        </w:rPr>
      </w:pPr>
      <w:r>
        <w:t>No</w:t>
      </w:r>
    </w:p>
    <w:p w14:paraId="6E7CEA3C"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4932EA58" w14:textId="565D0E97" w:rsidR="00B17E26" w:rsidRPr="00154B00" w:rsidRDefault="00AF581D" w:rsidP="00884E69">
      <w:pPr>
        <w:ind w:left="426"/>
        <w:rPr>
          <w:szCs w:val="20"/>
        </w:rPr>
      </w:pPr>
      <w:r w:rsidRPr="00AF581D">
        <w:t>No change to MBS item 72814</w:t>
      </w:r>
    </w:p>
    <w:p w14:paraId="41551732"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7867C236" w14:textId="2D28A2C8" w:rsidR="00B17E26" w:rsidRPr="00154B00" w:rsidRDefault="00AF581D" w:rsidP="00884E69">
      <w:pPr>
        <w:ind w:left="426"/>
        <w:rPr>
          <w:szCs w:val="20"/>
        </w:rPr>
      </w:pPr>
      <w:r w:rsidRPr="00AF581D">
        <w:t>No change to MBS item 72814</w:t>
      </w:r>
    </w:p>
    <w:p w14:paraId="3F9284C8"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72FCCD89" w14:textId="15C97DC8" w:rsidR="00EA0E25" w:rsidRPr="00154B00" w:rsidRDefault="00AF581D" w:rsidP="00BC424B">
      <w:pPr>
        <w:ind w:left="426"/>
        <w:rPr>
          <w:szCs w:val="20"/>
        </w:rPr>
      </w:pPr>
      <w:r w:rsidRPr="00AF581D">
        <w:t>No change to MBS item 72814</w:t>
      </w:r>
    </w:p>
    <w:p w14:paraId="6765FBA6"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4E740B4F" w14:textId="77777777" w:rsidR="00EA0E25" w:rsidRPr="00154B00" w:rsidRDefault="0073597B" w:rsidP="0073597B">
      <w:pPr>
        <w:ind w:left="426"/>
        <w:rPr>
          <w:szCs w:val="20"/>
        </w:rPr>
      </w:pPr>
      <w:r>
        <w:fldChar w:fldCharType="begin">
          <w:ffData>
            <w:name w:val=""/>
            <w:enabled/>
            <w:calcOnExit w:val="0"/>
            <w:textInput>
              <w:default w:val="If applicable, insert advice regarding training or qualifications"/>
            </w:textInput>
          </w:ffData>
        </w:fldChar>
      </w:r>
      <w:r>
        <w:instrText xml:space="preserve"> FORMTEXT </w:instrText>
      </w:r>
      <w:r>
        <w:fldChar w:fldCharType="separate"/>
      </w:r>
      <w:r>
        <w:rPr>
          <w:noProof/>
        </w:rPr>
        <w:t>If applicable, insert advice regarding training or qualifications</w:t>
      </w:r>
      <w:r>
        <w:fldChar w:fldCharType="end"/>
      </w:r>
    </w:p>
    <w:p w14:paraId="54E2C724" w14:textId="77777777" w:rsidR="005F3F07" w:rsidRDefault="005C3AE7" w:rsidP="00530204">
      <w:pPr>
        <w:pStyle w:val="Heading2"/>
      </w:pPr>
      <w:r>
        <w:lastRenderedPageBreak/>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1AFE8A1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32038DC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4D63292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702F2598"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Public outpatient clinic</w:t>
      </w:r>
    </w:p>
    <w:p w14:paraId="5BC2234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w:t>
      </w:r>
      <w:r>
        <w:t>Emergency Department</w:t>
      </w:r>
    </w:p>
    <w:p w14:paraId="41D0BD7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0000D061"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Private consulting rooms – specialist</w:t>
      </w:r>
    </w:p>
    <w:p w14:paraId="3A46C66C"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Private consulting rooms – other health practitioner (nurse or allied health)</w:t>
      </w:r>
    </w:p>
    <w:p w14:paraId="4836E50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7CFCB286"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Private day surgery clinic (non-admitted patient)</w:t>
      </w:r>
    </w:p>
    <w:p w14:paraId="0559CA5A"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Public day surgery clinic (admitted patient)</w:t>
      </w:r>
    </w:p>
    <w:p w14:paraId="60B481FC"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Public day surgery clinic (non-admitted patient)</w:t>
      </w:r>
    </w:p>
    <w:p w14:paraId="07EB8F9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w:t>
      </w:r>
      <w:r>
        <w:t>Residential aged care facility</w:t>
      </w:r>
    </w:p>
    <w:p w14:paraId="72F0750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w:t>
      </w:r>
      <w:r>
        <w:t>Patient’s home</w:t>
      </w:r>
    </w:p>
    <w:p w14:paraId="0DC6CAAA" w14:textId="2D999A73" w:rsidR="000A478F" w:rsidRDefault="00AF581D"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4F6719">
        <w:rPr>
          <w:szCs w:val="20"/>
        </w:rPr>
      </w:r>
      <w:r w:rsidR="004F6719">
        <w:rPr>
          <w:szCs w:val="20"/>
        </w:rPr>
        <w:fldChar w:fldCharType="separate"/>
      </w:r>
      <w:r>
        <w:rPr>
          <w:szCs w:val="20"/>
        </w:rPr>
        <w:fldChar w:fldCharType="end"/>
      </w:r>
      <w:r w:rsidR="000A478F">
        <w:rPr>
          <w:szCs w:val="20"/>
        </w:rPr>
        <w:t xml:space="preserve"> </w:t>
      </w:r>
      <w:r w:rsidR="000A478F">
        <w:t>Laboratory</w:t>
      </w:r>
    </w:p>
    <w:p w14:paraId="1E59A0EB"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F6719">
        <w:rPr>
          <w:szCs w:val="20"/>
        </w:rPr>
      </w:r>
      <w:r w:rsidR="004F6719">
        <w:rPr>
          <w:szCs w:val="20"/>
        </w:rPr>
        <w:fldChar w:fldCharType="separate"/>
      </w:r>
      <w:r w:rsidRPr="000A5B32">
        <w:rPr>
          <w:szCs w:val="20"/>
        </w:rPr>
        <w:fldChar w:fldCharType="end"/>
      </w:r>
      <w:r>
        <w:rPr>
          <w:szCs w:val="20"/>
        </w:rPr>
        <w:t xml:space="preserve"> </w:t>
      </w:r>
      <w:r>
        <w:t>Other – please specify below</w:t>
      </w:r>
    </w:p>
    <w:p w14:paraId="7B92ED2D"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4EA1D7B3" w14:textId="67275ED2" w:rsidR="0073597B" w:rsidRDefault="00BC2EE6" w:rsidP="0073597B">
      <w:pPr>
        <w:ind w:left="426"/>
        <w:rPr>
          <w:b/>
          <w:szCs w:val="20"/>
        </w:rPr>
      </w:pPr>
      <w:r>
        <w:t>Not applicable</w:t>
      </w:r>
    </w:p>
    <w:p w14:paraId="31DCCDB6" w14:textId="77777777" w:rsidR="003E30FB" w:rsidRDefault="003E30FB" w:rsidP="00530204">
      <w:pPr>
        <w:pStyle w:val="Heading2"/>
      </w:pPr>
      <w:r>
        <w:t xml:space="preserve">Is the </w:t>
      </w:r>
      <w:r w:rsidRPr="001B29A1">
        <w:t>proposed</w:t>
      </w:r>
      <w:r>
        <w:t xml:space="preserve"> medical service intended to be entirely rendered in Australia?</w:t>
      </w:r>
    </w:p>
    <w:p w14:paraId="7ECC973B" w14:textId="12BAF441" w:rsidR="000A478F" w:rsidRDefault="00B21E5B"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6719">
        <w:rPr>
          <w:szCs w:val="20"/>
        </w:rPr>
      </w:r>
      <w:r w:rsidR="004F6719">
        <w:rPr>
          <w:szCs w:val="20"/>
        </w:rPr>
        <w:fldChar w:fldCharType="separate"/>
      </w:r>
      <w:r>
        <w:rPr>
          <w:szCs w:val="20"/>
        </w:rPr>
        <w:fldChar w:fldCharType="end"/>
      </w:r>
      <w:r w:rsidR="000A478F">
        <w:rPr>
          <w:szCs w:val="20"/>
        </w:rPr>
        <w:t xml:space="preserve"> Yes</w:t>
      </w:r>
    </w:p>
    <w:p w14:paraId="09D2A3A7" w14:textId="177B150D"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F6719">
        <w:rPr>
          <w:szCs w:val="20"/>
        </w:rPr>
      </w:r>
      <w:r w:rsidR="004F6719">
        <w:rPr>
          <w:szCs w:val="20"/>
        </w:rPr>
        <w:fldChar w:fldCharType="separate"/>
      </w:r>
      <w:r w:rsidRPr="00753C44">
        <w:rPr>
          <w:szCs w:val="20"/>
        </w:rPr>
        <w:fldChar w:fldCharType="end"/>
      </w:r>
      <w:r>
        <w:rPr>
          <w:szCs w:val="20"/>
        </w:rPr>
        <w:t xml:space="preserve"> No</w:t>
      </w:r>
      <w:r w:rsidR="00C4696B">
        <w:rPr>
          <w:szCs w:val="20"/>
        </w:rPr>
        <w:t xml:space="preserve"> </w:t>
      </w:r>
    </w:p>
    <w:p w14:paraId="69C24B97" w14:textId="77777777" w:rsidR="000A478F" w:rsidRDefault="000A478F" w:rsidP="00881F93">
      <w:pPr>
        <w:rPr>
          <w:b/>
          <w:i/>
          <w:szCs w:val="20"/>
          <w:u w:val="single"/>
        </w:rPr>
      </w:pPr>
      <w:r>
        <w:rPr>
          <w:b/>
          <w:i/>
          <w:szCs w:val="20"/>
          <w:u w:val="single"/>
        </w:rPr>
        <w:br w:type="page"/>
      </w:r>
    </w:p>
    <w:p w14:paraId="5DDAD245" w14:textId="77777777" w:rsidR="00E60529" w:rsidRPr="00881F93" w:rsidRDefault="005C3AE7" w:rsidP="00BC2EE6">
      <w:pPr>
        <w:pStyle w:val="Subtitle"/>
        <w:ind w:left="0"/>
      </w:pPr>
      <w:r>
        <w:lastRenderedPageBreak/>
        <w:t xml:space="preserve">PART 6c – </w:t>
      </w:r>
      <w:r w:rsidR="00E60529" w:rsidRPr="00881F93">
        <w:t>INFORMATION ABOUT THE COMPARATOR</w:t>
      </w:r>
      <w:r w:rsidR="00A83EC6" w:rsidRPr="00881F93">
        <w:t>(S)</w:t>
      </w:r>
    </w:p>
    <w:p w14:paraId="2EC188EB"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51AE6FC5" w14:textId="077D0A48" w:rsidR="00E60529" w:rsidRPr="00154B00" w:rsidRDefault="00FF4260" w:rsidP="001B29A1">
      <w:pPr>
        <w:ind w:left="426"/>
        <w:rPr>
          <w:szCs w:val="20"/>
        </w:rPr>
      </w:pPr>
      <w:r>
        <w:t xml:space="preserve">This is a minor change to </w:t>
      </w:r>
      <w:r w:rsidR="00AF581D">
        <w:t>the</w:t>
      </w:r>
      <w:r>
        <w:t xml:space="preserve"> existing </w:t>
      </w:r>
      <w:r w:rsidR="00AF581D" w:rsidRPr="00AF581D">
        <w:t>MBS item 72814</w:t>
      </w:r>
      <w:r w:rsidR="00CF3E2E">
        <w:t xml:space="preserve"> to allow treatment with cemiplimab or pembrolizumab instead of pembrolizumab</w:t>
      </w:r>
      <w:r w:rsidR="00CF3E2E" w:rsidRPr="00CF3E2E">
        <w:t xml:space="preserve"> </w:t>
      </w:r>
      <w:r w:rsidR="00CF3E2E">
        <w:t>only, should cemiplimab be listed on the PBS for patients with NSCLC.</w:t>
      </w:r>
    </w:p>
    <w:p w14:paraId="2C02AE96"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7DF0780C" w14:textId="6A852BBA" w:rsidR="006A1038" w:rsidRDefault="00B21E5B"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6719">
        <w:rPr>
          <w:szCs w:val="20"/>
        </w:rPr>
      </w:r>
      <w:r w:rsidR="004F6719">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0D3A501C"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F6719">
        <w:rPr>
          <w:szCs w:val="20"/>
        </w:rPr>
      </w:r>
      <w:r w:rsidR="004F6719">
        <w:rPr>
          <w:szCs w:val="20"/>
        </w:rPr>
        <w:fldChar w:fldCharType="separate"/>
      </w:r>
      <w:r w:rsidRPr="00753C44">
        <w:rPr>
          <w:szCs w:val="20"/>
        </w:rPr>
        <w:fldChar w:fldCharType="end"/>
      </w:r>
      <w:r>
        <w:rPr>
          <w:szCs w:val="20"/>
        </w:rPr>
        <w:t xml:space="preserve"> No  </w:t>
      </w:r>
    </w:p>
    <w:p w14:paraId="111FFD71" w14:textId="3871140C" w:rsidR="000159B9" w:rsidRPr="00154B00" w:rsidRDefault="00FF4260" w:rsidP="001B29A1">
      <w:pPr>
        <w:ind w:left="426"/>
        <w:rPr>
          <w:szCs w:val="20"/>
        </w:rPr>
      </w:pPr>
      <w:r w:rsidRPr="00FF4260">
        <w:t>MBS item 72814</w:t>
      </w:r>
      <w:r>
        <w:t>.</w:t>
      </w:r>
    </w:p>
    <w:p w14:paraId="134AA588"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31BCFED7" w14:textId="18C37C6C" w:rsidR="003433D1" w:rsidRDefault="00FF4260" w:rsidP="001B29A1">
      <w:pPr>
        <w:ind w:left="426"/>
        <w:rPr>
          <w:b/>
          <w:szCs w:val="20"/>
        </w:rPr>
      </w:pPr>
      <w:r>
        <w:t>Patients are considered for treatment with p</w:t>
      </w:r>
      <w:r w:rsidRPr="00FF4260">
        <w:t>embrolizumab</w:t>
      </w:r>
      <w:r>
        <w:t>.</w:t>
      </w:r>
    </w:p>
    <w:p w14:paraId="3A894CEE"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40592399"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F6719">
        <w:rPr>
          <w:szCs w:val="20"/>
        </w:rPr>
      </w:r>
      <w:r w:rsidR="004F6719">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36B775F4" w14:textId="45918397" w:rsidR="001B29A1" w:rsidRDefault="00F247ED"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6719">
        <w:rPr>
          <w:szCs w:val="20"/>
        </w:rPr>
      </w:r>
      <w:r w:rsidR="004F6719">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3734F585"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05BBCE08" w14:textId="28426D66" w:rsidR="003433D1" w:rsidRDefault="00F247ED" w:rsidP="001B29A1">
      <w:pPr>
        <w:ind w:left="426"/>
      </w:pPr>
      <w:r>
        <w:t xml:space="preserve">Uptake will be established for the PBAC submission via expert opinion or market research but can be estimated as approximately </w:t>
      </w:r>
      <w:r w:rsidR="00BC2EE6" w:rsidRPr="00BC2EE6">
        <w:rPr>
          <w:b/>
        </w:rPr>
        <w:t>REDACTED</w:t>
      </w:r>
      <w:r>
        <w:t xml:space="preserve"> uptake is expected for two reasons:</w:t>
      </w:r>
    </w:p>
    <w:p w14:paraId="6520069D" w14:textId="50166D40" w:rsidR="00F247ED" w:rsidRDefault="00F247ED" w:rsidP="00F247ED">
      <w:pPr>
        <w:ind w:left="720"/>
      </w:pPr>
      <w:r>
        <w:t xml:space="preserve">1. The </w:t>
      </w:r>
      <w:r w:rsidR="00CF3E2E">
        <w:t>clinical evidence</w:t>
      </w:r>
      <w:r w:rsidR="008B6391">
        <w:t xml:space="preserve"> supporting </w:t>
      </w:r>
      <w:r w:rsidR="00095404">
        <w:t>proposed TGA registration and PBS listing</w:t>
      </w:r>
      <w:r w:rsidR="00CF3E2E">
        <w:t xml:space="preserve">, </w:t>
      </w:r>
      <w:r w:rsidR="00CF3E2E" w:rsidRPr="00CF3E2E">
        <w:t>Trial 1624</w:t>
      </w:r>
      <w:r w:rsidR="00CF3E2E">
        <w:t>, was designed to enrol patients with</w:t>
      </w:r>
      <w:r>
        <w:t xml:space="preserve"> untreated advanced NSCLC with </w:t>
      </w:r>
      <w:r w:rsidRPr="00F247ED">
        <w:rPr>
          <w:rFonts w:cstheme="minorHAnsi"/>
        </w:rPr>
        <w:t>PD-L1 expression on ≥50% of tumour cells</w:t>
      </w:r>
      <w:r>
        <w:rPr>
          <w:rFonts w:cstheme="minorHAnsi"/>
        </w:rPr>
        <w:t xml:space="preserve">, whereas the current </w:t>
      </w:r>
      <w:r>
        <w:t>TGA indication and PBS listing for pembrolizumab is untreated</w:t>
      </w:r>
      <w:r w:rsidRPr="00F247ED">
        <w:t xml:space="preserve"> advanced NSCLC with PD-L1 expression on ≥</w:t>
      </w:r>
      <w:r>
        <w:t>1</w:t>
      </w:r>
      <w:r w:rsidRPr="00F247ED">
        <w:t>% of tumour cells</w:t>
      </w:r>
      <w:r>
        <w:t>.</w:t>
      </w:r>
    </w:p>
    <w:p w14:paraId="566E2EC8" w14:textId="0B3BAB0E" w:rsidR="00F247ED" w:rsidRPr="001B29A1" w:rsidRDefault="00F247ED" w:rsidP="00F247ED">
      <w:pPr>
        <w:ind w:left="720"/>
        <w:rPr>
          <w:szCs w:val="20"/>
        </w:rPr>
      </w:pPr>
      <w:r>
        <w:t>2. Pembrolizumab has been PBS listed for untreated</w:t>
      </w:r>
      <w:r w:rsidRPr="00F247ED">
        <w:t xml:space="preserve"> advanced NSCLC</w:t>
      </w:r>
      <w:r>
        <w:t xml:space="preserve"> since November 2018.</w:t>
      </w:r>
    </w:p>
    <w:p w14:paraId="10DBACCD" w14:textId="77777777" w:rsidR="0054594B" w:rsidRPr="00154B00" w:rsidRDefault="009C03FB" w:rsidP="00530204">
      <w:pPr>
        <w:pStyle w:val="Heading2"/>
      </w:pPr>
      <w:r w:rsidRPr="00154B00">
        <w:lastRenderedPageBreak/>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5680E82C" w14:textId="0BAA98B8" w:rsidR="0054594B" w:rsidRDefault="00FF4260" w:rsidP="00D10B47">
      <w:pPr>
        <w:pStyle w:val="ListParagraph"/>
        <w:ind w:left="360"/>
        <w:rPr>
          <w:b/>
          <w:szCs w:val="20"/>
        </w:rPr>
      </w:pPr>
      <w:r>
        <w:t>Patients are considered for treatment with p</w:t>
      </w:r>
      <w:r w:rsidRPr="00FF4260">
        <w:t>embrolizumab</w:t>
      </w:r>
      <w:r>
        <w:t xml:space="preserve"> </w:t>
      </w:r>
      <w:r w:rsidR="00DD2658" w:rsidRPr="00DD2658">
        <w:rPr>
          <w:u w:val="single"/>
        </w:rPr>
        <w:t>or</w:t>
      </w:r>
      <w:r>
        <w:t xml:space="preserve"> cemiplimab</w:t>
      </w:r>
      <w:r w:rsidR="00DD2658">
        <w:t>, rather than p</w:t>
      </w:r>
      <w:r w:rsidR="00DD2658" w:rsidRPr="00FF4260">
        <w:t>embrolizumab</w:t>
      </w:r>
      <w:r w:rsidR="00DD2658">
        <w:t xml:space="preserve"> only</w:t>
      </w:r>
      <w:r>
        <w:t>.</w:t>
      </w:r>
    </w:p>
    <w:p w14:paraId="04694F58" w14:textId="77777777" w:rsidR="001B29A1" w:rsidRDefault="001B29A1" w:rsidP="00881F93">
      <w:pPr>
        <w:rPr>
          <w:b/>
          <w:i/>
          <w:szCs w:val="20"/>
          <w:u w:val="single"/>
        </w:rPr>
      </w:pPr>
      <w:r>
        <w:rPr>
          <w:b/>
          <w:i/>
          <w:szCs w:val="20"/>
          <w:u w:val="single"/>
        </w:rPr>
        <w:br w:type="page"/>
      </w:r>
    </w:p>
    <w:p w14:paraId="57158BF4" w14:textId="77777777" w:rsidR="00DF0D47" w:rsidRPr="00881F93" w:rsidRDefault="005C3AE7" w:rsidP="00D3152D">
      <w:pPr>
        <w:pStyle w:val="Subtitle"/>
        <w:ind w:left="0"/>
      </w:pPr>
      <w:r>
        <w:t xml:space="preserve">PART 6d – </w:t>
      </w:r>
      <w:r w:rsidR="00DF0D47" w:rsidRPr="00881F93">
        <w:t xml:space="preserve">INFORMATION ABOUT THE </w:t>
      </w:r>
      <w:r w:rsidR="00CF5AD8" w:rsidRPr="00881F93">
        <w:t xml:space="preserve">CLINICAL </w:t>
      </w:r>
      <w:r w:rsidR="00DF0D47" w:rsidRPr="00881F93">
        <w:t>OUTCOME</w:t>
      </w:r>
    </w:p>
    <w:p w14:paraId="70A6F730"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5065EDB0" w14:textId="2194EC6F" w:rsidR="004E3CC7" w:rsidRDefault="00FF4260" w:rsidP="001B29A1">
      <w:pPr>
        <w:ind w:left="426"/>
      </w:pPr>
      <w:r>
        <w:t xml:space="preserve">The submission to the PBAC will claim equivalent health outcomes in efficacy and safety for </w:t>
      </w:r>
      <w:r w:rsidRPr="00FF4260">
        <w:t>cemiplimab</w:t>
      </w:r>
      <w:r>
        <w:t xml:space="preserve"> versus </w:t>
      </w:r>
      <w:r w:rsidRPr="00FF4260">
        <w:t>pembrolizumab</w:t>
      </w:r>
      <w:r w:rsidR="00C4357F">
        <w:t xml:space="preserve"> based on similarly designed clinical trials</w:t>
      </w:r>
      <w:r>
        <w:t>.</w:t>
      </w:r>
      <w:r w:rsidR="00C4357F">
        <w:t xml:space="preserve"> The medical service is for the same group of patients (advanced NSCLC)</w:t>
      </w:r>
      <w:r w:rsidR="00BC0D9E">
        <w:t>.</w:t>
      </w:r>
    </w:p>
    <w:p w14:paraId="1AD71BFC" w14:textId="20EA45E1" w:rsidR="00F329FF" w:rsidRPr="00F329FF" w:rsidRDefault="00F329FF" w:rsidP="001B29A1">
      <w:pPr>
        <w:ind w:left="426"/>
        <w:rPr>
          <w:u w:val="single"/>
        </w:rPr>
      </w:pPr>
      <w:r w:rsidRPr="00F329FF">
        <w:rPr>
          <w:u w:val="single"/>
        </w:rPr>
        <w:t>Result of screening test</w:t>
      </w:r>
    </w:p>
    <w:p w14:paraId="693F1CAA" w14:textId="363498CF" w:rsidR="00F329FF" w:rsidRDefault="00F329FF" w:rsidP="001B29A1">
      <w:pPr>
        <w:ind w:left="426"/>
      </w:pPr>
      <w:r w:rsidRPr="00F329FF">
        <w:t>The final pembrolizumab PSD (1440.1) indicates that “the median prevalence of PD-L1 TPS ≥50% for both Australia and the broader Caucasian population prevalence is 26% (range 22–29) and 29% (range 25–30), respectively. These values are consistent with the proposed prevalence of 28.5% for the base case in the pembrolizumab economic evaluation”.</w:t>
      </w:r>
    </w:p>
    <w:p w14:paraId="0DBF7E1B" w14:textId="661A45B0" w:rsidR="00375119" w:rsidRPr="00375119" w:rsidRDefault="00375119" w:rsidP="001B29A1">
      <w:pPr>
        <w:ind w:left="426"/>
        <w:rPr>
          <w:u w:val="single"/>
        </w:rPr>
      </w:pPr>
      <w:r w:rsidRPr="00375119">
        <w:rPr>
          <w:u w:val="single"/>
        </w:rPr>
        <w:t>Effectiveness</w:t>
      </w:r>
    </w:p>
    <w:p w14:paraId="01A2F4B9" w14:textId="77777777" w:rsidR="00375119" w:rsidRDefault="00375119" w:rsidP="001B29A1">
      <w:pPr>
        <w:ind w:left="426"/>
        <w:rPr>
          <w:rFonts w:cstheme="minorHAnsi"/>
        </w:rPr>
      </w:pPr>
      <w:r>
        <w:t xml:space="preserve">For patients who are found to have advanced NSCLC with </w:t>
      </w:r>
      <w:r w:rsidRPr="00F247ED">
        <w:rPr>
          <w:rFonts w:cstheme="minorHAnsi"/>
        </w:rPr>
        <w:t>PD-L1 expression on ≥50% of tumour cells</w:t>
      </w:r>
      <w:r>
        <w:rPr>
          <w:rFonts w:cstheme="minorHAnsi"/>
        </w:rPr>
        <w:t xml:space="preserve">, similar outcomes can be expected with </w:t>
      </w:r>
      <w:r w:rsidRPr="00375119">
        <w:rPr>
          <w:rFonts w:cstheme="minorHAnsi"/>
        </w:rPr>
        <w:t>cemiplimab versus pembrolizumab</w:t>
      </w:r>
      <w:r>
        <w:rPr>
          <w:rFonts w:cstheme="minorHAnsi"/>
        </w:rPr>
        <w:t xml:space="preserve">. </w:t>
      </w:r>
    </w:p>
    <w:p w14:paraId="1A4A6E64" w14:textId="0BB8CD56" w:rsidR="00375119" w:rsidRPr="00EB27CA" w:rsidRDefault="00375119" w:rsidP="001B29A1">
      <w:pPr>
        <w:ind w:left="426"/>
        <w:rPr>
          <w:rFonts w:cstheme="minorHAnsi"/>
        </w:rPr>
      </w:pPr>
      <w:r w:rsidRPr="00375119">
        <w:rPr>
          <w:rFonts w:cstheme="minorHAnsi"/>
        </w:rPr>
        <w:t>The evidence for cemiplimab is based on study R2810-ONC-1624 (Trial 1624; NCT03088540</w:t>
      </w:r>
      <w:r w:rsidRPr="00EB27CA">
        <w:rPr>
          <w:rFonts w:cstheme="minorHAnsi"/>
        </w:rPr>
        <w:t xml:space="preserve">). Trial 1624 was an open-label, randomised, multicentre trial that compared the effects of cemiplimab monotherapy to platinum doublet chemotherapy in 712 patients with advanced NSCLC who tested positive for PD-L1 in ≥50% of tumour cells. Patients were randomised to receive either cemiplimab 350 mg intravenously every 3 weeks for up to 108 weeks, or a platinum-based, doublet chemotherapy regimen for 4 to 6 cycles. </w:t>
      </w:r>
    </w:p>
    <w:p w14:paraId="0D188C6D" w14:textId="76690451" w:rsidR="00375119" w:rsidRPr="00EB27CA" w:rsidRDefault="00375119" w:rsidP="001B29A1">
      <w:pPr>
        <w:ind w:left="426"/>
        <w:rPr>
          <w:rFonts w:cstheme="minorHAnsi"/>
        </w:rPr>
      </w:pPr>
      <w:r w:rsidRPr="00EB27CA">
        <w:rPr>
          <w:rFonts w:cstheme="minorHAnsi"/>
        </w:rPr>
        <w:t xml:space="preserve">A protocol-specified interim analysis was reported by Sanofi </w:t>
      </w:r>
      <w:r w:rsidR="00E81B41" w:rsidRPr="00EB27CA">
        <w:rPr>
          <w:rFonts w:cstheme="minorHAnsi"/>
        </w:rPr>
        <w:t xml:space="preserve">and Regeneron </w:t>
      </w:r>
      <w:r w:rsidRPr="00EB27CA">
        <w:rPr>
          <w:rFonts w:cstheme="minorHAnsi"/>
        </w:rPr>
        <w:t>27 April 2020</w:t>
      </w:r>
      <w:r w:rsidRPr="00EB27CA">
        <w:rPr>
          <w:rStyle w:val="FootnoteReference"/>
          <w:rFonts w:cstheme="minorHAnsi"/>
        </w:rPr>
        <w:footnoteReference w:id="1"/>
      </w:r>
      <w:r w:rsidRPr="00EB27CA">
        <w:rPr>
          <w:rFonts w:cstheme="minorHAnsi"/>
        </w:rPr>
        <w:t>. Although one-third of the patients had enrolled within the past 6 months, the primary endpoint of OS was met. Compared with platinum doublet chemotherapy, treatment with cemiplimab reduced the risk of death by 32.4% (HR 0.676; 95% CI, 0.525-0.870; P=0.002).</w:t>
      </w:r>
    </w:p>
    <w:p w14:paraId="47EEF08C" w14:textId="77777777" w:rsidR="00E81B41" w:rsidRPr="00EB27CA" w:rsidRDefault="00E81B41" w:rsidP="00E81B41">
      <w:pPr>
        <w:ind w:left="426"/>
      </w:pPr>
      <w:r w:rsidRPr="00EB27CA">
        <w:t>The key relevant trials for comparison with pembrolizumab are KEYNOTE-024 (NCT02142738) and the subgroup with PD-1 tumour proportion score (TPS) ≥ 50% in KEYNOTE-042 (NCT02220894).</w:t>
      </w:r>
    </w:p>
    <w:p w14:paraId="348F0227" w14:textId="77777777" w:rsidR="00E81B41" w:rsidRDefault="00E81B41" w:rsidP="00E81B41">
      <w:pPr>
        <w:ind w:left="426"/>
      </w:pPr>
      <w:r w:rsidRPr="00EB27CA">
        <w:t>KEYNOTE-024 was</w:t>
      </w:r>
      <w:r>
        <w:t xml:space="preserve"> an open-label, Phase 3 trial, in which 305 patients who had previously untreated advanced NSCLC with PD-L1 expression on ≥ 50% of tumour cells and no sensitising mutation </w:t>
      </w:r>
      <w:r>
        <w:lastRenderedPageBreak/>
        <w:t>of the EGFR gene or translocation of the ALK gene were randomly assigned to receive either pembrolizumab (at a fixed dose of 200 mg every 3 weeks) for 35 cycles or the investigator’s choice of platinum-based chemotherapy for 4 to 6 cycles. Crossover from the chemotherapy group to the pembrolizumab group was permitted in the event of disease progression.</w:t>
      </w:r>
    </w:p>
    <w:p w14:paraId="6D525D18" w14:textId="09D73631" w:rsidR="00E81B41" w:rsidRPr="005E3521" w:rsidRDefault="00E81B41" w:rsidP="00E81B41">
      <w:pPr>
        <w:ind w:left="426"/>
      </w:pPr>
      <w:r>
        <w:t>At the second interim analysis with a median duration of follow-up of 11.2 months (range, 6.3 to 19.7), the HR for death was 0.60 (95% CI, 0.41 to 0.89); (P=0.</w:t>
      </w:r>
      <w:r w:rsidRPr="005E3521">
        <w:t>005) (Reck et al. 2016).</w:t>
      </w:r>
    </w:p>
    <w:p w14:paraId="0BCA5423" w14:textId="51857E37" w:rsidR="00E81B41" w:rsidRPr="005E3521" w:rsidRDefault="00E81B41" w:rsidP="00E81B41">
      <w:pPr>
        <w:ind w:left="426"/>
      </w:pPr>
      <w:r w:rsidRPr="005E3521">
        <w:t>At the final protocol-specified OS analysis with a median duration of follow-up of 25.2 months (range, 20.4 to 33.7 months), the median OS was 30.0 months (95% CI, 18.3 months to NR) in the pembrolizumab arm and 14.2 months (95% CI, 9.8 to 19.0 months) in the chemotherapy arm (HR, 0.63; 95% CI, 0.47 to 0.86; one-sided nominal P=0.002) (Reck et al. 2019).</w:t>
      </w:r>
    </w:p>
    <w:p w14:paraId="6C0A8446" w14:textId="77777777" w:rsidR="00E81B41" w:rsidRPr="00EB27CA" w:rsidRDefault="00E81B41" w:rsidP="00E81B41">
      <w:pPr>
        <w:ind w:left="426"/>
      </w:pPr>
      <w:r w:rsidRPr="005E3521">
        <w:t>KEYNOTE-042 was also an open-label, Phase 3 randomised trial of pembrolizumab versus platinum-doublet chemotherapy, but did not permit crossover to pembrolizumab for patients in the chemotherapy arm and allowed for enrolment of patients with PD-L1 TPS ≥1% (Mok et al. 2019). The</w:t>
      </w:r>
      <w:r w:rsidRPr="00EB27CA">
        <w:t xml:space="preserve"> study was designed to evaluate OS in three cut-points of PD-L1 TPS sequentially, starting with PD-L1 TPS ≥50%, then PD-L1 TPS ≥20%, and then PD-L1 TPS ≥1%. </w:t>
      </w:r>
    </w:p>
    <w:p w14:paraId="6A816F28" w14:textId="77777777" w:rsidR="00E81B41" w:rsidRPr="00EB27CA" w:rsidRDefault="00E81B41" w:rsidP="00E81B41">
      <w:pPr>
        <w:ind w:left="426"/>
      </w:pPr>
      <w:r w:rsidRPr="00EB27CA">
        <w:t xml:space="preserve">There were 1274 total randomised patients, 599 (47%) with PD-L1 TPS ≥50%. OS was improved with pembrolizumab compared with chemotherapy at each cut point [HR for OS: TPS ≥50%, 0.69 (95% CI 0.56–0.85), P=0.0003; TPS ≥20%, 0.77 (95% CI 0.64–0.92), P=0.0020; TPS ≥1%, 0.81 (95% CI 0.71–0.93), P=0.0018]. </w:t>
      </w:r>
    </w:p>
    <w:p w14:paraId="029249F2" w14:textId="77777777" w:rsidR="00E81B41" w:rsidRPr="005E3521" w:rsidRDefault="00E81B41" w:rsidP="00E81B41">
      <w:pPr>
        <w:ind w:left="426"/>
      </w:pPr>
      <w:r>
        <w:t>The survival benefit was largely driven by the PD-L1 TPS ≥50% cohort. Among patients with PD-L1 TPS 1%–49%, improvement in OS with pembrolizuma</w:t>
      </w:r>
      <w:r w:rsidRPr="005E3521">
        <w:t>b was not observed [HR 0.92 (95% CI 0.77–1.11)] and the response rate was 16.6% for pembrolizumab and 21.7% for chemotherapy (Peters et al. 2019).</w:t>
      </w:r>
    </w:p>
    <w:p w14:paraId="704C168D" w14:textId="3C00BD04" w:rsidR="00375119" w:rsidRDefault="00E81B41" w:rsidP="00E81B41">
      <w:pPr>
        <w:ind w:left="426"/>
      </w:pPr>
      <w:r w:rsidRPr="005E3521">
        <w:t>In a combined analysis of KEYNOTE-024 and the PD-L1 TPS ≥50% cohort of KEYNOTE-042, the HR for OS is 0.67 (95% CI: 0.56, 0.90)</w:t>
      </w:r>
      <w:r w:rsidRPr="00D37092">
        <w:t xml:space="preserve"> </w:t>
      </w:r>
      <w:r w:rsidRPr="005E3521">
        <w:t>(PBAC March 2019).</w:t>
      </w:r>
    </w:p>
    <w:p w14:paraId="266978BA" w14:textId="738E67F8" w:rsidR="00785F87" w:rsidRPr="004774A2" w:rsidRDefault="00EB27CA" w:rsidP="00CB7C1F">
      <w:pPr>
        <w:ind w:left="426"/>
        <w:rPr>
          <w:szCs w:val="20"/>
        </w:rPr>
      </w:pPr>
      <w:r w:rsidRPr="004774A2">
        <w:rPr>
          <w:szCs w:val="20"/>
        </w:rPr>
        <w:t>Comparison of the data</w:t>
      </w:r>
      <w:r w:rsidR="004774A2" w:rsidRPr="004774A2">
        <w:rPr>
          <w:szCs w:val="20"/>
        </w:rPr>
        <w:t xml:space="preserve"> for overall survival </w:t>
      </w:r>
      <w:r w:rsidR="00CB7C1F">
        <w:rPr>
          <w:szCs w:val="20"/>
        </w:rPr>
        <w:t xml:space="preserve">in </w:t>
      </w:r>
      <w:r w:rsidR="00CB7C1F" w:rsidRPr="00CB7C1F">
        <w:rPr>
          <w:szCs w:val="20"/>
        </w:rPr>
        <w:t>first line trials for NSCLC with PD-1 ≥50%</w:t>
      </w:r>
      <w:r w:rsidR="00CB7C1F">
        <w:rPr>
          <w:szCs w:val="20"/>
        </w:rPr>
        <w:t xml:space="preserve"> </w:t>
      </w:r>
      <w:r w:rsidR="004774A2" w:rsidRPr="004774A2">
        <w:rPr>
          <w:szCs w:val="20"/>
        </w:rPr>
        <w:t xml:space="preserve">is shown in </w:t>
      </w:r>
      <w:r w:rsidR="004774A2" w:rsidRPr="004774A2">
        <w:rPr>
          <w:szCs w:val="20"/>
        </w:rPr>
        <w:fldChar w:fldCharType="begin"/>
      </w:r>
      <w:r w:rsidR="004774A2" w:rsidRPr="004774A2">
        <w:rPr>
          <w:szCs w:val="20"/>
        </w:rPr>
        <w:instrText xml:space="preserve"> REF _Ref43927308  \* MERGEFORMAT </w:instrText>
      </w:r>
      <w:r w:rsidR="004774A2" w:rsidRPr="004774A2">
        <w:rPr>
          <w:szCs w:val="20"/>
        </w:rPr>
        <w:fldChar w:fldCharType="separate"/>
      </w:r>
      <w:r w:rsidR="003D0B4A" w:rsidRPr="003D0B4A">
        <w:rPr>
          <w:szCs w:val="20"/>
        </w:rPr>
        <w:t xml:space="preserve">Figure </w:t>
      </w:r>
      <w:r w:rsidR="003D0B4A" w:rsidRPr="003D0B4A">
        <w:rPr>
          <w:noProof/>
          <w:szCs w:val="20"/>
        </w:rPr>
        <w:t>2</w:t>
      </w:r>
      <w:r w:rsidR="004774A2" w:rsidRPr="004774A2">
        <w:rPr>
          <w:szCs w:val="20"/>
        </w:rPr>
        <w:fldChar w:fldCharType="end"/>
      </w:r>
      <w:r w:rsidR="004774A2" w:rsidRPr="004774A2">
        <w:rPr>
          <w:szCs w:val="20"/>
        </w:rPr>
        <w:t xml:space="preserve">. </w:t>
      </w:r>
      <w:r w:rsidR="00CB7C1F" w:rsidRPr="00CB7C1F">
        <w:rPr>
          <w:szCs w:val="20"/>
        </w:rPr>
        <w:t>A visual inspection of the currently available data for OS (HR for death with 95% CI) suggests that the data are similar</w:t>
      </w:r>
      <w:r w:rsidR="00CB7C1F">
        <w:rPr>
          <w:szCs w:val="20"/>
        </w:rPr>
        <w:t xml:space="preserve">. </w:t>
      </w:r>
      <w:r w:rsidR="00CB7C1F" w:rsidRPr="00CB7C1F">
        <w:rPr>
          <w:szCs w:val="20"/>
        </w:rPr>
        <w:t xml:space="preserve">For the </w:t>
      </w:r>
      <w:r w:rsidR="00CB7C1F">
        <w:rPr>
          <w:szCs w:val="20"/>
        </w:rPr>
        <w:t xml:space="preserve">PBAC </w:t>
      </w:r>
      <w:r w:rsidR="00CB7C1F" w:rsidRPr="00CB7C1F">
        <w:rPr>
          <w:szCs w:val="20"/>
        </w:rPr>
        <w:t xml:space="preserve">submission, </w:t>
      </w:r>
      <w:r w:rsidR="00CB7C1F">
        <w:rPr>
          <w:szCs w:val="20"/>
        </w:rPr>
        <w:t xml:space="preserve">further comparison of the trials and analysis of </w:t>
      </w:r>
      <w:r w:rsidR="00CB7C1F" w:rsidRPr="00CB7C1F">
        <w:rPr>
          <w:szCs w:val="20"/>
        </w:rPr>
        <w:t xml:space="preserve">statistical non-inferiority criteria </w:t>
      </w:r>
      <w:r w:rsidR="00CB7C1F">
        <w:rPr>
          <w:szCs w:val="20"/>
        </w:rPr>
        <w:t xml:space="preserve">will </w:t>
      </w:r>
      <w:r w:rsidR="00CB7C1F" w:rsidRPr="00CB7C1F">
        <w:rPr>
          <w:szCs w:val="20"/>
        </w:rPr>
        <w:t xml:space="preserve">be </w:t>
      </w:r>
      <w:r w:rsidR="00CB7C1F">
        <w:rPr>
          <w:szCs w:val="20"/>
        </w:rPr>
        <w:t>completed</w:t>
      </w:r>
      <w:r w:rsidR="00CB7C1F" w:rsidRPr="00CB7C1F">
        <w:rPr>
          <w:szCs w:val="20"/>
        </w:rPr>
        <w:t>.</w:t>
      </w:r>
    </w:p>
    <w:p w14:paraId="60B3A062" w14:textId="458F307D" w:rsidR="004774A2" w:rsidRPr="004774A2" w:rsidRDefault="004774A2" w:rsidP="004774A2">
      <w:pPr>
        <w:pStyle w:val="Caption"/>
        <w:keepNext/>
        <w:spacing w:before="120" w:after="0"/>
        <w:rPr>
          <w:b/>
          <w:bCs/>
          <w:i w:val="0"/>
          <w:iCs w:val="0"/>
          <w:color w:val="auto"/>
          <w:sz w:val="20"/>
          <w:szCs w:val="20"/>
        </w:rPr>
      </w:pPr>
      <w:bookmarkStart w:id="8" w:name="_Ref43927308"/>
      <w:r w:rsidRPr="004774A2">
        <w:rPr>
          <w:b/>
          <w:bCs/>
          <w:i w:val="0"/>
          <w:iCs w:val="0"/>
          <w:color w:val="auto"/>
          <w:sz w:val="20"/>
          <w:szCs w:val="20"/>
        </w:rPr>
        <w:lastRenderedPageBreak/>
        <w:t xml:space="preserve">Figure </w:t>
      </w:r>
      <w:r w:rsidRPr="004774A2">
        <w:rPr>
          <w:b/>
          <w:bCs/>
          <w:i w:val="0"/>
          <w:iCs w:val="0"/>
          <w:color w:val="auto"/>
          <w:sz w:val="20"/>
          <w:szCs w:val="20"/>
        </w:rPr>
        <w:fldChar w:fldCharType="begin"/>
      </w:r>
      <w:r w:rsidRPr="004774A2">
        <w:rPr>
          <w:b/>
          <w:bCs/>
          <w:i w:val="0"/>
          <w:iCs w:val="0"/>
          <w:color w:val="auto"/>
          <w:sz w:val="20"/>
          <w:szCs w:val="20"/>
        </w:rPr>
        <w:instrText xml:space="preserve"> SEQ Figure \* ARABIC </w:instrText>
      </w:r>
      <w:r w:rsidRPr="004774A2">
        <w:rPr>
          <w:b/>
          <w:bCs/>
          <w:i w:val="0"/>
          <w:iCs w:val="0"/>
          <w:color w:val="auto"/>
          <w:sz w:val="20"/>
          <w:szCs w:val="20"/>
        </w:rPr>
        <w:fldChar w:fldCharType="separate"/>
      </w:r>
      <w:r w:rsidR="003D0B4A">
        <w:rPr>
          <w:b/>
          <w:bCs/>
          <w:i w:val="0"/>
          <w:iCs w:val="0"/>
          <w:noProof/>
          <w:color w:val="auto"/>
          <w:sz w:val="20"/>
          <w:szCs w:val="20"/>
        </w:rPr>
        <w:t>2</w:t>
      </w:r>
      <w:r w:rsidRPr="004774A2">
        <w:rPr>
          <w:b/>
          <w:bCs/>
          <w:i w:val="0"/>
          <w:iCs w:val="0"/>
          <w:color w:val="auto"/>
          <w:sz w:val="20"/>
          <w:szCs w:val="20"/>
        </w:rPr>
        <w:fldChar w:fldCharType="end"/>
      </w:r>
      <w:bookmarkEnd w:id="8"/>
      <w:r>
        <w:rPr>
          <w:b/>
          <w:bCs/>
          <w:i w:val="0"/>
          <w:iCs w:val="0"/>
          <w:color w:val="auto"/>
          <w:sz w:val="20"/>
          <w:szCs w:val="20"/>
        </w:rPr>
        <w:t>: Comparison of hazard ratio for death for immune checkpoint inhibitors pembrolizumab (KEYNOTE trials) and cemiplimab (Trial 1624)</w:t>
      </w:r>
      <w:r w:rsidR="00CB7C1F">
        <w:rPr>
          <w:b/>
          <w:bCs/>
          <w:i w:val="0"/>
          <w:iCs w:val="0"/>
          <w:color w:val="auto"/>
          <w:sz w:val="20"/>
          <w:szCs w:val="20"/>
        </w:rPr>
        <w:t xml:space="preserve"> vs, platinum-based chemotherapy</w:t>
      </w:r>
    </w:p>
    <w:p w14:paraId="10AB7301" w14:textId="1271AA80" w:rsidR="00785F87" w:rsidRDefault="00785F87" w:rsidP="004774A2">
      <w:pPr>
        <w:rPr>
          <w:b/>
          <w:bCs/>
        </w:rPr>
      </w:pPr>
      <w:r>
        <w:rPr>
          <w:b/>
          <w:bCs/>
          <w:noProof/>
          <w:lang w:eastAsia="en-AU"/>
        </w:rPr>
        <w:drawing>
          <wp:inline distT="0" distB="0" distL="0" distR="0" wp14:anchorId="4F82E3D3" wp14:editId="20DB4676">
            <wp:extent cx="5659964" cy="1803400"/>
            <wp:effectExtent l="0" t="0" r="0" b="6350"/>
            <wp:docPr id="3" name="Picture 3" descr="Pictur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11074" cy="1819685"/>
                    </a:xfrm>
                    <a:prstGeom prst="rect">
                      <a:avLst/>
                    </a:prstGeom>
                    <a:noFill/>
                  </pic:spPr>
                </pic:pic>
              </a:graphicData>
            </a:graphic>
          </wp:inline>
        </w:drawing>
      </w:r>
    </w:p>
    <w:p w14:paraId="59CCD3C9" w14:textId="166E4732" w:rsidR="00375119" w:rsidRPr="00375119" w:rsidRDefault="00375119" w:rsidP="001B29A1">
      <w:pPr>
        <w:ind w:left="426"/>
        <w:rPr>
          <w:u w:val="single"/>
        </w:rPr>
      </w:pPr>
      <w:r w:rsidRPr="00375119">
        <w:rPr>
          <w:u w:val="single"/>
        </w:rPr>
        <w:t>Safety</w:t>
      </w:r>
    </w:p>
    <w:p w14:paraId="688B01F2" w14:textId="568A03CF" w:rsidR="00BC0D9E" w:rsidRDefault="00BC0D9E" w:rsidP="001B29A1">
      <w:pPr>
        <w:ind w:left="426"/>
      </w:pPr>
      <w:r>
        <w:t xml:space="preserve">The pembrolizumab MSAC submission </w:t>
      </w:r>
      <w:r w:rsidRPr="00BC0D9E">
        <w:t>nominated current practice, i.e. no test and treatment with platinum-based doublet chemotherapy for all patients, as the main comparator. This is unchanged from the previous submission.</w:t>
      </w:r>
      <w:r>
        <w:t xml:space="preserve"> In relation to comparative safety, the</w:t>
      </w:r>
      <w:r w:rsidR="00866C26">
        <w:t xml:space="preserve"> PSD for MSAC </w:t>
      </w:r>
      <w:r w:rsidR="00866C26" w:rsidRPr="00866C26">
        <w:t>Application No. 1440.1</w:t>
      </w:r>
      <w:r w:rsidR="00866C26">
        <w:t xml:space="preserve"> summarises the following.</w:t>
      </w:r>
    </w:p>
    <w:p w14:paraId="2139CE43" w14:textId="77777777" w:rsidR="00BC0D9E" w:rsidRPr="00BC0D9E" w:rsidRDefault="00BC0D9E" w:rsidP="00BC0D9E">
      <w:pPr>
        <w:ind w:left="426"/>
        <w:rPr>
          <w:szCs w:val="20"/>
        </w:rPr>
      </w:pPr>
      <w:r w:rsidRPr="00BC0D9E">
        <w:rPr>
          <w:szCs w:val="20"/>
        </w:rPr>
        <w:t>As PD-L1 testing is to be performed on tissue sections taken from a biopsy specimen obtained as part of standard diagnostic work-up, it would not incur any direct risks to patients. IHC only uses one 4-5 micron section compared to approximately 50 microns required for EGFR mutation testing, and so it is unlikely that a re-biopsy would be required for the PD-L1 test alone. The addition of the PD-L1 biomarker to the testing protocol at initial diagnosis would be unlikely to increase the overall re-biopsy rate.</w:t>
      </w:r>
    </w:p>
    <w:p w14:paraId="267B2C90" w14:textId="52FD095E" w:rsidR="00BC0D9E" w:rsidRDefault="00BC0D9E" w:rsidP="00BC0D9E">
      <w:pPr>
        <w:ind w:left="426"/>
        <w:rPr>
          <w:szCs w:val="20"/>
        </w:rPr>
      </w:pPr>
      <w:r w:rsidRPr="00BC0D9E">
        <w:rPr>
          <w:szCs w:val="20"/>
        </w:rPr>
        <w:t>A re-biopsy may be required due to PD-L1 expression changes in patients diagnosed at an earlier stage disease and receiving subsequent treatment. The main risk to the patient would then be complications such as pneumothorax and haemorrhage. However, the critique noted that if cytology samples (fine needle aspirations and effusions) were used for PD-L1 testing, the associated risks would be reduced.</w:t>
      </w:r>
    </w:p>
    <w:p w14:paraId="7BF1E5AF" w14:textId="77777777" w:rsidR="005E3521" w:rsidRPr="005E3521" w:rsidRDefault="005E3521" w:rsidP="005E3521">
      <w:pPr>
        <w:spacing w:before="0" w:after="60"/>
        <w:ind w:left="425"/>
        <w:rPr>
          <w:sz w:val="16"/>
          <w:szCs w:val="18"/>
        </w:rPr>
      </w:pPr>
      <w:r w:rsidRPr="005E3521">
        <w:rPr>
          <w:sz w:val="16"/>
          <w:szCs w:val="18"/>
        </w:rPr>
        <w:t>Mok TSK et al. 2019. Pembrolizumab versus chemotherapy for previously untreated, PD-L1-expressing, locally advanced or metastatic non-small-cell lung cancer (KEYNOTE-042): a randomised, open-label, controlled, phase 3 trial. The Lancet 393(10183):1819-1830.</w:t>
      </w:r>
    </w:p>
    <w:p w14:paraId="588DDAF8" w14:textId="2CE6D870" w:rsidR="00CB7C1F" w:rsidRPr="005E3521" w:rsidRDefault="00CB7C1F" w:rsidP="005E3521">
      <w:pPr>
        <w:spacing w:before="0" w:after="60"/>
        <w:ind w:left="425"/>
        <w:rPr>
          <w:sz w:val="16"/>
          <w:szCs w:val="18"/>
        </w:rPr>
      </w:pPr>
      <w:r w:rsidRPr="005E3521">
        <w:rPr>
          <w:sz w:val="16"/>
          <w:szCs w:val="18"/>
        </w:rPr>
        <w:t>PBAC March 2019</w:t>
      </w:r>
      <w:r w:rsidR="005E3521" w:rsidRPr="005E3521">
        <w:rPr>
          <w:sz w:val="16"/>
          <w:szCs w:val="18"/>
        </w:rPr>
        <w:t>. PEMBROLIZUMAB, Powder for injection 50 mg, solution concentrate for I.V. infusion 100 mg in 4 mL, Keytruda®. Published 5 July 2019. Available at: https://www.pbs.gov.au/info/industry/listing/elements/pbac-meetings/psd/2019-03/pembrolizumab-psd-march-2019</w:t>
      </w:r>
    </w:p>
    <w:p w14:paraId="4C66A35E" w14:textId="77777777" w:rsidR="005E3521" w:rsidRPr="005E3521" w:rsidRDefault="005E3521" w:rsidP="005E3521">
      <w:pPr>
        <w:spacing w:before="0" w:after="60"/>
        <w:ind w:left="425"/>
        <w:rPr>
          <w:sz w:val="16"/>
          <w:szCs w:val="18"/>
        </w:rPr>
      </w:pPr>
      <w:r w:rsidRPr="005E3521">
        <w:rPr>
          <w:sz w:val="16"/>
          <w:szCs w:val="18"/>
        </w:rPr>
        <w:t>Peters S, et al. 2019. How to make the best use of immunotherapy as first-line treatment of advanced/metastatic non-small-cell lung cancer. Annals of Oncology 30: 884–896. doi:10.1093/annonc/mdz109</w:t>
      </w:r>
    </w:p>
    <w:p w14:paraId="18962D36" w14:textId="77777777" w:rsidR="005E3521" w:rsidRPr="005E3521" w:rsidRDefault="005E3521" w:rsidP="005E3521">
      <w:pPr>
        <w:spacing w:before="0" w:after="60"/>
        <w:ind w:left="425"/>
        <w:rPr>
          <w:sz w:val="16"/>
          <w:szCs w:val="18"/>
        </w:rPr>
      </w:pPr>
      <w:r w:rsidRPr="005E3521">
        <w:rPr>
          <w:sz w:val="16"/>
          <w:szCs w:val="18"/>
        </w:rPr>
        <w:t>Reck M, et al. 2016. Pembrolizumab versus Chemotherapy for PD-L1–Positive Non–Small-Cell Lung Cancer. N Engl J Med 2016;375:1823-33. DOI: 10.1056/NEJMoa1606774.</w:t>
      </w:r>
    </w:p>
    <w:p w14:paraId="505D4E76" w14:textId="545135DA" w:rsidR="00785F87" w:rsidRPr="005E3521" w:rsidRDefault="005E3521" w:rsidP="005E3521">
      <w:pPr>
        <w:spacing w:before="0" w:after="60"/>
        <w:ind w:left="425"/>
        <w:rPr>
          <w:sz w:val="16"/>
          <w:szCs w:val="16"/>
        </w:rPr>
      </w:pPr>
      <w:r w:rsidRPr="005E3521">
        <w:rPr>
          <w:sz w:val="16"/>
          <w:szCs w:val="18"/>
        </w:rPr>
        <w:t>Reck M, et al. 2019. Updated Analysis of KEYNOTE-024: Pembrolizumab versus platinum-based chemotherapy for advanced non–small-cell lung cancer with PD-L1 Tumor Proportion Score of 50% or greater. J Clin Oncol 37:537-546.</w:t>
      </w:r>
    </w:p>
    <w:p w14:paraId="10926C63" w14:textId="77777777" w:rsidR="00D3152D" w:rsidRDefault="00D3152D">
      <w:pPr>
        <w:spacing w:before="0" w:after="200" w:line="276" w:lineRule="auto"/>
        <w:rPr>
          <w:b/>
          <w:szCs w:val="20"/>
        </w:rPr>
      </w:pPr>
      <w:r>
        <w:lastRenderedPageBreak/>
        <w:br w:type="page"/>
      </w:r>
    </w:p>
    <w:p w14:paraId="715C5F83" w14:textId="53CA3CFC"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7FC917FA" w14:textId="77777777" w:rsidR="001B29A1"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F6719">
        <w:rPr>
          <w:szCs w:val="20"/>
        </w:rPr>
      </w:r>
      <w:r w:rsidR="004F6719">
        <w:rPr>
          <w:szCs w:val="20"/>
        </w:rPr>
        <w:fldChar w:fldCharType="separate"/>
      </w:r>
      <w:r w:rsidRPr="001B29A1">
        <w:rPr>
          <w:szCs w:val="20"/>
        </w:rPr>
        <w:fldChar w:fldCharType="end"/>
      </w:r>
      <w:r w:rsidRPr="001B29A1">
        <w:rPr>
          <w:szCs w:val="20"/>
        </w:rPr>
        <w:t xml:space="preserve"> Superiority</w:t>
      </w:r>
      <w:r w:rsidRPr="001B29A1">
        <w:rPr>
          <w:szCs w:val="20"/>
        </w:rPr>
        <w:tab/>
      </w:r>
    </w:p>
    <w:p w14:paraId="60A9C788" w14:textId="14DDA612" w:rsidR="004E3CC7" w:rsidRPr="001B29A1" w:rsidRDefault="00B21E5B"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F6719">
        <w:rPr>
          <w:szCs w:val="20"/>
        </w:rPr>
      </w:r>
      <w:r w:rsidR="004F6719">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6C589408" w14:textId="77777777" w:rsidR="00B25D20" w:rsidRPr="00154B00" w:rsidRDefault="001B29A1" w:rsidP="00340630">
      <w:pPr>
        <w:pStyle w:val="Heading2"/>
        <w:keepNext/>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1D33D8C4" w14:textId="435D9404" w:rsidR="001B29A1" w:rsidRDefault="001B29A1" w:rsidP="00340630">
      <w:pPr>
        <w:keepNext/>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r w:rsidR="00AB51FF">
        <w:t xml:space="preserve">There are no changes to the safety outcomes of the </w:t>
      </w:r>
      <w:r w:rsidR="00C4357F">
        <w:t>test</w:t>
      </w:r>
    </w:p>
    <w:p w14:paraId="690F935E" w14:textId="77777777" w:rsidR="001B29A1" w:rsidRPr="001B29A1" w:rsidRDefault="001B29A1" w:rsidP="00340630">
      <w:pPr>
        <w:keepNext/>
        <w:pBdr>
          <w:top w:val="single" w:sz="4" w:space="1" w:color="auto"/>
          <w:left w:val="single" w:sz="4" w:space="4" w:color="auto"/>
          <w:bottom w:val="single" w:sz="4" w:space="1" w:color="auto"/>
          <w:right w:val="single" w:sz="4" w:space="4" w:color="auto"/>
        </w:pBdr>
        <w:rPr>
          <w:b/>
          <w:szCs w:val="20"/>
        </w:rPr>
      </w:pPr>
    </w:p>
    <w:p w14:paraId="159577E2" w14:textId="2D3AE21D" w:rsidR="00B25D20" w:rsidRPr="001B29A1" w:rsidRDefault="001B29A1" w:rsidP="001B29A1">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r w:rsidR="00C4357F" w:rsidRPr="00C4357F">
        <w:t xml:space="preserve">There are no changes to the </w:t>
      </w:r>
      <w:r w:rsidR="00C4357F">
        <w:t xml:space="preserve">clinical effectiveness </w:t>
      </w:r>
      <w:r w:rsidR="00C4357F" w:rsidRPr="00C4357F">
        <w:t>outcomes of the test</w:t>
      </w:r>
    </w:p>
    <w:p w14:paraId="2224E0CF"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7BD13884"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24721F8F"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49317150" w14:textId="46492BFA" w:rsidR="006C74B1" w:rsidRPr="00154B00" w:rsidRDefault="005A3C9A" w:rsidP="00E17753">
      <w:pPr>
        <w:ind w:left="426"/>
        <w:rPr>
          <w:szCs w:val="20"/>
        </w:rPr>
      </w:pPr>
      <w:r>
        <w:t xml:space="preserve">The requested </w:t>
      </w:r>
      <w:r w:rsidR="00E17753">
        <w:t xml:space="preserve">PBS </w:t>
      </w:r>
      <w:r>
        <w:t xml:space="preserve">listing </w:t>
      </w:r>
      <w:r w:rsidR="00E17753">
        <w:t xml:space="preserve">for cemiplimab for the treatment of NSCLC will be made on the basis of a cost minimisation to pembrolizumab and therefore a market share approach will be used for the estimated utilisation. Likewise, the addition of cemiplimab to MBS item </w:t>
      </w:r>
      <w:r w:rsidR="00E17753" w:rsidRPr="005A3C9A">
        <w:t>72814</w:t>
      </w:r>
      <w:r w:rsidR="00E17753">
        <w:t xml:space="preserve"> will not increase the total utilisation of this service. </w:t>
      </w:r>
      <w:r>
        <w:t xml:space="preserve">A proportion of </w:t>
      </w:r>
      <w:r w:rsidR="0057469E">
        <w:t>patients tested under MBS</w:t>
      </w:r>
      <w:r>
        <w:t xml:space="preserve"> item</w:t>
      </w:r>
      <w:r w:rsidRPr="005A3C9A">
        <w:t xml:space="preserve"> 72814</w:t>
      </w:r>
      <w:r>
        <w:t xml:space="preserve"> will be </w:t>
      </w:r>
      <w:r w:rsidR="0057469E">
        <w:t>considered</w:t>
      </w:r>
      <w:r>
        <w:t xml:space="preserve"> for c</w:t>
      </w:r>
      <w:r w:rsidRPr="005A3C9A">
        <w:t>emiplimab</w:t>
      </w:r>
      <w:r>
        <w:t xml:space="preserve"> instead of pembrolizumab</w:t>
      </w:r>
      <w:r w:rsidR="00E17753">
        <w:t xml:space="preserve"> PBS treatment</w:t>
      </w:r>
      <w:r>
        <w:t>.</w:t>
      </w:r>
    </w:p>
    <w:p w14:paraId="08D4E507"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6A6304A6" w14:textId="51737B19" w:rsidR="00382407" w:rsidRPr="00154B00" w:rsidRDefault="005A3C9A" w:rsidP="00AE1188">
      <w:pPr>
        <w:ind w:left="426"/>
        <w:rPr>
          <w:szCs w:val="20"/>
        </w:rPr>
      </w:pPr>
      <w:r>
        <w:t>Once-off test at diagnosis to determine treatment options.</w:t>
      </w:r>
    </w:p>
    <w:p w14:paraId="73B63C9A"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313FDA28" w14:textId="2CBF2950" w:rsidR="00382407" w:rsidRPr="00154B00" w:rsidRDefault="005A3C9A" w:rsidP="00AE1188">
      <w:pPr>
        <w:ind w:left="426"/>
        <w:rPr>
          <w:b/>
          <w:szCs w:val="20"/>
        </w:rPr>
      </w:pPr>
      <w:r>
        <w:t>Once-off test at diagnosis to determine treatment options.</w:t>
      </w:r>
    </w:p>
    <w:p w14:paraId="79A0EDE5"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2DD36154" w14:textId="60ACEAAA" w:rsidR="00AE1188" w:rsidRPr="00154B00" w:rsidRDefault="0057469E" w:rsidP="00AE1188">
      <w:pPr>
        <w:ind w:left="426"/>
        <w:rPr>
          <w:szCs w:val="20"/>
        </w:rPr>
      </w:pPr>
      <w:r w:rsidRPr="0057469E">
        <w:t>The requested listing is a cost-minimisation to current service 72814. Last calendar year there were 3,161 services</w:t>
      </w:r>
      <w:r>
        <w:t xml:space="preserve"> for this item</w:t>
      </w:r>
      <w:r w:rsidR="00E17753">
        <w:t xml:space="preserve"> and a proportion of patients tested under MBS item</w:t>
      </w:r>
      <w:r w:rsidR="00E17753" w:rsidRPr="005A3C9A">
        <w:t xml:space="preserve"> 72814</w:t>
      </w:r>
      <w:r w:rsidR="00E17753">
        <w:t xml:space="preserve"> will be considered for c</w:t>
      </w:r>
      <w:r w:rsidR="00E17753" w:rsidRPr="005A3C9A">
        <w:t>emiplimab</w:t>
      </w:r>
      <w:r w:rsidR="00E17753">
        <w:t xml:space="preserve"> instead of pembrolizumab PBS treatment.</w:t>
      </w:r>
    </w:p>
    <w:p w14:paraId="2149A62A"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21785A26" w14:textId="1B54FA14" w:rsidR="001B171D" w:rsidRPr="00154B00" w:rsidRDefault="00E17753" w:rsidP="00AE1188">
      <w:pPr>
        <w:ind w:left="426"/>
        <w:rPr>
          <w:szCs w:val="20"/>
        </w:rPr>
      </w:pPr>
      <w:r>
        <w:t>A</w:t>
      </w:r>
      <w:r w:rsidR="0057469E" w:rsidRPr="0057469E">
        <w:t xml:space="preserve"> proportion of services for item 72814 will be used for cemiplimab instead of pembrolizumab.</w:t>
      </w:r>
      <w:r w:rsidR="00CC1803">
        <w:t xml:space="preserve"> </w:t>
      </w:r>
      <w:r w:rsidR="0057469E">
        <w:t>I</w:t>
      </w:r>
      <w:r w:rsidR="00CC1803">
        <w:t xml:space="preserve">f the uptake is </w:t>
      </w:r>
      <w:r w:rsidR="00D3152D" w:rsidRPr="00D3152D">
        <w:rPr>
          <w:b/>
        </w:rPr>
        <w:t>REDACTED</w:t>
      </w:r>
      <w:r w:rsidR="00CC1803">
        <w:t xml:space="preserve">, this would be </w:t>
      </w:r>
      <w:r w:rsidR="00D3152D" w:rsidRPr="00D3152D">
        <w:rPr>
          <w:b/>
        </w:rPr>
        <w:t>REDACTED</w:t>
      </w:r>
      <w:r w:rsidR="00D3152D">
        <w:t xml:space="preserve"> </w:t>
      </w:r>
      <w:r w:rsidR="00CC1803">
        <w:t xml:space="preserve">services. There is no risk of leakage as the requested use is unchanged and the requested PBS listing will </w:t>
      </w:r>
      <w:r w:rsidR="0011359F">
        <w:t xml:space="preserve">also </w:t>
      </w:r>
      <w:r w:rsidR="00CC1803">
        <w:t xml:space="preserve">be aligned with </w:t>
      </w:r>
      <w:r w:rsidR="0011359F" w:rsidRPr="0057469E">
        <w:t>pembrolizumab</w:t>
      </w:r>
      <w:r w:rsidR="0011359F">
        <w:t>’s</w:t>
      </w:r>
      <w:r w:rsidR="0057469E">
        <w:t>.</w:t>
      </w:r>
    </w:p>
    <w:p w14:paraId="212722D2" w14:textId="77777777" w:rsidR="003433D1" w:rsidRDefault="003433D1">
      <w:pPr>
        <w:rPr>
          <w:b/>
          <w:sz w:val="32"/>
          <w:szCs w:val="32"/>
        </w:rPr>
      </w:pPr>
      <w:r>
        <w:rPr>
          <w:b/>
          <w:sz w:val="32"/>
          <w:szCs w:val="32"/>
        </w:rPr>
        <w:br w:type="page"/>
      </w:r>
    </w:p>
    <w:p w14:paraId="756FA2E9"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56C9AF91"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12612F4F" w14:textId="64AFFCE8" w:rsidR="00951933" w:rsidRDefault="00B21E5B" w:rsidP="00AE1188">
      <w:pPr>
        <w:ind w:left="426"/>
      </w:pPr>
      <w:r>
        <w:t>Not applicable, cost minimisation to current service (72814)</w:t>
      </w:r>
      <w:r w:rsidR="00061543">
        <w:t>.</w:t>
      </w:r>
    </w:p>
    <w:p w14:paraId="4E864EAF" w14:textId="28E57B4C" w:rsidR="00061543" w:rsidRPr="00154B00" w:rsidRDefault="00061543" w:rsidP="00AE1188">
      <w:pPr>
        <w:ind w:left="426"/>
        <w:rPr>
          <w:szCs w:val="20"/>
        </w:rPr>
      </w:pPr>
      <w:r>
        <w:rPr>
          <w:szCs w:val="20"/>
        </w:rPr>
        <w:t xml:space="preserve">The Public Summary Document for MSAC application </w:t>
      </w:r>
      <w:r w:rsidRPr="00061543">
        <w:rPr>
          <w:szCs w:val="20"/>
        </w:rPr>
        <w:t xml:space="preserve">1440.1 states: </w:t>
      </w:r>
      <w:r w:rsidRPr="00061543">
        <w:rPr>
          <w:i/>
          <w:iCs/>
          <w:szCs w:val="20"/>
        </w:rPr>
        <w:t>“MSAC advised that the appropriate fee for the test should be $74.50, in line with MBS item 72848 (IHC of one, two or three of the oestrogen, progesterone or HER2 antibodies). MSAC considered the higher fee was justified because the test requires counting of cells and assessment of staining intensity</w:t>
      </w:r>
      <w:r>
        <w:rPr>
          <w:i/>
          <w:iCs/>
          <w:szCs w:val="20"/>
        </w:rPr>
        <w:t>”</w:t>
      </w:r>
      <w:r w:rsidRPr="00061543">
        <w:rPr>
          <w:i/>
          <w:iCs/>
          <w:szCs w:val="20"/>
        </w:rPr>
        <w:t>.</w:t>
      </w:r>
    </w:p>
    <w:p w14:paraId="3560B72D"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5A600C24" w14:textId="0CCBEBFF" w:rsidR="00951933" w:rsidRDefault="00B21E5B" w:rsidP="00AE1188">
      <w:pPr>
        <w:ind w:left="426"/>
        <w:rPr>
          <w:b/>
          <w:szCs w:val="20"/>
        </w:rPr>
      </w:pPr>
      <w:r w:rsidRPr="00B21E5B">
        <w:t>Not applicable, cost minimisation to current service (72814)</w:t>
      </w:r>
    </w:p>
    <w:p w14:paraId="31BEB644"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7C632BD6" w14:textId="14FA291C"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B21E5B">
        <w:t>6</w:t>
      </w:r>
      <w:r w:rsidRPr="00AE1188">
        <w:rPr>
          <w:szCs w:val="20"/>
        </w:rPr>
        <w:t xml:space="preserve"> – </w:t>
      </w:r>
      <w:r w:rsidR="00B21E5B" w:rsidRPr="00B21E5B">
        <w:t>PATHOLOGY SERVICES</w:t>
      </w:r>
      <w:r w:rsidRPr="00AE1188">
        <w:rPr>
          <w:szCs w:val="20"/>
        </w:rPr>
        <w:t xml:space="preserve"> </w:t>
      </w:r>
    </w:p>
    <w:p w14:paraId="0395A87B" w14:textId="456450C3" w:rsidR="00AE1188" w:rsidRPr="00B21E5B" w:rsidRDefault="00B21E5B" w:rsidP="00AE1188">
      <w:pPr>
        <w:pBdr>
          <w:top w:val="single" w:sz="4" w:space="1" w:color="auto"/>
          <w:left w:val="single" w:sz="4" w:space="4" w:color="auto"/>
          <w:bottom w:val="single" w:sz="4" w:space="1" w:color="auto"/>
          <w:right w:val="single" w:sz="4" w:space="4" w:color="auto"/>
        </w:pBdr>
        <w:rPr>
          <w:szCs w:val="20"/>
          <w:u w:val="single"/>
        </w:rPr>
      </w:pPr>
      <w:r w:rsidRPr="00B21E5B">
        <w:rPr>
          <w:szCs w:val="20"/>
          <w:u w:val="single"/>
        </w:rPr>
        <w:t>72814</w:t>
      </w:r>
    </w:p>
    <w:p w14:paraId="4D114B2E" w14:textId="04DE02FA" w:rsidR="00B21E5B" w:rsidRPr="00B21E5B" w:rsidRDefault="00AE1188" w:rsidP="00B21E5B">
      <w:pPr>
        <w:pBdr>
          <w:top w:val="single" w:sz="4" w:space="1" w:color="auto"/>
          <w:left w:val="single" w:sz="4" w:space="4" w:color="auto"/>
          <w:bottom w:val="single" w:sz="4" w:space="1" w:color="auto"/>
          <w:right w:val="single" w:sz="4" w:space="4" w:color="auto"/>
        </w:pBdr>
      </w:pPr>
      <w:r w:rsidRPr="00AE1188">
        <w:rPr>
          <w:szCs w:val="20"/>
        </w:rPr>
        <w:t>Proposed item descriptor</w:t>
      </w:r>
      <w:r>
        <w:rPr>
          <w:szCs w:val="20"/>
        </w:rPr>
        <w:t xml:space="preserve">: </w:t>
      </w:r>
      <w:r w:rsidR="00B21E5B" w:rsidRPr="00B21E5B">
        <w:t xml:space="preserve">Immunohistochemical examination by immunoperoxidase or other labelled antibody techniques using the programmed cell death ligand 1 (PD-L1) antibody of tumour material from a patient diagnosed with non-small cell lung cancer, to determine if the requirements relating to PD-L1 status for access to pembrolizumab </w:t>
      </w:r>
      <w:r w:rsidR="00B21E5B" w:rsidRPr="00B21E5B">
        <w:rPr>
          <w:color w:val="FF0000"/>
        </w:rPr>
        <w:t xml:space="preserve">or cemiplimab </w:t>
      </w:r>
      <w:r w:rsidR="00B21E5B" w:rsidRPr="00B21E5B">
        <w:t>under the Pharmaceutical Benefits Scheme are fulfilled.</w:t>
      </w:r>
    </w:p>
    <w:p w14:paraId="3B7E26FB" w14:textId="598B7A33"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 xml:space="preserve">Fee: </w:t>
      </w:r>
      <w:r w:rsidR="009D4AB8" w:rsidRPr="009D4AB8">
        <w:rPr>
          <w:szCs w:val="20"/>
        </w:rPr>
        <w:t>$74.50 Benefit: 75% = $55.90 85% = $63.35</w:t>
      </w:r>
    </w:p>
    <w:p w14:paraId="26EEFA6C" w14:textId="7D3B4631" w:rsidR="00451840" w:rsidRDefault="00451840" w:rsidP="00D3152D">
      <w:pPr>
        <w:pStyle w:val="Heading2"/>
        <w:numPr>
          <w:ilvl w:val="0"/>
          <w:numId w:val="0"/>
        </w:numPr>
      </w:pPr>
    </w:p>
    <w:sectPr w:rsidR="00451840" w:rsidSect="004F671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01719" w14:textId="77777777" w:rsidR="004F6719" w:rsidRDefault="004F6719" w:rsidP="00CF2DFA">
      <w:pPr>
        <w:spacing w:after="0"/>
      </w:pPr>
      <w:r>
        <w:separator/>
      </w:r>
    </w:p>
  </w:endnote>
  <w:endnote w:type="continuationSeparator" w:id="0">
    <w:p w14:paraId="311A408D" w14:textId="77777777" w:rsidR="004F6719" w:rsidRDefault="004F6719"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8C75F" w14:textId="77777777" w:rsidR="00A95627" w:rsidRDefault="00A95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3E608535" w14:textId="2F31B12A" w:rsidR="004F6719" w:rsidRDefault="004F6719">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87328D" w:rsidRPr="0087328D">
          <w:rPr>
            <w:b/>
            <w:bCs/>
            <w:noProof/>
            <w:sz w:val="18"/>
            <w:szCs w:val="18"/>
          </w:rPr>
          <w:t>19</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17E30FF5" w14:textId="77777777" w:rsidR="004F6719" w:rsidRPr="003F7CB9" w:rsidRDefault="004F6719"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CF942" w14:textId="77777777" w:rsidR="00A95627" w:rsidRDefault="00A95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B0ACA" w14:textId="77777777" w:rsidR="004F6719" w:rsidRDefault="004F6719" w:rsidP="00CF2DFA">
      <w:pPr>
        <w:spacing w:after="0"/>
      </w:pPr>
      <w:r>
        <w:separator/>
      </w:r>
    </w:p>
  </w:footnote>
  <w:footnote w:type="continuationSeparator" w:id="0">
    <w:p w14:paraId="6929EA95" w14:textId="77777777" w:rsidR="004F6719" w:rsidRDefault="004F6719" w:rsidP="00CF2DFA">
      <w:pPr>
        <w:spacing w:after="0"/>
      </w:pPr>
      <w:r>
        <w:continuationSeparator/>
      </w:r>
    </w:p>
  </w:footnote>
  <w:footnote w:id="1">
    <w:p w14:paraId="739FE190" w14:textId="4DB13258" w:rsidR="004F6719" w:rsidRDefault="004F6719">
      <w:pPr>
        <w:pStyle w:val="FootnoteText"/>
      </w:pPr>
      <w:r w:rsidRPr="00375119">
        <w:rPr>
          <w:rStyle w:val="FootnoteReference"/>
          <w:sz w:val="18"/>
          <w:szCs w:val="18"/>
        </w:rPr>
        <w:footnoteRef/>
      </w:r>
      <w:r w:rsidRPr="00375119">
        <w:rPr>
          <w:sz w:val="18"/>
          <w:szCs w:val="18"/>
        </w:rPr>
        <w:t xml:space="preserve"> </w:t>
      </w:r>
      <w:hyperlink r:id="rId1" w:history="1">
        <w:r w:rsidRPr="00BD2463">
          <w:rPr>
            <w:rStyle w:val="Hyperlink"/>
            <w:sz w:val="18"/>
            <w:szCs w:val="18"/>
          </w:rPr>
          <w:t>https://www.sanofi.com/en/media-room/press-releases/2020/2020-04-27-13-00-00</w:t>
        </w:r>
      </w:hyperlink>
      <w:r>
        <w:rPr>
          <w:sz w:val="18"/>
          <w:szCs w:val="18"/>
        </w:rPr>
        <w:t xml:space="preserve"> and </w:t>
      </w:r>
      <w:hyperlink r:id="rId2" w:history="1">
        <w:r w:rsidRPr="00BD2463">
          <w:rPr>
            <w:rStyle w:val="Hyperlink"/>
            <w:sz w:val="18"/>
            <w:szCs w:val="18"/>
          </w:rPr>
          <w:t>https://investor.regeneron.com/index.php/news-releases/news-release-details/phase-3-trial-libtayor-cemiplimab-monotherapy-first-line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69AFB" w14:textId="77777777" w:rsidR="00A95627" w:rsidRDefault="00A95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D669F" w14:textId="77777777" w:rsidR="00A95627" w:rsidRDefault="00A95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C00B7" w14:textId="77777777" w:rsidR="00A95627" w:rsidRDefault="00A95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7722A2"/>
    <w:multiLevelType w:val="hybridMultilevel"/>
    <w:tmpl w:val="32506EF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23331B"/>
    <w:multiLevelType w:val="multilevel"/>
    <w:tmpl w:val="AD7A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8E4594"/>
    <w:multiLevelType w:val="hybridMultilevel"/>
    <w:tmpl w:val="24E84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F923D8"/>
    <w:multiLevelType w:val="hybridMultilevel"/>
    <w:tmpl w:val="B428E59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836423"/>
    <w:multiLevelType w:val="hybridMultilevel"/>
    <w:tmpl w:val="A960431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70506BFF"/>
    <w:multiLevelType w:val="hybridMultilevel"/>
    <w:tmpl w:val="C2FCC42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799F0FA3"/>
    <w:multiLevelType w:val="multilevel"/>
    <w:tmpl w:val="1CF6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3972D3"/>
    <w:multiLevelType w:val="hybridMultilevel"/>
    <w:tmpl w:val="D3D425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20"/>
  </w:num>
  <w:num w:numId="26">
    <w:abstractNumId w:val="5"/>
  </w:num>
  <w:num w:numId="27">
    <w:abstractNumId w:val="16"/>
  </w:num>
  <w:num w:numId="28">
    <w:abstractNumId w:val="12"/>
  </w:num>
  <w:num w:numId="29">
    <w:abstractNumId w:val="21"/>
  </w:num>
  <w:num w:numId="30">
    <w:abstractNumId w:val="3"/>
  </w:num>
  <w:num w:numId="31">
    <w:abstractNumId w:val="18"/>
  </w:num>
  <w:num w:numId="32">
    <w:abstractNumId w:val="9"/>
  </w:num>
  <w:num w:numId="33">
    <w:abstractNumId w:val="17"/>
  </w:num>
  <w:num w:numId="34">
    <w:abstractNumId w:val="8"/>
  </w:num>
  <w:num w:numId="35">
    <w:abstractNumId w:val="13"/>
  </w:num>
  <w:num w:numId="36">
    <w:abstractNumId w:val="0"/>
  </w:num>
  <w:num w:numId="37">
    <w:abstractNumId w:val="26"/>
  </w:num>
  <w:num w:numId="38">
    <w:abstractNumId w:val="25"/>
  </w:num>
  <w:num w:numId="39">
    <w:abstractNumId w:val="4"/>
  </w:num>
  <w:num w:numId="40">
    <w:abstractNumId w:val="2"/>
  </w:num>
  <w:num w:numId="41">
    <w:abstractNumId w:val="23"/>
  </w:num>
  <w:num w:numId="42">
    <w:abstractNumId w:val="19"/>
  </w:num>
  <w:num w:numId="43">
    <w:abstractNumId w:val="24"/>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58AA"/>
    <w:rsid w:val="000159B9"/>
    <w:rsid w:val="00016B6E"/>
    <w:rsid w:val="00023E21"/>
    <w:rsid w:val="00025ABC"/>
    <w:rsid w:val="00026412"/>
    <w:rsid w:val="00031F6F"/>
    <w:rsid w:val="00034D6E"/>
    <w:rsid w:val="0005089D"/>
    <w:rsid w:val="000525BC"/>
    <w:rsid w:val="00061543"/>
    <w:rsid w:val="00073222"/>
    <w:rsid w:val="000770BA"/>
    <w:rsid w:val="00092580"/>
    <w:rsid w:val="00095404"/>
    <w:rsid w:val="000955E7"/>
    <w:rsid w:val="000A110D"/>
    <w:rsid w:val="000A478F"/>
    <w:rsid w:val="000A5B32"/>
    <w:rsid w:val="000B3CD0"/>
    <w:rsid w:val="000D066E"/>
    <w:rsid w:val="000D0831"/>
    <w:rsid w:val="000D1ACE"/>
    <w:rsid w:val="000E47E7"/>
    <w:rsid w:val="000E5439"/>
    <w:rsid w:val="000F5F5B"/>
    <w:rsid w:val="00102686"/>
    <w:rsid w:val="0011036E"/>
    <w:rsid w:val="00112805"/>
    <w:rsid w:val="001130B0"/>
    <w:rsid w:val="0011359F"/>
    <w:rsid w:val="0011369B"/>
    <w:rsid w:val="0011742E"/>
    <w:rsid w:val="00123D10"/>
    <w:rsid w:val="00126B33"/>
    <w:rsid w:val="001463D1"/>
    <w:rsid w:val="00154B00"/>
    <w:rsid w:val="001644E9"/>
    <w:rsid w:val="001845D9"/>
    <w:rsid w:val="0018630F"/>
    <w:rsid w:val="001906CD"/>
    <w:rsid w:val="00191B99"/>
    <w:rsid w:val="0019694B"/>
    <w:rsid w:val="00197D29"/>
    <w:rsid w:val="00197D2F"/>
    <w:rsid w:val="001A02E3"/>
    <w:rsid w:val="001A1ADF"/>
    <w:rsid w:val="001A365C"/>
    <w:rsid w:val="001B171D"/>
    <w:rsid w:val="001B29A1"/>
    <w:rsid w:val="001B5169"/>
    <w:rsid w:val="001B6164"/>
    <w:rsid w:val="001D77ED"/>
    <w:rsid w:val="001E1180"/>
    <w:rsid w:val="001E23EA"/>
    <w:rsid w:val="001E6919"/>
    <w:rsid w:val="001E6958"/>
    <w:rsid w:val="00201924"/>
    <w:rsid w:val="00202473"/>
    <w:rsid w:val="002053F2"/>
    <w:rsid w:val="00206D63"/>
    <w:rsid w:val="0021185D"/>
    <w:rsid w:val="00226777"/>
    <w:rsid w:val="002349BE"/>
    <w:rsid w:val="00235BD1"/>
    <w:rsid w:val="00242229"/>
    <w:rsid w:val="00242B0E"/>
    <w:rsid w:val="00244E44"/>
    <w:rsid w:val="00247DF0"/>
    <w:rsid w:val="00254813"/>
    <w:rsid w:val="00257FF2"/>
    <w:rsid w:val="00265822"/>
    <w:rsid w:val="0027105F"/>
    <w:rsid w:val="002711FB"/>
    <w:rsid w:val="00282BE8"/>
    <w:rsid w:val="00283318"/>
    <w:rsid w:val="00283EDD"/>
    <w:rsid w:val="00285525"/>
    <w:rsid w:val="00294CD8"/>
    <w:rsid w:val="002A0A66"/>
    <w:rsid w:val="002A270B"/>
    <w:rsid w:val="002A50FD"/>
    <w:rsid w:val="002A6753"/>
    <w:rsid w:val="002B28D7"/>
    <w:rsid w:val="002B7EB6"/>
    <w:rsid w:val="002C0B61"/>
    <w:rsid w:val="002C15E6"/>
    <w:rsid w:val="002C247D"/>
    <w:rsid w:val="002C3345"/>
    <w:rsid w:val="002D409A"/>
    <w:rsid w:val="002E36D0"/>
    <w:rsid w:val="002F30E7"/>
    <w:rsid w:val="00300EEB"/>
    <w:rsid w:val="003013A9"/>
    <w:rsid w:val="00301958"/>
    <w:rsid w:val="003020B5"/>
    <w:rsid w:val="003027BB"/>
    <w:rsid w:val="00310A10"/>
    <w:rsid w:val="00326DFA"/>
    <w:rsid w:val="00327D25"/>
    <w:rsid w:val="003319A7"/>
    <w:rsid w:val="00334FE3"/>
    <w:rsid w:val="00340630"/>
    <w:rsid w:val="003421AE"/>
    <w:rsid w:val="003433D1"/>
    <w:rsid w:val="00344B24"/>
    <w:rsid w:val="003456B9"/>
    <w:rsid w:val="0035067D"/>
    <w:rsid w:val="00353A16"/>
    <w:rsid w:val="0035776D"/>
    <w:rsid w:val="003611AC"/>
    <w:rsid w:val="00364FD9"/>
    <w:rsid w:val="00367C1B"/>
    <w:rsid w:val="00375119"/>
    <w:rsid w:val="00376B61"/>
    <w:rsid w:val="00382407"/>
    <w:rsid w:val="00386A64"/>
    <w:rsid w:val="00386FA1"/>
    <w:rsid w:val="00390142"/>
    <w:rsid w:val="003904AC"/>
    <w:rsid w:val="00392F00"/>
    <w:rsid w:val="00397377"/>
    <w:rsid w:val="003A22DE"/>
    <w:rsid w:val="003A2860"/>
    <w:rsid w:val="003A3C35"/>
    <w:rsid w:val="003A7D30"/>
    <w:rsid w:val="003B3C5C"/>
    <w:rsid w:val="003C47CA"/>
    <w:rsid w:val="003C5CFC"/>
    <w:rsid w:val="003D0B4A"/>
    <w:rsid w:val="003D6DE1"/>
    <w:rsid w:val="003D795C"/>
    <w:rsid w:val="003E30FB"/>
    <w:rsid w:val="003E33CB"/>
    <w:rsid w:val="003E51C6"/>
    <w:rsid w:val="003F2711"/>
    <w:rsid w:val="003F6C70"/>
    <w:rsid w:val="003F7CB9"/>
    <w:rsid w:val="00403333"/>
    <w:rsid w:val="00411735"/>
    <w:rsid w:val="00412135"/>
    <w:rsid w:val="00415C74"/>
    <w:rsid w:val="0043654D"/>
    <w:rsid w:val="00437F60"/>
    <w:rsid w:val="0044530A"/>
    <w:rsid w:val="00451840"/>
    <w:rsid w:val="00456B97"/>
    <w:rsid w:val="00460C9A"/>
    <w:rsid w:val="00464924"/>
    <w:rsid w:val="0047581D"/>
    <w:rsid w:val="004774A2"/>
    <w:rsid w:val="00480289"/>
    <w:rsid w:val="00481279"/>
    <w:rsid w:val="00483368"/>
    <w:rsid w:val="00494011"/>
    <w:rsid w:val="004A0BF4"/>
    <w:rsid w:val="004A263B"/>
    <w:rsid w:val="004A3980"/>
    <w:rsid w:val="004B0B13"/>
    <w:rsid w:val="004B68AE"/>
    <w:rsid w:val="004C35B0"/>
    <w:rsid w:val="004C49EF"/>
    <w:rsid w:val="004C4A19"/>
    <w:rsid w:val="004C5570"/>
    <w:rsid w:val="004D00C9"/>
    <w:rsid w:val="004E15B6"/>
    <w:rsid w:val="004E16F5"/>
    <w:rsid w:val="004E3CC7"/>
    <w:rsid w:val="004E5B69"/>
    <w:rsid w:val="004F2A87"/>
    <w:rsid w:val="004F6719"/>
    <w:rsid w:val="00507C56"/>
    <w:rsid w:val="0051364A"/>
    <w:rsid w:val="0052344E"/>
    <w:rsid w:val="00526478"/>
    <w:rsid w:val="0052739B"/>
    <w:rsid w:val="00530204"/>
    <w:rsid w:val="00534C5F"/>
    <w:rsid w:val="00540257"/>
    <w:rsid w:val="0054192F"/>
    <w:rsid w:val="00544EB3"/>
    <w:rsid w:val="0054594B"/>
    <w:rsid w:val="0054749B"/>
    <w:rsid w:val="00551CC6"/>
    <w:rsid w:val="00554E7A"/>
    <w:rsid w:val="0056015F"/>
    <w:rsid w:val="00560541"/>
    <w:rsid w:val="005672D0"/>
    <w:rsid w:val="00572CEB"/>
    <w:rsid w:val="0057469E"/>
    <w:rsid w:val="005834C9"/>
    <w:rsid w:val="0059295E"/>
    <w:rsid w:val="00594200"/>
    <w:rsid w:val="005A3C9A"/>
    <w:rsid w:val="005A58BA"/>
    <w:rsid w:val="005A5D30"/>
    <w:rsid w:val="005A6AB9"/>
    <w:rsid w:val="005C333E"/>
    <w:rsid w:val="005C3AE7"/>
    <w:rsid w:val="005D0677"/>
    <w:rsid w:val="005E294C"/>
    <w:rsid w:val="005E2CE3"/>
    <w:rsid w:val="005E3521"/>
    <w:rsid w:val="005F3F07"/>
    <w:rsid w:val="00603D04"/>
    <w:rsid w:val="00605CBC"/>
    <w:rsid w:val="00606857"/>
    <w:rsid w:val="00615F42"/>
    <w:rsid w:val="006248AF"/>
    <w:rsid w:val="006258C2"/>
    <w:rsid w:val="00626365"/>
    <w:rsid w:val="00630E22"/>
    <w:rsid w:val="0064168C"/>
    <w:rsid w:val="00641B5D"/>
    <w:rsid w:val="00657B46"/>
    <w:rsid w:val="006638C6"/>
    <w:rsid w:val="00671242"/>
    <w:rsid w:val="006764EC"/>
    <w:rsid w:val="006835FE"/>
    <w:rsid w:val="00693BFD"/>
    <w:rsid w:val="00695065"/>
    <w:rsid w:val="006A1038"/>
    <w:rsid w:val="006A15E2"/>
    <w:rsid w:val="006A649A"/>
    <w:rsid w:val="006B1B49"/>
    <w:rsid w:val="006B6390"/>
    <w:rsid w:val="006C0356"/>
    <w:rsid w:val="006C0843"/>
    <w:rsid w:val="006C18B8"/>
    <w:rsid w:val="006C74B1"/>
    <w:rsid w:val="006E57AA"/>
    <w:rsid w:val="006F20CF"/>
    <w:rsid w:val="006F38ED"/>
    <w:rsid w:val="00707D4D"/>
    <w:rsid w:val="00723446"/>
    <w:rsid w:val="00723503"/>
    <w:rsid w:val="00730C04"/>
    <w:rsid w:val="0073597B"/>
    <w:rsid w:val="007363F3"/>
    <w:rsid w:val="007378F6"/>
    <w:rsid w:val="00742988"/>
    <w:rsid w:val="0074545D"/>
    <w:rsid w:val="007522E3"/>
    <w:rsid w:val="0075335B"/>
    <w:rsid w:val="00753C44"/>
    <w:rsid w:val="00754383"/>
    <w:rsid w:val="007564D1"/>
    <w:rsid w:val="00757232"/>
    <w:rsid w:val="00760679"/>
    <w:rsid w:val="00763628"/>
    <w:rsid w:val="00767E99"/>
    <w:rsid w:val="00772E62"/>
    <w:rsid w:val="00775A6A"/>
    <w:rsid w:val="0077789B"/>
    <w:rsid w:val="007803DF"/>
    <w:rsid w:val="00780D29"/>
    <w:rsid w:val="00781804"/>
    <w:rsid w:val="00785F87"/>
    <w:rsid w:val="00791C8D"/>
    <w:rsid w:val="0079354C"/>
    <w:rsid w:val="00794181"/>
    <w:rsid w:val="007A7F6F"/>
    <w:rsid w:val="007B4C76"/>
    <w:rsid w:val="007C2260"/>
    <w:rsid w:val="007D1E52"/>
    <w:rsid w:val="007D2358"/>
    <w:rsid w:val="007E063C"/>
    <w:rsid w:val="007E39E4"/>
    <w:rsid w:val="007E6FB3"/>
    <w:rsid w:val="007F0B1B"/>
    <w:rsid w:val="007F21B4"/>
    <w:rsid w:val="00802553"/>
    <w:rsid w:val="00803EAB"/>
    <w:rsid w:val="008046B5"/>
    <w:rsid w:val="00810224"/>
    <w:rsid w:val="008127C0"/>
    <w:rsid w:val="00812EDD"/>
    <w:rsid w:val="008139C5"/>
    <w:rsid w:val="0081650F"/>
    <w:rsid w:val="00832B31"/>
    <w:rsid w:val="008403E0"/>
    <w:rsid w:val="0084657B"/>
    <w:rsid w:val="00854C39"/>
    <w:rsid w:val="00855944"/>
    <w:rsid w:val="00861730"/>
    <w:rsid w:val="00864A18"/>
    <w:rsid w:val="00866C26"/>
    <w:rsid w:val="00870833"/>
    <w:rsid w:val="0087328D"/>
    <w:rsid w:val="00874571"/>
    <w:rsid w:val="00881F93"/>
    <w:rsid w:val="00882CB5"/>
    <w:rsid w:val="00883641"/>
    <w:rsid w:val="00884E69"/>
    <w:rsid w:val="00890082"/>
    <w:rsid w:val="008A48D2"/>
    <w:rsid w:val="008A7423"/>
    <w:rsid w:val="008B2610"/>
    <w:rsid w:val="008B471D"/>
    <w:rsid w:val="008B49E4"/>
    <w:rsid w:val="008B5C29"/>
    <w:rsid w:val="008B6391"/>
    <w:rsid w:val="008B729C"/>
    <w:rsid w:val="008C4A93"/>
    <w:rsid w:val="008E0E49"/>
    <w:rsid w:val="008E35FD"/>
    <w:rsid w:val="008E6227"/>
    <w:rsid w:val="008E78B9"/>
    <w:rsid w:val="00901F1C"/>
    <w:rsid w:val="0090543D"/>
    <w:rsid w:val="009056C5"/>
    <w:rsid w:val="009262F2"/>
    <w:rsid w:val="00937791"/>
    <w:rsid w:val="00951933"/>
    <w:rsid w:val="00954343"/>
    <w:rsid w:val="00955271"/>
    <w:rsid w:val="009565F2"/>
    <w:rsid w:val="00963C9C"/>
    <w:rsid w:val="00965B6B"/>
    <w:rsid w:val="00971EDB"/>
    <w:rsid w:val="00974D50"/>
    <w:rsid w:val="00987ABE"/>
    <w:rsid w:val="00991EE4"/>
    <w:rsid w:val="009939DC"/>
    <w:rsid w:val="00993B9C"/>
    <w:rsid w:val="00994981"/>
    <w:rsid w:val="009A766A"/>
    <w:rsid w:val="009B12B6"/>
    <w:rsid w:val="009B4E1E"/>
    <w:rsid w:val="009C03FB"/>
    <w:rsid w:val="009C4B4F"/>
    <w:rsid w:val="009D4AB8"/>
    <w:rsid w:val="009F0C02"/>
    <w:rsid w:val="009F5758"/>
    <w:rsid w:val="00A018AC"/>
    <w:rsid w:val="00A0283F"/>
    <w:rsid w:val="00A04F4A"/>
    <w:rsid w:val="00A26343"/>
    <w:rsid w:val="00A408B5"/>
    <w:rsid w:val="00A529E2"/>
    <w:rsid w:val="00A539F8"/>
    <w:rsid w:val="00A6099E"/>
    <w:rsid w:val="00A6491A"/>
    <w:rsid w:val="00A6594E"/>
    <w:rsid w:val="00A727B6"/>
    <w:rsid w:val="00A81CC6"/>
    <w:rsid w:val="00A83EC6"/>
    <w:rsid w:val="00A86E19"/>
    <w:rsid w:val="00A8732C"/>
    <w:rsid w:val="00A9062D"/>
    <w:rsid w:val="00A93F58"/>
    <w:rsid w:val="00A95627"/>
    <w:rsid w:val="00A96329"/>
    <w:rsid w:val="00AA08E6"/>
    <w:rsid w:val="00AA134B"/>
    <w:rsid w:val="00AA2CFE"/>
    <w:rsid w:val="00AA5FDA"/>
    <w:rsid w:val="00AA6291"/>
    <w:rsid w:val="00AA6445"/>
    <w:rsid w:val="00AB51FF"/>
    <w:rsid w:val="00AC0C91"/>
    <w:rsid w:val="00AD37D4"/>
    <w:rsid w:val="00AD7986"/>
    <w:rsid w:val="00AE1188"/>
    <w:rsid w:val="00AE738C"/>
    <w:rsid w:val="00AF1046"/>
    <w:rsid w:val="00AF4466"/>
    <w:rsid w:val="00AF581D"/>
    <w:rsid w:val="00AF5D1E"/>
    <w:rsid w:val="00B040A9"/>
    <w:rsid w:val="00B04C2A"/>
    <w:rsid w:val="00B1711E"/>
    <w:rsid w:val="00B17CBE"/>
    <w:rsid w:val="00B17E26"/>
    <w:rsid w:val="00B21E5B"/>
    <w:rsid w:val="00B231A4"/>
    <w:rsid w:val="00B25D20"/>
    <w:rsid w:val="00B26AED"/>
    <w:rsid w:val="00B31C99"/>
    <w:rsid w:val="00B53BA6"/>
    <w:rsid w:val="00B5731D"/>
    <w:rsid w:val="00B6378B"/>
    <w:rsid w:val="00B63E3A"/>
    <w:rsid w:val="00B75965"/>
    <w:rsid w:val="00B771AD"/>
    <w:rsid w:val="00B814CB"/>
    <w:rsid w:val="00BA0CF8"/>
    <w:rsid w:val="00BA1ADF"/>
    <w:rsid w:val="00BA51FC"/>
    <w:rsid w:val="00BB003A"/>
    <w:rsid w:val="00BB3358"/>
    <w:rsid w:val="00BB3382"/>
    <w:rsid w:val="00BB3643"/>
    <w:rsid w:val="00BB53B9"/>
    <w:rsid w:val="00BC0D9E"/>
    <w:rsid w:val="00BC29DC"/>
    <w:rsid w:val="00BC2E70"/>
    <w:rsid w:val="00BC2EE6"/>
    <w:rsid w:val="00BC3DA0"/>
    <w:rsid w:val="00BC424B"/>
    <w:rsid w:val="00BD69A3"/>
    <w:rsid w:val="00BE0FDE"/>
    <w:rsid w:val="00BE2E82"/>
    <w:rsid w:val="00BF6AC5"/>
    <w:rsid w:val="00C00B24"/>
    <w:rsid w:val="00C01121"/>
    <w:rsid w:val="00C030A5"/>
    <w:rsid w:val="00C05A45"/>
    <w:rsid w:val="00C0796F"/>
    <w:rsid w:val="00C11B34"/>
    <w:rsid w:val="00C12C5C"/>
    <w:rsid w:val="00C165F3"/>
    <w:rsid w:val="00C171FB"/>
    <w:rsid w:val="00C209C2"/>
    <w:rsid w:val="00C2267F"/>
    <w:rsid w:val="00C22AD8"/>
    <w:rsid w:val="00C3557E"/>
    <w:rsid w:val="00C357CB"/>
    <w:rsid w:val="00C3594B"/>
    <w:rsid w:val="00C43102"/>
    <w:rsid w:val="00C4357F"/>
    <w:rsid w:val="00C4696B"/>
    <w:rsid w:val="00C50513"/>
    <w:rsid w:val="00C54503"/>
    <w:rsid w:val="00C63055"/>
    <w:rsid w:val="00C73B62"/>
    <w:rsid w:val="00C776B1"/>
    <w:rsid w:val="00C815FE"/>
    <w:rsid w:val="00C81FA0"/>
    <w:rsid w:val="00C847AE"/>
    <w:rsid w:val="00CA04C6"/>
    <w:rsid w:val="00CA26DD"/>
    <w:rsid w:val="00CB12EC"/>
    <w:rsid w:val="00CB7C1F"/>
    <w:rsid w:val="00CC09D7"/>
    <w:rsid w:val="00CC12B8"/>
    <w:rsid w:val="00CC1803"/>
    <w:rsid w:val="00CC5AB1"/>
    <w:rsid w:val="00CD22E3"/>
    <w:rsid w:val="00CD4E44"/>
    <w:rsid w:val="00CD5AE4"/>
    <w:rsid w:val="00CD7A7D"/>
    <w:rsid w:val="00CF2D8E"/>
    <w:rsid w:val="00CF2DFA"/>
    <w:rsid w:val="00CF3E2E"/>
    <w:rsid w:val="00CF5AD8"/>
    <w:rsid w:val="00D00122"/>
    <w:rsid w:val="00D01D2A"/>
    <w:rsid w:val="00D10B47"/>
    <w:rsid w:val="00D11EB1"/>
    <w:rsid w:val="00D17F17"/>
    <w:rsid w:val="00D23597"/>
    <w:rsid w:val="00D30BDC"/>
    <w:rsid w:val="00D30F4A"/>
    <w:rsid w:val="00D3152D"/>
    <w:rsid w:val="00D37092"/>
    <w:rsid w:val="00D453C9"/>
    <w:rsid w:val="00D57F88"/>
    <w:rsid w:val="00D7105C"/>
    <w:rsid w:val="00D73646"/>
    <w:rsid w:val="00D771A0"/>
    <w:rsid w:val="00D777B4"/>
    <w:rsid w:val="00D77A90"/>
    <w:rsid w:val="00D81012"/>
    <w:rsid w:val="00D8360B"/>
    <w:rsid w:val="00D85676"/>
    <w:rsid w:val="00D96ADA"/>
    <w:rsid w:val="00D97D2D"/>
    <w:rsid w:val="00DA27E5"/>
    <w:rsid w:val="00DA2886"/>
    <w:rsid w:val="00DA5E50"/>
    <w:rsid w:val="00DA7D0C"/>
    <w:rsid w:val="00DB311C"/>
    <w:rsid w:val="00DB432D"/>
    <w:rsid w:val="00DB519B"/>
    <w:rsid w:val="00DC2C99"/>
    <w:rsid w:val="00DC7694"/>
    <w:rsid w:val="00DC7FBE"/>
    <w:rsid w:val="00DD130E"/>
    <w:rsid w:val="00DD2658"/>
    <w:rsid w:val="00DD308E"/>
    <w:rsid w:val="00DF0C51"/>
    <w:rsid w:val="00DF0D47"/>
    <w:rsid w:val="00DF1652"/>
    <w:rsid w:val="00DF6D37"/>
    <w:rsid w:val="00DF72A3"/>
    <w:rsid w:val="00E048ED"/>
    <w:rsid w:val="00E04FB3"/>
    <w:rsid w:val="00E058F2"/>
    <w:rsid w:val="00E05D9C"/>
    <w:rsid w:val="00E06102"/>
    <w:rsid w:val="00E17753"/>
    <w:rsid w:val="00E23E71"/>
    <w:rsid w:val="00E30F19"/>
    <w:rsid w:val="00E33C4A"/>
    <w:rsid w:val="00E357B9"/>
    <w:rsid w:val="00E4321E"/>
    <w:rsid w:val="00E43D00"/>
    <w:rsid w:val="00E44B80"/>
    <w:rsid w:val="00E47623"/>
    <w:rsid w:val="00E60529"/>
    <w:rsid w:val="00E641EF"/>
    <w:rsid w:val="00E70D86"/>
    <w:rsid w:val="00E7628E"/>
    <w:rsid w:val="00E81B41"/>
    <w:rsid w:val="00E82F54"/>
    <w:rsid w:val="00E8649B"/>
    <w:rsid w:val="00E871CD"/>
    <w:rsid w:val="00E90990"/>
    <w:rsid w:val="00E95D3D"/>
    <w:rsid w:val="00EA0E25"/>
    <w:rsid w:val="00EA173C"/>
    <w:rsid w:val="00EA6E8A"/>
    <w:rsid w:val="00EB27CA"/>
    <w:rsid w:val="00EC127A"/>
    <w:rsid w:val="00EC1FF9"/>
    <w:rsid w:val="00EC2737"/>
    <w:rsid w:val="00EC567D"/>
    <w:rsid w:val="00ED338A"/>
    <w:rsid w:val="00EE2716"/>
    <w:rsid w:val="00EE3AFC"/>
    <w:rsid w:val="00EE6450"/>
    <w:rsid w:val="00F01C2C"/>
    <w:rsid w:val="00F10ED8"/>
    <w:rsid w:val="00F222BE"/>
    <w:rsid w:val="00F24179"/>
    <w:rsid w:val="00F247ED"/>
    <w:rsid w:val="00F26679"/>
    <w:rsid w:val="00F301F1"/>
    <w:rsid w:val="00F30C22"/>
    <w:rsid w:val="00F329FF"/>
    <w:rsid w:val="00F33F1A"/>
    <w:rsid w:val="00F547F7"/>
    <w:rsid w:val="00F54CCF"/>
    <w:rsid w:val="00F61D7A"/>
    <w:rsid w:val="00F637B3"/>
    <w:rsid w:val="00F66CF7"/>
    <w:rsid w:val="00F67BCB"/>
    <w:rsid w:val="00F728D6"/>
    <w:rsid w:val="00F77C57"/>
    <w:rsid w:val="00F813C7"/>
    <w:rsid w:val="00F83566"/>
    <w:rsid w:val="00F83A9D"/>
    <w:rsid w:val="00F906B5"/>
    <w:rsid w:val="00F93784"/>
    <w:rsid w:val="00F971CC"/>
    <w:rsid w:val="00FA2CAA"/>
    <w:rsid w:val="00FA3DA1"/>
    <w:rsid w:val="00FA6554"/>
    <w:rsid w:val="00FD051F"/>
    <w:rsid w:val="00FD08F6"/>
    <w:rsid w:val="00FD639A"/>
    <w:rsid w:val="00FE16C1"/>
    <w:rsid w:val="00FE19FF"/>
    <w:rsid w:val="00FE33A6"/>
    <w:rsid w:val="00FE5452"/>
    <w:rsid w:val="00FE6788"/>
    <w:rsid w:val="00FF4260"/>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6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UnresolvedMention1">
    <w:name w:val="Unresolved Mention1"/>
    <w:basedOn w:val="DefaultParagraphFont"/>
    <w:uiPriority w:val="99"/>
    <w:semiHidden/>
    <w:unhideWhenUsed/>
    <w:rsid w:val="004A3980"/>
    <w:rPr>
      <w:color w:val="605E5C"/>
      <w:shd w:val="clear" w:color="auto" w:fill="E1DFDD"/>
    </w:rPr>
  </w:style>
  <w:style w:type="paragraph" w:styleId="FootnoteText">
    <w:name w:val="footnote text"/>
    <w:basedOn w:val="Normal"/>
    <w:link w:val="FootnoteTextChar"/>
    <w:uiPriority w:val="99"/>
    <w:semiHidden/>
    <w:unhideWhenUsed/>
    <w:rsid w:val="00375119"/>
    <w:pPr>
      <w:spacing w:before="0" w:after="0"/>
    </w:pPr>
    <w:rPr>
      <w:szCs w:val="20"/>
    </w:rPr>
  </w:style>
  <w:style w:type="character" w:customStyle="1" w:styleId="FootnoteTextChar">
    <w:name w:val="Footnote Text Char"/>
    <w:basedOn w:val="DefaultParagraphFont"/>
    <w:link w:val="FootnoteText"/>
    <w:uiPriority w:val="99"/>
    <w:semiHidden/>
    <w:rsid w:val="00375119"/>
    <w:rPr>
      <w:sz w:val="20"/>
      <w:szCs w:val="20"/>
    </w:rPr>
  </w:style>
  <w:style w:type="character" w:styleId="FootnoteReference">
    <w:name w:val="footnote reference"/>
    <w:basedOn w:val="DefaultParagraphFont"/>
    <w:uiPriority w:val="99"/>
    <w:semiHidden/>
    <w:unhideWhenUsed/>
    <w:rsid w:val="00375119"/>
    <w:rPr>
      <w:vertAlign w:val="superscript"/>
    </w:rPr>
  </w:style>
  <w:style w:type="paragraph" w:styleId="Caption">
    <w:name w:val="caption"/>
    <w:basedOn w:val="Normal"/>
    <w:next w:val="Normal"/>
    <w:uiPriority w:val="35"/>
    <w:semiHidden/>
    <w:unhideWhenUsed/>
    <w:qFormat/>
    <w:rsid w:val="004774A2"/>
    <w:pPr>
      <w:spacing w:before="0" w:after="200"/>
    </w:pPr>
    <w:rPr>
      <w:i/>
      <w:iCs/>
      <w:color w:val="1F497D" w:themeColor="text2"/>
      <w:sz w:val="18"/>
      <w:szCs w:val="18"/>
    </w:rPr>
  </w:style>
  <w:style w:type="paragraph" w:styleId="Revision">
    <w:name w:val="Revision"/>
    <w:hidden/>
    <w:uiPriority w:val="99"/>
    <w:semiHidden/>
    <w:rsid w:val="004F6719"/>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620383905">
      <w:bodyDiv w:val="1"/>
      <w:marLeft w:val="0"/>
      <w:marRight w:val="0"/>
      <w:marTop w:val="0"/>
      <w:marBottom w:val="0"/>
      <w:divBdr>
        <w:top w:val="none" w:sz="0" w:space="0" w:color="auto"/>
        <w:left w:val="none" w:sz="0" w:space="0" w:color="auto"/>
        <w:bottom w:val="none" w:sz="0" w:space="0" w:color="auto"/>
        <w:right w:val="none" w:sz="0" w:space="0" w:color="auto"/>
      </w:divBdr>
    </w:div>
    <w:div w:id="1224757242">
      <w:bodyDiv w:val="1"/>
      <w:marLeft w:val="0"/>
      <w:marRight w:val="0"/>
      <w:marTop w:val="0"/>
      <w:marBottom w:val="0"/>
      <w:divBdr>
        <w:top w:val="none" w:sz="0" w:space="0" w:color="auto"/>
        <w:left w:val="none" w:sz="0" w:space="0" w:color="auto"/>
        <w:bottom w:val="none" w:sz="0" w:space="0" w:color="auto"/>
        <w:right w:val="none" w:sz="0" w:space="0" w:color="auto"/>
      </w:divBdr>
    </w:div>
    <w:div w:id="1565216593">
      <w:bodyDiv w:val="1"/>
      <w:marLeft w:val="0"/>
      <w:marRight w:val="0"/>
      <w:marTop w:val="0"/>
      <w:marBottom w:val="0"/>
      <w:divBdr>
        <w:top w:val="none" w:sz="0" w:space="0" w:color="auto"/>
        <w:left w:val="none" w:sz="0" w:space="0" w:color="auto"/>
        <w:bottom w:val="none" w:sz="0" w:space="0" w:color="auto"/>
        <w:right w:val="none" w:sz="0" w:space="0" w:color="auto"/>
      </w:divBdr>
      <w:divsChild>
        <w:div w:id="422148494">
          <w:marLeft w:val="0"/>
          <w:marRight w:val="0"/>
          <w:marTop w:val="0"/>
          <w:marBottom w:val="60"/>
          <w:divBdr>
            <w:top w:val="none" w:sz="0" w:space="0" w:color="auto"/>
            <w:left w:val="none" w:sz="0" w:space="0" w:color="auto"/>
            <w:bottom w:val="none" w:sz="0" w:space="0" w:color="auto"/>
            <w:right w:val="none" w:sz="0" w:space="0" w:color="auto"/>
          </w:divBdr>
        </w:div>
        <w:div w:id="1460683179">
          <w:marLeft w:val="0"/>
          <w:marRight w:val="0"/>
          <w:marTop w:val="0"/>
          <w:marBottom w:val="60"/>
          <w:divBdr>
            <w:top w:val="none" w:sz="0" w:space="0" w:color="auto"/>
            <w:left w:val="none" w:sz="0" w:space="0" w:color="auto"/>
            <w:bottom w:val="none" w:sz="0" w:space="0" w:color="auto"/>
            <w:right w:val="none" w:sz="0" w:space="0" w:color="auto"/>
          </w:divBdr>
        </w:div>
      </w:divsChild>
    </w:div>
    <w:div w:id="2041931834">
      <w:bodyDiv w:val="1"/>
      <w:marLeft w:val="0"/>
      <w:marRight w:val="0"/>
      <w:marTop w:val="0"/>
      <w:marBottom w:val="0"/>
      <w:divBdr>
        <w:top w:val="none" w:sz="0" w:space="0" w:color="auto"/>
        <w:left w:val="none" w:sz="0" w:space="0" w:color="auto"/>
        <w:bottom w:val="none" w:sz="0" w:space="0" w:color="auto"/>
        <w:right w:val="none" w:sz="0" w:space="0" w:color="auto"/>
      </w:divBdr>
    </w:div>
    <w:div w:id="207894203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clinicaltrials.gov/ct2/show/NCT03088540"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doi.org/10.1056/nejmoa1606774"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investor.regeneron.com/index.php/news-releases/news-release-details/phase-3-trial-libtayor-cemiplimab-monotherapy-first-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hw.gov.au/reports/cancer/cancer-data-in-australia/contents/incidence-and-survival-by-stage" TargetMode="External"/><Relationship Id="rId24" Type="http://schemas.openxmlformats.org/officeDocument/2006/relationships/hyperlink" Target="https://www.aihw.gov.au/reports/cancer/cancer-data-in-australia/contents/incidence-and-survival-by-stage"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clinicaltrials.gov/ct2/show/NCT02142738" TargetMode="External"/><Relationship Id="rId28" Type="http://schemas.openxmlformats.org/officeDocument/2006/relationships/theme" Target="theme/theme1.xml"/><Relationship Id="rId10" Type="http://schemas.openxmlformats.org/officeDocument/2006/relationships/hyperlink" Target="http://www.msac.gov.au/" TargetMode="External"/><Relationship Id="rId19" Type="http://schemas.openxmlformats.org/officeDocument/2006/relationships/hyperlink" Target="https://www.sanofi.com/en/media-room/press-releases/2020/2020-04-27-13-00-00"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1.xml"/><Relationship Id="rId22" Type="http://schemas.openxmlformats.org/officeDocument/2006/relationships/hyperlink" Target="https://doi.org/10.1200/jco.18.00149"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nvestor.regeneron.com/index.php/news-releases/news-release-details/phase-3-trial-libtayor-cemiplimab-monotherapy-first-line" TargetMode="External"/><Relationship Id="rId1" Type="http://schemas.openxmlformats.org/officeDocument/2006/relationships/hyperlink" Target="https://www.sanofi.com/en/media-room/press-releases/2020/2020-04-27-13-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8F02D-BF43-49F0-93D3-F14BC7CD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6383</Words>
  <Characters>36386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2021-02-09T22:12:00Z</dcterms:created>
  <dcterms:modified xsi:type="dcterms:W3CDTF">2021-02-09T22:15:00Z</dcterms:modified>
</cp:coreProperties>
</file>