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B80" w:rsidRPr="00F637B3" w:rsidRDefault="00E44B80" w:rsidP="00E44B80">
      <w:pPr>
        <w:jc w:val="center"/>
        <w:rPr>
          <w:b/>
          <w:szCs w:val="20"/>
        </w:rPr>
      </w:pPr>
      <w:r w:rsidRPr="00F637B3">
        <w:rPr>
          <w:b/>
          <w:noProof/>
          <w:szCs w:val="20"/>
          <w:lang w:eastAsia="en-AU"/>
        </w:rPr>
        <w:drawing>
          <wp:inline distT="0" distB="0" distL="0" distR="0" wp14:anchorId="3712ADFF" wp14:editId="62A9DFBC">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2610" w:rsidRDefault="008B2610" w:rsidP="00C41D04">
      <w:pPr>
        <w:pStyle w:val="Title"/>
        <w:spacing w:before="1560" w:after="600"/>
      </w:pPr>
      <w:r w:rsidRPr="001906CD">
        <w:t>Application Form</w:t>
      </w:r>
    </w:p>
    <w:p w:rsidR="000115DC" w:rsidRDefault="000115DC" w:rsidP="00D73646">
      <w:pPr>
        <w:pStyle w:val="Title"/>
        <w:spacing w:before="240"/>
        <w:rPr>
          <w:color w:val="548DD4" w:themeColor="text2" w:themeTint="99"/>
        </w:rPr>
      </w:pPr>
      <w:r w:rsidRPr="000115DC">
        <w:rPr>
          <w:color w:val="548DD4" w:themeColor="text2" w:themeTint="99"/>
        </w:rPr>
        <w:t xml:space="preserve">F-18 </w:t>
      </w:r>
      <w:proofErr w:type="spellStart"/>
      <w:r w:rsidRPr="000115DC">
        <w:rPr>
          <w:color w:val="548DD4" w:themeColor="text2" w:themeTint="99"/>
        </w:rPr>
        <w:t>Fluorodeoxyglucose</w:t>
      </w:r>
      <w:proofErr w:type="spellEnd"/>
      <w:r w:rsidRPr="000115DC">
        <w:rPr>
          <w:color w:val="548DD4" w:themeColor="text2" w:themeTint="99"/>
        </w:rPr>
        <w:t xml:space="preserve"> positron emission tomography (FDG PET) for the diagnosis of Alzheimer’s disease </w:t>
      </w:r>
    </w:p>
    <w:p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rsidR="009F5758" w:rsidRPr="00154B00" w:rsidRDefault="009F5758" w:rsidP="003F7CB9">
      <w:pPr>
        <w:spacing w:before="0" w:after="0"/>
      </w:pPr>
    </w:p>
    <w:p w:rsidR="009F5758" w:rsidRPr="00154B00" w:rsidRDefault="009F5758" w:rsidP="003F7CB9">
      <w:pPr>
        <w:spacing w:before="0" w:after="0"/>
      </w:pPr>
      <w:r w:rsidRPr="00154B00">
        <w:t xml:space="preserve">Email:  </w:t>
      </w:r>
      <w:hyperlink r:id="rId9" w:tooltip="click here to email the Department of Health HTA Team" w:history="1">
        <w:r w:rsidRPr="00154B00">
          <w:rPr>
            <w:rStyle w:val="Hyperlink"/>
            <w:szCs w:val="20"/>
          </w:rPr>
          <w:t>hta@health.gov.au</w:t>
        </w:r>
      </w:hyperlink>
    </w:p>
    <w:p w:rsidR="009F5758" w:rsidRPr="00154B00" w:rsidRDefault="009F5758" w:rsidP="003F7CB9">
      <w:pPr>
        <w:spacing w:before="0" w:after="0"/>
      </w:pPr>
      <w:r w:rsidRPr="00154B00">
        <w:t xml:space="preserve">Website:  </w:t>
      </w:r>
      <w:hyperlink r:id="rId10"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rsidR="00392F00" w:rsidRDefault="00D57F88" w:rsidP="004A0BF4">
      <w:pPr>
        <w:pStyle w:val="Heading2"/>
      </w:pPr>
      <w:r w:rsidRPr="00A8732C">
        <w:t>Applicant d</w:t>
      </w:r>
      <w:r w:rsidR="00392F00" w:rsidRPr="00A8732C">
        <w:t>etails</w:t>
      </w:r>
      <w:r w:rsidR="000D066E" w:rsidRPr="00A8732C">
        <w:t xml:space="preserve"> (primary and alternative contacts)</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785ABD">
        <w:t>N/A</w:t>
      </w:r>
    </w:p>
    <w:p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0115DC">
        <w:t>Department of Molecular Imaging and Therapy, Austin Health</w:t>
      </w:r>
    </w:p>
    <w:p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0115DC" w:rsidRPr="000115DC">
        <w:t>96237388063</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0115DC">
        <w:t>Austin Health</w:t>
      </w:r>
    </w:p>
    <w:p w:rsidR="00C171FB" w:rsidRPr="00C171FB" w:rsidRDefault="00C171FB" w:rsidP="00C171FB"/>
    <w:p w:rsidR="00C171FB" w:rsidRPr="00C171FB" w:rsidRDefault="00C171FB" w:rsidP="00C171FB">
      <w:pPr>
        <w:rPr>
          <w:b/>
        </w:rPr>
      </w:pPr>
      <w:r>
        <w:rPr>
          <w:b/>
        </w:rPr>
        <w:t xml:space="preserve">Primary contact name: </w:t>
      </w:r>
      <w:r w:rsidR="0062084A">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62084A">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62084A">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62084A">
        <w:rPr>
          <w:b/>
        </w:rPr>
        <w:t>REDACTED</w:t>
      </w:r>
    </w:p>
    <w:p w:rsidR="00C171FB" w:rsidRDefault="00C171FB" w:rsidP="00C171FB">
      <w:pPr>
        <w:rPr>
          <w:b/>
        </w:rPr>
      </w:pPr>
    </w:p>
    <w:p w:rsidR="00C171FB" w:rsidRPr="00C171FB" w:rsidRDefault="00C171FB" w:rsidP="00C171FB">
      <w:pPr>
        <w:rPr>
          <w:b/>
        </w:rPr>
      </w:pPr>
      <w:r>
        <w:rPr>
          <w:b/>
        </w:rPr>
        <w:t xml:space="preserve">Alternative contact name: </w:t>
      </w:r>
      <w:r w:rsidR="0062084A">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62084A">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62084A">
        <w:rPr>
          <w:b/>
        </w:rPr>
        <w:t>REDACTED</w:t>
      </w:r>
    </w:p>
    <w:p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62084A">
        <w:rPr>
          <w:b/>
        </w:rPr>
        <w:t>REDACTED</w:t>
      </w:r>
    </w:p>
    <w:p w:rsidR="00C171FB" w:rsidRPr="00C171FB" w:rsidRDefault="00C171FB" w:rsidP="00C171FB"/>
    <w:p w:rsidR="00534C5F" w:rsidRPr="00154B00" w:rsidRDefault="00494011" w:rsidP="004A0BF4">
      <w:pPr>
        <w:pStyle w:val="Heading2"/>
      </w:pPr>
      <w:r>
        <w:t xml:space="preserve">(a) </w:t>
      </w:r>
      <w:r w:rsidR="00534C5F">
        <w:t>Are you a lobbyist acting on behalf of an Applicant?</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7971F6">
        <w:rPr>
          <w:szCs w:val="20"/>
        </w:rPr>
      </w:r>
      <w:r w:rsidR="007971F6">
        <w:rPr>
          <w:szCs w:val="20"/>
        </w:rPr>
        <w:fldChar w:fldCharType="separate"/>
      </w:r>
      <w:r w:rsidRPr="00753C44">
        <w:rPr>
          <w:szCs w:val="20"/>
        </w:rPr>
        <w:fldChar w:fldCharType="end"/>
      </w:r>
      <w:r>
        <w:rPr>
          <w:szCs w:val="20"/>
        </w:rPr>
        <w:t xml:space="preserve"> Yes</w:t>
      </w:r>
    </w:p>
    <w:p w:rsidR="00A6491A" w:rsidRPr="00753C44" w:rsidRDefault="008B2222" w:rsidP="00A6491A">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7971F6">
        <w:rPr>
          <w:szCs w:val="20"/>
        </w:rPr>
      </w:r>
      <w:r w:rsidR="007971F6">
        <w:rPr>
          <w:szCs w:val="20"/>
        </w:rPr>
        <w:fldChar w:fldCharType="separate"/>
      </w:r>
      <w:r>
        <w:rPr>
          <w:szCs w:val="20"/>
        </w:rPr>
        <w:fldChar w:fldCharType="end"/>
      </w:r>
      <w:bookmarkEnd w:id="1"/>
      <w:r w:rsidR="00A6491A">
        <w:rPr>
          <w:szCs w:val="20"/>
        </w:rPr>
        <w:t xml:space="preserve"> No</w:t>
      </w:r>
      <w:r w:rsidR="00A6491A" w:rsidRPr="00753C44">
        <w:rPr>
          <w:szCs w:val="20"/>
        </w:rPr>
        <w:t xml:space="preserve">  </w:t>
      </w:r>
    </w:p>
    <w:p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7971F6">
        <w:rPr>
          <w:szCs w:val="20"/>
        </w:rPr>
      </w:r>
      <w:r w:rsidR="007971F6">
        <w:rPr>
          <w:szCs w:val="20"/>
        </w:rPr>
        <w:fldChar w:fldCharType="separate"/>
      </w:r>
      <w:r w:rsidRPr="00753C44">
        <w:rPr>
          <w:szCs w:val="20"/>
        </w:rPr>
        <w:fldChar w:fldCharType="end"/>
      </w:r>
      <w:r>
        <w:rPr>
          <w:szCs w:val="20"/>
        </w:rPr>
        <w:t xml:space="preserve"> Yes</w:t>
      </w:r>
    </w:p>
    <w:p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971F6">
        <w:rPr>
          <w:szCs w:val="20"/>
        </w:rPr>
      </w:r>
      <w:r w:rsidR="007971F6">
        <w:rPr>
          <w:szCs w:val="20"/>
        </w:rPr>
        <w:fldChar w:fldCharType="separate"/>
      </w:r>
      <w:r w:rsidRPr="00753C44">
        <w:rPr>
          <w:szCs w:val="20"/>
        </w:rPr>
        <w:fldChar w:fldCharType="end"/>
      </w:r>
      <w:r>
        <w:rPr>
          <w:szCs w:val="20"/>
        </w:rPr>
        <w:t xml:space="preserve"> No</w:t>
      </w:r>
      <w:r w:rsidRPr="00753C44">
        <w:rPr>
          <w:szCs w:val="20"/>
        </w:rPr>
        <w:t xml:space="preserve">  </w:t>
      </w:r>
    </w:p>
    <w:p w:rsidR="00E04FB3" w:rsidRDefault="00E04FB3" w:rsidP="005C333E">
      <w:pPr>
        <w:spacing w:before="0" w:after="0"/>
        <w:ind w:left="426"/>
        <w:rPr>
          <w:b/>
          <w:szCs w:val="20"/>
        </w:rPr>
      </w:pPr>
      <w:r w:rsidRPr="00154B00">
        <w:rPr>
          <w:b/>
          <w:szCs w:val="20"/>
        </w:rPr>
        <w:br w:type="page"/>
      </w:r>
    </w:p>
    <w:p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rsidR="000B3CD0" w:rsidRDefault="000B3CD0" w:rsidP="00730C04">
      <w:pPr>
        <w:pStyle w:val="Heading2"/>
      </w:pPr>
      <w:r w:rsidRPr="00154B00">
        <w:t>Application title</w:t>
      </w:r>
      <w:r w:rsidR="00A8732C">
        <w:t xml:space="preserve"> </w:t>
      </w:r>
    </w:p>
    <w:p w:rsidR="008B2222" w:rsidRPr="009056C5" w:rsidRDefault="008B2222" w:rsidP="0062084A">
      <w:pPr>
        <w:ind w:left="426"/>
      </w:pPr>
      <w:r w:rsidRPr="008B2222">
        <w:t xml:space="preserve">F-18 </w:t>
      </w:r>
      <w:proofErr w:type="spellStart"/>
      <w:r w:rsidRPr="008B2222">
        <w:t>Fluorodeoxyglucose</w:t>
      </w:r>
      <w:proofErr w:type="spellEnd"/>
      <w:r w:rsidRPr="008B2222">
        <w:t xml:space="preserve"> positron emission tomography (FDG PET) for the diagnosis of Alzheimer’s disease</w:t>
      </w:r>
    </w:p>
    <w:p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rsidR="008B2222" w:rsidRDefault="008B2222" w:rsidP="0062084A">
      <w:pPr>
        <w:ind w:left="426"/>
      </w:pPr>
      <w:r>
        <w:t xml:space="preserve">Alzheimer’s disease (AD) is the most common cause of dementia. It is relentlessly progressive and leads to severe disability and then death on average 7 years from diagnosis. Symptoms of AD are present for several years before diagnosis and the pathological process that leads to the dementia of AD begins a decade or more before diagnosis.  </w:t>
      </w:r>
    </w:p>
    <w:p w:rsidR="008B2222" w:rsidRDefault="008B2222" w:rsidP="0062084A">
      <w:pPr>
        <w:ind w:left="426"/>
      </w:pPr>
      <w:r>
        <w:t>The prevalence of this disease is increasing as Australia’s population ages.  It afflicts 1% of the community aged 60 years and this prevalence rises to 20% by the age of 85 years. It is esti</w:t>
      </w:r>
      <w:r w:rsidR="004D4F8C">
        <w:t>mated that there are currently 40</w:t>
      </w:r>
      <w:r>
        <w:t xml:space="preserve">0,000 persons in Australia with AD (see Access Economics report for Alzheimer’s Australia 2009). </w:t>
      </w:r>
    </w:p>
    <w:p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rsidR="00D00874" w:rsidRDefault="00D00874" w:rsidP="00D00874">
      <w:pPr>
        <w:ind w:left="426"/>
      </w:pPr>
      <w:r w:rsidRPr="000E2B02">
        <w:t>It is proposed that FDG PET brain imaging be used in patients with evidence of decline in memory or other areas of cognition when current diagnostic methods are inconclusive.  The decline may be based on history from a patient if verified by a reliable informant (usually a spouse) or on a cognitive test score that is below those expected for age and level of education.  Current diagnostic methods consist of clinical evaluation by a medical spe</w:t>
      </w:r>
      <w:r>
        <w:t>cialist, an</w:t>
      </w:r>
      <w:r w:rsidRPr="000E2B02">
        <w:t xml:space="preserve"> MRI brain scan and blood tests for routine biochemistry and haematology plus blood tests for thyroid function and vitamins B12 and folate.  FDG PET should be used after this initial evaluation if diagnosis remains in doubt.</w:t>
      </w:r>
    </w:p>
    <w:p w:rsidR="00D11EB1" w:rsidRPr="0011036E" w:rsidRDefault="00D00874" w:rsidP="00D0087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rsidR="00753C44" w:rsidRDefault="008B2222" w:rsidP="0062084A">
      <w:pPr>
        <w:spacing w:before="0" w:after="0"/>
        <w:ind w:left="720"/>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7971F6">
        <w:rPr>
          <w:szCs w:val="20"/>
        </w:rPr>
      </w:r>
      <w:r w:rsidR="007971F6">
        <w:rPr>
          <w:szCs w:val="20"/>
        </w:rPr>
        <w:fldChar w:fldCharType="separate"/>
      </w:r>
      <w:r>
        <w:rPr>
          <w:szCs w:val="20"/>
        </w:rPr>
        <w:fldChar w:fldCharType="end"/>
      </w:r>
      <w:bookmarkEnd w:id="2"/>
      <w:r w:rsidR="006B6390">
        <w:rPr>
          <w:szCs w:val="20"/>
        </w:rPr>
        <w:t xml:space="preserve"> Yes</w:t>
      </w:r>
    </w:p>
    <w:p w:rsidR="00753C44" w:rsidRPr="00753C44" w:rsidRDefault="006B6390" w:rsidP="0062084A">
      <w:pPr>
        <w:spacing w:before="0" w:after="0"/>
        <w:ind w:left="72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971F6">
        <w:rPr>
          <w:szCs w:val="20"/>
        </w:rPr>
      </w:r>
      <w:r w:rsidR="007971F6">
        <w:rPr>
          <w:szCs w:val="20"/>
        </w:rPr>
        <w:fldChar w:fldCharType="separate"/>
      </w:r>
      <w:r w:rsidRPr="00753C44">
        <w:rPr>
          <w:szCs w:val="20"/>
        </w:rPr>
        <w:fldChar w:fldCharType="end"/>
      </w:r>
      <w:r>
        <w:rPr>
          <w:szCs w:val="20"/>
        </w:rPr>
        <w:t xml:space="preserve"> No</w:t>
      </w:r>
      <w:r w:rsidR="00753C44" w:rsidRPr="00753C44">
        <w:rPr>
          <w:szCs w:val="20"/>
        </w:rPr>
        <w:t xml:space="preserve">  </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rsidR="00753C44" w:rsidRDefault="006B6390" w:rsidP="0062084A">
      <w:pPr>
        <w:spacing w:before="0" w:after="0"/>
        <w:ind w:left="72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971F6">
        <w:rPr>
          <w:szCs w:val="20"/>
        </w:rPr>
      </w:r>
      <w:r w:rsidR="007971F6">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rsidR="00753C44" w:rsidRPr="00753C44" w:rsidRDefault="008B2222" w:rsidP="0062084A">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971F6">
        <w:rPr>
          <w:szCs w:val="20"/>
        </w:rPr>
      </w:r>
      <w:r w:rsidR="007971F6">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rsidR="003D795C" w:rsidRPr="00CB12EC" w:rsidRDefault="00785ABD" w:rsidP="0062084A">
      <w:pPr>
        <w:ind w:left="284" w:firstLine="436"/>
      </w:pPr>
      <w:r>
        <w:t>N/A</w:t>
      </w:r>
    </w:p>
    <w:p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rsidR="0062084A" w:rsidRDefault="00785ABD" w:rsidP="0062084A">
      <w:pPr>
        <w:ind w:left="284" w:firstLine="76"/>
        <w:rPr>
          <w:rStyle w:val="Strong"/>
          <w:rFonts w:asciiTheme="minorHAnsi" w:eastAsiaTheme="minorHAnsi" w:hAnsiTheme="minorHAnsi" w:cstheme="minorBidi"/>
          <w:szCs w:val="20"/>
        </w:rPr>
      </w:pPr>
      <w:r>
        <w:t>N/A</w:t>
      </w:r>
    </w:p>
    <w:p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7971F6">
        <w:rPr>
          <w:b/>
          <w:szCs w:val="20"/>
        </w:rPr>
      </w:r>
      <w:r w:rsidR="007971F6">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rsidR="006B6390" w:rsidRPr="00AA2CFE" w:rsidRDefault="008B2222"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7971F6">
        <w:rPr>
          <w:b/>
          <w:szCs w:val="20"/>
        </w:rPr>
      </w:r>
      <w:r w:rsidR="007971F6">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7971F6">
        <w:rPr>
          <w:b/>
          <w:szCs w:val="20"/>
        </w:rPr>
      </w:r>
      <w:r w:rsidR="007971F6">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7971F6">
        <w:rPr>
          <w:b/>
          <w:szCs w:val="20"/>
        </w:rPr>
      </w:r>
      <w:r w:rsidR="007971F6">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rsidR="0062084A" w:rsidRDefault="0062084A">
      <w:pPr>
        <w:spacing w:before="0" w:after="200" w:line="276" w:lineRule="auto"/>
        <w:rPr>
          <w:rStyle w:val="Strong"/>
          <w:rFonts w:asciiTheme="minorHAnsi" w:eastAsiaTheme="minorHAnsi" w:hAnsiTheme="minorHAnsi" w:cstheme="minorBidi"/>
          <w:szCs w:val="20"/>
        </w:rPr>
      </w:pPr>
      <w:r>
        <w:rPr>
          <w:rStyle w:val="Strong"/>
          <w:rFonts w:asciiTheme="minorHAnsi" w:eastAsiaTheme="minorHAnsi" w:hAnsiTheme="minorHAnsi" w:cstheme="minorBidi"/>
          <w:b w:val="0"/>
        </w:rPr>
        <w:br w:type="page"/>
      </w:r>
    </w:p>
    <w:p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lastRenderedPageBreak/>
        <w:t>Is the proposed service seeking public funding other than the MBS?</w:t>
      </w:r>
    </w:p>
    <w:p w:rsidR="000A5B32" w:rsidRDefault="000A5B32" w:rsidP="0062084A">
      <w:pPr>
        <w:spacing w:before="0" w:after="0"/>
        <w:ind w:left="720" w:hanging="29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971F6">
        <w:rPr>
          <w:szCs w:val="20"/>
        </w:rPr>
      </w:r>
      <w:r w:rsidR="007971F6">
        <w:rPr>
          <w:szCs w:val="20"/>
        </w:rPr>
        <w:fldChar w:fldCharType="separate"/>
      </w:r>
      <w:r w:rsidRPr="000A5B32">
        <w:rPr>
          <w:szCs w:val="20"/>
        </w:rPr>
        <w:fldChar w:fldCharType="end"/>
      </w:r>
      <w:r w:rsidRPr="000A5B32">
        <w:rPr>
          <w:szCs w:val="20"/>
        </w:rPr>
        <w:t xml:space="preserve"> Yes</w:t>
      </w:r>
    </w:p>
    <w:p w:rsidR="00626365" w:rsidRDefault="008B2222" w:rsidP="0062084A">
      <w:pPr>
        <w:spacing w:before="0" w:after="0"/>
        <w:ind w:left="720" w:hanging="29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971F6">
        <w:rPr>
          <w:szCs w:val="20"/>
        </w:rPr>
      </w:r>
      <w:r w:rsidR="007971F6">
        <w:rPr>
          <w:szCs w:val="20"/>
        </w:rPr>
        <w:fldChar w:fldCharType="separate"/>
      </w:r>
      <w:r>
        <w:rPr>
          <w:szCs w:val="20"/>
        </w:rPr>
        <w:fldChar w:fldCharType="end"/>
      </w:r>
      <w:r w:rsidR="000A5B32" w:rsidRPr="000A5B32">
        <w:rPr>
          <w:szCs w:val="20"/>
        </w:rPr>
        <w:t xml:space="preserve"> No</w:t>
      </w:r>
    </w:p>
    <w:p w:rsidR="00626365" w:rsidRPr="00626365" w:rsidRDefault="00626365" w:rsidP="00626365">
      <w:pPr>
        <w:spacing w:before="0" w:after="0"/>
        <w:ind w:left="284"/>
        <w:rPr>
          <w:rStyle w:val="Strong"/>
          <w:rFonts w:asciiTheme="minorHAnsi" w:eastAsiaTheme="minorHAnsi" w:hAnsiTheme="minorHAnsi" w:cstheme="minorBidi"/>
          <w:b w:val="0"/>
          <w:szCs w:val="20"/>
        </w:rPr>
      </w:pPr>
    </w:p>
    <w:p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rsidR="000A5B32" w:rsidRPr="00855944" w:rsidRDefault="00785ABD" w:rsidP="0062084A">
      <w:pPr>
        <w:ind w:left="284" w:firstLine="76"/>
        <w:rPr>
          <w:rStyle w:val="Strong"/>
        </w:rPr>
      </w:pPr>
      <w:r>
        <w:t>N/A</w:t>
      </w:r>
    </w:p>
    <w:p w:rsidR="000B3CD0" w:rsidRDefault="000B3CD0" w:rsidP="00730C04">
      <w:pPr>
        <w:pStyle w:val="Heading2"/>
      </w:pPr>
      <w:r w:rsidRPr="00154B00">
        <w:t xml:space="preserve">What is the type of </w:t>
      </w:r>
      <w:proofErr w:type="gramStart"/>
      <w:r w:rsidRPr="00154B00">
        <w:t>service:</w:t>
      </w:r>
      <w:proofErr w:type="gramEnd"/>
    </w:p>
    <w:p w:rsidR="00A6594E" w:rsidRDefault="00A6594E" w:rsidP="0062084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971F6">
        <w:rPr>
          <w:b/>
          <w:szCs w:val="20"/>
        </w:rPr>
      </w:r>
      <w:r w:rsidR="007971F6">
        <w:rPr>
          <w:b/>
          <w:szCs w:val="20"/>
        </w:rPr>
        <w:fldChar w:fldCharType="separate"/>
      </w:r>
      <w:r w:rsidRPr="0027105F">
        <w:rPr>
          <w:b/>
          <w:szCs w:val="20"/>
        </w:rPr>
        <w:fldChar w:fldCharType="end"/>
      </w:r>
      <w:r w:rsidRPr="0027105F">
        <w:rPr>
          <w:b/>
          <w:szCs w:val="20"/>
        </w:rPr>
        <w:t xml:space="preserve"> </w:t>
      </w:r>
      <w:r>
        <w:t>Therapeutic medical service</w:t>
      </w:r>
    </w:p>
    <w:p w:rsidR="00A6594E" w:rsidRDefault="008B2222" w:rsidP="0062084A">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7971F6">
        <w:rPr>
          <w:b/>
          <w:szCs w:val="20"/>
        </w:rPr>
      </w:r>
      <w:r w:rsidR="007971F6">
        <w:rPr>
          <w:b/>
          <w:szCs w:val="20"/>
        </w:rPr>
        <w:fldChar w:fldCharType="separate"/>
      </w:r>
      <w:r>
        <w:rPr>
          <w:b/>
          <w:szCs w:val="20"/>
        </w:rPr>
        <w:fldChar w:fldCharType="end"/>
      </w:r>
      <w:r w:rsidR="00A6594E" w:rsidRPr="0027105F">
        <w:rPr>
          <w:b/>
          <w:szCs w:val="20"/>
        </w:rPr>
        <w:t xml:space="preserve"> </w:t>
      </w:r>
      <w:r w:rsidR="00A6594E">
        <w:t>Investigative medical service</w:t>
      </w:r>
    </w:p>
    <w:p w:rsidR="00A6594E" w:rsidRDefault="00A6594E" w:rsidP="0062084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971F6">
        <w:rPr>
          <w:b/>
          <w:szCs w:val="20"/>
        </w:rPr>
      </w:r>
      <w:r w:rsidR="007971F6">
        <w:rPr>
          <w:b/>
          <w:szCs w:val="20"/>
        </w:rPr>
        <w:fldChar w:fldCharType="separate"/>
      </w:r>
      <w:r w:rsidRPr="0027105F">
        <w:rPr>
          <w:b/>
          <w:szCs w:val="20"/>
        </w:rPr>
        <w:fldChar w:fldCharType="end"/>
      </w:r>
      <w:r w:rsidRPr="0027105F">
        <w:rPr>
          <w:b/>
          <w:szCs w:val="20"/>
        </w:rPr>
        <w:t xml:space="preserve"> </w:t>
      </w:r>
      <w:r>
        <w:t>Single consultation medical service</w:t>
      </w:r>
    </w:p>
    <w:p w:rsidR="00A6594E" w:rsidRDefault="00A6594E" w:rsidP="0062084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971F6">
        <w:rPr>
          <w:b/>
          <w:szCs w:val="20"/>
        </w:rPr>
      </w:r>
      <w:r w:rsidR="007971F6">
        <w:rPr>
          <w:b/>
          <w:szCs w:val="20"/>
        </w:rPr>
        <w:fldChar w:fldCharType="separate"/>
      </w:r>
      <w:r w:rsidRPr="0027105F">
        <w:rPr>
          <w:b/>
          <w:szCs w:val="20"/>
        </w:rPr>
        <w:fldChar w:fldCharType="end"/>
      </w:r>
      <w:r w:rsidRPr="0027105F">
        <w:rPr>
          <w:b/>
          <w:szCs w:val="20"/>
        </w:rPr>
        <w:t xml:space="preserve"> </w:t>
      </w:r>
      <w:r>
        <w:t>Global consultation medical service</w:t>
      </w:r>
    </w:p>
    <w:p w:rsidR="00A6594E" w:rsidRDefault="00A6594E" w:rsidP="0062084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971F6">
        <w:rPr>
          <w:b/>
          <w:szCs w:val="20"/>
        </w:rPr>
      </w:r>
      <w:r w:rsidR="007971F6">
        <w:rPr>
          <w:b/>
          <w:szCs w:val="20"/>
        </w:rPr>
        <w:fldChar w:fldCharType="separate"/>
      </w:r>
      <w:r w:rsidRPr="0027105F">
        <w:rPr>
          <w:b/>
          <w:szCs w:val="20"/>
        </w:rPr>
        <w:fldChar w:fldCharType="end"/>
      </w:r>
      <w:r w:rsidRPr="0027105F">
        <w:rPr>
          <w:b/>
          <w:szCs w:val="20"/>
        </w:rPr>
        <w:t xml:space="preserve"> </w:t>
      </w:r>
      <w:r>
        <w:t>Allied health service</w:t>
      </w:r>
    </w:p>
    <w:p w:rsidR="00A6594E" w:rsidRDefault="00A6594E" w:rsidP="0062084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971F6">
        <w:rPr>
          <w:b/>
          <w:szCs w:val="20"/>
        </w:rPr>
      </w:r>
      <w:r w:rsidR="007971F6">
        <w:rPr>
          <w:b/>
          <w:szCs w:val="20"/>
        </w:rPr>
        <w:fldChar w:fldCharType="separate"/>
      </w:r>
      <w:r w:rsidRPr="0027105F">
        <w:rPr>
          <w:b/>
          <w:szCs w:val="20"/>
        </w:rPr>
        <w:fldChar w:fldCharType="end"/>
      </w:r>
      <w:r w:rsidRPr="0027105F">
        <w:rPr>
          <w:b/>
          <w:szCs w:val="20"/>
        </w:rPr>
        <w:t xml:space="preserve"> </w:t>
      </w:r>
      <w:r>
        <w:t>Co-dependent technology</w:t>
      </w:r>
    </w:p>
    <w:p w:rsidR="00A6594E" w:rsidRPr="00A6594E" w:rsidRDefault="00A6594E" w:rsidP="0062084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971F6">
        <w:rPr>
          <w:b/>
          <w:szCs w:val="20"/>
        </w:rPr>
      </w:r>
      <w:r w:rsidR="007971F6">
        <w:rPr>
          <w:b/>
          <w:szCs w:val="20"/>
        </w:rPr>
        <w:fldChar w:fldCharType="separate"/>
      </w:r>
      <w:r w:rsidRPr="0027105F">
        <w:rPr>
          <w:b/>
          <w:szCs w:val="20"/>
        </w:rPr>
        <w:fldChar w:fldCharType="end"/>
      </w:r>
      <w:r w:rsidRPr="0027105F">
        <w:rPr>
          <w:b/>
          <w:szCs w:val="20"/>
        </w:rPr>
        <w:t xml:space="preserve"> </w:t>
      </w:r>
      <w:r>
        <w:t>Hybrid health technology</w:t>
      </w:r>
    </w:p>
    <w:p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7971F6">
        <w:rPr>
          <w:b/>
          <w:szCs w:val="20"/>
        </w:rPr>
      </w:r>
      <w:r w:rsidR="007971F6">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rsidR="00A6594E" w:rsidRDefault="008B2222"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7971F6">
        <w:rPr>
          <w:b/>
          <w:szCs w:val="20"/>
        </w:rPr>
      </w:r>
      <w:r w:rsidR="007971F6">
        <w:rPr>
          <w:b/>
          <w:szCs w:val="20"/>
        </w:rPr>
        <w:fldChar w:fldCharType="separate"/>
      </w:r>
      <w:r>
        <w:rPr>
          <w:b/>
          <w:szCs w:val="20"/>
        </w:rPr>
        <w:fldChar w:fldCharType="end"/>
      </w:r>
      <w:r w:rsidR="00A6594E" w:rsidRPr="00AF4466">
        <w:rPr>
          <w:b/>
          <w:szCs w:val="20"/>
        </w:rPr>
        <w:t xml:space="preserve"> </w:t>
      </w:r>
      <w:r w:rsidR="00A6594E">
        <w:t>Assists in establishing a diagnosis in symptomatic patients</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7971F6">
        <w:rPr>
          <w:b/>
          <w:szCs w:val="20"/>
        </w:rPr>
      </w:r>
      <w:r w:rsidR="007971F6">
        <w:rPr>
          <w:b/>
          <w:szCs w:val="20"/>
        </w:rPr>
        <w:fldChar w:fldCharType="separate"/>
      </w:r>
      <w:r w:rsidRPr="00AF4466">
        <w:rPr>
          <w:b/>
          <w:szCs w:val="20"/>
        </w:rPr>
        <w:fldChar w:fldCharType="end"/>
      </w:r>
      <w:r w:rsidRPr="00AF4466">
        <w:rPr>
          <w:b/>
          <w:szCs w:val="20"/>
        </w:rPr>
        <w:t xml:space="preserve"> </w:t>
      </w:r>
      <w:r>
        <w:t>Provides information about prognosis</w:t>
      </w:r>
    </w:p>
    <w:p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7971F6">
        <w:rPr>
          <w:b/>
          <w:szCs w:val="20"/>
        </w:rPr>
      </w:r>
      <w:r w:rsidR="007971F6">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7971F6">
        <w:rPr>
          <w:b/>
          <w:szCs w:val="20"/>
        </w:rPr>
      </w:r>
      <w:r w:rsidR="007971F6">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rsidR="00FE16C1" w:rsidRDefault="00FE16C1" w:rsidP="0062084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971F6">
        <w:rPr>
          <w:b/>
          <w:szCs w:val="20"/>
        </w:rPr>
      </w:r>
      <w:r w:rsidR="007971F6">
        <w:rPr>
          <w:b/>
          <w:szCs w:val="20"/>
        </w:rPr>
        <w:fldChar w:fldCharType="separate"/>
      </w:r>
      <w:r w:rsidRPr="0027105F">
        <w:rPr>
          <w:b/>
          <w:szCs w:val="20"/>
        </w:rPr>
        <w:fldChar w:fldCharType="end"/>
      </w:r>
      <w:r w:rsidRPr="0027105F">
        <w:rPr>
          <w:b/>
          <w:szCs w:val="20"/>
        </w:rPr>
        <w:t xml:space="preserve"> </w:t>
      </w:r>
      <w:r>
        <w:t>Pharmaceutical / Biological</w:t>
      </w:r>
    </w:p>
    <w:p w:rsidR="00FE16C1" w:rsidRDefault="00FE16C1" w:rsidP="0062084A">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7971F6">
        <w:rPr>
          <w:b/>
          <w:szCs w:val="20"/>
        </w:rPr>
      </w:r>
      <w:r w:rsidR="007971F6">
        <w:rPr>
          <w:b/>
          <w:szCs w:val="20"/>
        </w:rPr>
        <w:fldChar w:fldCharType="separate"/>
      </w:r>
      <w:r w:rsidRPr="0027105F">
        <w:rPr>
          <w:b/>
          <w:szCs w:val="20"/>
        </w:rPr>
        <w:fldChar w:fldCharType="end"/>
      </w:r>
      <w:r w:rsidRPr="0027105F">
        <w:rPr>
          <w:b/>
          <w:szCs w:val="20"/>
        </w:rPr>
        <w:t xml:space="preserve"> </w:t>
      </w:r>
      <w:r>
        <w:t>Prosthesis or device</w:t>
      </w:r>
    </w:p>
    <w:p w:rsidR="00FE16C1" w:rsidRPr="00FE16C1" w:rsidRDefault="008B2222" w:rsidP="0062084A">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7971F6">
        <w:rPr>
          <w:b/>
          <w:szCs w:val="20"/>
        </w:rPr>
      </w:r>
      <w:r w:rsidR="007971F6">
        <w:rPr>
          <w:b/>
          <w:szCs w:val="20"/>
        </w:rPr>
        <w:fldChar w:fldCharType="separate"/>
      </w:r>
      <w:r>
        <w:rPr>
          <w:b/>
          <w:szCs w:val="20"/>
        </w:rPr>
        <w:fldChar w:fldCharType="end"/>
      </w:r>
      <w:r w:rsidR="00FE16C1" w:rsidRPr="0027105F">
        <w:rPr>
          <w:b/>
          <w:szCs w:val="20"/>
        </w:rPr>
        <w:t xml:space="preserve"> </w:t>
      </w:r>
      <w:r w:rsidR="00FE16C1">
        <w:t>No</w:t>
      </w:r>
    </w:p>
    <w:p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rsidR="00FE16C1" w:rsidRPr="00FE16C1" w:rsidRDefault="0062084A" w:rsidP="0062084A">
      <w:pPr>
        <w:spacing w:before="0" w:after="0"/>
        <w:ind w:left="426"/>
        <w:rPr>
          <w:szCs w:val="20"/>
        </w:rPr>
      </w:pPr>
      <w:r>
        <w:rPr>
          <w:szCs w:val="20"/>
        </w:rPr>
        <w:t>N/A</w:t>
      </w:r>
    </w:p>
    <w:p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rsidR="007E39E4" w:rsidRPr="007E39E4" w:rsidRDefault="0062084A" w:rsidP="0062084A">
      <w:pPr>
        <w:ind w:left="426"/>
        <w:rPr>
          <w:b/>
          <w:szCs w:val="20"/>
        </w:rPr>
      </w:pPr>
      <w:r>
        <w:t>N/A</w:t>
      </w:r>
    </w:p>
    <w:p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rsidR="001E6919" w:rsidRPr="007E39E4" w:rsidRDefault="0062084A" w:rsidP="00A6491A">
      <w:pPr>
        <w:spacing w:before="0" w:after="0"/>
        <w:ind w:left="284"/>
        <w:rPr>
          <w:szCs w:val="20"/>
        </w:rPr>
      </w:pPr>
      <w:r>
        <w:t>N/A</w:t>
      </w:r>
    </w:p>
    <w:p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rsidR="001E6958" w:rsidRPr="001E6958" w:rsidRDefault="0062084A" w:rsidP="0062084A">
      <w:pPr>
        <w:spacing w:before="0" w:after="0"/>
        <w:ind w:left="426"/>
      </w:pPr>
      <w:r>
        <w:t>N/A</w:t>
      </w:r>
    </w:p>
    <w:p w:rsidR="00B75965" w:rsidRDefault="00B75965" w:rsidP="00530204">
      <w:pPr>
        <w:pStyle w:val="Heading2"/>
      </w:pPr>
      <w:r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Pr="00154B00">
        <w:t>is it already included on the Prosthes</w:t>
      </w:r>
      <w:r w:rsidR="00BB003A">
        <w:t>e</w:t>
      </w:r>
      <w:r w:rsidRPr="00154B00">
        <w:t>s List?</w:t>
      </w:r>
    </w:p>
    <w:p w:rsidR="00016B6E" w:rsidRPr="009939DC" w:rsidRDefault="0062084A" w:rsidP="0062084A">
      <w:pPr>
        <w:ind w:left="426"/>
      </w:pPr>
      <w:r>
        <w:rPr>
          <w:szCs w:val="20"/>
        </w:rPr>
        <w:t>N/A</w:t>
      </w:r>
    </w:p>
    <w:p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rsidR="009939DC" w:rsidRDefault="009939DC" w:rsidP="00A6491A">
      <w:pPr>
        <w:spacing w:before="0" w:after="0"/>
        <w:ind w:left="284"/>
      </w:pPr>
      <w:r>
        <w:t xml:space="preserve">Single use consumables: </w:t>
      </w:r>
      <w:r w:rsidR="004D4F8C">
        <w:t xml:space="preserve">An intravenous dose of </w:t>
      </w:r>
      <w:r w:rsidR="004D4F8C" w:rsidRPr="008B2222">
        <w:t xml:space="preserve">F-18 </w:t>
      </w:r>
      <w:proofErr w:type="spellStart"/>
      <w:r w:rsidR="004D4F8C" w:rsidRPr="008B2222">
        <w:t>Fluorodeoxyglucose</w:t>
      </w:r>
      <w:proofErr w:type="spellEnd"/>
      <w:r w:rsidR="004D4F8C">
        <w:t>.</w:t>
      </w:r>
    </w:p>
    <w:p w:rsidR="00F301F1" w:rsidRPr="00855944" w:rsidRDefault="009939DC" w:rsidP="00A6491A">
      <w:pPr>
        <w:spacing w:before="0" w:after="0"/>
        <w:ind w:left="284"/>
      </w:pPr>
      <w:r>
        <w:t>Multi-use consumables:</w:t>
      </w:r>
      <w:r w:rsidRPr="009939DC">
        <w:t xml:space="preserve"> </w:t>
      </w:r>
      <w:r w:rsidR="0062084A">
        <w:t>N/A</w:t>
      </w:r>
      <w:r w:rsidR="00F301F1" w:rsidRPr="00855944">
        <w:br w:type="page"/>
      </w:r>
    </w:p>
    <w:p w:rsidR="00226777" w:rsidRPr="00C776B1" w:rsidRDefault="00530204" w:rsidP="00C41D04">
      <w:pPr>
        <w:pStyle w:val="Heading1"/>
        <w:spacing w:line="240" w:lineRule="auto"/>
        <w:ind w:left="1559" w:hanging="1559"/>
      </w:pPr>
      <w:r>
        <w:lastRenderedPageBreak/>
        <w:t>PART 3</w:t>
      </w:r>
      <w:r w:rsidR="00F93784">
        <w:t xml:space="preserve"> – </w:t>
      </w:r>
      <w:r w:rsidR="00C41D04">
        <w:t>INFORMATION ABOUT REGULATORY</w:t>
      </w:r>
      <w:r w:rsidR="00C41D04">
        <w:br/>
      </w:r>
      <w:r w:rsidR="00226777" w:rsidRPr="00C776B1">
        <w:t>REQUIREMENTS</w:t>
      </w:r>
    </w:p>
    <w:p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rsidR="004115D4" w:rsidRDefault="004115D4" w:rsidP="00C41D04">
      <w:pPr>
        <w:spacing w:before="0"/>
        <w:ind w:left="284"/>
        <w:rPr>
          <w:szCs w:val="20"/>
        </w:rPr>
      </w:pPr>
      <w:r w:rsidRPr="00296D92">
        <w:t>2-deoxy-2-[</w:t>
      </w:r>
      <w:r w:rsidRPr="00F565FC">
        <w:t>18</w:t>
      </w:r>
      <w:r w:rsidRPr="00296D92">
        <w:t>F</w:t>
      </w:r>
      <w:proofErr w:type="gramStart"/>
      <w:r w:rsidRPr="00296D92">
        <w:t>]fluoro</w:t>
      </w:r>
      <w:proofErr w:type="gramEnd"/>
      <w:r w:rsidRPr="00296D92">
        <w:t>-D-glucose (</w:t>
      </w:r>
      <w:r w:rsidRPr="00F565FC">
        <w:rPr>
          <w:vertAlign w:val="superscript"/>
        </w:rPr>
        <w:t>18</w:t>
      </w:r>
      <w:r w:rsidRPr="00296D92">
        <w:t>F</w:t>
      </w:r>
      <w:r>
        <w:t>-FDG)</w:t>
      </w:r>
    </w:p>
    <w:p w:rsidR="004115D4" w:rsidRPr="00296D92" w:rsidRDefault="004115D4" w:rsidP="004115D4">
      <w:pPr>
        <w:spacing w:before="0" w:after="0"/>
        <w:ind w:left="284"/>
        <w:rPr>
          <w:szCs w:val="20"/>
        </w:rPr>
      </w:pPr>
      <w:r w:rsidRPr="00296D92">
        <w:rPr>
          <w:szCs w:val="20"/>
        </w:rPr>
        <w:t>ARTG Entry 54521:</w:t>
      </w:r>
    </w:p>
    <w:p w:rsidR="004115D4" w:rsidRPr="00296D92" w:rsidRDefault="004115D4" w:rsidP="004115D4">
      <w:pPr>
        <w:spacing w:before="0" w:after="0"/>
        <w:ind w:left="284"/>
        <w:rPr>
          <w:szCs w:val="20"/>
        </w:rPr>
      </w:pPr>
      <w:r w:rsidRPr="00296D92">
        <w:rPr>
          <w:szCs w:val="20"/>
        </w:rPr>
        <w:t xml:space="preserve">Type of therapeutic good: </w:t>
      </w:r>
      <w:r w:rsidRPr="00296D92">
        <w:t>Single Medicine Product</w:t>
      </w:r>
    </w:p>
    <w:p w:rsidR="004115D4" w:rsidRPr="00296D92" w:rsidRDefault="004115D4" w:rsidP="004115D4">
      <w:pPr>
        <w:spacing w:before="0" w:after="0"/>
        <w:ind w:left="284"/>
        <w:rPr>
          <w:szCs w:val="20"/>
        </w:rPr>
      </w:pPr>
      <w:r w:rsidRPr="00296D92">
        <w:rPr>
          <w:szCs w:val="20"/>
        </w:rPr>
        <w:t xml:space="preserve">Manufacturer’s name: </w:t>
      </w:r>
    </w:p>
    <w:p w:rsidR="004115D4" w:rsidRPr="00296D92" w:rsidRDefault="004115D4" w:rsidP="00C41D04">
      <w:pPr>
        <w:spacing w:before="0"/>
        <w:ind w:left="284"/>
      </w:pPr>
      <w:r w:rsidRPr="00296D92">
        <w:rPr>
          <w:szCs w:val="20"/>
        </w:rPr>
        <w:t xml:space="preserve">Sponsor’s name: </w:t>
      </w:r>
      <w:r w:rsidRPr="00296D92">
        <w:t xml:space="preserve">Austin </w:t>
      </w:r>
      <w:r w:rsidR="00C41D04">
        <w:t>Health</w:t>
      </w:r>
    </w:p>
    <w:p w:rsidR="004115D4" w:rsidRPr="00296D92" w:rsidRDefault="004115D4" w:rsidP="004115D4">
      <w:pPr>
        <w:spacing w:before="0" w:after="0"/>
        <w:ind w:left="284"/>
      </w:pPr>
      <w:r w:rsidRPr="00296D92">
        <w:t>ARTG Entry 78935:</w:t>
      </w:r>
    </w:p>
    <w:p w:rsidR="004115D4" w:rsidRPr="00296D92" w:rsidRDefault="004115D4" w:rsidP="004115D4">
      <w:pPr>
        <w:spacing w:before="0" w:after="0"/>
        <w:ind w:left="284"/>
      </w:pPr>
      <w:r w:rsidRPr="00296D92">
        <w:t>Type of therapeutic good: Single Medicine Product</w:t>
      </w:r>
    </w:p>
    <w:p w:rsidR="004115D4" w:rsidRPr="00296D92" w:rsidRDefault="004115D4" w:rsidP="004115D4">
      <w:pPr>
        <w:spacing w:before="0" w:after="0"/>
        <w:ind w:left="284"/>
      </w:pPr>
      <w:r w:rsidRPr="00296D92">
        <w:t xml:space="preserve">Manufacturer’s name: </w:t>
      </w:r>
    </w:p>
    <w:p w:rsidR="004115D4" w:rsidRPr="00296D92" w:rsidRDefault="004115D4" w:rsidP="004115D4">
      <w:pPr>
        <w:spacing w:before="0" w:after="0"/>
        <w:ind w:left="284"/>
      </w:pPr>
      <w:r w:rsidRPr="00296D92">
        <w:t>Sponsor’s name: PET</w:t>
      </w:r>
      <w:r>
        <w:t xml:space="preserve">TECH Solutions </w:t>
      </w:r>
      <w:r w:rsidRPr="00296D92">
        <w:t>Australia Pty Ltd</w:t>
      </w:r>
    </w:p>
    <w:p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rsidR="00615F42" w:rsidRPr="00615F42" w:rsidRDefault="00615F42" w:rsidP="00C41D04">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971F6">
        <w:rPr>
          <w:szCs w:val="20"/>
        </w:rPr>
      </w:r>
      <w:r w:rsidR="007971F6">
        <w:rPr>
          <w:szCs w:val="20"/>
        </w:rPr>
        <w:fldChar w:fldCharType="separate"/>
      </w:r>
      <w:r w:rsidRPr="000A5B32">
        <w:rPr>
          <w:szCs w:val="20"/>
        </w:rPr>
        <w:fldChar w:fldCharType="end"/>
      </w:r>
      <w:r w:rsidRPr="000A5B32">
        <w:rPr>
          <w:szCs w:val="20"/>
        </w:rPr>
        <w:t xml:space="preserve"> </w:t>
      </w:r>
      <w:r w:rsidRPr="00615F42">
        <w:rPr>
          <w:szCs w:val="20"/>
        </w:rPr>
        <w:t>Class III</w:t>
      </w:r>
    </w:p>
    <w:p w:rsidR="00615F42" w:rsidRPr="00615F42" w:rsidRDefault="00615F42" w:rsidP="00C41D04">
      <w:pPr>
        <w:spacing w:before="0" w:after="0"/>
        <w:ind w:left="72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971F6">
        <w:rPr>
          <w:szCs w:val="20"/>
        </w:rPr>
      </w:r>
      <w:r w:rsidR="007971F6">
        <w:rPr>
          <w:szCs w:val="20"/>
        </w:rPr>
        <w:fldChar w:fldCharType="separate"/>
      </w:r>
      <w:r w:rsidRPr="000A5B32">
        <w:rPr>
          <w:szCs w:val="20"/>
        </w:rPr>
        <w:fldChar w:fldCharType="end"/>
      </w:r>
      <w:r w:rsidRPr="000A5B32">
        <w:rPr>
          <w:szCs w:val="20"/>
        </w:rPr>
        <w:t xml:space="preserve"> </w:t>
      </w:r>
      <w:r w:rsidRPr="00615F42">
        <w:rPr>
          <w:szCs w:val="20"/>
        </w:rPr>
        <w:t>AIMD</w:t>
      </w:r>
    </w:p>
    <w:p w:rsidR="005E2CE3" w:rsidRPr="00154B00" w:rsidRDefault="004115D4" w:rsidP="00C41D04">
      <w:pPr>
        <w:spacing w:before="0" w:after="0"/>
        <w:ind w:left="72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971F6">
        <w:rPr>
          <w:szCs w:val="20"/>
        </w:rPr>
      </w:r>
      <w:r w:rsidR="007971F6">
        <w:rPr>
          <w:szCs w:val="20"/>
        </w:rPr>
        <w:fldChar w:fldCharType="separate"/>
      </w:r>
      <w:r>
        <w:rPr>
          <w:szCs w:val="20"/>
        </w:rPr>
        <w:fldChar w:fldCharType="end"/>
      </w:r>
      <w:r w:rsidR="00615F42" w:rsidRPr="000A5B32">
        <w:rPr>
          <w:szCs w:val="20"/>
        </w:rPr>
        <w:t xml:space="preserve"> </w:t>
      </w:r>
      <w:r w:rsidR="00615F42" w:rsidRPr="00615F42">
        <w:rPr>
          <w:szCs w:val="20"/>
        </w:rPr>
        <w:t>N/A</w:t>
      </w:r>
    </w:p>
    <w:p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rsidR="00C41D04" w:rsidRDefault="004D4F8C" w:rsidP="00C41D04">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7971F6">
        <w:rPr>
          <w:szCs w:val="20"/>
        </w:rPr>
      </w:r>
      <w:r w:rsidR="007971F6">
        <w:rPr>
          <w:szCs w:val="20"/>
        </w:rPr>
        <w:fldChar w:fldCharType="separate"/>
      </w:r>
      <w:r>
        <w:rPr>
          <w:szCs w:val="20"/>
        </w:rPr>
        <w:fldChar w:fldCharType="end"/>
      </w:r>
      <w:r w:rsidR="00C41D04">
        <w:rPr>
          <w:szCs w:val="20"/>
        </w:rPr>
        <w:t xml:space="preserve"> Yes </w:t>
      </w:r>
    </w:p>
    <w:p w:rsidR="003421AE" w:rsidRPr="00615F42" w:rsidRDefault="004D4F8C" w:rsidP="00C41D04">
      <w:pPr>
        <w:spacing w:before="0" w:after="0"/>
        <w:ind w:left="360"/>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971F6">
        <w:rPr>
          <w:szCs w:val="20"/>
        </w:rPr>
      </w:r>
      <w:r w:rsidR="007971F6">
        <w:rPr>
          <w:szCs w:val="20"/>
        </w:rPr>
        <w:fldChar w:fldCharType="separate"/>
      </w:r>
      <w:r>
        <w:rPr>
          <w:szCs w:val="20"/>
        </w:rPr>
        <w:fldChar w:fldCharType="end"/>
      </w:r>
      <w:r w:rsidR="00615F42">
        <w:rPr>
          <w:szCs w:val="20"/>
        </w:rPr>
        <w:t xml:space="preserve"> No</w:t>
      </w:r>
    </w:p>
    <w:p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rsidR="0043654D" w:rsidRDefault="004115D4"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971F6">
        <w:rPr>
          <w:szCs w:val="20"/>
        </w:rPr>
      </w:r>
      <w:r w:rsidR="007971F6">
        <w:rPr>
          <w:szCs w:val="20"/>
        </w:rPr>
        <w:fldChar w:fldCharType="separate"/>
      </w:r>
      <w:r>
        <w:rPr>
          <w:szCs w:val="20"/>
        </w:rPr>
        <w:fldChar w:fldCharType="end"/>
      </w:r>
      <w:r w:rsidR="0043654D">
        <w:rPr>
          <w:szCs w:val="20"/>
        </w:rPr>
        <w:t xml:space="preserve"> Yes (if yes, please provide details below)</w:t>
      </w:r>
    </w:p>
    <w:p w:rsidR="0043654D" w:rsidRPr="00C41D04" w:rsidRDefault="0043654D" w:rsidP="00C41D04">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971F6">
        <w:rPr>
          <w:szCs w:val="20"/>
        </w:rPr>
      </w:r>
      <w:r w:rsidR="007971F6">
        <w:rPr>
          <w:szCs w:val="20"/>
        </w:rPr>
        <w:fldChar w:fldCharType="separate"/>
      </w:r>
      <w:r w:rsidRPr="000A5B32">
        <w:rPr>
          <w:szCs w:val="20"/>
        </w:rPr>
        <w:fldChar w:fldCharType="end"/>
      </w:r>
      <w:r w:rsidR="00C41D04">
        <w:rPr>
          <w:szCs w:val="20"/>
        </w:rPr>
        <w:t xml:space="preserve"> No</w:t>
      </w:r>
    </w:p>
    <w:p w:rsidR="004115D4" w:rsidRPr="00296D92" w:rsidRDefault="004115D4" w:rsidP="00C41D04">
      <w:pPr>
        <w:pStyle w:val="Subtitle"/>
        <w:ind w:left="284"/>
      </w:pPr>
      <w:r w:rsidRPr="00296D92">
        <w:t>ARTG listing, registration or inclusion number:  54251</w:t>
      </w:r>
    </w:p>
    <w:p w:rsidR="004115D4" w:rsidRPr="00296D92" w:rsidRDefault="004115D4" w:rsidP="00C41D04">
      <w:pPr>
        <w:spacing w:before="0" w:after="0"/>
        <w:ind w:left="284"/>
      </w:pPr>
      <w:r w:rsidRPr="00296D92">
        <w:rPr>
          <w:szCs w:val="20"/>
        </w:rPr>
        <w:t xml:space="preserve">TGA approved indication(s):  </w:t>
      </w:r>
      <w:r w:rsidR="004D4F8C">
        <w:t>Diagnostic agent in PET</w:t>
      </w:r>
      <w:r w:rsidRPr="00296D92">
        <w:t xml:space="preserve"> scan</w:t>
      </w:r>
      <w:r w:rsidR="004D4F8C">
        <w:t>ning for tumour detection, focal</w:t>
      </w:r>
      <w:r w:rsidRPr="00296D92">
        <w:t xml:space="preserve"> epilepsy, cardiac disorders, </w:t>
      </w:r>
      <w:r w:rsidR="00C41D04">
        <w:t xml:space="preserve">neurological disorders, </w:t>
      </w:r>
      <w:proofErr w:type="gramStart"/>
      <w:r w:rsidR="00C41D04">
        <w:t>stroke</w:t>
      </w:r>
      <w:proofErr w:type="gramEnd"/>
      <w:r w:rsidR="00C41D04">
        <w:t>.</w:t>
      </w:r>
    </w:p>
    <w:p w:rsidR="004115D4" w:rsidRPr="00296D92" w:rsidRDefault="004115D4" w:rsidP="00C41D04">
      <w:pPr>
        <w:pStyle w:val="Subtitle"/>
        <w:ind w:left="284"/>
      </w:pPr>
      <w:r w:rsidRPr="00296D92">
        <w:t>ARTG listing, registration or inclusion number:  78935</w:t>
      </w:r>
    </w:p>
    <w:p w:rsidR="0062084A" w:rsidRDefault="004115D4" w:rsidP="00C41D04">
      <w:pPr>
        <w:spacing w:before="0" w:after="0"/>
        <w:ind w:left="284"/>
        <w:rPr>
          <w:b/>
          <w:szCs w:val="20"/>
        </w:rPr>
      </w:pPr>
      <w:r w:rsidRPr="00296D92">
        <w:rPr>
          <w:szCs w:val="20"/>
        </w:rPr>
        <w:t xml:space="preserve">TGA approved indication(s):  </w:t>
      </w:r>
      <w:proofErr w:type="spellStart"/>
      <w:proofErr w:type="gramStart"/>
      <w:r w:rsidRPr="00296D92">
        <w:rPr>
          <w:szCs w:val="20"/>
        </w:rPr>
        <w:t>Fludeoxyglucose</w:t>
      </w:r>
      <w:proofErr w:type="spellEnd"/>
      <w:r w:rsidRPr="00296D92">
        <w:rPr>
          <w:szCs w:val="20"/>
        </w:rPr>
        <w:t>[</w:t>
      </w:r>
      <w:proofErr w:type="gramEnd"/>
      <w:r w:rsidRPr="0040766A">
        <w:rPr>
          <w:szCs w:val="20"/>
          <w:vertAlign w:val="superscript"/>
        </w:rPr>
        <w:t>18</w:t>
      </w:r>
      <w:r w:rsidRPr="00296D92">
        <w:rPr>
          <w:szCs w:val="20"/>
        </w:rPr>
        <w:t xml:space="preserve">F] injection is indicated in positron emission tomography (PET) imaging for assessment of abnormal glucose metabolism to assist in the evaluation of malignancy in patients with known or suspected abnormalities found by other testing modalities, or in patients with an existing diagnosis of cancer. </w:t>
      </w:r>
      <w:proofErr w:type="spellStart"/>
      <w:proofErr w:type="gramStart"/>
      <w:r w:rsidRPr="00296D92">
        <w:rPr>
          <w:szCs w:val="20"/>
        </w:rPr>
        <w:t>Fludeoxyglucose</w:t>
      </w:r>
      <w:proofErr w:type="spellEnd"/>
      <w:r w:rsidRPr="00296D92">
        <w:rPr>
          <w:szCs w:val="20"/>
        </w:rPr>
        <w:t>[</w:t>
      </w:r>
      <w:proofErr w:type="gramEnd"/>
      <w:r w:rsidRPr="0040766A">
        <w:rPr>
          <w:szCs w:val="20"/>
          <w:vertAlign w:val="superscript"/>
        </w:rPr>
        <w:t>18</w:t>
      </w:r>
      <w:r w:rsidRPr="00296D92">
        <w:rPr>
          <w:szCs w:val="20"/>
        </w:rPr>
        <w:t xml:space="preserve">F] injection is indicated in positron emission tomography (PET) imaging in patients with coronary artery disease and left ventricular dysfunction, when used together with myocardial perfusion imaging, for the identification of left ventricular myocardium with residual glucose metabolism and reversible loss of systolic function. </w:t>
      </w:r>
      <w:proofErr w:type="spellStart"/>
      <w:r w:rsidRPr="00296D92">
        <w:rPr>
          <w:szCs w:val="20"/>
        </w:rPr>
        <w:t>Fludeoxyglucose</w:t>
      </w:r>
      <w:proofErr w:type="spellEnd"/>
      <w:r w:rsidRPr="00296D92">
        <w:rPr>
          <w:szCs w:val="20"/>
        </w:rPr>
        <w:t xml:space="preserve"> [</w:t>
      </w:r>
      <w:r w:rsidRPr="0040766A">
        <w:rPr>
          <w:szCs w:val="20"/>
          <w:vertAlign w:val="superscript"/>
        </w:rPr>
        <w:t>18</w:t>
      </w:r>
      <w:r w:rsidRPr="00296D92">
        <w:rPr>
          <w:szCs w:val="20"/>
        </w:rPr>
        <w:t>F] injection is indicated in positron emission tomography (PET) imaging in patients for the identification of regions of abnormal glucose met</w:t>
      </w:r>
      <w:r w:rsidR="004D4F8C">
        <w:rPr>
          <w:szCs w:val="20"/>
        </w:rPr>
        <w:t>abolism associated with the focal</w:t>
      </w:r>
      <w:r w:rsidRPr="00296D92">
        <w:rPr>
          <w:szCs w:val="20"/>
        </w:rPr>
        <w:t xml:space="preserve"> epileptic seizures.</w:t>
      </w:r>
      <w:r w:rsidRPr="00296D92">
        <w:rPr>
          <w:szCs w:val="20"/>
        </w:rPr>
        <w:cr/>
      </w:r>
    </w:p>
    <w:p w:rsidR="00C0796F" w:rsidRPr="0043654D" w:rsidRDefault="00C0796F" w:rsidP="00C41D04">
      <w:pPr>
        <w:pStyle w:val="Heading2"/>
        <w:spacing w:before="0" w:after="0"/>
        <w:ind w:left="357" w:hanging="357"/>
        <w:contextualSpacing w:val="0"/>
      </w:pPr>
      <w:r w:rsidRPr="0043654D">
        <w:t>If the therapeutic good has not been listed, registered or included in the ARTG, is the therapeutic good in the process of being considered for inclusion by the TGA?</w:t>
      </w:r>
    </w:p>
    <w:p w:rsidR="003433D1" w:rsidRPr="0047581D" w:rsidRDefault="0062084A" w:rsidP="0062084A">
      <w:pPr>
        <w:spacing w:before="0" w:after="0"/>
        <w:ind w:firstLine="360"/>
        <w:rPr>
          <w:szCs w:val="20"/>
        </w:rPr>
      </w:pPr>
      <w:r>
        <w:rPr>
          <w:szCs w:val="20"/>
        </w:rPr>
        <w:t>N/A</w:t>
      </w:r>
    </w:p>
    <w:p w:rsidR="00F83A9D" w:rsidRPr="00C41D04" w:rsidRDefault="000A110D" w:rsidP="00F83A9D">
      <w:pPr>
        <w:pStyle w:val="Heading2"/>
        <w:spacing w:after="0"/>
        <w:ind w:left="357" w:hanging="357"/>
        <w:rPr>
          <w:b w:val="0"/>
        </w:rPr>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w:t>
      </w:r>
      <w:r w:rsidR="00C41D04">
        <w:t>ation to the TGA being prepared?</w:t>
      </w:r>
      <w:r w:rsidR="00C41D04">
        <w:br/>
      </w:r>
      <w:r w:rsidR="00C41D04" w:rsidRPr="00C41D04">
        <w:rPr>
          <w:b w:val="0"/>
        </w:rPr>
        <w:t>N/A</w:t>
      </w:r>
    </w:p>
    <w:p w:rsidR="00DD308E" w:rsidRDefault="00DD308E">
      <w:pPr>
        <w:rPr>
          <w:b/>
          <w:sz w:val="32"/>
          <w:szCs w:val="32"/>
        </w:rPr>
        <w:sectPr w:rsidR="00DD308E" w:rsidSect="00C41D04">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1276" w:left="1440" w:header="708" w:footer="708" w:gutter="0"/>
          <w:pgNumType w:start="0"/>
          <w:cols w:space="708"/>
          <w:titlePg/>
          <w:docGrid w:linePitch="360"/>
        </w:sectPr>
      </w:pPr>
    </w:p>
    <w:p w:rsidR="00DD308E" w:rsidRPr="00C776B1" w:rsidRDefault="00B17CBE" w:rsidP="0056015F">
      <w:pPr>
        <w:pStyle w:val="Heading1"/>
      </w:pPr>
      <w:r>
        <w:lastRenderedPageBreak/>
        <w:t>PART 4</w:t>
      </w:r>
      <w:r w:rsidR="00DD308E">
        <w:t xml:space="preserve"> – SUMMARY</w:t>
      </w:r>
      <w:r w:rsidR="00DD308E" w:rsidRPr="00C776B1">
        <w:t xml:space="preserve"> OF EVIDENCE</w:t>
      </w:r>
    </w:p>
    <w:p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00" w:type="pct"/>
        <w:tblLook w:val="04A0" w:firstRow="1" w:lastRow="0" w:firstColumn="1" w:lastColumn="0" w:noHBand="0" w:noVBand="1"/>
        <w:tblCaption w:val="Summary of Evidence - Published"/>
      </w:tblPr>
      <w:tblGrid>
        <w:gridCol w:w="369"/>
        <w:gridCol w:w="2604"/>
        <w:gridCol w:w="3122"/>
        <w:gridCol w:w="2265"/>
        <w:gridCol w:w="3462"/>
        <w:gridCol w:w="2126"/>
      </w:tblGrid>
      <w:tr w:rsidR="00DD308E" w:rsidTr="00C41D04">
        <w:trPr>
          <w:cantSplit/>
          <w:trHeight w:val="1030"/>
          <w:tblHeader/>
        </w:trPr>
        <w:tc>
          <w:tcPr>
            <w:tcW w:w="132" w:type="pct"/>
          </w:tcPr>
          <w:p w:rsidR="00DD308E" w:rsidRDefault="00DD308E" w:rsidP="00855944">
            <w:pPr>
              <w:pStyle w:val="TableHEADER"/>
            </w:pPr>
          </w:p>
        </w:tc>
        <w:tc>
          <w:tcPr>
            <w:tcW w:w="933" w:type="pct"/>
          </w:tcPr>
          <w:p w:rsidR="00DD308E" w:rsidRDefault="00DD308E" w:rsidP="00855944">
            <w:pPr>
              <w:pStyle w:val="TableHEADER"/>
            </w:pPr>
            <w:r>
              <w:t>Type of study design*</w:t>
            </w:r>
          </w:p>
        </w:tc>
        <w:tc>
          <w:tcPr>
            <w:tcW w:w="1119" w:type="pct"/>
          </w:tcPr>
          <w:p w:rsidR="00DD308E" w:rsidRDefault="00DD308E" w:rsidP="00855944">
            <w:pPr>
              <w:pStyle w:val="TableHEADER"/>
            </w:pPr>
            <w:r>
              <w:t>Title of journal article  or research project (including any trial identifier or study lead if relevant)</w:t>
            </w:r>
          </w:p>
        </w:tc>
        <w:tc>
          <w:tcPr>
            <w:tcW w:w="812" w:type="pct"/>
          </w:tcPr>
          <w:p w:rsidR="00DD308E" w:rsidRDefault="00DD308E" w:rsidP="00855944">
            <w:pPr>
              <w:pStyle w:val="TableHEADER"/>
            </w:pPr>
            <w:r>
              <w:t>Short description of research  (max 50 words)**</w:t>
            </w:r>
          </w:p>
        </w:tc>
        <w:tc>
          <w:tcPr>
            <w:tcW w:w="1241" w:type="pct"/>
          </w:tcPr>
          <w:p w:rsidR="00DD308E" w:rsidRDefault="00DD308E" w:rsidP="00855944">
            <w:pPr>
              <w:pStyle w:val="TableHEADER"/>
            </w:pPr>
            <w:r w:rsidRPr="00E82F54">
              <w:t xml:space="preserve">Website link to </w:t>
            </w:r>
            <w:r>
              <w:t>journal article or research (if available)</w:t>
            </w:r>
          </w:p>
        </w:tc>
        <w:tc>
          <w:tcPr>
            <w:tcW w:w="762" w:type="pct"/>
          </w:tcPr>
          <w:p w:rsidR="00DD308E" w:rsidRDefault="00DD308E" w:rsidP="00855944">
            <w:pPr>
              <w:pStyle w:val="TableHEADER"/>
            </w:pPr>
            <w:r w:rsidRPr="00E82F54">
              <w:t>Date</w:t>
            </w:r>
            <w:r>
              <w:t xml:space="preserve"> of publication</w:t>
            </w:r>
            <w:r w:rsidRPr="00E82F54">
              <w:t>*</w:t>
            </w:r>
            <w:r>
              <w:t>**</w:t>
            </w:r>
          </w:p>
        </w:tc>
      </w:tr>
      <w:tr w:rsidR="00DD308E" w:rsidTr="0062084A">
        <w:trPr>
          <w:cantSplit/>
        </w:trPr>
        <w:tc>
          <w:tcPr>
            <w:tcW w:w="132" w:type="pct"/>
          </w:tcPr>
          <w:p w:rsidR="00DD308E" w:rsidRPr="00965B6B" w:rsidRDefault="00DD308E" w:rsidP="00DD308E">
            <w:pPr>
              <w:rPr>
                <w:szCs w:val="20"/>
              </w:rPr>
            </w:pPr>
            <w:r w:rsidRPr="00965B6B">
              <w:rPr>
                <w:szCs w:val="20"/>
              </w:rPr>
              <w:t>1</w:t>
            </w:r>
            <w:r>
              <w:rPr>
                <w:szCs w:val="20"/>
              </w:rPr>
              <w:t>.</w:t>
            </w:r>
          </w:p>
        </w:tc>
        <w:tc>
          <w:tcPr>
            <w:tcW w:w="933" w:type="pct"/>
          </w:tcPr>
          <w:p w:rsidR="00DD308E" w:rsidRPr="0062084A" w:rsidRDefault="00CE0CFD" w:rsidP="00DD308E">
            <w:pPr>
              <w:rPr>
                <w:szCs w:val="20"/>
              </w:rPr>
            </w:pPr>
            <w:r w:rsidRPr="0062084A">
              <w:rPr>
                <w:szCs w:val="20"/>
              </w:rPr>
              <w:t>Study of diagnostic accuracy</w:t>
            </w:r>
          </w:p>
        </w:tc>
        <w:tc>
          <w:tcPr>
            <w:tcW w:w="1119" w:type="pct"/>
          </w:tcPr>
          <w:p w:rsidR="00CE0CFD" w:rsidRPr="0062084A" w:rsidRDefault="00CE0CFD" w:rsidP="00CE0CFD">
            <w:pPr>
              <w:rPr>
                <w:rFonts w:cstheme="minorHAnsi"/>
              </w:rPr>
            </w:pPr>
            <w:r w:rsidRPr="0062084A">
              <w:rPr>
                <w:rFonts w:cstheme="minorHAnsi"/>
              </w:rPr>
              <w:t xml:space="preserve">A head-to-head comparison of cerebral blood flow SPECT and </w:t>
            </w:r>
            <w:r w:rsidRPr="0062084A">
              <w:rPr>
                <w:rFonts w:cstheme="minorHAnsi"/>
                <w:vertAlign w:val="superscript"/>
              </w:rPr>
              <w:t>18</w:t>
            </w:r>
            <w:r w:rsidRPr="0062084A">
              <w:rPr>
                <w:rFonts w:cstheme="minorHAnsi"/>
              </w:rPr>
              <w:t>F-FDG PET in the diagnosis of Alzheimer’s Disease.</w:t>
            </w:r>
          </w:p>
          <w:p w:rsidR="00DD308E" w:rsidRPr="0062084A" w:rsidRDefault="00DD308E" w:rsidP="00DD308E">
            <w:pPr>
              <w:rPr>
                <w:rFonts w:cstheme="minorHAnsi"/>
                <w:szCs w:val="20"/>
              </w:rPr>
            </w:pPr>
          </w:p>
          <w:p w:rsidR="007010FA" w:rsidRPr="0062084A" w:rsidRDefault="007010FA" w:rsidP="00DD308E">
            <w:pPr>
              <w:rPr>
                <w:rFonts w:cstheme="minorHAnsi"/>
                <w:szCs w:val="20"/>
              </w:rPr>
            </w:pPr>
            <w:r w:rsidRPr="0062084A">
              <w:rPr>
                <w:rFonts w:cstheme="minorHAnsi"/>
                <w:szCs w:val="20"/>
              </w:rPr>
              <w:t>Christopher Rowe</w:t>
            </w:r>
          </w:p>
        </w:tc>
        <w:tc>
          <w:tcPr>
            <w:tcW w:w="812" w:type="pct"/>
          </w:tcPr>
          <w:p w:rsidR="00DD308E" w:rsidRPr="0062084A" w:rsidRDefault="00CE0CFD" w:rsidP="00DD308E">
            <w:pPr>
              <w:rPr>
                <w:rFonts w:cstheme="minorHAnsi"/>
                <w:szCs w:val="20"/>
              </w:rPr>
            </w:pPr>
            <w:r w:rsidRPr="0062084A">
              <w:rPr>
                <w:rFonts w:cstheme="minorHAnsi"/>
                <w:szCs w:val="20"/>
              </w:rPr>
              <w:t>CBF SPECT and FDG PET in 126 patients referred for diagnostic testing were read by 5 readers. Diagnostic confidence and accuracy compared to amyloid PET supported final diagnosis was compared. PET was superior in confidence and sensitivity.</w:t>
            </w:r>
          </w:p>
        </w:tc>
        <w:tc>
          <w:tcPr>
            <w:tcW w:w="1241" w:type="pct"/>
          </w:tcPr>
          <w:p w:rsidR="001B7330" w:rsidRPr="0062084A" w:rsidRDefault="001B7330" w:rsidP="00052B7D">
            <w:pPr>
              <w:spacing w:before="0" w:after="0"/>
              <w:rPr>
                <w:rFonts w:cstheme="minorHAnsi"/>
              </w:rPr>
            </w:pPr>
            <w:r w:rsidRPr="0062084A">
              <w:rPr>
                <w:rFonts w:cstheme="minorHAnsi"/>
              </w:rPr>
              <w:t>Internal Medicine Journal</w:t>
            </w:r>
          </w:p>
          <w:p w:rsidR="001B7330" w:rsidRPr="0062084A" w:rsidRDefault="001B7330" w:rsidP="00052B7D">
            <w:pPr>
              <w:shd w:val="clear" w:color="auto" w:fill="FFFFFF"/>
              <w:spacing w:before="0" w:after="0"/>
              <w:rPr>
                <w:rFonts w:eastAsia="Times New Roman" w:cstheme="minorHAnsi"/>
                <w:szCs w:val="20"/>
                <w:lang w:eastAsia="en-AU"/>
              </w:rPr>
            </w:pPr>
            <w:r w:rsidRPr="0062084A">
              <w:rPr>
                <w:rFonts w:eastAsia="Times New Roman" w:cstheme="minorHAnsi"/>
                <w:szCs w:val="20"/>
                <w:lang w:eastAsia="en-AU"/>
              </w:rPr>
              <w:t>2020 May 10.</w:t>
            </w:r>
          </w:p>
          <w:p w:rsidR="00DD308E" w:rsidRPr="0062084A" w:rsidRDefault="001B7330" w:rsidP="00052B7D">
            <w:pPr>
              <w:spacing w:before="0" w:after="0"/>
              <w:rPr>
                <w:rFonts w:cstheme="minorHAnsi"/>
                <w:szCs w:val="20"/>
              </w:rPr>
            </w:pPr>
            <w:r w:rsidRPr="0062084A">
              <w:rPr>
                <w:rFonts w:eastAsia="Times New Roman" w:cstheme="minorHAnsi"/>
                <w:szCs w:val="20"/>
                <w:shd w:val="clear" w:color="auto" w:fill="FFFFFF"/>
                <w:lang w:eastAsia="en-AU"/>
              </w:rPr>
              <w:t> </w:t>
            </w:r>
            <w:proofErr w:type="spellStart"/>
            <w:proofErr w:type="gramStart"/>
            <w:r w:rsidRPr="0062084A">
              <w:rPr>
                <w:rFonts w:eastAsia="Times New Roman" w:cstheme="minorHAnsi"/>
                <w:szCs w:val="20"/>
                <w:shd w:val="clear" w:color="auto" w:fill="FFFFFF"/>
                <w:lang w:eastAsia="en-AU"/>
              </w:rPr>
              <w:t>doi</w:t>
            </w:r>
            <w:proofErr w:type="spellEnd"/>
            <w:proofErr w:type="gramEnd"/>
            <w:r w:rsidRPr="0062084A">
              <w:rPr>
                <w:rFonts w:eastAsia="Times New Roman" w:cstheme="minorHAnsi"/>
                <w:szCs w:val="20"/>
                <w:shd w:val="clear" w:color="auto" w:fill="FFFFFF"/>
                <w:lang w:eastAsia="en-AU"/>
              </w:rPr>
              <w:t>: 10.1111/imj.14890.</w:t>
            </w:r>
            <w:r w:rsidRPr="0062084A">
              <w:rPr>
                <w:rFonts w:eastAsia="Times New Roman" w:cstheme="minorHAnsi"/>
                <w:sz w:val="24"/>
                <w:szCs w:val="24"/>
                <w:shd w:val="clear" w:color="auto" w:fill="FFFFFF"/>
                <w:lang w:eastAsia="en-AU"/>
              </w:rPr>
              <w:t> </w:t>
            </w:r>
          </w:p>
        </w:tc>
        <w:tc>
          <w:tcPr>
            <w:tcW w:w="762" w:type="pct"/>
          </w:tcPr>
          <w:p w:rsidR="00DD308E" w:rsidRPr="0062084A" w:rsidRDefault="001B7330" w:rsidP="00DD308E">
            <w:pPr>
              <w:rPr>
                <w:rFonts w:cstheme="minorHAnsi"/>
                <w:szCs w:val="20"/>
              </w:rPr>
            </w:pPr>
            <w:r w:rsidRPr="0062084A">
              <w:rPr>
                <w:rFonts w:cstheme="minorHAnsi"/>
                <w:szCs w:val="20"/>
              </w:rPr>
              <w:t>2020</w:t>
            </w:r>
          </w:p>
        </w:tc>
      </w:tr>
      <w:tr w:rsidR="00DD308E" w:rsidTr="0062084A">
        <w:trPr>
          <w:cantSplit/>
        </w:trPr>
        <w:tc>
          <w:tcPr>
            <w:tcW w:w="132" w:type="pct"/>
          </w:tcPr>
          <w:p w:rsidR="00DD308E" w:rsidRPr="00965B6B" w:rsidRDefault="00DD308E" w:rsidP="00DD308E">
            <w:pPr>
              <w:rPr>
                <w:szCs w:val="20"/>
              </w:rPr>
            </w:pPr>
            <w:r>
              <w:rPr>
                <w:szCs w:val="20"/>
              </w:rPr>
              <w:t>2.</w:t>
            </w:r>
          </w:p>
        </w:tc>
        <w:tc>
          <w:tcPr>
            <w:tcW w:w="933" w:type="pct"/>
          </w:tcPr>
          <w:p w:rsidR="00DD308E" w:rsidRPr="0062084A" w:rsidRDefault="00CE0CFD" w:rsidP="00DD308E">
            <w:pPr>
              <w:rPr>
                <w:szCs w:val="20"/>
              </w:rPr>
            </w:pPr>
            <w:r w:rsidRPr="0062084A">
              <w:t>Study of diagnostic accuracy</w:t>
            </w:r>
          </w:p>
        </w:tc>
        <w:tc>
          <w:tcPr>
            <w:tcW w:w="1119" w:type="pct"/>
          </w:tcPr>
          <w:p w:rsidR="00DD308E" w:rsidRPr="0062084A" w:rsidRDefault="001B7330" w:rsidP="001B7330">
            <w:pPr>
              <w:rPr>
                <w:rFonts w:cstheme="minorHAnsi"/>
                <w:szCs w:val="20"/>
              </w:rPr>
            </w:pPr>
            <w:r w:rsidRPr="0062084A">
              <w:rPr>
                <w:rFonts w:cstheme="minorHAnsi"/>
              </w:rPr>
              <w:t xml:space="preserve">What does </w:t>
            </w:r>
            <w:proofErr w:type="spellStart"/>
            <w:r w:rsidRPr="0062084A">
              <w:rPr>
                <w:rFonts w:cstheme="minorHAnsi"/>
              </w:rPr>
              <w:t>fluorodeoxyglucose</w:t>
            </w:r>
            <w:proofErr w:type="spellEnd"/>
            <w:r w:rsidRPr="0062084A">
              <w:rPr>
                <w:rFonts w:cstheme="minorHAnsi"/>
              </w:rPr>
              <w:t xml:space="preserve"> PET imaging add to a clinical diagnosis of dementia?</w:t>
            </w:r>
            <w:r w:rsidRPr="0062084A">
              <w:rPr>
                <w:rFonts w:cstheme="minorHAnsi"/>
                <w:szCs w:val="20"/>
              </w:rPr>
              <w:t xml:space="preserve"> </w:t>
            </w:r>
          </w:p>
          <w:p w:rsidR="007010FA" w:rsidRPr="0062084A" w:rsidRDefault="007010FA" w:rsidP="001B7330">
            <w:pPr>
              <w:rPr>
                <w:rFonts w:cstheme="minorHAnsi"/>
                <w:szCs w:val="20"/>
              </w:rPr>
            </w:pPr>
            <w:r w:rsidRPr="0062084A">
              <w:rPr>
                <w:rFonts w:cstheme="minorHAnsi"/>
                <w:szCs w:val="20"/>
              </w:rPr>
              <w:t xml:space="preserve">William </w:t>
            </w:r>
            <w:proofErr w:type="spellStart"/>
            <w:r w:rsidRPr="0062084A">
              <w:rPr>
                <w:rFonts w:cstheme="minorHAnsi"/>
                <w:szCs w:val="20"/>
              </w:rPr>
              <w:t>Jagust</w:t>
            </w:r>
            <w:proofErr w:type="spellEnd"/>
          </w:p>
        </w:tc>
        <w:tc>
          <w:tcPr>
            <w:tcW w:w="812" w:type="pct"/>
          </w:tcPr>
          <w:p w:rsidR="00DD308E" w:rsidRPr="0062084A" w:rsidRDefault="00CE0CFD" w:rsidP="00CE0CFD">
            <w:pPr>
              <w:rPr>
                <w:rFonts w:cstheme="minorHAnsi"/>
                <w:szCs w:val="20"/>
              </w:rPr>
            </w:pPr>
            <w:r w:rsidRPr="0062084A">
              <w:rPr>
                <w:rFonts w:cstheme="minorHAnsi"/>
              </w:rPr>
              <w:t xml:space="preserve">FDG PET shown to be more accurate than clinical assessment when compared to post mortem neuropathology. </w:t>
            </w:r>
          </w:p>
        </w:tc>
        <w:tc>
          <w:tcPr>
            <w:tcW w:w="1241" w:type="pct"/>
          </w:tcPr>
          <w:p w:rsidR="001B7330" w:rsidRPr="0062084A" w:rsidRDefault="001B7330" w:rsidP="00DD308E">
            <w:pPr>
              <w:rPr>
                <w:rFonts w:cstheme="minorHAnsi"/>
              </w:rPr>
            </w:pPr>
            <w:r w:rsidRPr="0062084A">
              <w:rPr>
                <w:rFonts w:cstheme="minorHAnsi"/>
              </w:rPr>
              <w:t xml:space="preserve">Neurology </w:t>
            </w:r>
            <w:r w:rsidRPr="0062084A">
              <w:rPr>
                <w:rFonts w:cstheme="minorHAnsi"/>
                <w:shd w:val="clear" w:color="auto" w:fill="FFFFFF"/>
              </w:rPr>
              <w:t>2007 Aug 28</w:t>
            </w:r>
            <w:proofErr w:type="gramStart"/>
            <w:r w:rsidRPr="0062084A">
              <w:rPr>
                <w:rFonts w:cstheme="minorHAnsi"/>
                <w:shd w:val="clear" w:color="auto" w:fill="FFFFFF"/>
              </w:rPr>
              <w:t>;69</w:t>
            </w:r>
            <w:proofErr w:type="gramEnd"/>
            <w:r w:rsidRPr="0062084A">
              <w:rPr>
                <w:rFonts w:cstheme="minorHAnsi"/>
                <w:shd w:val="clear" w:color="auto" w:fill="FFFFFF"/>
              </w:rPr>
              <w:t>(9):871-7.</w:t>
            </w:r>
          </w:p>
          <w:p w:rsidR="00DD308E" w:rsidRPr="0062084A" w:rsidRDefault="001B7330" w:rsidP="00DD308E">
            <w:pPr>
              <w:rPr>
                <w:rFonts w:cstheme="minorHAnsi"/>
                <w:szCs w:val="20"/>
              </w:rPr>
            </w:pPr>
            <w:proofErr w:type="spellStart"/>
            <w:proofErr w:type="gramStart"/>
            <w:r w:rsidRPr="0062084A">
              <w:rPr>
                <w:rFonts w:cstheme="minorHAnsi"/>
                <w:shd w:val="clear" w:color="auto" w:fill="FFFFFF"/>
              </w:rPr>
              <w:t>doi</w:t>
            </w:r>
            <w:proofErr w:type="spellEnd"/>
            <w:proofErr w:type="gramEnd"/>
            <w:r w:rsidRPr="0062084A">
              <w:rPr>
                <w:rFonts w:cstheme="minorHAnsi"/>
                <w:shd w:val="clear" w:color="auto" w:fill="FFFFFF"/>
              </w:rPr>
              <w:t>: 10.1212/01.wnl.0000269790.05105.16.</w:t>
            </w:r>
          </w:p>
        </w:tc>
        <w:tc>
          <w:tcPr>
            <w:tcW w:w="762" w:type="pct"/>
          </w:tcPr>
          <w:p w:rsidR="00DD308E" w:rsidRPr="0062084A" w:rsidRDefault="001B7330" w:rsidP="00DD308E">
            <w:pPr>
              <w:rPr>
                <w:rFonts w:cstheme="minorHAnsi"/>
                <w:szCs w:val="20"/>
              </w:rPr>
            </w:pPr>
            <w:r w:rsidRPr="0062084A">
              <w:rPr>
                <w:rFonts w:cstheme="minorHAnsi"/>
                <w:szCs w:val="20"/>
              </w:rPr>
              <w:t>2007</w:t>
            </w:r>
          </w:p>
        </w:tc>
      </w:tr>
      <w:tr w:rsidR="00DD308E" w:rsidTr="0062084A">
        <w:trPr>
          <w:cantSplit/>
        </w:trPr>
        <w:tc>
          <w:tcPr>
            <w:tcW w:w="132" w:type="pct"/>
          </w:tcPr>
          <w:p w:rsidR="00DD308E" w:rsidRPr="00965B6B" w:rsidRDefault="00DD308E" w:rsidP="00DD308E">
            <w:pPr>
              <w:rPr>
                <w:szCs w:val="20"/>
              </w:rPr>
            </w:pPr>
            <w:r>
              <w:rPr>
                <w:szCs w:val="20"/>
              </w:rPr>
              <w:lastRenderedPageBreak/>
              <w:t>3.</w:t>
            </w:r>
          </w:p>
        </w:tc>
        <w:tc>
          <w:tcPr>
            <w:tcW w:w="933" w:type="pct"/>
          </w:tcPr>
          <w:p w:rsidR="00DD308E" w:rsidRPr="0062084A" w:rsidRDefault="00CE0CFD" w:rsidP="00CE0CFD">
            <w:pPr>
              <w:rPr>
                <w:rFonts w:cstheme="minorHAnsi"/>
                <w:szCs w:val="20"/>
              </w:rPr>
            </w:pPr>
            <w:r w:rsidRPr="0062084A">
              <w:rPr>
                <w:rFonts w:cstheme="minorHAnsi"/>
                <w:szCs w:val="20"/>
              </w:rPr>
              <w:t xml:space="preserve">Study of management impact </w:t>
            </w:r>
          </w:p>
        </w:tc>
        <w:tc>
          <w:tcPr>
            <w:tcW w:w="1119" w:type="pct"/>
          </w:tcPr>
          <w:p w:rsidR="007010FA" w:rsidRPr="0062084A" w:rsidRDefault="007010FA" w:rsidP="007971F6">
            <w:pPr>
              <w:pStyle w:val="Heading1"/>
              <w:shd w:val="clear" w:color="auto" w:fill="FFFFFF"/>
              <w:ind w:left="0" w:firstLine="0"/>
              <w:outlineLvl w:val="0"/>
              <w:rPr>
                <w:rFonts w:cstheme="minorHAnsi"/>
                <w:bCs w:val="0"/>
                <w:color w:val="auto"/>
                <w:sz w:val="20"/>
                <w:szCs w:val="20"/>
              </w:rPr>
            </w:pPr>
            <w:r w:rsidRPr="0062084A">
              <w:rPr>
                <w:rFonts w:cstheme="minorHAnsi"/>
                <w:bCs w:val="0"/>
                <w:color w:val="auto"/>
                <w:sz w:val="20"/>
                <w:szCs w:val="20"/>
              </w:rPr>
              <w:t xml:space="preserve">Management impact of FDG-PET in dementia: results from a tertiary </w:t>
            </w:r>
            <w:proofErr w:type="spellStart"/>
            <w:r w:rsidRPr="0062084A">
              <w:rPr>
                <w:rFonts w:cstheme="minorHAnsi"/>
                <w:bCs w:val="0"/>
                <w:color w:val="auto"/>
                <w:sz w:val="20"/>
                <w:szCs w:val="20"/>
              </w:rPr>
              <w:t>center</w:t>
            </w:r>
            <w:proofErr w:type="spellEnd"/>
            <w:r w:rsidRPr="0062084A">
              <w:rPr>
                <w:rFonts w:cstheme="minorHAnsi"/>
                <w:bCs w:val="0"/>
                <w:color w:val="auto"/>
                <w:sz w:val="20"/>
                <w:szCs w:val="20"/>
              </w:rPr>
              <w:t xml:space="preserve"> memory clinic</w:t>
            </w:r>
          </w:p>
          <w:p w:rsidR="00DD308E" w:rsidRPr="0062084A" w:rsidRDefault="007010FA" w:rsidP="00DD308E">
            <w:pPr>
              <w:rPr>
                <w:rFonts w:cstheme="minorHAnsi"/>
                <w:szCs w:val="20"/>
              </w:rPr>
            </w:pPr>
            <w:r w:rsidRPr="0062084A">
              <w:rPr>
                <w:rFonts w:cstheme="minorHAnsi"/>
                <w:szCs w:val="20"/>
              </w:rPr>
              <w:t>Christopher Rowe</w:t>
            </w:r>
          </w:p>
        </w:tc>
        <w:tc>
          <w:tcPr>
            <w:tcW w:w="812" w:type="pct"/>
          </w:tcPr>
          <w:p w:rsidR="00DD308E" w:rsidRPr="0062084A" w:rsidRDefault="00CE0CFD" w:rsidP="001B7330">
            <w:pPr>
              <w:rPr>
                <w:rFonts w:cstheme="minorHAnsi"/>
                <w:szCs w:val="20"/>
              </w:rPr>
            </w:pPr>
            <w:r w:rsidRPr="0062084A">
              <w:rPr>
                <w:rFonts w:cstheme="minorHAnsi"/>
                <w:szCs w:val="20"/>
              </w:rPr>
              <w:t>Prospective study demonstrated moderate or high impact of F</w:t>
            </w:r>
            <w:r w:rsidR="001B7330" w:rsidRPr="0062084A">
              <w:rPr>
                <w:rFonts w:cstheme="minorHAnsi"/>
                <w:szCs w:val="20"/>
              </w:rPr>
              <w:t>D</w:t>
            </w:r>
            <w:r w:rsidRPr="0062084A">
              <w:rPr>
                <w:rFonts w:cstheme="minorHAnsi"/>
                <w:szCs w:val="20"/>
              </w:rPr>
              <w:t xml:space="preserve">G PET in </w:t>
            </w:r>
            <w:r w:rsidR="001B7330" w:rsidRPr="0062084A">
              <w:rPr>
                <w:rFonts w:cstheme="minorHAnsi"/>
                <w:szCs w:val="20"/>
              </w:rPr>
              <w:t xml:space="preserve">30% of </w:t>
            </w:r>
            <w:r w:rsidRPr="0062084A">
              <w:rPr>
                <w:rFonts w:cstheme="minorHAnsi"/>
                <w:szCs w:val="20"/>
              </w:rPr>
              <w:t xml:space="preserve">200 patients referred from a </w:t>
            </w:r>
            <w:r w:rsidR="001B7330" w:rsidRPr="0062084A">
              <w:rPr>
                <w:rFonts w:cstheme="minorHAnsi"/>
                <w:szCs w:val="20"/>
              </w:rPr>
              <w:t xml:space="preserve">specialist </w:t>
            </w:r>
            <w:r w:rsidRPr="0062084A">
              <w:rPr>
                <w:rFonts w:cstheme="minorHAnsi"/>
                <w:szCs w:val="20"/>
              </w:rPr>
              <w:t>memory clinic</w:t>
            </w:r>
            <w:r w:rsidR="001B7330" w:rsidRPr="0062084A">
              <w:rPr>
                <w:rFonts w:cstheme="minorHAnsi"/>
                <w:szCs w:val="20"/>
              </w:rPr>
              <w:t xml:space="preserve"> in Melbourne </w:t>
            </w:r>
          </w:p>
        </w:tc>
        <w:tc>
          <w:tcPr>
            <w:tcW w:w="1241" w:type="pct"/>
          </w:tcPr>
          <w:p w:rsidR="001B7330" w:rsidRPr="0062084A" w:rsidRDefault="001B7330" w:rsidP="001B7330">
            <w:pPr>
              <w:rPr>
                <w:rFonts w:cstheme="minorHAnsi"/>
                <w:szCs w:val="20"/>
              </w:rPr>
            </w:pPr>
            <w:r w:rsidRPr="0062084A">
              <w:rPr>
                <w:rFonts w:cstheme="minorHAnsi"/>
                <w:szCs w:val="20"/>
              </w:rPr>
              <w:t xml:space="preserve">Journal of Alzheimer’s disease </w:t>
            </w:r>
            <w:r w:rsidRPr="0062084A">
              <w:rPr>
                <w:rFonts w:eastAsia="Times New Roman" w:cstheme="minorHAnsi"/>
                <w:szCs w:val="20"/>
                <w:lang w:eastAsia="en-AU"/>
              </w:rPr>
              <w:t>2014</w:t>
            </w:r>
            <w:proofErr w:type="gramStart"/>
            <w:r w:rsidRPr="0062084A">
              <w:rPr>
                <w:rFonts w:eastAsia="Times New Roman" w:cstheme="minorHAnsi"/>
                <w:szCs w:val="20"/>
                <w:lang w:eastAsia="en-AU"/>
              </w:rPr>
              <w:t>;42</w:t>
            </w:r>
            <w:proofErr w:type="gramEnd"/>
            <w:r w:rsidRPr="0062084A">
              <w:rPr>
                <w:rFonts w:eastAsia="Times New Roman" w:cstheme="minorHAnsi"/>
                <w:szCs w:val="20"/>
                <w:lang w:eastAsia="en-AU"/>
              </w:rPr>
              <w:t>(3):885-92.</w:t>
            </w:r>
          </w:p>
          <w:p w:rsidR="00DD308E" w:rsidRPr="0062084A" w:rsidRDefault="001B7330" w:rsidP="001B7330">
            <w:pPr>
              <w:rPr>
                <w:rFonts w:cstheme="minorHAnsi"/>
                <w:szCs w:val="20"/>
              </w:rPr>
            </w:pPr>
            <w:r w:rsidRPr="0062084A">
              <w:rPr>
                <w:rFonts w:eastAsia="Times New Roman" w:cstheme="minorHAnsi"/>
                <w:szCs w:val="20"/>
                <w:shd w:val="clear" w:color="auto" w:fill="FFFFFF"/>
                <w:lang w:eastAsia="en-AU"/>
              </w:rPr>
              <w:t> </w:t>
            </w:r>
            <w:proofErr w:type="spellStart"/>
            <w:r w:rsidRPr="0062084A">
              <w:rPr>
                <w:rFonts w:eastAsia="Times New Roman" w:cstheme="minorHAnsi"/>
                <w:szCs w:val="20"/>
                <w:shd w:val="clear" w:color="auto" w:fill="FFFFFF"/>
                <w:lang w:eastAsia="en-AU"/>
              </w:rPr>
              <w:t>doi</w:t>
            </w:r>
            <w:proofErr w:type="spellEnd"/>
            <w:r w:rsidRPr="0062084A">
              <w:rPr>
                <w:rFonts w:eastAsia="Times New Roman" w:cstheme="minorHAnsi"/>
                <w:szCs w:val="20"/>
                <w:shd w:val="clear" w:color="auto" w:fill="FFFFFF"/>
                <w:lang w:eastAsia="en-AU"/>
              </w:rPr>
              <w:t>: 10.3233/JAD-132729</w:t>
            </w:r>
          </w:p>
        </w:tc>
        <w:tc>
          <w:tcPr>
            <w:tcW w:w="762" w:type="pct"/>
          </w:tcPr>
          <w:p w:rsidR="00DD308E" w:rsidRPr="0062084A" w:rsidRDefault="001B7330" w:rsidP="00DD308E">
            <w:pPr>
              <w:rPr>
                <w:rFonts w:cstheme="minorHAnsi"/>
                <w:szCs w:val="20"/>
              </w:rPr>
            </w:pPr>
            <w:r w:rsidRPr="0062084A">
              <w:rPr>
                <w:rFonts w:cstheme="minorHAnsi"/>
                <w:szCs w:val="20"/>
              </w:rPr>
              <w:t>2014</w:t>
            </w:r>
          </w:p>
        </w:tc>
      </w:tr>
      <w:tr w:rsidR="00DD308E" w:rsidTr="0062084A">
        <w:trPr>
          <w:cantSplit/>
        </w:trPr>
        <w:tc>
          <w:tcPr>
            <w:tcW w:w="132" w:type="pct"/>
          </w:tcPr>
          <w:p w:rsidR="00DD308E" w:rsidRPr="00965B6B" w:rsidRDefault="00D6499B" w:rsidP="00DD308E">
            <w:pPr>
              <w:rPr>
                <w:szCs w:val="20"/>
              </w:rPr>
            </w:pPr>
            <w:r>
              <w:rPr>
                <w:szCs w:val="20"/>
              </w:rPr>
              <w:t>4</w:t>
            </w:r>
          </w:p>
        </w:tc>
        <w:tc>
          <w:tcPr>
            <w:tcW w:w="933" w:type="pct"/>
          </w:tcPr>
          <w:p w:rsidR="00DD308E" w:rsidRPr="0062084A" w:rsidRDefault="00D6499B" w:rsidP="00DD308E">
            <w:pPr>
              <w:rPr>
                <w:rFonts w:cstheme="minorHAnsi"/>
                <w:szCs w:val="20"/>
              </w:rPr>
            </w:pPr>
            <w:r w:rsidRPr="0062084A">
              <w:rPr>
                <w:rFonts w:cstheme="minorHAnsi"/>
                <w:szCs w:val="20"/>
              </w:rPr>
              <w:t>Study of diagnostic accuracy</w:t>
            </w:r>
          </w:p>
        </w:tc>
        <w:tc>
          <w:tcPr>
            <w:tcW w:w="1119" w:type="pct"/>
          </w:tcPr>
          <w:p w:rsidR="00DD308E" w:rsidRPr="0062084A" w:rsidRDefault="00D6499B" w:rsidP="00DD308E">
            <w:pPr>
              <w:rPr>
                <w:rFonts w:cstheme="minorHAnsi"/>
                <w:szCs w:val="20"/>
              </w:rPr>
            </w:pPr>
            <w:r w:rsidRPr="0062084A">
              <w:rPr>
                <w:rFonts w:cstheme="minorHAnsi"/>
                <w:szCs w:val="20"/>
              </w:rPr>
              <w:t xml:space="preserve">Accuracy of the clinical diagnosis of Alzheimer disease at National Institute on Aging Alzheimer Disease </w:t>
            </w:r>
            <w:proofErr w:type="spellStart"/>
            <w:r w:rsidRPr="0062084A">
              <w:rPr>
                <w:rFonts w:cstheme="minorHAnsi"/>
                <w:szCs w:val="20"/>
              </w:rPr>
              <w:t>Centers</w:t>
            </w:r>
            <w:proofErr w:type="spellEnd"/>
            <w:r w:rsidRPr="0062084A">
              <w:rPr>
                <w:rFonts w:cstheme="minorHAnsi"/>
                <w:szCs w:val="20"/>
              </w:rPr>
              <w:t>, 2005-2010</w:t>
            </w:r>
          </w:p>
          <w:p w:rsidR="00D6499B" w:rsidRPr="0062084A" w:rsidRDefault="00D6499B" w:rsidP="00DD308E">
            <w:pPr>
              <w:rPr>
                <w:rFonts w:cstheme="minorHAnsi"/>
                <w:szCs w:val="20"/>
              </w:rPr>
            </w:pPr>
            <w:r w:rsidRPr="0062084A">
              <w:rPr>
                <w:rFonts w:cstheme="minorHAnsi"/>
                <w:szCs w:val="20"/>
              </w:rPr>
              <w:t>Thomas Beach</w:t>
            </w:r>
          </w:p>
        </w:tc>
        <w:tc>
          <w:tcPr>
            <w:tcW w:w="812" w:type="pct"/>
          </w:tcPr>
          <w:p w:rsidR="00DD308E" w:rsidRPr="0062084A" w:rsidRDefault="00D6499B" w:rsidP="00DD308E">
            <w:pPr>
              <w:rPr>
                <w:rFonts w:cstheme="minorHAnsi"/>
                <w:szCs w:val="20"/>
              </w:rPr>
            </w:pPr>
            <w:r w:rsidRPr="0062084A">
              <w:rPr>
                <w:rFonts w:cstheme="minorHAnsi"/>
                <w:szCs w:val="20"/>
              </w:rPr>
              <w:t>Comparison of clinical diagnosis to neuropathological findings in 1198 subjects showed average sensitivity and specificity was only 70%</w:t>
            </w:r>
          </w:p>
        </w:tc>
        <w:tc>
          <w:tcPr>
            <w:tcW w:w="1241" w:type="pct"/>
          </w:tcPr>
          <w:p w:rsidR="00D6499B" w:rsidRPr="0062084A" w:rsidRDefault="00D6499B" w:rsidP="00D6499B">
            <w:pPr>
              <w:shd w:val="clear" w:color="auto" w:fill="FFFFFF"/>
              <w:spacing w:before="0" w:after="0"/>
              <w:rPr>
                <w:rFonts w:eastAsia="Times New Roman" w:cstheme="minorHAnsi"/>
                <w:szCs w:val="20"/>
                <w:lang w:eastAsia="en-AU"/>
              </w:rPr>
            </w:pPr>
            <w:r w:rsidRPr="0062084A">
              <w:rPr>
                <w:rFonts w:eastAsia="Times New Roman" w:cstheme="minorHAnsi"/>
                <w:szCs w:val="20"/>
                <w:lang w:eastAsia="en-AU"/>
              </w:rPr>
              <w:t xml:space="preserve">J </w:t>
            </w:r>
            <w:proofErr w:type="spellStart"/>
            <w:r w:rsidRPr="0062084A">
              <w:rPr>
                <w:rFonts w:eastAsia="Times New Roman" w:cstheme="minorHAnsi"/>
                <w:szCs w:val="20"/>
                <w:lang w:eastAsia="en-AU"/>
              </w:rPr>
              <w:t>Neuropathol</w:t>
            </w:r>
            <w:proofErr w:type="spellEnd"/>
            <w:r w:rsidRPr="0062084A">
              <w:rPr>
                <w:rFonts w:eastAsia="Times New Roman" w:cstheme="minorHAnsi"/>
                <w:szCs w:val="20"/>
                <w:lang w:eastAsia="en-AU"/>
              </w:rPr>
              <w:t xml:space="preserve"> </w:t>
            </w:r>
            <w:proofErr w:type="spellStart"/>
            <w:r w:rsidRPr="0062084A">
              <w:rPr>
                <w:rFonts w:eastAsia="Times New Roman" w:cstheme="minorHAnsi"/>
                <w:szCs w:val="20"/>
                <w:lang w:eastAsia="en-AU"/>
              </w:rPr>
              <w:t>Exp</w:t>
            </w:r>
            <w:proofErr w:type="spellEnd"/>
            <w:r w:rsidRPr="0062084A">
              <w:rPr>
                <w:rFonts w:eastAsia="Times New Roman" w:cstheme="minorHAnsi"/>
                <w:szCs w:val="20"/>
                <w:lang w:eastAsia="en-AU"/>
              </w:rPr>
              <w:t xml:space="preserve"> Neurol. 2012 Apr</w:t>
            </w:r>
            <w:proofErr w:type="gramStart"/>
            <w:r w:rsidRPr="0062084A">
              <w:rPr>
                <w:rFonts w:eastAsia="Times New Roman" w:cstheme="minorHAnsi"/>
                <w:szCs w:val="20"/>
                <w:lang w:eastAsia="en-AU"/>
              </w:rPr>
              <w:t>;71</w:t>
            </w:r>
            <w:proofErr w:type="gramEnd"/>
            <w:r w:rsidRPr="0062084A">
              <w:rPr>
                <w:rFonts w:eastAsia="Times New Roman" w:cstheme="minorHAnsi"/>
                <w:szCs w:val="20"/>
                <w:lang w:eastAsia="en-AU"/>
              </w:rPr>
              <w:t xml:space="preserve">(4):266-73. </w:t>
            </w:r>
          </w:p>
          <w:p w:rsidR="00DD308E" w:rsidRPr="0062084A" w:rsidRDefault="00D6499B" w:rsidP="00D6499B">
            <w:pPr>
              <w:shd w:val="clear" w:color="auto" w:fill="FFFFFF"/>
              <w:spacing w:before="0" w:after="0"/>
              <w:rPr>
                <w:rFonts w:eastAsia="Times New Roman" w:cstheme="minorHAnsi"/>
                <w:color w:val="5B616B"/>
                <w:szCs w:val="20"/>
                <w:lang w:eastAsia="en-AU"/>
              </w:rPr>
            </w:pPr>
            <w:proofErr w:type="spellStart"/>
            <w:proofErr w:type="gramStart"/>
            <w:r w:rsidRPr="0062084A">
              <w:rPr>
                <w:rFonts w:eastAsia="Times New Roman" w:cstheme="minorHAnsi"/>
                <w:szCs w:val="20"/>
                <w:shd w:val="clear" w:color="auto" w:fill="FFFFFF"/>
                <w:lang w:eastAsia="en-AU"/>
              </w:rPr>
              <w:t>doi</w:t>
            </w:r>
            <w:proofErr w:type="spellEnd"/>
            <w:proofErr w:type="gramEnd"/>
            <w:r w:rsidRPr="0062084A">
              <w:rPr>
                <w:rFonts w:eastAsia="Times New Roman" w:cstheme="minorHAnsi"/>
                <w:szCs w:val="20"/>
                <w:shd w:val="clear" w:color="auto" w:fill="FFFFFF"/>
                <w:lang w:eastAsia="en-AU"/>
              </w:rPr>
              <w:t>: 10.1097/NEN.0b013e31824b211b</w:t>
            </w:r>
            <w:r w:rsidRPr="0062084A">
              <w:rPr>
                <w:rFonts w:eastAsia="Times New Roman" w:cstheme="minorHAnsi"/>
                <w:color w:val="5B616B"/>
                <w:szCs w:val="20"/>
                <w:shd w:val="clear" w:color="auto" w:fill="FFFFFF"/>
                <w:lang w:eastAsia="en-AU"/>
              </w:rPr>
              <w:t>.</w:t>
            </w:r>
          </w:p>
        </w:tc>
        <w:tc>
          <w:tcPr>
            <w:tcW w:w="762" w:type="pct"/>
          </w:tcPr>
          <w:p w:rsidR="00DD308E" w:rsidRPr="0062084A" w:rsidRDefault="00D6499B" w:rsidP="00DD308E">
            <w:pPr>
              <w:rPr>
                <w:rFonts w:cstheme="minorHAnsi"/>
                <w:szCs w:val="20"/>
              </w:rPr>
            </w:pPr>
            <w:r w:rsidRPr="0062084A">
              <w:rPr>
                <w:rFonts w:cstheme="minorHAnsi"/>
                <w:szCs w:val="20"/>
              </w:rPr>
              <w:t>2012</w:t>
            </w:r>
          </w:p>
        </w:tc>
      </w:tr>
    </w:tbl>
    <w:p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rsidR="004C49EF" w:rsidRDefault="004C49EF" w:rsidP="00530204">
      <w:pPr>
        <w:pStyle w:val="Heading2"/>
        <w:rPr>
          <w:i/>
        </w:rPr>
      </w:pPr>
      <w:r w:rsidRPr="00E82F54">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p w:rsidR="00DD308E" w:rsidRPr="0062084A" w:rsidRDefault="0062084A" w:rsidP="0062084A">
      <w:pPr>
        <w:ind w:firstLine="360"/>
        <w:sectPr w:rsidR="00DD308E" w:rsidRPr="0062084A" w:rsidSect="00DD308E">
          <w:pgSz w:w="16838" w:h="11906" w:orient="landscape"/>
          <w:pgMar w:top="1440" w:right="1440" w:bottom="1440" w:left="1440" w:header="708" w:footer="708" w:gutter="0"/>
          <w:cols w:space="708"/>
          <w:docGrid w:linePitch="360"/>
        </w:sectPr>
      </w:pPr>
      <w:r w:rsidRPr="0062084A">
        <w:rPr>
          <w:szCs w:val="20"/>
        </w:rPr>
        <w:t>Not applicable</w:t>
      </w:r>
      <w:r w:rsidR="00F301F1" w:rsidRPr="0062084A">
        <w:rPr>
          <w:sz w:val="32"/>
          <w:szCs w:val="32"/>
        </w:rPr>
        <w:br w:type="page"/>
      </w:r>
    </w:p>
    <w:p w:rsidR="00E82F54" w:rsidRPr="00C776B1" w:rsidRDefault="005C3AE7" w:rsidP="00C41D04">
      <w:pPr>
        <w:pStyle w:val="Heading1"/>
        <w:spacing w:line="240" w:lineRule="auto"/>
        <w:ind w:left="1559" w:hanging="1559"/>
      </w:pPr>
      <w:r>
        <w:lastRenderedPageBreak/>
        <w:t>PART 5</w:t>
      </w:r>
      <w:r w:rsidR="00F93784">
        <w:t xml:space="preserve"> – </w:t>
      </w:r>
      <w:r w:rsidR="00E82F54" w:rsidRPr="00C776B1">
        <w:t>CLINICAL ENDORSEMENT AND CONSUMER INFORMATION</w:t>
      </w:r>
    </w:p>
    <w:p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rsidR="003F2CD3" w:rsidRDefault="007F0E03" w:rsidP="00E72180">
      <w:pPr>
        <w:pStyle w:val="Heading2"/>
        <w:numPr>
          <w:ilvl w:val="0"/>
          <w:numId w:val="0"/>
        </w:numPr>
        <w:ind w:left="360"/>
        <w:rPr>
          <w:b w:val="0"/>
          <w:szCs w:val="22"/>
        </w:rPr>
      </w:pPr>
      <w:r>
        <w:rPr>
          <w:b w:val="0"/>
          <w:szCs w:val="22"/>
        </w:rPr>
        <w:t xml:space="preserve">Service Providers: </w:t>
      </w:r>
      <w:r w:rsidR="00F64485">
        <w:rPr>
          <w:b w:val="0"/>
          <w:szCs w:val="22"/>
        </w:rPr>
        <w:t>Fellows</w:t>
      </w:r>
      <w:r w:rsidR="003F2CD3">
        <w:rPr>
          <w:b w:val="0"/>
          <w:szCs w:val="22"/>
        </w:rPr>
        <w:t xml:space="preserve"> of the RACP or the RANZCR who are Nuclear Medicine specialists with accreditation for PET. These are represented by the Australasian Association of Nuclear Medicine Specialists.</w:t>
      </w:r>
    </w:p>
    <w:p w:rsidR="00E72180" w:rsidRPr="00E72180" w:rsidRDefault="003F2CD3" w:rsidP="00E72180">
      <w:pPr>
        <w:pStyle w:val="Heading2"/>
        <w:numPr>
          <w:ilvl w:val="0"/>
          <w:numId w:val="0"/>
        </w:numPr>
        <w:ind w:left="360"/>
        <w:rPr>
          <w:b w:val="0"/>
          <w:szCs w:val="22"/>
        </w:rPr>
      </w:pPr>
      <w:r>
        <w:rPr>
          <w:b w:val="0"/>
          <w:szCs w:val="22"/>
        </w:rPr>
        <w:t>Service Users: Medical specialists who</w:t>
      </w:r>
      <w:r w:rsidR="00F64485">
        <w:rPr>
          <w:b w:val="0"/>
          <w:szCs w:val="22"/>
        </w:rPr>
        <w:t xml:space="preserve"> are Fellows</w:t>
      </w:r>
      <w:r>
        <w:rPr>
          <w:b w:val="0"/>
          <w:szCs w:val="22"/>
        </w:rPr>
        <w:t xml:space="preserve"> of the RACP (neurologists and geriatricians) or the RANZCP (psychiatrists). These are represented by the </w:t>
      </w:r>
      <w:r w:rsidR="00E72180" w:rsidRPr="00E72180">
        <w:rPr>
          <w:b w:val="0"/>
          <w:szCs w:val="22"/>
        </w:rPr>
        <w:t xml:space="preserve">Australian Society of Geriatric Medicine, ANZ Association of Neurologists, </w:t>
      </w:r>
      <w:r>
        <w:rPr>
          <w:b w:val="0"/>
          <w:szCs w:val="22"/>
        </w:rPr>
        <w:t xml:space="preserve">and the </w:t>
      </w:r>
      <w:r w:rsidR="00E72180" w:rsidRPr="00E72180">
        <w:rPr>
          <w:b w:val="0"/>
          <w:szCs w:val="22"/>
        </w:rPr>
        <w:t>Royal ANZ College of Psychiatrists (Old Age Psychiatry subgroup).</w:t>
      </w:r>
    </w:p>
    <w:p w:rsidR="0062084A" w:rsidRPr="0062084A" w:rsidRDefault="00E72180" w:rsidP="0062084A">
      <w:pPr>
        <w:pStyle w:val="Heading2"/>
        <w:numPr>
          <w:ilvl w:val="0"/>
          <w:numId w:val="0"/>
        </w:numPr>
        <w:ind w:left="360"/>
        <w:rPr>
          <w:b w:val="0"/>
          <w:szCs w:val="22"/>
        </w:rPr>
      </w:pPr>
      <w:r w:rsidRPr="00E72180">
        <w:rPr>
          <w:b w:val="0"/>
          <w:szCs w:val="22"/>
        </w:rPr>
        <w:t xml:space="preserve">Support letters have been previously provided by </w:t>
      </w:r>
      <w:r>
        <w:rPr>
          <w:b w:val="0"/>
          <w:szCs w:val="22"/>
        </w:rPr>
        <w:t xml:space="preserve">Department of </w:t>
      </w:r>
      <w:r w:rsidRPr="00E72180">
        <w:rPr>
          <w:b w:val="0"/>
          <w:szCs w:val="22"/>
        </w:rPr>
        <w:t>Old Age Psychiatry at the University of Melbourne and from the ANZ Association of Neurologists.</w:t>
      </w:r>
      <w:r w:rsidR="0062084A">
        <w:rPr>
          <w:b w:val="0"/>
          <w:szCs w:val="22"/>
        </w:rPr>
        <w:br/>
      </w:r>
    </w:p>
    <w:p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rsidR="003F2CD3" w:rsidRPr="003F2CD3" w:rsidRDefault="003F2CD3" w:rsidP="003F2CD3">
      <w:pPr>
        <w:pStyle w:val="Heading2"/>
        <w:numPr>
          <w:ilvl w:val="0"/>
          <w:numId w:val="0"/>
        </w:numPr>
        <w:ind w:left="360"/>
        <w:rPr>
          <w:b w:val="0"/>
        </w:rPr>
      </w:pPr>
      <w:r w:rsidRPr="003F2CD3">
        <w:rPr>
          <w:b w:val="0"/>
        </w:rPr>
        <w:t>Nuclear Medicine Specialists also provide brain SPECT</w:t>
      </w:r>
      <w:r>
        <w:rPr>
          <w:b w:val="0"/>
        </w:rPr>
        <w:t>. The Australasian Association of Nuclear Medicine Specialists strongly support</w:t>
      </w:r>
      <w:r w:rsidR="00F64485">
        <w:rPr>
          <w:b w:val="0"/>
        </w:rPr>
        <w:t>s</w:t>
      </w:r>
      <w:r>
        <w:rPr>
          <w:b w:val="0"/>
        </w:rPr>
        <w:t xml:space="preserve"> this application.</w:t>
      </w:r>
    </w:p>
    <w:p w:rsidR="00085D83" w:rsidRDefault="00085D83" w:rsidP="00085D83">
      <w:pPr>
        <w:pStyle w:val="Heading2"/>
        <w:numPr>
          <w:ilvl w:val="0"/>
          <w:numId w:val="0"/>
        </w:numPr>
        <w:ind w:left="360"/>
      </w:pPr>
    </w:p>
    <w:p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rsidR="00D904FD" w:rsidRPr="00D904FD" w:rsidRDefault="00D904FD" w:rsidP="00D904FD">
      <w:pPr>
        <w:pStyle w:val="Heading2"/>
        <w:numPr>
          <w:ilvl w:val="0"/>
          <w:numId w:val="0"/>
        </w:numPr>
        <w:ind w:firstLine="360"/>
      </w:pPr>
      <w:r w:rsidRPr="00D904FD">
        <w:rPr>
          <w:b w:val="0"/>
          <w:szCs w:val="22"/>
        </w:rPr>
        <w:t xml:space="preserve">Dementia Australia </w:t>
      </w:r>
    </w:p>
    <w:p w:rsidR="00D904FD" w:rsidRPr="00D904FD" w:rsidRDefault="00D904FD" w:rsidP="00D904FD">
      <w:pPr>
        <w:pStyle w:val="Heading2"/>
        <w:numPr>
          <w:ilvl w:val="0"/>
          <w:numId w:val="0"/>
        </w:numPr>
        <w:ind w:left="360"/>
      </w:pPr>
    </w:p>
    <w:p w:rsidR="003433D1" w:rsidRDefault="003433D1" w:rsidP="00D904FD">
      <w:pPr>
        <w:pStyle w:val="Heading2"/>
      </w:pPr>
      <w:r>
        <w:t xml:space="preserve">List the relevant </w:t>
      </w:r>
      <w:r w:rsidRPr="00EE6450">
        <w:t>sponsor</w:t>
      </w:r>
      <w:r>
        <w:t xml:space="preserve">(s) and / or manufacturer(s) who produce similar products relevant </w:t>
      </w:r>
      <w:r w:rsidR="00197D29">
        <w:t>to the proposed medical service:</w:t>
      </w:r>
    </w:p>
    <w:p w:rsidR="00085D83" w:rsidRPr="00085D83" w:rsidRDefault="00085D83" w:rsidP="00085D83">
      <w:pPr>
        <w:pStyle w:val="Heading2"/>
        <w:numPr>
          <w:ilvl w:val="0"/>
          <w:numId w:val="0"/>
        </w:numPr>
        <w:ind w:left="360"/>
        <w:rPr>
          <w:b w:val="0"/>
        </w:rPr>
      </w:pPr>
      <w:r w:rsidRPr="00085D83">
        <w:rPr>
          <w:b w:val="0"/>
        </w:rPr>
        <w:t>No</w:t>
      </w:r>
      <w:r w:rsidR="00F64485">
        <w:rPr>
          <w:b w:val="0"/>
        </w:rPr>
        <w:t>t</w:t>
      </w:r>
      <w:r w:rsidRPr="00085D83">
        <w:rPr>
          <w:b w:val="0"/>
        </w:rPr>
        <w:t xml:space="preserve"> applicable</w:t>
      </w:r>
    </w:p>
    <w:p w:rsidR="00085D83" w:rsidRDefault="00085D83" w:rsidP="00085D83">
      <w:pPr>
        <w:pStyle w:val="Heading2"/>
        <w:numPr>
          <w:ilvl w:val="0"/>
          <w:numId w:val="0"/>
        </w:numPr>
        <w:ind w:left="360"/>
      </w:pPr>
    </w:p>
    <w:p w:rsidR="00A96329" w:rsidRPr="00A96329" w:rsidRDefault="00E82F54" w:rsidP="00A96329">
      <w:pPr>
        <w:pStyle w:val="Heading2"/>
      </w:pPr>
      <w:r w:rsidRPr="00154B00">
        <w:t>Nominate two experts who could be approached about the proposed medical service and the current clinical management of the service(s):</w:t>
      </w:r>
    </w:p>
    <w:p w:rsidR="00987ABE" w:rsidRPr="00987ABE" w:rsidRDefault="00987ABE" w:rsidP="00C41D04">
      <w:pPr>
        <w:spacing w:after="0"/>
        <w:ind w:left="425"/>
        <w:rPr>
          <w:szCs w:val="20"/>
        </w:rPr>
      </w:pPr>
      <w:r>
        <w:rPr>
          <w:szCs w:val="20"/>
        </w:rPr>
        <w:t xml:space="preserve">Name of expert 1: </w:t>
      </w:r>
      <w:r w:rsidR="0062084A" w:rsidRPr="0062084A">
        <w:rPr>
          <w:b/>
          <w:szCs w:val="20"/>
        </w:rPr>
        <w:t>REDACTED</w:t>
      </w:r>
    </w:p>
    <w:p w:rsidR="00987ABE" w:rsidRPr="00987ABE" w:rsidRDefault="00987ABE" w:rsidP="00C41D04">
      <w:pPr>
        <w:spacing w:after="0"/>
        <w:ind w:left="425"/>
        <w:rPr>
          <w:szCs w:val="20"/>
        </w:rPr>
      </w:pPr>
      <w:r>
        <w:rPr>
          <w:szCs w:val="20"/>
        </w:rPr>
        <w:t xml:space="preserve">Telephone number(s): </w:t>
      </w:r>
      <w:r w:rsidR="0062084A" w:rsidRPr="0062084A">
        <w:rPr>
          <w:b/>
          <w:szCs w:val="20"/>
        </w:rPr>
        <w:t>REDACTED</w:t>
      </w:r>
    </w:p>
    <w:p w:rsidR="00987ABE" w:rsidRPr="00987ABE" w:rsidRDefault="00987ABE" w:rsidP="00C41D04">
      <w:pPr>
        <w:spacing w:after="0"/>
        <w:ind w:left="425"/>
        <w:rPr>
          <w:szCs w:val="20"/>
        </w:rPr>
      </w:pPr>
      <w:r>
        <w:rPr>
          <w:szCs w:val="20"/>
        </w:rPr>
        <w:t xml:space="preserve">Email address: </w:t>
      </w:r>
      <w:r w:rsidR="0062084A" w:rsidRPr="0062084A">
        <w:rPr>
          <w:b/>
          <w:szCs w:val="20"/>
        </w:rPr>
        <w:t>REDACTED</w:t>
      </w:r>
    </w:p>
    <w:p w:rsidR="00987ABE" w:rsidRPr="00987ABE" w:rsidRDefault="00987ABE" w:rsidP="00C41D04">
      <w:pPr>
        <w:spacing w:after="0"/>
        <w:ind w:left="425"/>
        <w:rPr>
          <w:szCs w:val="20"/>
        </w:rPr>
      </w:pPr>
      <w:r>
        <w:rPr>
          <w:szCs w:val="20"/>
        </w:rPr>
        <w:t xml:space="preserve">Justification of expertise: </w:t>
      </w:r>
      <w:r w:rsidR="0062084A" w:rsidRPr="0062084A">
        <w:rPr>
          <w:b/>
          <w:szCs w:val="20"/>
        </w:rPr>
        <w:t>REDACTED</w:t>
      </w:r>
    </w:p>
    <w:p w:rsidR="00987ABE" w:rsidRPr="00987ABE" w:rsidRDefault="00987ABE" w:rsidP="00C41D04">
      <w:pPr>
        <w:spacing w:before="240"/>
        <w:ind w:left="425"/>
        <w:rPr>
          <w:szCs w:val="20"/>
        </w:rPr>
      </w:pPr>
      <w:r>
        <w:rPr>
          <w:szCs w:val="20"/>
        </w:rPr>
        <w:t xml:space="preserve">Name of expert 2: </w:t>
      </w:r>
      <w:r w:rsidR="0062084A" w:rsidRPr="0062084A">
        <w:rPr>
          <w:b/>
          <w:szCs w:val="20"/>
        </w:rPr>
        <w:t>REDACTED</w:t>
      </w:r>
    </w:p>
    <w:p w:rsidR="00987ABE" w:rsidRPr="00987ABE" w:rsidRDefault="00987ABE" w:rsidP="00987ABE">
      <w:pPr>
        <w:ind w:left="426"/>
        <w:rPr>
          <w:szCs w:val="20"/>
        </w:rPr>
      </w:pPr>
      <w:r>
        <w:rPr>
          <w:szCs w:val="20"/>
        </w:rPr>
        <w:t>Telephone number(s):</w:t>
      </w:r>
      <w:r w:rsidR="0062084A" w:rsidRPr="0062084A">
        <w:rPr>
          <w:b/>
          <w:szCs w:val="20"/>
        </w:rPr>
        <w:t xml:space="preserve"> REDACTED</w:t>
      </w:r>
    </w:p>
    <w:p w:rsidR="00987ABE" w:rsidRPr="00987ABE" w:rsidRDefault="00987ABE" w:rsidP="00987ABE">
      <w:pPr>
        <w:ind w:left="426"/>
        <w:rPr>
          <w:szCs w:val="20"/>
        </w:rPr>
      </w:pPr>
      <w:r>
        <w:rPr>
          <w:szCs w:val="20"/>
        </w:rPr>
        <w:t xml:space="preserve">Email address: </w:t>
      </w:r>
      <w:r w:rsidR="0062084A" w:rsidRPr="0062084A">
        <w:rPr>
          <w:b/>
          <w:szCs w:val="20"/>
        </w:rPr>
        <w:t>REDACTED</w:t>
      </w:r>
    </w:p>
    <w:p w:rsidR="00E82F54" w:rsidRPr="00154B00" w:rsidRDefault="00987ABE" w:rsidP="00987ABE">
      <w:pPr>
        <w:ind w:left="426"/>
        <w:rPr>
          <w:szCs w:val="20"/>
        </w:rPr>
      </w:pPr>
      <w:r>
        <w:rPr>
          <w:szCs w:val="20"/>
        </w:rPr>
        <w:t>Justification of expertise:</w:t>
      </w:r>
      <w:r w:rsidR="0062084A" w:rsidRPr="0062084A">
        <w:rPr>
          <w:b/>
          <w:szCs w:val="20"/>
        </w:rPr>
        <w:t xml:space="preserve"> REDACTED</w:t>
      </w:r>
      <w:r>
        <w:rPr>
          <w:szCs w:val="20"/>
        </w:rPr>
        <w:t xml:space="preserve"> </w:t>
      </w:r>
    </w:p>
    <w:p w:rsidR="00987ABE" w:rsidRDefault="00987ABE" w:rsidP="00E82F54">
      <w:pPr>
        <w:ind w:left="426"/>
        <w:rPr>
          <w:i/>
          <w:szCs w:val="20"/>
        </w:rPr>
      </w:pPr>
    </w:p>
    <w:p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rsidR="003433D1" w:rsidRDefault="003433D1">
      <w:pPr>
        <w:rPr>
          <w:b/>
          <w:sz w:val="32"/>
          <w:szCs w:val="32"/>
        </w:rPr>
      </w:pPr>
      <w:r>
        <w:rPr>
          <w:b/>
          <w:sz w:val="32"/>
          <w:szCs w:val="32"/>
        </w:rPr>
        <w:br w:type="page"/>
      </w:r>
    </w:p>
    <w:p w:rsidR="00E82F54" w:rsidRPr="00EA173C" w:rsidRDefault="00F93784" w:rsidP="00C41D04">
      <w:pPr>
        <w:pStyle w:val="Heading1"/>
        <w:spacing w:line="240" w:lineRule="auto"/>
        <w:ind w:left="1559" w:hanging="1559"/>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rsidR="0021185D" w:rsidRPr="005C3AE7" w:rsidRDefault="005C3AE7" w:rsidP="005C3AE7">
      <w:pPr>
        <w:pStyle w:val="Subtitle"/>
      </w:pPr>
      <w:r w:rsidRPr="005C3AE7">
        <w:t xml:space="preserve">PART 6a – </w:t>
      </w:r>
      <w:r w:rsidR="0021185D" w:rsidRPr="005C3AE7">
        <w:t>INFORMATION ABOUT THE PROPOSED POPULATION</w:t>
      </w:r>
    </w:p>
    <w:p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rsidR="00D00874" w:rsidRDefault="00D00874" w:rsidP="00D00874">
      <w:pPr>
        <w:ind w:left="284"/>
      </w:pPr>
      <w:r>
        <w:t xml:space="preserve">Alzheimer’s disease (AD) is the most common cause of dementia. It is relentlessly progressive and leads to severe disability and then death on average 7 years from diagnosis. Symptoms of AD are present for several years before diagnosis and the pathological process that leads to the dementia of AD begins a decade or more before diagnosis.  </w:t>
      </w:r>
    </w:p>
    <w:p w:rsidR="00D00874" w:rsidRDefault="00D00874" w:rsidP="00D00874">
      <w:pPr>
        <w:ind w:left="284"/>
      </w:pPr>
      <w:r>
        <w:t xml:space="preserve">The prevalence of this disease is increasing as Australia’s population ages.  It afflicts 1% of the community aged 60 years and this prevalence rises to 20% by the age of 85 years. It is estimated that there are currently 240,000 persons in Australia with AD (see Access Economics report for Alzheimer’s Australia 2009). </w:t>
      </w:r>
    </w:p>
    <w:p w:rsidR="00D00874" w:rsidRPr="000E2B02" w:rsidRDefault="00D00874" w:rsidP="00C41D04">
      <w:pPr>
        <w:ind w:left="284"/>
      </w:pPr>
      <w:r>
        <w:t>The burden of Alzheimer’s disease and other neurodegenerative dementias on the individual, their family and Australian society is huge and growing. Dementia is the single most common reason for nursing home care and amongst the top 3 causes of morbidity and mortality in Australia. Health expenditure on dementia is rising rapidly and will overwhelm the national health budget unless steps are taken to improve management and reduce the prevalence of the disease and its related costs.</w:t>
      </w:r>
    </w:p>
    <w:p w:rsidR="00AA5FDA" w:rsidRPr="00154B00" w:rsidRDefault="00AA5FDA" w:rsidP="000E2B02">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rsidR="00D00874" w:rsidRPr="00C41D04" w:rsidRDefault="00D00874" w:rsidP="00C41D04">
      <w:pPr>
        <w:ind w:left="284"/>
      </w:pPr>
      <w:r w:rsidRPr="008B2222">
        <w:t>It is proposed that FDG PET brain imaging be used in patients with evidence of decline in memory or other areas of cognition when current diagnostic methods are inconclusive. The decline may be based on history from a patient if verified by a reliable informant (usually a spouse) or on a cognitive test score that is below those expected for age and level of education. Current diagnostic methods consist of clinical evaluation by a medical specialist, with or without a separate neuropsychology report, a CT or MRI brain scan and blood tests for routine biochemistry and haematology plus blood tests for thyroid function and B12 and folate. FDG PET should be used after this initial evaluation if diagnosis remains in doubt and will substitute for cerebral perfusion imaging with SPECT (MBS fee $605-705) and in many cases for the neuropsychology report (DVA and private fee $840). FDG PET has proven superior diagnostic accuracy to standard assessment when using post mortem histopathology as the standard of truth.</w:t>
      </w:r>
    </w:p>
    <w:p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rsidR="000E2B02" w:rsidRDefault="000E2B02" w:rsidP="005C3AE7">
      <w:pPr>
        <w:pStyle w:val="Subtitle"/>
        <w:rPr>
          <w:b w:val="0"/>
          <w:i w:val="0"/>
          <w:szCs w:val="22"/>
          <w:u w:val="none"/>
        </w:rPr>
      </w:pPr>
      <w:r w:rsidRPr="000E2B02">
        <w:rPr>
          <w:b w:val="0"/>
          <w:i w:val="0"/>
          <w:szCs w:val="22"/>
          <w:u w:val="none"/>
        </w:rPr>
        <w:t xml:space="preserve">A patient will be referred by a medical specialist after initial evaluation of cognitive decline if the diagnosis remains uncertain.  The referral will be made to a nuclear specialist who is </w:t>
      </w:r>
      <w:r w:rsidR="00785ABD">
        <w:rPr>
          <w:b w:val="0"/>
          <w:i w:val="0"/>
          <w:szCs w:val="22"/>
          <w:u w:val="none"/>
        </w:rPr>
        <w:t>credentialed</w:t>
      </w:r>
      <w:r w:rsidRPr="000E2B02">
        <w:rPr>
          <w:b w:val="0"/>
          <w:i w:val="0"/>
          <w:szCs w:val="22"/>
          <w:u w:val="none"/>
        </w:rPr>
        <w:t xml:space="preserve"> for PET.  A written repor</w:t>
      </w:r>
      <w:r w:rsidR="00CF2892">
        <w:rPr>
          <w:b w:val="0"/>
          <w:i w:val="0"/>
          <w:szCs w:val="22"/>
          <w:u w:val="none"/>
        </w:rPr>
        <w:t xml:space="preserve">t including the results of </w:t>
      </w:r>
      <w:r w:rsidRPr="000E2B02">
        <w:rPr>
          <w:b w:val="0"/>
          <w:i w:val="0"/>
          <w:szCs w:val="22"/>
          <w:u w:val="none"/>
        </w:rPr>
        <w:t>quantitative analysis by comparison to a normal age matched database will be provided to the referring specialist who will then review the diagnosis and management plan of the patient.</w:t>
      </w:r>
      <w:r w:rsidR="00C41D04">
        <w:rPr>
          <w:b w:val="0"/>
          <w:i w:val="0"/>
          <w:szCs w:val="22"/>
          <w:u w:val="none"/>
        </w:rPr>
        <w:t xml:space="preserve"> </w:t>
      </w:r>
    </w:p>
    <w:p w:rsidR="00C41D04" w:rsidRDefault="00C41D04">
      <w:pPr>
        <w:spacing w:before="0" w:after="200" w:line="276" w:lineRule="auto"/>
        <w:rPr>
          <w:b/>
          <w:i/>
          <w:szCs w:val="20"/>
          <w:u w:val="single"/>
        </w:rPr>
      </w:pPr>
      <w:r>
        <w:br w:type="page"/>
      </w:r>
    </w:p>
    <w:p w:rsidR="002A50FD" w:rsidRPr="00881F93" w:rsidRDefault="005C3AE7" w:rsidP="005C3AE7">
      <w:pPr>
        <w:pStyle w:val="Subtitle"/>
      </w:pPr>
      <w:r>
        <w:lastRenderedPageBreak/>
        <w:t xml:space="preserve">PART 6b – </w:t>
      </w:r>
      <w:r w:rsidR="002A50FD" w:rsidRPr="00881F93">
        <w:t>INFORMATION ABOUT THE INTERVENTION</w:t>
      </w:r>
    </w:p>
    <w:p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rsidR="00CF2892" w:rsidRPr="00CF2892" w:rsidRDefault="00CF2892" w:rsidP="00D00874">
      <w:pPr>
        <w:pStyle w:val="Heading2"/>
        <w:numPr>
          <w:ilvl w:val="0"/>
          <w:numId w:val="0"/>
        </w:numPr>
        <w:ind w:left="360"/>
        <w:rPr>
          <w:b w:val="0"/>
          <w:szCs w:val="22"/>
        </w:rPr>
      </w:pPr>
      <w:r w:rsidRPr="00CF2892">
        <w:rPr>
          <w:b w:val="0"/>
          <w:szCs w:val="22"/>
        </w:rPr>
        <w:t>AD affects particular areas of the brain more than others.  Loss of brain cell activity in these areas causes reduction in glucose use in these areas.  This produces a characteristic pattern of reduced glucose use that can be seen with an FDG PET brain scan.  FDG is a slightly radioactive form of glucose that can be safely injected into a patient.  After 30 minutes a scan can then be performed with a PET camera.  This scan takes about 15 minutes.  By showing areas of brain malfunction, the scan can assist doctors in making a diagnosis.  FDG PET brain scans are already used to help surgeons identify the area of the brain causing focal seizures.</w:t>
      </w:r>
      <w:r>
        <w:rPr>
          <w:b w:val="0"/>
          <w:szCs w:val="22"/>
        </w:rPr>
        <w:t xml:space="preserve"> </w:t>
      </w:r>
      <w:r w:rsidRPr="00CF2892">
        <w:rPr>
          <w:b w:val="0"/>
          <w:szCs w:val="22"/>
        </w:rPr>
        <w:t>The technique is the same as for MBS Item Number 61559 (FDG PET study of the brain, performed for the evaluation of refractory epilepsy which is being evaluated for surgery).  The service will be provided by nuclear medicine specialists upon receipt of a written referral from a medical specialist.  The professional groups most likely to order this test are neurologists, geriatricians and psychiatrists.  A report would then be sent to the referring specialist who would use the information to assist in formulating a diagnosis and treatment plan for the patient.</w:t>
      </w:r>
    </w:p>
    <w:p w:rsidR="00CF2892" w:rsidRDefault="00CF2892" w:rsidP="00CF2892">
      <w:pPr>
        <w:pStyle w:val="Heading2"/>
        <w:numPr>
          <w:ilvl w:val="0"/>
          <w:numId w:val="0"/>
        </w:numPr>
        <w:ind w:left="360"/>
        <w:rPr>
          <w:b w:val="0"/>
          <w:szCs w:val="22"/>
        </w:rPr>
      </w:pPr>
      <w:r w:rsidRPr="00CF2892">
        <w:rPr>
          <w:b w:val="0"/>
          <w:szCs w:val="22"/>
        </w:rPr>
        <w:t>The r</w:t>
      </w:r>
      <w:r w:rsidR="00982AA7">
        <w:rPr>
          <w:b w:val="0"/>
          <w:szCs w:val="22"/>
        </w:rPr>
        <w:t>equirement for semi-quantitative analysis</w:t>
      </w:r>
      <w:r w:rsidRPr="00CF2892">
        <w:rPr>
          <w:b w:val="0"/>
          <w:szCs w:val="22"/>
        </w:rPr>
        <w:t xml:space="preserve"> </w:t>
      </w:r>
      <w:r w:rsidR="00982AA7">
        <w:rPr>
          <w:b w:val="0"/>
          <w:szCs w:val="22"/>
        </w:rPr>
        <w:t xml:space="preserve">by comparison to a normal database </w:t>
      </w:r>
      <w:r w:rsidRPr="00CF2892">
        <w:rPr>
          <w:b w:val="0"/>
          <w:szCs w:val="22"/>
        </w:rPr>
        <w:t xml:space="preserve">differs from MBS Item Number 61559.  Programs </w:t>
      </w:r>
      <w:r w:rsidR="00982AA7">
        <w:rPr>
          <w:b w:val="0"/>
          <w:szCs w:val="22"/>
        </w:rPr>
        <w:t xml:space="preserve">for this analysis </w:t>
      </w:r>
      <w:r w:rsidRPr="00CF2892">
        <w:rPr>
          <w:b w:val="0"/>
          <w:szCs w:val="22"/>
        </w:rPr>
        <w:t>are available that run on a standard PC</w:t>
      </w:r>
      <w:r w:rsidR="00982AA7">
        <w:rPr>
          <w:b w:val="0"/>
          <w:szCs w:val="22"/>
        </w:rPr>
        <w:t xml:space="preserve"> on the PET scanners processing workstation</w:t>
      </w:r>
      <w:r w:rsidRPr="00CF2892">
        <w:rPr>
          <w:b w:val="0"/>
          <w:szCs w:val="22"/>
        </w:rPr>
        <w:t>.</w:t>
      </w:r>
      <w:r w:rsidR="00C41D04">
        <w:rPr>
          <w:b w:val="0"/>
          <w:szCs w:val="22"/>
        </w:rPr>
        <w:br/>
      </w:r>
    </w:p>
    <w:p w:rsidR="002A6753" w:rsidRPr="00154B00" w:rsidRDefault="002A6753" w:rsidP="00CF2892">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rsidR="002A6753" w:rsidRPr="00154B00" w:rsidRDefault="00785ABD" w:rsidP="00E357B9">
      <w:pPr>
        <w:ind w:left="426"/>
        <w:rPr>
          <w:szCs w:val="20"/>
        </w:rPr>
      </w:pPr>
      <w:r>
        <w:t>N/A</w:t>
      </w:r>
    </w:p>
    <w:p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rsidR="00DF0C51" w:rsidRDefault="00785ABD" w:rsidP="00E357B9">
      <w:pPr>
        <w:ind w:left="426"/>
        <w:rPr>
          <w:b/>
          <w:szCs w:val="20"/>
        </w:rPr>
      </w:pPr>
      <w:r>
        <w:t>N/A</w:t>
      </w:r>
    </w:p>
    <w:p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rsidR="00CC09D7" w:rsidRPr="00154B00" w:rsidRDefault="00D00874" w:rsidP="00E357B9">
      <w:pPr>
        <w:ind w:left="426"/>
        <w:rPr>
          <w:szCs w:val="20"/>
        </w:rPr>
      </w:pPr>
      <w:r>
        <w:t xml:space="preserve">The service will be limited to one scan per patient per year and not applicable if a cerebral perfusion SPECT study has been performed within the same year. </w:t>
      </w:r>
    </w:p>
    <w:p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rsidR="00791C8D" w:rsidRPr="00154B00" w:rsidRDefault="00785ABD" w:rsidP="00884E69">
      <w:pPr>
        <w:ind w:left="426"/>
        <w:rPr>
          <w:szCs w:val="20"/>
        </w:rPr>
      </w:pPr>
      <w:r>
        <w:t>N/A</w:t>
      </w:r>
    </w:p>
    <w:p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rsidR="00B17E26" w:rsidRPr="00154B00" w:rsidRDefault="00CF2892" w:rsidP="00884E69">
      <w:pPr>
        <w:ind w:left="426"/>
        <w:rPr>
          <w:szCs w:val="20"/>
        </w:rPr>
      </w:pPr>
      <w:r>
        <w:t>Nuclear medicine specialists credentialed for PET.</w:t>
      </w:r>
    </w:p>
    <w:p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rsidR="00B17E26" w:rsidRPr="00154B00" w:rsidRDefault="00785ABD" w:rsidP="00884E69">
      <w:pPr>
        <w:ind w:left="426"/>
        <w:rPr>
          <w:szCs w:val="20"/>
        </w:rPr>
      </w:pPr>
      <w:r>
        <w:t>N/A</w:t>
      </w:r>
    </w:p>
    <w:p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rsidR="00CF2892" w:rsidRPr="00CF2892" w:rsidRDefault="00CF2892" w:rsidP="00CF2892">
      <w:pPr>
        <w:pStyle w:val="Heading2"/>
        <w:numPr>
          <w:ilvl w:val="0"/>
          <w:numId w:val="0"/>
        </w:numPr>
        <w:ind w:left="360"/>
      </w:pPr>
      <w:r w:rsidRPr="00CF2892">
        <w:rPr>
          <w:b w:val="0"/>
          <w:szCs w:val="22"/>
        </w:rPr>
        <w:t>The service will be provided by nuclear medicine specialists</w:t>
      </w:r>
      <w:r>
        <w:rPr>
          <w:b w:val="0"/>
          <w:szCs w:val="22"/>
        </w:rPr>
        <w:t xml:space="preserve"> credentialed for PET</w:t>
      </w:r>
      <w:r w:rsidRPr="00CF2892">
        <w:rPr>
          <w:b w:val="0"/>
          <w:szCs w:val="22"/>
        </w:rPr>
        <w:t xml:space="preserve"> upon receipt of a written referral from a medical specialist</w:t>
      </w:r>
      <w:r>
        <w:rPr>
          <w:b w:val="0"/>
          <w:szCs w:val="22"/>
        </w:rPr>
        <w:t>.</w:t>
      </w:r>
    </w:p>
    <w:p w:rsidR="00CF2892" w:rsidRPr="00CF2892" w:rsidRDefault="00CF2892" w:rsidP="00CF2892">
      <w:pPr>
        <w:pStyle w:val="Heading2"/>
        <w:numPr>
          <w:ilvl w:val="0"/>
          <w:numId w:val="0"/>
        </w:numPr>
        <w:ind w:left="360"/>
      </w:pPr>
    </w:p>
    <w:p w:rsidR="00EA0E25" w:rsidRPr="00154B00" w:rsidRDefault="00EA0E25" w:rsidP="00CF2892">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rsidR="00785ABD" w:rsidRDefault="00785ABD" w:rsidP="0073597B">
      <w:pPr>
        <w:ind w:left="426"/>
      </w:pPr>
      <w:r>
        <w:t>Medicare PET services can be provided by a s</w:t>
      </w:r>
      <w:r w:rsidRPr="00785ABD">
        <w:t xml:space="preserve">pecialist or </w:t>
      </w:r>
      <w:r>
        <w:t>consultant physician credential</w:t>
      </w:r>
      <w:r w:rsidRPr="00785ABD">
        <w:t xml:space="preserve">ed under the Joint Nuclear Medicine Specialist </w:t>
      </w:r>
      <w:proofErr w:type="spellStart"/>
      <w:r w:rsidRPr="00785ABD">
        <w:t>Credentialling</w:t>
      </w:r>
      <w:proofErr w:type="spellEnd"/>
      <w:r w:rsidRPr="00785ABD">
        <w:t xml:space="preserve"> Program for the Recognition of the Credentials of Nuclear Medicine Specialists for Positron Emission Tomography overseen by the Joint Nuclear Medicine </w:t>
      </w:r>
      <w:proofErr w:type="spellStart"/>
      <w:r w:rsidRPr="00785ABD">
        <w:t>Credentialling</w:t>
      </w:r>
      <w:proofErr w:type="spellEnd"/>
      <w:r w:rsidRPr="00785ABD">
        <w:t xml:space="preserve"> and Accreditation Committee of the RACP and RANZCR</w:t>
      </w:r>
      <w:r>
        <w:t>.</w:t>
      </w:r>
    </w:p>
    <w:p w:rsidR="00785ABD" w:rsidRPr="00154B00" w:rsidRDefault="00785ABD" w:rsidP="0073597B">
      <w:pPr>
        <w:ind w:left="426"/>
        <w:rPr>
          <w:szCs w:val="20"/>
        </w:rPr>
      </w:pPr>
    </w:p>
    <w:p w:rsidR="005F3F07" w:rsidRDefault="005C3AE7" w:rsidP="00530204">
      <w:pPr>
        <w:pStyle w:val="Heading2"/>
      </w:pPr>
      <w:r>
        <w:lastRenderedPageBreak/>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rsidR="000A478F" w:rsidRDefault="00CF2892"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7971F6">
        <w:rPr>
          <w:szCs w:val="20"/>
        </w:rPr>
      </w:r>
      <w:r w:rsidR="007971F6">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rsidR="000A478F" w:rsidRDefault="00CF2892"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7971F6">
        <w:rPr>
          <w:szCs w:val="20"/>
        </w:rPr>
      </w:r>
      <w:r w:rsidR="007971F6">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rsidR="000A478F" w:rsidRDefault="00CF2892"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7971F6">
        <w:rPr>
          <w:szCs w:val="20"/>
        </w:rPr>
      </w:r>
      <w:r w:rsidR="007971F6">
        <w:rPr>
          <w:szCs w:val="20"/>
        </w:rPr>
        <w:fldChar w:fldCharType="separate"/>
      </w:r>
      <w:r>
        <w:rPr>
          <w:szCs w:val="20"/>
        </w:rPr>
        <w:fldChar w:fldCharType="end"/>
      </w:r>
      <w:r w:rsidR="000A478F">
        <w:rPr>
          <w:szCs w:val="20"/>
        </w:rPr>
        <w:t xml:space="preserve"> </w:t>
      </w:r>
      <w:r w:rsidR="003904AC">
        <w:rPr>
          <w:szCs w:val="20"/>
        </w:rPr>
        <w:t>Private o</w:t>
      </w:r>
      <w:r w:rsidR="000A478F">
        <w:t>utpatient clinic</w:t>
      </w:r>
    </w:p>
    <w:p w:rsidR="0079354C" w:rsidRDefault="00085D83"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971F6">
        <w:rPr>
          <w:szCs w:val="20"/>
        </w:rPr>
      </w:r>
      <w:r w:rsidR="007971F6">
        <w:rPr>
          <w:szCs w:val="20"/>
        </w:rPr>
        <w:fldChar w:fldCharType="separate"/>
      </w:r>
      <w:r>
        <w:rPr>
          <w:szCs w:val="20"/>
        </w:rPr>
        <w:fldChar w:fldCharType="end"/>
      </w:r>
      <w:r w:rsidR="0079354C">
        <w:rPr>
          <w:szCs w:val="20"/>
        </w:rPr>
        <w:t xml:space="preserve"> Public outpatient clinic</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971F6">
        <w:rPr>
          <w:szCs w:val="20"/>
        </w:rPr>
      </w:r>
      <w:r w:rsidR="007971F6">
        <w:rPr>
          <w:szCs w:val="20"/>
        </w:rPr>
        <w:fldChar w:fldCharType="separate"/>
      </w:r>
      <w:r w:rsidRPr="000A5B32">
        <w:rPr>
          <w:szCs w:val="20"/>
        </w:rPr>
        <w:fldChar w:fldCharType="end"/>
      </w:r>
      <w:r>
        <w:rPr>
          <w:szCs w:val="20"/>
        </w:rPr>
        <w:t xml:space="preserve"> </w:t>
      </w:r>
      <w:r>
        <w:t>Emergency Department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971F6">
        <w:rPr>
          <w:szCs w:val="20"/>
        </w:rPr>
      </w:r>
      <w:r w:rsidR="007971F6">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971F6">
        <w:rPr>
          <w:szCs w:val="20"/>
        </w:rPr>
      </w:r>
      <w:r w:rsidR="007971F6">
        <w:rPr>
          <w:szCs w:val="20"/>
        </w:rPr>
        <w:fldChar w:fldCharType="separate"/>
      </w:r>
      <w:r w:rsidRPr="000A5B32">
        <w:rPr>
          <w:szCs w:val="20"/>
        </w:rPr>
        <w:fldChar w:fldCharType="end"/>
      </w:r>
      <w:r>
        <w:rPr>
          <w:szCs w:val="20"/>
        </w:rPr>
        <w:t xml:space="preserve"> Private consulting rooms – specialist</w:t>
      </w:r>
    </w:p>
    <w:p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971F6">
        <w:rPr>
          <w:szCs w:val="20"/>
        </w:rPr>
      </w:r>
      <w:r w:rsidR="007971F6">
        <w:rPr>
          <w:szCs w:val="20"/>
        </w:rPr>
        <w:fldChar w:fldCharType="separate"/>
      </w:r>
      <w:r w:rsidRPr="000A5B32">
        <w:rPr>
          <w:szCs w:val="20"/>
        </w:rPr>
        <w:fldChar w:fldCharType="end"/>
      </w:r>
      <w:r>
        <w:rPr>
          <w:szCs w:val="20"/>
        </w:rPr>
        <w:t xml:space="preserve"> Private consulting rooms – other health practitioner (nurse or allied health)</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971F6">
        <w:rPr>
          <w:szCs w:val="20"/>
        </w:rPr>
      </w:r>
      <w:r w:rsidR="007971F6">
        <w:rPr>
          <w:szCs w:val="20"/>
        </w:rPr>
        <w:fldChar w:fldCharType="separate"/>
      </w:r>
      <w:r w:rsidRPr="000A5B32">
        <w:rPr>
          <w:szCs w:val="20"/>
        </w:rPr>
        <w:fldChar w:fldCharType="end"/>
      </w:r>
      <w:r>
        <w:rPr>
          <w:szCs w:val="20"/>
        </w:rPr>
        <w:t xml:space="preserve"> </w:t>
      </w:r>
      <w:r w:rsidR="0079354C">
        <w:rPr>
          <w:szCs w:val="20"/>
        </w:rPr>
        <w:t xml:space="preserve">Private </w:t>
      </w:r>
      <w:proofErr w:type="gramStart"/>
      <w:r w:rsidR="0079354C">
        <w:rPr>
          <w:szCs w:val="20"/>
        </w:rPr>
        <w:t>d</w:t>
      </w:r>
      <w:r>
        <w:t>ay</w:t>
      </w:r>
      <w:proofErr w:type="gramEnd"/>
      <w:r>
        <w:t xml:space="preserve"> surgery c</w:t>
      </w:r>
      <w:r w:rsidR="0079354C">
        <w:t>linic (admitted patient)</w:t>
      </w:r>
    </w:p>
    <w:p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971F6">
        <w:rPr>
          <w:szCs w:val="20"/>
        </w:rPr>
      </w:r>
      <w:r w:rsidR="007971F6">
        <w:rPr>
          <w:szCs w:val="20"/>
        </w:rPr>
        <w:fldChar w:fldCharType="separate"/>
      </w:r>
      <w:r w:rsidRPr="000A5B32">
        <w:rPr>
          <w:szCs w:val="20"/>
        </w:rPr>
        <w:fldChar w:fldCharType="end"/>
      </w:r>
      <w:r>
        <w:rPr>
          <w:szCs w:val="20"/>
        </w:rPr>
        <w:t xml:space="preserve"> Private </w:t>
      </w:r>
      <w:proofErr w:type="gramStart"/>
      <w:r>
        <w:rPr>
          <w:szCs w:val="20"/>
        </w:rPr>
        <w:t>day</w:t>
      </w:r>
      <w:proofErr w:type="gramEnd"/>
      <w:r>
        <w:rPr>
          <w:szCs w:val="20"/>
        </w:rPr>
        <w:t xml:space="preserve"> surgery clinic (non-admitted patient)</w:t>
      </w:r>
    </w:p>
    <w:p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971F6">
        <w:rPr>
          <w:szCs w:val="20"/>
        </w:rPr>
      </w:r>
      <w:r w:rsidR="007971F6">
        <w:rPr>
          <w:szCs w:val="20"/>
        </w:rPr>
        <w:fldChar w:fldCharType="separate"/>
      </w:r>
      <w:r w:rsidRPr="000A5B32">
        <w:rPr>
          <w:szCs w:val="20"/>
        </w:rPr>
        <w:fldChar w:fldCharType="end"/>
      </w:r>
      <w:r>
        <w:rPr>
          <w:szCs w:val="20"/>
        </w:rPr>
        <w:t xml:space="preserve"> Public day surgery clinic (admitted patient)</w:t>
      </w:r>
    </w:p>
    <w:p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971F6">
        <w:rPr>
          <w:szCs w:val="20"/>
        </w:rPr>
      </w:r>
      <w:r w:rsidR="007971F6">
        <w:rPr>
          <w:szCs w:val="20"/>
        </w:rPr>
        <w:fldChar w:fldCharType="separate"/>
      </w:r>
      <w:r w:rsidRPr="000A5B32">
        <w:rPr>
          <w:szCs w:val="20"/>
        </w:rPr>
        <w:fldChar w:fldCharType="end"/>
      </w:r>
      <w:r>
        <w:rPr>
          <w:szCs w:val="20"/>
        </w:rPr>
        <w:t xml:space="preserve"> Public day surgery clinic (non-admitted patient)</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971F6">
        <w:rPr>
          <w:szCs w:val="20"/>
        </w:rPr>
      </w:r>
      <w:r w:rsidR="007971F6">
        <w:rPr>
          <w:szCs w:val="20"/>
        </w:rPr>
        <w:fldChar w:fldCharType="separate"/>
      </w:r>
      <w:r w:rsidRPr="000A5B32">
        <w:rPr>
          <w:szCs w:val="20"/>
        </w:rPr>
        <w:fldChar w:fldCharType="end"/>
      </w:r>
      <w:r>
        <w:rPr>
          <w:szCs w:val="20"/>
        </w:rPr>
        <w:t xml:space="preserve"> </w:t>
      </w:r>
      <w:r>
        <w:t>Residential aged care facility</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971F6">
        <w:rPr>
          <w:szCs w:val="20"/>
        </w:rPr>
      </w:r>
      <w:r w:rsidR="007971F6">
        <w:rPr>
          <w:szCs w:val="20"/>
        </w:rPr>
        <w:fldChar w:fldCharType="separate"/>
      </w:r>
      <w:r w:rsidRPr="000A5B32">
        <w:rPr>
          <w:szCs w:val="20"/>
        </w:rPr>
        <w:fldChar w:fldCharType="end"/>
      </w:r>
      <w:r>
        <w:rPr>
          <w:szCs w:val="20"/>
        </w:rPr>
        <w:t xml:space="preserve"> </w:t>
      </w:r>
      <w:r>
        <w:t>Patient’s home</w:t>
      </w:r>
    </w:p>
    <w:p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971F6">
        <w:rPr>
          <w:szCs w:val="20"/>
        </w:rPr>
      </w:r>
      <w:r w:rsidR="007971F6">
        <w:rPr>
          <w:szCs w:val="20"/>
        </w:rPr>
        <w:fldChar w:fldCharType="separate"/>
      </w:r>
      <w:r w:rsidRPr="000A5B32">
        <w:rPr>
          <w:szCs w:val="20"/>
        </w:rPr>
        <w:fldChar w:fldCharType="end"/>
      </w:r>
      <w:r>
        <w:rPr>
          <w:szCs w:val="20"/>
        </w:rPr>
        <w:t xml:space="preserve"> </w:t>
      </w:r>
      <w:r>
        <w:t>Laboratory</w:t>
      </w:r>
    </w:p>
    <w:p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7971F6">
        <w:rPr>
          <w:szCs w:val="20"/>
        </w:rPr>
      </w:r>
      <w:r w:rsidR="007971F6">
        <w:rPr>
          <w:szCs w:val="20"/>
        </w:rPr>
        <w:fldChar w:fldCharType="separate"/>
      </w:r>
      <w:r w:rsidRPr="000A5B32">
        <w:rPr>
          <w:szCs w:val="20"/>
        </w:rPr>
        <w:fldChar w:fldCharType="end"/>
      </w:r>
      <w:r>
        <w:rPr>
          <w:szCs w:val="20"/>
        </w:rPr>
        <w:t xml:space="preserve"> </w:t>
      </w:r>
      <w:r>
        <w:t>Other – please specify below</w:t>
      </w:r>
    </w:p>
    <w:p w:rsidR="005F3F07" w:rsidRDefault="00CF2892" w:rsidP="0073597B">
      <w:pPr>
        <w:ind w:left="426"/>
        <w:rPr>
          <w:b/>
          <w:szCs w:val="20"/>
        </w:rPr>
      </w:pPr>
      <w:r>
        <w:t>As with all other PET services, the proposed service should only be provided in facilities which meet legislative requirements</w:t>
      </w:r>
      <w:r w:rsidR="0051152A">
        <w:t xml:space="preserve"> for provision of PET services</w:t>
      </w:r>
      <w:r>
        <w:t xml:space="preserve">. </w:t>
      </w:r>
    </w:p>
    <w:p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rsidR="0073597B" w:rsidRDefault="00085D83" w:rsidP="0073597B">
      <w:pPr>
        <w:ind w:left="426"/>
        <w:rPr>
          <w:b/>
          <w:szCs w:val="20"/>
        </w:rPr>
      </w:pPr>
      <w:r>
        <w:t xml:space="preserve">The service will be provided in nuclear medicine facilities, private and public, that are </w:t>
      </w:r>
      <w:proofErr w:type="spellStart"/>
      <w:r>
        <w:t>accreditated</w:t>
      </w:r>
      <w:proofErr w:type="spellEnd"/>
      <w:r>
        <w:t xml:space="preserve"> for PET im</w:t>
      </w:r>
      <w:r w:rsidR="00982AA7">
        <w:t>aging. There are over 6</w:t>
      </w:r>
      <w:r>
        <w:t>0 such sites in Australia.</w:t>
      </w:r>
    </w:p>
    <w:p w:rsidR="003E30FB" w:rsidRDefault="003E30FB" w:rsidP="00530204">
      <w:pPr>
        <w:pStyle w:val="Heading2"/>
      </w:pPr>
      <w:r>
        <w:t xml:space="preserve">Is the </w:t>
      </w:r>
      <w:r w:rsidRPr="001B29A1">
        <w:t>proposed</w:t>
      </w:r>
      <w:r>
        <w:t xml:space="preserve"> medical service intended to be entirely rendered in Australia?</w:t>
      </w:r>
    </w:p>
    <w:p w:rsidR="000A478F" w:rsidRDefault="0051152A"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971F6">
        <w:rPr>
          <w:szCs w:val="20"/>
        </w:rPr>
      </w:r>
      <w:r w:rsidR="007971F6">
        <w:rPr>
          <w:szCs w:val="20"/>
        </w:rPr>
        <w:fldChar w:fldCharType="separate"/>
      </w:r>
      <w:r>
        <w:rPr>
          <w:szCs w:val="20"/>
        </w:rPr>
        <w:fldChar w:fldCharType="end"/>
      </w:r>
      <w:r w:rsidR="000A478F">
        <w:rPr>
          <w:szCs w:val="20"/>
        </w:rPr>
        <w:t xml:space="preserve"> Yes</w:t>
      </w:r>
    </w:p>
    <w:p w:rsidR="000A478F" w:rsidRDefault="000A478F" w:rsidP="00C41D04">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971F6">
        <w:rPr>
          <w:szCs w:val="20"/>
        </w:rPr>
      </w:r>
      <w:r w:rsidR="007971F6">
        <w:rPr>
          <w:szCs w:val="20"/>
        </w:rPr>
        <w:fldChar w:fldCharType="separate"/>
      </w:r>
      <w:r w:rsidRPr="00753C44">
        <w:rPr>
          <w:szCs w:val="20"/>
        </w:rPr>
        <w:fldChar w:fldCharType="end"/>
      </w:r>
      <w:r>
        <w:rPr>
          <w:szCs w:val="20"/>
        </w:rPr>
        <w:t xml:space="preserve"> No</w:t>
      </w:r>
      <w:r w:rsidR="00C4696B">
        <w:rPr>
          <w:szCs w:val="20"/>
        </w:rPr>
        <w:t xml:space="preserve"> – please specify below</w:t>
      </w:r>
    </w:p>
    <w:p w:rsidR="00C41D04" w:rsidRPr="00C41D04" w:rsidRDefault="00C41D04" w:rsidP="00C41D04">
      <w:pPr>
        <w:spacing w:before="0" w:after="0"/>
        <w:ind w:left="426"/>
        <w:rPr>
          <w:szCs w:val="20"/>
        </w:rPr>
      </w:pPr>
    </w:p>
    <w:p w:rsidR="00E60529" w:rsidRPr="00881F93" w:rsidRDefault="005C3AE7" w:rsidP="005C3AE7">
      <w:pPr>
        <w:pStyle w:val="Subtitle"/>
      </w:pPr>
      <w:r>
        <w:t xml:space="preserve">PART 6c – </w:t>
      </w:r>
      <w:r w:rsidR="00E60529" w:rsidRPr="00881F93">
        <w:t>INFORMATION ABOUT THE COMPARATOR</w:t>
      </w:r>
      <w:r w:rsidR="00A83EC6" w:rsidRPr="00881F93">
        <w:t>(S)</w:t>
      </w:r>
    </w:p>
    <w:p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rsidR="0051152A" w:rsidRDefault="0051152A" w:rsidP="0051152A">
      <w:pPr>
        <w:pStyle w:val="Heading2"/>
        <w:numPr>
          <w:ilvl w:val="0"/>
          <w:numId w:val="0"/>
        </w:numPr>
        <w:ind w:left="360"/>
        <w:rPr>
          <w:b w:val="0"/>
          <w:szCs w:val="22"/>
        </w:rPr>
      </w:pPr>
      <w:r w:rsidRPr="0051152A">
        <w:rPr>
          <w:b w:val="0"/>
          <w:szCs w:val="22"/>
        </w:rPr>
        <w:t>The proposed diagnostic test would be used instead of cerebral perfusion study w</w:t>
      </w:r>
      <w:r w:rsidR="00982AA7">
        <w:rPr>
          <w:b w:val="0"/>
          <w:szCs w:val="22"/>
        </w:rPr>
        <w:t>ith SPECT (MBS Item Number 61402</w:t>
      </w:r>
      <w:r w:rsidRPr="0051152A">
        <w:rPr>
          <w:b w:val="0"/>
          <w:szCs w:val="22"/>
        </w:rPr>
        <w:t>) in cases where there is diagnostic uncertainty after standard work up (clinical assessment, CT or MRI scan and routine blood tests).</w:t>
      </w:r>
    </w:p>
    <w:p w:rsidR="0051152A" w:rsidRPr="0051152A" w:rsidRDefault="0051152A" w:rsidP="007971F6">
      <w:pPr>
        <w:ind w:left="360"/>
      </w:pPr>
      <w:r w:rsidRPr="0051152A">
        <w:t>The standard diagnostic approach for AD is expert clinical evaluation.  CT or MRI and blood tests are always done to assist in excluding rare, treatable causes for dementia such as subdural haematoma, severe hypothyroidism or severe vitam</w:t>
      </w:r>
      <w:r w:rsidR="00982AA7">
        <w:t>in B12 deficiency.  Formal testing</w:t>
      </w:r>
      <w:r w:rsidRPr="0051152A">
        <w:t xml:space="preserve"> by a neuropsychologist is sometimes used</w:t>
      </w:r>
      <w:r w:rsidR="00982AA7">
        <w:t xml:space="preserve"> but this is</w:t>
      </w:r>
      <w:r w:rsidR="007971F6">
        <w:t xml:space="preserve"> </w:t>
      </w:r>
      <w:r w:rsidR="00982AA7">
        <w:t>not funded by Medicare</w:t>
      </w:r>
      <w:r w:rsidRPr="0051152A">
        <w:t>.  Cerebral perfusion study with SPECT is sometimes used</w:t>
      </w:r>
      <w:r w:rsidR="00982AA7">
        <w:t xml:space="preserve"> and is funded by Medicare</w:t>
      </w:r>
      <w:r w:rsidRPr="0051152A">
        <w:t>.</w:t>
      </w:r>
    </w:p>
    <w:p w:rsidR="00757232" w:rsidRDefault="00AF5D1E" w:rsidP="0051152A">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rsidR="006A1038" w:rsidRDefault="0051152A"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971F6">
        <w:rPr>
          <w:szCs w:val="20"/>
        </w:rPr>
      </w:r>
      <w:r w:rsidR="007971F6">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7971F6">
        <w:rPr>
          <w:szCs w:val="20"/>
        </w:rPr>
      </w:r>
      <w:r w:rsidR="007971F6">
        <w:rPr>
          <w:szCs w:val="20"/>
        </w:rPr>
        <w:fldChar w:fldCharType="separate"/>
      </w:r>
      <w:r w:rsidRPr="00753C44">
        <w:rPr>
          <w:szCs w:val="20"/>
        </w:rPr>
        <w:fldChar w:fldCharType="end"/>
      </w:r>
      <w:r>
        <w:rPr>
          <w:szCs w:val="20"/>
        </w:rPr>
        <w:t xml:space="preserve"> No  </w:t>
      </w:r>
    </w:p>
    <w:p w:rsidR="000159B9" w:rsidRDefault="00972FD6" w:rsidP="001B29A1">
      <w:pPr>
        <w:ind w:left="426"/>
      </w:pPr>
      <w:r>
        <w:t>61402 (Cerebral perfusion study with SPECT) plus 61505 (CT for attenuation correction of SPECT)</w:t>
      </w:r>
    </w:p>
    <w:p w:rsidR="00F64485" w:rsidRPr="00154B00" w:rsidRDefault="00F64485" w:rsidP="001B29A1">
      <w:pPr>
        <w:ind w:left="426"/>
        <w:rPr>
          <w:szCs w:val="20"/>
        </w:rPr>
      </w:pPr>
    </w:p>
    <w:p w:rsidR="007971F6" w:rsidRDefault="007971F6">
      <w:pPr>
        <w:spacing w:before="0" w:after="200" w:line="276" w:lineRule="auto"/>
        <w:rPr>
          <w:b/>
          <w:szCs w:val="20"/>
        </w:rPr>
      </w:pPr>
      <w:r>
        <w:br w:type="page"/>
      </w:r>
    </w:p>
    <w:p w:rsidR="00AF5D1E" w:rsidRPr="00154B00" w:rsidRDefault="00AF5D1E" w:rsidP="00530204">
      <w:pPr>
        <w:pStyle w:val="Heading2"/>
      </w:pPr>
      <w:r w:rsidRPr="00154B00">
        <w:lastRenderedPageBreak/>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rsidR="003C738D" w:rsidRDefault="003C738D" w:rsidP="001B29A1">
      <w:pPr>
        <w:ind w:left="426"/>
      </w:pPr>
      <w:r>
        <w:rPr>
          <w:rFonts w:ascii="Arial Narrow" w:hAnsi="Arial Narrow"/>
          <w:noProof/>
          <w:sz w:val="16"/>
          <w:szCs w:val="16"/>
          <w:lang w:eastAsia="en-AU"/>
        </w:rPr>
        <w:drawing>
          <wp:inline distT="0" distB="0" distL="0" distR="0" wp14:anchorId="5900DAF5" wp14:editId="10DCC8EA">
            <wp:extent cx="5219700" cy="6917406"/>
            <wp:effectExtent l="0" t="0" r="0" b="0"/>
            <wp:docPr id="4" name="Picture 1" descr="The clinical management algorithm for AD diagnosis with FDG-PET versus AD diagnosis with SP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linical management algorithm for AD diagnosis with FDG-PET versus AD diagnosis with SP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22420" cy="6921010"/>
                    </a:xfrm>
                    <a:prstGeom prst="rect">
                      <a:avLst/>
                    </a:prstGeom>
                    <a:noFill/>
                    <a:ln>
                      <a:noFill/>
                    </a:ln>
                  </pic:spPr>
                </pic:pic>
              </a:graphicData>
            </a:graphic>
          </wp:inline>
        </w:drawing>
      </w:r>
    </w:p>
    <w:p w:rsidR="003C738D" w:rsidRDefault="003C738D" w:rsidP="00C41D04">
      <w:r>
        <w:t xml:space="preserve">Compared to </w:t>
      </w:r>
      <w:r w:rsidR="00F64485">
        <w:t>cerebral perfusion (also described as cerebral blood flow (</w:t>
      </w:r>
      <w:r>
        <w:t>CBF</w:t>
      </w:r>
      <w:r w:rsidR="00F64485">
        <w:t>))</w:t>
      </w:r>
      <w:r>
        <w:t xml:space="preserve"> SPECT, brain FDG PET will provide more accurate and confident diagnosis reducing the need for repeat testing and permitting earlier use of AD drugs (acetylcholinesterase inhibitor, </w:t>
      </w:r>
      <w:proofErr w:type="spellStart"/>
      <w:r>
        <w:t>Souvenaid</w:t>
      </w:r>
      <w:proofErr w:type="spellEnd"/>
      <w:r>
        <w:t xml:space="preserve"> nutritional supplement, anti-amyloid antibodies if approved)</w:t>
      </w:r>
      <w:r w:rsidR="00A3506C">
        <w:t>,</w:t>
      </w:r>
      <w:r>
        <w:t xml:space="preserve"> earlier care planning</w:t>
      </w:r>
      <w:r w:rsidR="00F64485">
        <w:t xml:space="preserve"> and more</w:t>
      </w:r>
      <w:r w:rsidR="00A3506C">
        <w:t xml:space="preserve"> referral</w:t>
      </w:r>
      <w:r w:rsidR="00F64485">
        <w:t>s</w:t>
      </w:r>
      <w:r w:rsidR="00A3506C">
        <w:t xml:space="preserve"> to clinical trials</w:t>
      </w:r>
      <w:r w:rsidR="00F64485">
        <w:t xml:space="preserve"> (presently diagnosis is often delayed until dementia is clearly present and the patient is then not suitable for the majority of drug trials which are aimed at early intervention)</w:t>
      </w:r>
      <w:r>
        <w:t>.</w:t>
      </w:r>
    </w:p>
    <w:p w:rsidR="00A83EC6" w:rsidRPr="00154B00" w:rsidRDefault="005C3AE7" w:rsidP="00530204">
      <w:pPr>
        <w:pStyle w:val="Heading2"/>
      </w:pPr>
      <w:r>
        <w:lastRenderedPageBreak/>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7971F6">
        <w:rPr>
          <w:szCs w:val="20"/>
        </w:rPr>
      </w:r>
      <w:r w:rsidR="007971F6">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rsidR="001B29A1" w:rsidRDefault="0051152A"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971F6">
        <w:rPr>
          <w:szCs w:val="20"/>
        </w:rPr>
      </w:r>
      <w:r w:rsidR="007971F6">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rsidR="003433D1" w:rsidRPr="001B29A1" w:rsidRDefault="003C738D" w:rsidP="001B29A1">
      <w:pPr>
        <w:ind w:left="426"/>
        <w:rPr>
          <w:szCs w:val="20"/>
        </w:rPr>
      </w:pPr>
      <w:r>
        <w:t>If available, b</w:t>
      </w:r>
      <w:r w:rsidR="00972FD6">
        <w:t xml:space="preserve">rain FDG PET will replace use of CBF SPECT in all instances where CBF SPECT has been used after standard diagnostic work-up for suspected </w:t>
      </w:r>
      <w:r w:rsidR="007971F6">
        <w:t>AD</w:t>
      </w:r>
      <w:bookmarkStart w:id="3" w:name="_GoBack"/>
      <w:bookmarkEnd w:id="3"/>
      <w:r w:rsidR="00972FD6">
        <w:t xml:space="preserve"> by specialist consultation with CT or MRI brain structural imaging and routine blood tests has proven inconclusive.</w:t>
      </w:r>
      <w:r>
        <w:t xml:space="preserve"> When brain FDG PET is not available, CBF SPECT may still be used. However, there is no clinical justification for doing both tests.</w:t>
      </w:r>
      <w:r w:rsidR="00972FD6">
        <w:t xml:space="preserve"> </w:t>
      </w:r>
    </w:p>
    <w:p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rsidR="001B29A1" w:rsidRDefault="00464E7F" w:rsidP="00C41D04">
      <w:pPr>
        <w:pStyle w:val="ListParagraph"/>
        <w:ind w:left="360"/>
      </w:pPr>
      <w:r w:rsidRPr="00464E7F">
        <w:t>A written report including the results of semi-quantitative analysis by comparison to a normal age matched database will be provided to the referring specialist who will then review the diagnosis and management plan of the patient</w:t>
      </w:r>
      <w:r w:rsidR="00A3506C">
        <w:t>. Also see answer to Q40 above.</w:t>
      </w:r>
    </w:p>
    <w:p w:rsidR="00C41D04" w:rsidRDefault="00C41D04" w:rsidP="00C41D04">
      <w:pPr>
        <w:pStyle w:val="ListParagraph"/>
        <w:ind w:left="360"/>
        <w:rPr>
          <w:b/>
          <w:i/>
          <w:szCs w:val="20"/>
          <w:u w:val="single"/>
        </w:rPr>
      </w:pPr>
    </w:p>
    <w:p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rsidR="00C41D04" w:rsidRDefault="0051152A" w:rsidP="00C41D04">
      <w:pPr>
        <w:pStyle w:val="Heading2"/>
        <w:numPr>
          <w:ilvl w:val="0"/>
          <w:numId w:val="0"/>
        </w:numPr>
        <w:spacing w:after="0"/>
        <w:ind w:left="360"/>
        <w:contextualSpacing w:val="0"/>
        <w:rPr>
          <w:b w:val="0"/>
          <w:szCs w:val="22"/>
        </w:rPr>
      </w:pPr>
      <w:r w:rsidRPr="0051152A">
        <w:rPr>
          <w:b w:val="0"/>
          <w:szCs w:val="22"/>
        </w:rPr>
        <w:t>FDG PET has greater diagnostic accuracy for AD than the current clinical approach</w:t>
      </w:r>
      <w:r w:rsidR="00444CF2">
        <w:rPr>
          <w:b w:val="0"/>
          <w:szCs w:val="22"/>
        </w:rPr>
        <w:t xml:space="preserve"> and CBF SPECT</w:t>
      </w:r>
      <w:r w:rsidRPr="0051152A">
        <w:rPr>
          <w:b w:val="0"/>
          <w:szCs w:val="22"/>
        </w:rPr>
        <w:t xml:space="preserve">.  Compared to post-mortem diagnosis, the gold standard and only definitive test for AD and other dementias, the standard clinical approach, even when neuropsychology testing is employed, is 80% sensitive and 70% specific for AD. Compared to post-mortem diagnosis, brain FDG PET has sensitivity of 90% and specificity of 75%.  </w:t>
      </w:r>
    </w:p>
    <w:p w:rsidR="0051152A" w:rsidRPr="0051152A" w:rsidRDefault="0051152A" w:rsidP="00C41D04">
      <w:pPr>
        <w:pStyle w:val="Heading2"/>
        <w:numPr>
          <w:ilvl w:val="0"/>
          <w:numId w:val="0"/>
        </w:numPr>
        <w:spacing w:after="0"/>
        <w:ind w:left="360"/>
        <w:contextualSpacing w:val="0"/>
        <w:rPr>
          <w:b w:val="0"/>
          <w:szCs w:val="22"/>
        </w:rPr>
      </w:pPr>
      <w:r w:rsidRPr="0051152A">
        <w:rPr>
          <w:b w:val="0"/>
          <w:szCs w:val="22"/>
        </w:rPr>
        <w:t>FDG PET is more accurate than cerebral perfusion SPECT. There are no restrictions on Medicare payment for cerebral perfusion SPECT other than the need for a referral from a medical practitioner.  Cerebral perfusion reflects brain metabolism and may assist diagnosis of AD.  However, the image quality provided by SPECT, both in terms of spatial resolution (12mm for SPECT versus 4mm for PET) and contrast between normal and abnormal brain, is much less than that obtained with PET and this translates to a 15</w:t>
      </w:r>
      <w:r w:rsidR="00444CF2">
        <w:rPr>
          <w:b w:val="0"/>
          <w:szCs w:val="22"/>
        </w:rPr>
        <w:t>-</w:t>
      </w:r>
      <w:r w:rsidRPr="0051152A">
        <w:rPr>
          <w:b w:val="0"/>
          <w:szCs w:val="22"/>
        </w:rPr>
        <w:t>20% reduction in accuracy compared to FDG PET in clinical studies.</w:t>
      </w:r>
    </w:p>
    <w:p w:rsidR="00C41D04" w:rsidRDefault="0051152A" w:rsidP="00C41D04">
      <w:pPr>
        <w:pStyle w:val="Heading2"/>
        <w:numPr>
          <w:ilvl w:val="0"/>
          <w:numId w:val="0"/>
        </w:numPr>
        <w:spacing w:after="0"/>
        <w:ind w:left="360"/>
        <w:contextualSpacing w:val="0"/>
        <w:rPr>
          <w:b w:val="0"/>
          <w:szCs w:val="22"/>
        </w:rPr>
      </w:pPr>
      <w:r w:rsidRPr="0051152A">
        <w:rPr>
          <w:b w:val="0"/>
          <w:szCs w:val="22"/>
        </w:rPr>
        <w:t>Formal neuropsychological assessment is used in some patients but FDG PET has greater accuracy when compared to eventual post mortem diagnosis in head to head comparison of patients at first presentation.</w:t>
      </w:r>
    </w:p>
    <w:p w:rsidR="00052B7D" w:rsidRPr="00C41D04" w:rsidRDefault="00052B7D" w:rsidP="00C41D04">
      <w:pPr>
        <w:pStyle w:val="Heading2"/>
        <w:numPr>
          <w:ilvl w:val="0"/>
          <w:numId w:val="0"/>
        </w:numPr>
        <w:spacing w:after="0"/>
        <w:ind w:left="357"/>
        <w:contextualSpacing w:val="0"/>
        <w:rPr>
          <w:b w:val="0"/>
          <w:szCs w:val="22"/>
        </w:rPr>
      </w:pPr>
      <w:r w:rsidRPr="00C41D04">
        <w:rPr>
          <w:b w:val="0"/>
        </w:rPr>
        <w:t xml:space="preserve">In response to the MSAC review of 2015 the following study was undertaken to compare FDG PET to cerebral perfusion SPECT </w:t>
      </w:r>
      <w:r w:rsidR="00444CF2" w:rsidRPr="00C41D04">
        <w:rPr>
          <w:b w:val="0"/>
        </w:rPr>
        <w:t xml:space="preserve">and </w:t>
      </w:r>
      <w:r w:rsidRPr="00C41D04">
        <w:rPr>
          <w:b w:val="0"/>
        </w:rPr>
        <w:t xml:space="preserve">recently published.  Internal Medicine Journal </w:t>
      </w:r>
      <w:r w:rsidRPr="00C41D04">
        <w:rPr>
          <w:rFonts w:eastAsia="Times New Roman" w:cstheme="minorHAnsi"/>
          <w:b w:val="0"/>
          <w:color w:val="5B616B"/>
          <w:lang w:eastAsia="en-AU"/>
        </w:rPr>
        <w:t>2020 May 10.</w:t>
      </w:r>
      <w:r w:rsidRPr="00C41D04">
        <w:rPr>
          <w:b w:val="0"/>
        </w:rPr>
        <w:t xml:space="preserve"> </w:t>
      </w:r>
      <w:proofErr w:type="spellStart"/>
      <w:proofErr w:type="gramStart"/>
      <w:r w:rsidRPr="00C41D04">
        <w:rPr>
          <w:rFonts w:eastAsia="Times New Roman" w:cstheme="minorHAnsi"/>
          <w:b w:val="0"/>
          <w:color w:val="5B616B"/>
          <w:shd w:val="clear" w:color="auto" w:fill="FFFFFF"/>
          <w:lang w:eastAsia="en-AU"/>
        </w:rPr>
        <w:t>doi</w:t>
      </w:r>
      <w:proofErr w:type="spellEnd"/>
      <w:proofErr w:type="gramEnd"/>
      <w:r w:rsidRPr="00C41D04">
        <w:rPr>
          <w:rFonts w:eastAsia="Times New Roman" w:cstheme="minorHAnsi"/>
          <w:b w:val="0"/>
          <w:color w:val="5B616B"/>
          <w:shd w:val="clear" w:color="auto" w:fill="FFFFFF"/>
          <w:lang w:eastAsia="en-AU"/>
        </w:rPr>
        <w:t>: 10.1111/imj.14890.</w:t>
      </w:r>
      <w:r w:rsidRPr="00C41D04">
        <w:rPr>
          <w:rFonts w:ascii="Segoe UI" w:eastAsia="Times New Roman" w:hAnsi="Segoe UI" w:cs="Segoe UI"/>
          <w:b w:val="0"/>
          <w:color w:val="212121"/>
          <w:sz w:val="24"/>
          <w:szCs w:val="24"/>
          <w:shd w:val="clear" w:color="auto" w:fill="FFFFFF"/>
          <w:lang w:eastAsia="en-AU"/>
        </w:rPr>
        <w:t> </w:t>
      </w:r>
    </w:p>
    <w:p w:rsidR="00444CF2" w:rsidRPr="00052B7D" w:rsidRDefault="00444CF2" w:rsidP="00444CF2">
      <w:pPr>
        <w:spacing w:before="0" w:after="0"/>
        <w:rPr>
          <w:b/>
        </w:rPr>
      </w:pPr>
    </w:p>
    <w:p w:rsidR="00052B7D" w:rsidRPr="00052B7D" w:rsidRDefault="00052B7D" w:rsidP="00444CF2">
      <w:pPr>
        <w:spacing w:before="0" w:after="0"/>
        <w:rPr>
          <w:rFonts w:ascii="Times New Roman" w:hAnsi="Times New Roman" w:cs="Times New Roman"/>
          <w:b/>
        </w:rPr>
      </w:pPr>
      <w:r>
        <w:rPr>
          <w:rFonts w:ascii="Times New Roman" w:hAnsi="Times New Roman" w:cs="Times New Roman"/>
          <w:b/>
        </w:rPr>
        <w:t>Abstract from “</w:t>
      </w:r>
      <w:r w:rsidRPr="00F16352">
        <w:rPr>
          <w:rFonts w:ascii="Times New Roman" w:hAnsi="Times New Roman" w:cs="Times New Roman"/>
          <w:b/>
        </w:rPr>
        <w:t xml:space="preserve">A head-to-head comparison of cerebral blood flow SPECT and </w:t>
      </w:r>
      <w:r w:rsidRPr="00F16352">
        <w:rPr>
          <w:rFonts w:ascii="Times New Roman" w:hAnsi="Times New Roman" w:cs="Times New Roman"/>
          <w:b/>
          <w:vertAlign w:val="superscript"/>
        </w:rPr>
        <w:t>18</w:t>
      </w:r>
      <w:r w:rsidRPr="00F16352">
        <w:rPr>
          <w:rFonts w:ascii="Times New Roman" w:hAnsi="Times New Roman" w:cs="Times New Roman"/>
          <w:b/>
        </w:rPr>
        <w:t>F-FDG PET in the diagnosis of Alzheimer’s Disease</w:t>
      </w:r>
      <w:r>
        <w:rPr>
          <w:rFonts w:ascii="Times New Roman" w:hAnsi="Times New Roman" w:cs="Times New Roman"/>
          <w:b/>
        </w:rPr>
        <w:t>.”</w:t>
      </w:r>
    </w:p>
    <w:p w:rsidR="00052B7D" w:rsidRPr="00AA700B" w:rsidRDefault="00052B7D" w:rsidP="00052B7D">
      <w:pPr>
        <w:rPr>
          <w:rFonts w:ascii="Times New Roman" w:hAnsi="Times New Roman" w:cs="Times New Roman"/>
        </w:rPr>
      </w:pPr>
      <w:r w:rsidRPr="00AA700B">
        <w:rPr>
          <w:rFonts w:ascii="Times New Roman" w:hAnsi="Times New Roman" w:cs="Times New Roman"/>
          <w:u w:val="single"/>
        </w:rPr>
        <w:t>Background:</w:t>
      </w:r>
      <w:r w:rsidRPr="00AA700B">
        <w:rPr>
          <w:rFonts w:ascii="Times New Roman" w:hAnsi="Times New Roman" w:cs="Times New Roman"/>
        </w:rPr>
        <w:t xml:space="preserve"> </w:t>
      </w:r>
      <w:r>
        <w:rPr>
          <w:rFonts w:ascii="Times New Roman" w:hAnsi="Times New Roman" w:cs="Times New Roman"/>
        </w:rPr>
        <w:t>C</w:t>
      </w:r>
      <w:r w:rsidRPr="00AA700B">
        <w:rPr>
          <w:rFonts w:ascii="Times New Roman" w:hAnsi="Times New Roman" w:cs="Times New Roman"/>
        </w:rPr>
        <w:t xml:space="preserve">linical diagnosis of Alzheimer’s disease (AD) is </w:t>
      </w:r>
      <w:r>
        <w:rPr>
          <w:rFonts w:ascii="Times New Roman" w:hAnsi="Times New Roman" w:cs="Times New Roman"/>
        </w:rPr>
        <w:t xml:space="preserve">only </w:t>
      </w:r>
      <w:r w:rsidRPr="00AA700B">
        <w:rPr>
          <w:rFonts w:ascii="Times New Roman" w:hAnsi="Times New Roman" w:cs="Times New Roman"/>
        </w:rPr>
        <w:t>70%</w:t>
      </w:r>
      <w:r>
        <w:rPr>
          <w:rFonts w:ascii="Times New Roman" w:hAnsi="Times New Roman" w:cs="Times New Roman"/>
        </w:rPr>
        <w:t xml:space="preserve"> accurate</w:t>
      </w:r>
      <w:r w:rsidRPr="00AA700B">
        <w:rPr>
          <w:rFonts w:ascii="Times New Roman" w:hAnsi="Times New Roman" w:cs="Times New Roman"/>
        </w:rPr>
        <w:t xml:space="preserve">. Reduced cerebral blood flow (CBF) and metabolism in </w:t>
      </w:r>
      <w:proofErr w:type="spellStart"/>
      <w:r w:rsidRPr="00AA700B">
        <w:rPr>
          <w:rFonts w:ascii="Times New Roman" w:hAnsi="Times New Roman" w:cs="Times New Roman"/>
        </w:rPr>
        <w:t>parieto</w:t>
      </w:r>
      <w:proofErr w:type="spellEnd"/>
      <w:r w:rsidRPr="00AA700B">
        <w:rPr>
          <w:rFonts w:ascii="Times New Roman" w:hAnsi="Times New Roman" w:cs="Times New Roman"/>
        </w:rPr>
        <w:t xml:space="preserve">-temporal and posterior cingulate cortex may assist diagnosis.  Whilst widely accepted that </w:t>
      </w:r>
      <w:r w:rsidRPr="00AA700B">
        <w:rPr>
          <w:rFonts w:ascii="Times New Roman" w:hAnsi="Times New Roman" w:cs="Times New Roman"/>
          <w:vertAlign w:val="superscript"/>
        </w:rPr>
        <w:t>18</w:t>
      </w:r>
      <w:r w:rsidRPr="00AA700B">
        <w:rPr>
          <w:rFonts w:ascii="Times New Roman" w:hAnsi="Times New Roman" w:cs="Times New Roman"/>
        </w:rPr>
        <w:t>F-FDG PET has superior accuracy to CBF SPECT for AD, there is very limited head-to-head data from clinical</w:t>
      </w:r>
      <w:r>
        <w:rPr>
          <w:rFonts w:ascii="Times New Roman" w:hAnsi="Times New Roman" w:cs="Times New Roman"/>
        </w:rPr>
        <w:t>ly relevant</w:t>
      </w:r>
      <w:r w:rsidRPr="00AA700B">
        <w:rPr>
          <w:rFonts w:ascii="Times New Roman" w:hAnsi="Times New Roman" w:cs="Times New Roman"/>
        </w:rPr>
        <w:t xml:space="preserve"> populations</w:t>
      </w:r>
      <w:r>
        <w:rPr>
          <w:rFonts w:ascii="Times New Roman" w:hAnsi="Times New Roman" w:cs="Times New Roman"/>
        </w:rPr>
        <w:t xml:space="preserve"> and these studies relied on clinical diagnosis as the reference standard</w:t>
      </w:r>
      <w:r w:rsidRPr="00AA700B">
        <w:rPr>
          <w:rFonts w:ascii="Times New Roman" w:hAnsi="Times New Roman" w:cs="Times New Roman"/>
        </w:rPr>
        <w:t xml:space="preserve">. </w:t>
      </w:r>
    </w:p>
    <w:p w:rsidR="00052B7D" w:rsidRPr="00AA700B" w:rsidRDefault="00052B7D" w:rsidP="00052B7D">
      <w:pPr>
        <w:rPr>
          <w:rFonts w:ascii="Times New Roman" w:hAnsi="Times New Roman" w:cs="Times New Roman"/>
        </w:rPr>
      </w:pPr>
      <w:r w:rsidRPr="00AA700B">
        <w:rPr>
          <w:rFonts w:ascii="Times New Roman" w:hAnsi="Times New Roman" w:cs="Times New Roman"/>
          <w:u w:val="single"/>
        </w:rPr>
        <w:t>Aim:</w:t>
      </w:r>
      <w:r w:rsidRPr="00AA700B">
        <w:rPr>
          <w:rFonts w:ascii="Times New Roman" w:hAnsi="Times New Roman" w:cs="Times New Roman"/>
        </w:rPr>
        <w:t xml:space="preserve"> To directly compare the accuracy of CBF-SPECT and </w:t>
      </w:r>
      <w:r w:rsidRPr="00AA700B">
        <w:rPr>
          <w:rFonts w:ascii="Times New Roman" w:hAnsi="Times New Roman" w:cs="Times New Roman"/>
          <w:vertAlign w:val="superscript"/>
        </w:rPr>
        <w:t>18</w:t>
      </w:r>
      <w:r w:rsidRPr="00AA700B">
        <w:rPr>
          <w:rFonts w:ascii="Times New Roman" w:hAnsi="Times New Roman" w:cs="Times New Roman"/>
        </w:rPr>
        <w:t xml:space="preserve">F-FDG PET in patients referred for </w:t>
      </w:r>
      <w:r>
        <w:rPr>
          <w:rFonts w:ascii="Times New Roman" w:hAnsi="Times New Roman" w:cs="Times New Roman"/>
        </w:rPr>
        <w:t>diagnostic studies</w:t>
      </w:r>
      <w:r w:rsidRPr="00AA700B">
        <w:rPr>
          <w:rFonts w:ascii="Times New Roman" w:hAnsi="Times New Roman" w:cs="Times New Roman"/>
        </w:rPr>
        <w:t xml:space="preserve"> </w:t>
      </w:r>
      <w:r>
        <w:rPr>
          <w:rFonts w:ascii="Times New Roman" w:hAnsi="Times New Roman" w:cs="Times New Roman"/>
        </w:rPr>
        <w:t xml:space="preserve">in </w:t>
      </w:r>
      <w:r w:rsidRPr="00AA700B">
        <w:rPr>
          <w:rFonts w:ascii="Times New Roman" w:hAnsi="Times New Roman" w:cs="Times New Roman"/>
        </w:rPr>
        <w:t xml:space="preserve">detecting β-amyloid </w:t>
      </w:r>
      <w:r>
        <w:rPr>
          <w:rFonts w:ascii="Times New Roman" w:hAnsi="Times New Roman" w:cs="Times New Roman"/>
        </w:rPr>
        <w:t>PET confirmed AD</w:t>
      </w:r>
      <w:r w:rsidRPr="00AA700B">
        <w:rPr>
          <w:rFonts w:ascii="Times New Roman" w:hAnsi="Times New Roman" w:cs="Times New Roman"/>
        </w:rPr>
        <w:t>.</w:t>
      </w:r>
    </w:p>
    <w:p w:rsidR="00052B7D" w:rsidRPr="00AA700B" w:rsidRDefault="00052B7D" w:rsidP="00052B7D">
      <w:pPr>
        <w:rPr>
          <w:rFonts w:ascii="Times New Roman" w:hAnsi="Times New Roman" w:cs="Times New Roman"/>
        </w:rPr>
      </w:pPr>
      <w:r w:rsidRPr="00AA700B">
        <w:rPr>
          <w:rFonts w:ascii="Times New Roman" w:hAnsi="Times New Roman" w:cs="Times New Roman"/>
          <w:u w:val="single"/>
        </w:rPr>
        <w:t>Methods:</w:t>
      </w:r>
      <w:r w:rsidRPr="00AA700B">
        <w:rPr>
          <w:rFonts w:ascii="Times New Roman" w:hAnsi="Times New Roman" w:cs="Times New Roman"/>
          <w:b/>
        </w:rPr>
        <w:t xml:space="preserve"> </w:t>
      </w:r>
      <w:r w:rsidRPr="00AA700B">
        <w:rPr>
          <w:rFonts w:ascii="Times New Roman" w:hAnsi="Times New Roman" w:cs="Times New Roman"/>
        </w:rPr>
        <w:t>126 patients</w:t>
      </w:r>
      <w:r>
        <w:rPr>
          <w:rFonts w:ascii="Times New Roman" w:hAnsi="Times New Roman" w:cs="Times New Roman"/>
        </w:rPr>
        <w:t xml:space="preserve">, 56% with mild cognitive impairment and 44% with dementia, </w:t>
      </w:r>
      <w:r w:rsidRPr="00AA700B">
        <w:rPr>
          <w:rFonts w:ascii="Times New Roman" w:hAnsi="Times New Roman" w:cs="Times New Roman"/>
        </w:rPr>
        <w:t xml:space="preserve">completed both CBF-SPECT and </w:t>
      </w:r>
      <w:r w:rsidRPr="00AA700B">
        <w:rPr>
          <w:rFonts w:ascii="Times New Roman" w:hAnsi="Times New Roman" w:cs="Times New Roman"/>
          <w:vertAlign w:val="superscript"/>
        </w:rPr>
        <w:t>18</w:t>
      </w:r>
      <w:r w:rsidRPr="00AA700B">
        <w:rPr>
          <w:rFonts w:ascii="Times New Roman" w:hAnsi="Times New Roman" w:cs="Times New Roman"/>
        </w:rPr>
        <w:t xml:space="preserve">F-FDG PET as part of their diagnostic assessment, and subsequently underwent β-amyloid PET for research purposes. </w:t>
      </w:r>
      <w:proofErr w:type="spellStart"/>
      <w:r w:rsidRPr="00AA700B">
        <w:rPr>
          <w:rFonts w:ascii="Times New Roman" w:hAnsi="Times New Roman" w:cs="Times New Roman"/>
        </w:rPr>
        <w:t>Transaxial</w:t>
      </w:r>
      <w:proofErr w:type="spellEnd"/>
      <w:r w:rsidRPr="00AA700B">
        <w:rPr>
          <w:rFonts w:ascii="Times New Roman" w:hAnsi="Times New Roman" w:cs="Times New Roman"/>
        </w:rPr>
        <w:t xml:space="preserve"> slices and </w:t>
      </w:r>
      <w:proofErr w:type="spellStart"/>
      <w:r w:rsidRPr="00AA700B">
        <w:rPr>
          <w:rFonts w:ascii="Times New Roman" w:hAnsi="Times New Roman" w:cs="Times New Roman"/>
        </w:rPr>
        <w:t>Neurostat</w:t>
      </w:r>
      <w:proofErr w:type="spellEnd"/>
      <w:r w:rsidRPr="00AA700B">
        <w:rPr>
          <w:rFonts w:ascii="Times New Roman" w:hAnsi="Times New Roman" w:cs="Times New Roman"/>
        </w:rPr>
        <w:t xml:space="preserve"> 3D-SSP analyses of </w:t>
      </w:r>
      <w:r w:rsidRPr="00AA700B">
        <w:rPr>
          <w:rFonts w:ascii="Times New Roman" w:hAnsi="Times New Roman" w:cs="Times New Roman"/>
          <w:vertAlign w:val="superscript"/>
        </w:rPr>
        <w:t>18</w:t>
      </w:r>
      <w:r w:rsidRPr="00AA700B">
        <w:rPr>
          <w:rFonts w:ascii="Times New Roman" w:hAnsi="Times New Roman" w:cs="Times New Roman"/>
        </w:rPr>
        <w:t>F-FDG PET and CBF-SPECT scans were independently reviewed by five nuclear medicine clinicians blinded to all other data. Operators selected the most likely diagnosis and their diagnostic confidence.  Accuracy analysis used final diagnosis incorporating β-amyloid PET as the reference</w:t>
      </w:r>
      <w:r>
        <w:rPr>
          <w:rFonts w:ascii="Times New Roman" w:hAnsi="Times New Roman" w:cs="Times New Roman"/>
        </w:rPr>
        <w:t xml:space="preserve"> standard</w:t>
      </w:r>
      <w:r w:rsidRPr="00AA700B">
        <w:rPr>
          <w:rFonts w:ascii="Times New Roman" w:hAnsi="Times New Roman" w:cs="Times New Roman"/>
        </w:rPr>
        <w:t xml:space="preserve">. </w:t>
      </w:r>
    </w:p>
    <w:p w:rsidR="00052B7D" w:rsidRPr="00AA700B" w:rsidRDefault="00052B7D" w:rsidP="00052B7D">
      <w:pPr>
        <w:rPr>
          <w:rFonts w:ascii="Times New Roman" w:hAnsi="Times New Roman" w:cs="Times New Roman"/>
          <w:u w:val="single"/>
        </w:rPr>
      </w:pPr>
      <w:r w:rsidRPr="00AA700B">
        <w:rPr>
          <w:rFonts w:ascii="Times New Roman" w:hAnsi="Times New Roman" w:cs="Times New Roman"/>
          <w:u w:val="single"/>
        </w:rPr>
        <w:lastRenderedPageBreak/>
        <w:t>Results:</w:t>
      </w:r>
      <w:r w:rsidRPr="00AA700B">
        <w:rPr>
          <w:rFonts w:ascii="Times New Roman" w:hAnsi="Times New Roman" w:cs="Times New Roman"/>
          <w:b/>
        </w:rPr>
        <w:t xml:space="preserve"> </w:t>
      </w:r>
      <w:r w:rsidRPr="00AA700B">
        <w:rPr>
          <w:rFonts w:ascii="Times New Roman" w:hAnsi="Times New Roman" w:cs="Times New Roman"/>
        </w:rPr>
        <w:t xml:space="preserve">Clinicians reported high diagnostic confidence in 83% of </w:t>
      </w:r>
      <w:r w:rsidRPr="00AA700B">
        <w:rPr>
          <w:rFonts w:ascii="Times New Roman" w:hAnsi="Times New Roman" w:cs="Times New Roman"/>
          <w:vertAlign w:val="superscript"/>
        </w:rPr>
        <w:t>18</w:t>
      </w:r>
      <w:r w:rsidRPr="00AA700B">
        <w:rPr>
          <w:rFonts w:ascii="Times New Roman" w:hAnsi="Times New Roman" w:cs="Times New Roman"/>
        </w:rPr>
        <w:t xml:space="preserve">F-FDG PET compared to 67% for CBF-SPECT (p=0.001).  All reviewers showed individually higher accuracy using </w:t>
      </w:r>
      <w:r w:rsidRPr="00AA700B">
        <w:rPr>
          <w:rFonts w:ascii="Times New Roman" w:hAnsi="Times New Roman" w:cs="Times New Roman"/>
          <w:vertAlign w:val="superscript"/>
        </w:rPr>
        <w:t>18</w:t>
      </w:r>
      <w:r w:rsidRPr="00AA700B">
        <w:rPr>
          <w:rFonts w:ascii="Times New Roman" w:hAnsi="Times New Roman" w:cs="Times New Roman"/>
        </w:rPr>
        <w:t xml:space="preserve">F-FDG PET.  Based on majority read, the combined AUROC in diagnosing AD was 0.71 for </w:t>
      </w:r>
      <w:r w:rsidRPr="00AA700B">
        <w:rPr>
          <w:rFonts w:ascii="Times New Roman" w:hAnsi="Times New Roman" w:cs="Times New Roman"/>
          <w:vertAlign w:val="superscript"/>
        </w:rPr>
        <w:t>18</w:t>
      </w:r>
      <w:r w:rsidRPr="00AA700B">
        <w:rPr>
          <w:rFonts w:ascii="Times New Roman" w:hAnsi="Times New Roman" w:cs="Times New Roman"/>
        </w:rPr>
        <w:t xml:space="preserve">F-FDG PET </w:t>
      </w:r>
      <w:r>
        <w:rPr>
          <w:rFonts w:ascii="Times New Roman" w:hAnsi="Times New Roman" w:cs="Times New Roman"/>
        </w:rPr>
        <w:t xml:space="preserve">and </w:t>
      </w:r>
      <w:r w:rsidRPr="00AA700B">
        <w:rPr>
          <w:rFonts w:ascii="Times New Roman" w:hAnsi="Times New Roman" w:cs="Times New Roman"/>
        </w:rPr>
        <w:t xml:space="preserve">0.61 for CBF-SPECT (p=0.02).  The sensitivity of </w:t>
      </w:r>
      <w:r w:rsidRPr="00AA700B">
        <w:rPr>
          <w:rFonts w:ascii="Times New Roman" w:hAnsi="Times New Roman" w:cs="Times New Roman"/>
          <w:vertAlign w:val="superscript"/>
        </w:rPr>
        <w:t>18</w:t>
      </w:r>
      <w:r>
        <w:rPr>
          <w:rFonts w:ascii="Times New Roman" w:hAnsi="Times New Roman" w:cs="Times New Roman"/>
        </w:rPr>
        <w:t>F-FDG PET and CBF-SPECT was 76% vs 43</w:t>
      </w:r>
      <w:r w:rsidRPr="00AA700B">
        <w:rPr>
          <w:rFonts w:ascii="Times New Roman" w:hAnsi="Times New Roman" w:cs="Times New Roman"/>
        </w:rPr>
        <w:t>% (p&lt;0.0</w:t>
      </w:r>
      <w:r>
        <w:rPr>
          <w:rFonts w:ascii="Times New Roman" w:hAnsi="Times New Roman" w:cs="Times New Roman"/>
        </w:rPr>
        <w:t>01), whilst specificity was 74% vs 83</w:t>
      </w:r>
      <w:r w:rsidRPr="00AA700B">
        <w:rPr>
          <w:rFonts w:ascii="Times New Roman" w:hAnsi="Times New Roman" w:cs="Times New Roman"/>
        </w:rPr>
        <w:t>% (p=0.45).</w:t>
      </w:r>
    </w:p>
    <w:p w:rsidR="00052B7D" w:rsidRPr="00882A3A" w:rsidRDefault="00052B7D" w:rsidP="00052B7D">
      <w:pPr>
        <w:rPr>
          <w:rFonts w:ascii="Times New Roman" w:hAnsi="Times New Roman" w:cs="Times New Roman"/>
        </w:rPr>
      </w:pPr>
      <w:r w:rsidRPr="00AA700B">
        <w:rPr>
          <w:rFonts w:ascii="Times New Roman" w:hAnsi="Times New Roman" w:cs="Times New Roman"/>
          <w:u w:val="single"/>
        </w:rPr>
        <w:t>Conclusion:</w:t>
      </w:r>
      <w:r w:rsidRPr="00AA700B">
        <w:rPr>
          <w:rFonts w:ascii="Times New Roman" w:hAnsi="Times New Roman" w:cs="Times New Roman"/>
        </w:rPr>
        <w:t xml:space="preserve"> </w:t>
      </w:r>
      <w:r w:rsidRPr="00AA700B">
        <w:rPr>
          <w:rFonts w:ascii="Times New Roman" w:hAnsi="Times New Roman" w:cs="Times New Roman"/>
          <w:vertAlign w:val="superscript"/>
        </w:rPr>
        <w:t>18</w:t>
      </w:r>
      <w:r w:rsidRPr="00AA700B">
        <w:rPr>
          <w:rFonts w:ascii="Times New Roman" w:hAnsi="Times New Roman" w:cs="Times New Roman"/>
        </w:rPr>
        <w:t xml:space="preserve">F-FDG PET is superior to CBF-SPECT in detecting Alzheimer’s disease amongst patients referred for the assessment of cognitive impairment. </w:t>
      </w:r>
    </w:p>
    <w:p w:rsidR="00052B7D" w:rsidRDefault="00052B7D" w:rsidP="0051152A">
      <w:pPr>
        <w:pStyle w:val="Heading2"/>
        <w:numPr>
          <w:ilvl w:val="0"/>
          <w:numId w:val="0"/>
        </w:numPr>
        <w:ind w:left="360"/>
        <w:rPr>
          <w:b w:val="0"/>
          <w:szCs w:val="22"/>
        </w:rPr>
      </w:pPr>
    </w:p>
    <w:p w:rsidR="0051152A" w:rsidRPr="0051152A" w:rsidRDefault="0051152A" w:rsidP="0051152A">
      <w:pPr>
        <w:pStyle w:val="Heading2"/>
        <w:numPr>
          <w:ilvl w:val="0"/>
          <w:numId w:val="0"/>
        </w:numPr>
        <w:ind w:left="360"/>
      </w:pPr>
      <w:r w:rsidRPr="0051152A">
        <w:rPr>
          <w:b w:val="0"/>
          <w:szCs w:val="22"/>
        </w:rPr>
        <w:t xml:space="preserve">The availability of funding for FDG PET would markedly reduce the use of cerebral perfusion </w:t>
      </w:r>
      <w:r w:rsidR="00444CF2">
        <w:rPr>
          <w:b w:val="0"/>
          <w:szCs w:val="22"/>
        </w:rPr>
        <w:t xml:space="preserve">SPECT </w:t>
      </w:r>
      <w:r w:rsidRPr="0051152A">
        <w:rPr>
          <w:b w:val="0"/>
          <w:szCs w:val="22"/>
        </w:rPr>
        <w:t xml:space="preserve">in the diagnostic work up for suspected Alzheimer’s disease. </w:t>
      </w:r>
    </w:p>
    <w:p w:rsidR="0051152A" w:rsidRPr="0051152A" w:rsidRDefault="0051152A" w:rsidP="0051152A">
      <w:pPr>
        <w:pStyle w:val="Heading2"/>
        <w:numPr>
          <w:ilvl w:val="0"/>
          <w:numId w:val="0"/>
        </w:numPr>
        <w:ind w:left="360"/>
      </w:pPr>
    </w:p>
    <w:p w:rsidR="004E3CC7" w:rsidRPr="00154B00" w:rsidRDefault="004E3CC7" w:rsidP="0051152A">
      <w:pPr>
        <w:pStyle w:val="Heading2"/>
      </w:pPr>
      <w:r w:rsidRPr="00154B00">
        <w:t xml:space="preserve">Please advise if the </w:t>
      </w:r>
      <w:r w:rsidR="00CF5AD8" w:rsidRPr="00092580">
        <w:t>overall</w:t>
      </w:r>
      <w:r w:rsidR="00CF5AD8">
        <w:t xml:space="preserve"> </w:t>
      </w:r>
      <w:r w:rsidRPr="00154B00">
        <w:t>clinical claim is for:</w:t>
      </w:r>
    </w:p>
    <w:p w:rsidR="001B29A1" w:rsidRPr="001B29A1" w:rsidRDefault="0051152A"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7971F6">
        <w:rPr>
          <w:szCs w:val="20"/>
        </w:rPr>
      </w:r>
      <w:r w:rsidR="007971F6">
        <w:rPr>
          <w:szCs w:val="20"/>
        </w:rPr>
        <w:fldChar w:fldCharType="separate"/>
      </w:r>
      <w:r>
        <w:rPr>
          <w:szCs w:val="20"/>
        </w:rPr>
        <w:fldChar w:fldCharType="end"/>
      </w:r>
      <w:r w:rsidR="001B29A1" w:rsidRPr="001B29A1">
        <w:rPr>
          <w:szCs w:val="20"/>
        </w:rPr>
        <w:t xml:space="preserve"> Superiority</w:t>
      </w:r>
      <w:r w:rsidR="001B29A1" w:rsidRPr="001B29A1">
        <w:rPr>
          <w:szCs w:val="20"/>
        </w:rPr>
        <w:tab/>
      </w:r>
    </w:p>
    <w:p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7971F6">
        <w:rPr>
          <w:szCs w:val="20"/>
        </w:rPr>
      </w:r>
      <w:r w:rsidR="007971F6">
        <w:rPr>
          <w:szCs w:val="20"/>
        </w:rPr>
        <w:fldChar w:fldCharType="separate"/>
      </w:r>
      <w:r w:rsidRPr="001B29A1">
        <w:rPr>
          <w:szCs w:val="20"/>
        </w:rPr>
        <w:fldChar w:fldCharType="end"/>
      </w:r>
      <w:r w:rsidRPr="001B29A1">
        <w:rPr>
          <w:szCs w:val="20"/>
        </w:rPr>
        <w:t xml:space="preserve"> Non-inferiority</w:t>
      </w:r>
      <w:r w:rsidRPr="001B29A1">
        <w:rPr>
          <w:szCs w:val="20"/>
        </w:rPr>
        <w:tab/>
      </w:r>
    </w:p>
    <w:p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r w:rsidR="00052B7D">
        <w:rPr>
          <w:b/>
          <w:szCs w:val="20"/>
        </w:rPr>
        <w:t>Both CBF SPECT and brain FDG PET are very safe</w:t>
      </w:r>
      <w:r w:rsidR="003B62C0">
        <w:rPr>
          <w:b/>
          <w:szCs w:val="20"/>
        </w:rPr>
        <w:t xml:space="preserve"> with no proven drug related adverse effects and both give similar radiation exposure. </w:t>
      </w:r>
    </w:p>
    <w:p w:rsidR="001B29A1" w:rsidRPr="001B29A1" w:rsidRDefault="001B29A1" w:rsidP="001B29A1">
      <w:pPr>
        <w:pBdr>
          <w:top w:val="single" w:sz="4" w:space="1" w:color="auto"/>
          <w:left w:val="single" w:sz="4" w:space="4" w:color="auto"/>
          <w:bottom w:val="single" w:sz="4" w:space="1" w:color="auto"/>
          <w:right w:val="single" w:sz="4" w:space="4" w:color="auto"/>
        </w:pBdr>
        <w:rPr>
          <w:b/>
          <w:szCs w:val="20"/>
        </w:rPr>
      </w:pPr>
    </w:p>
    <w:p w:rsidR="00B25D20" w:rsidRPr="001B29A1" w:rsidRDefault="001B29A1" w:rsidP="001B29A1">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p>
    <w:p w:rsidR="00826E38" w:rsidRPr="00826E38" w:rsidRDefault="00826E38" w:rsidP="00826E38">
      <w:pPr>
        <w:pBdr>
          <w:top w:val="single" w:sz="4" w:space="1" w:color="auto"/>
          <w:left w:val="single" w:sz="4" w:space="4" w:color="auto"/>
          <w:bottom w:val="single" w:sz="4" w:space="1" w:color="auto"/>
          <w:right w:val="single" w:sz="4" w:space="4" w:color="auto"/>
        </w:pBdr>
        <w:rPr>
          <w:szCs w:val="20"/>
        </w:rPr>
      </w:pPr>
      <w:r w:rsidRPr="00826E38">
        <w:rPr>
          <w:szCs w:val="20"/>
        </w:rPr>
        <w:t>New tests are required that provide earlier and more accurate diagnosis so that appropriate treatment and prognosis can be given to patients.</w:t>
      </w:r>
    </w:p>
    <w:p w:rsidR="00826E38" w:rsidRPr="00826E38" w:rsidRDefault="00826E38" w:rsidP="00826E38">
      <w:pPr>
        <w:pBdr>
          <w:top w:val="single" w:sz="4" w:space="1" w:color="auto"/>
          <w:left w:val="single" w:sz="4" w:space="4" w:color="auto"/>
          <w:bottom w:val="single" w:sz="4" w:space="1" w:color="auto"/>
          <w:right w:val="single" w:sz="4" w:space="4" w:color="auto"/>
        </w:pBdr>
        <w:rPr>
          <w:szCs w:val="20"/>
        </w:rPr>
      </w:pPr>
      <w:r w:rsidRPr="00826E38">
        <w:rPr>
          <w:szCs w:val="20"/>
        </w:rPr>
        <w:t>Access Economics Report 2009 for AD in Australia stated ‘early diagnosis may reduce overall costs and burden associated with dementia care.  Improved diagnosis is now possible through new neuroimaging technologies.  Early diagnosis means the person and the family benefit from drug treatments, support and planning strategies.  This helps those involved have more control over the disease and their lives and can slow progression due to early access to pharmacotherapies.  Financial and legal plans can be made, with the full agreement of the person with dementia. The individual and family can adjust better to the diagnosis, understand the illness and earn how to cope better through adequate counselling and education, remaining productive longer and improving quality of life. This can reduce carer stress and enhance informal care supply, which would help alleviate the shortfalls identified in the modelling.’</w:t>
      </w:r>
    </w:p>
    <w:p w:rsidR="001B29A1" w:rsidRPr="00826E38" w:rsidRDefault="00826E38" w:rsidP="00826E38">
      <w:pPr>
        <w:pBdr>
          <w:top w:val="single" w:sz="4" w:space="1" w:color="auto"/>
          <w:left w:val="single" w:sz="4" w:space="4" w:color="auto"/>
          <w:bottom w:val="single" w:sz="4" w:space="1" w:color="auto"/>
          <w:right w:val="single" w:sz="4" w:space="4" w:color="auto"/>
        </w:pBdr>
        <w:rPr>
          <w:szCs w:val="20"/>
        </w:rPr>
      </w:pPr>
      <w:r w:rsidRPr="00826E38">
        <w:rPr>
          <w:szCs w:val="20"/>
        </w:rPr>
        <w:t>Earlier diagnosis of AD will assist in earlier treatment and financial planning including appointment of enduring power of attorney, education of the patient and family that will allow them to better prepare and cope with subsequent decline, earlier trial of symptomatic therapy (</w:t>
      </w:r>
      <w:proofErr w:type="spellStart"/>
      <w:r w:rsidRPr="00826E38">
        <w:rPr>
          <w:szCs w:val="20"/>
        </w:rPr>
        <w:t>eg</w:t>
      </w:r>
      <w:proofErr w:type="spellEnd"/>
      <w:r w:rsidRPr="00826E38">
        <w:rPr>
          <w:szCs w:val="20"/>
        </w:rPr>
        <w:t xml:space="preserve">. Aricept), linkage to community support (AD Association, Age Care Assessment Services, </w:t>
      </w:r>
      <w:proofErr w:type="spellStart"/>
      <w:r w:rsidRPr="00826E38">
        <w:rPr>
          <w:szCs w:val="20"/>
        </w:rPr>
        <w:t>etc</w:t>
      </w:r>
      <w:proofErr w:type="spellEnd"/>
      <w:r w:rsidRPr="00826E38">
        <w:rPr>
          <w:szCs w:val="20"/>
        </w:rPr>
        <w:t>), and possibly greater participation in therapy drug trials.</w:t>
      </w:r>
    </w:p>
    <w:p w:rsidR="00826E38" w:rsidRDefault="00826E38" w:rsidP="00826E38">
      <w:pPr>
        <w:pStyle w:val="Heading1"/>
        <w:tabs>
          <w:tab w:val="left" w:pos="1032"/>
        </w:tabs>
        <w:rPr>
          <w:b/>
          <w:sz w:val="32"/>
        </w:rPr>
      </w:pPr>
      <w:r>
        <w:rPr>
          <w:b/>
          <w:sz w:val="32"/>
        </w:rPr>
        <w:tab/>
      </w:r>
    </w:p>
    <w:p w:rsidR="00C776B1" w:rsidRPr="00C776B1" w:rsidRDefault="003433D1" w:rsidP="0056015F">
      <w:pPr>
        <w:pStyle w:val="Heading1"/>
      </w:pPr>
      <w:r w:rsidRPr="00826E38">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rsidR="006C74B1" w:rsidRPr="00154B00" w:rsidRDefault="003B62C0" w:rsidP="00AE1188">
      <w:pPr>
        <w:ind w:left="426"/>
        <w:rPr>
          <w:szCs w:val="20"/>
        </w:rPr>
      </w:pPr>
      <w:r>
        <w:t xml:space="preserve">Dementia Australia claims there are 90,000 new cases of dementia diagnosed per year in Australia based on data in </w:t>
      </w:r>
      <w:r>
        <w:rPr>
          <w:color w:val="003349"/>
          <w:sz w:val="19"/>
          <w:szCs w:val="19"/>
          <w:shd w:val="clear" w:color="auto" w:fill="FFFFFF"/>
        </w:rPr>
        <w:t>The National Centre for Social and Economic Modelling NATSEM (2016) Economic Cost of Dementia in Australia 2016–2056 report. However, there are only approximately 6,000 Medicare claims for brain SPECT per year</w:t>
      </w:r>
      <w:r w:rsidR="00444CF2">
        <w:rPr>
          <w:color w:val="003349"/>
          <w:sz w:val="19"/>
          <w:szCs w:val="19"/>
          <w:shd w:val="clear" w:color="auto" w:fill="FFFFFF"/>
        </w:rPr>
        <w:t xml:space="preserve"> and not all these are for Alzheimer’s diagnosis</w:t>
      </w:r>
      <w:r>
        <w:rPr>
          <w:color w:val="003349"/>
          <w:sz w:val="19"/>
          <w:szCs w:val="19"/>
          <w:shd w:val="clear" w:color="auto" w:fill="FFFFFF"/>
        </w:rPr>
        <w:t>.</w:t>
      </w:r>
      <w:r w:rsidRPr="00154B00">
        <w:rPr>
          <w:szCs w:val="20"/>
        </w:rPr>
        <w:t xml:space="preserve"> </w:t>
      </w:r>
    </w:p>
    <w:p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rsidR="00382407" w:rsidRPr="00154B00" w:rsidRDefault="003B62C0" w:rsidP="00AE1188">
      <w:pPr>
        <w:ind w:left="426"/>
        <w:rPr>
          <w:szCs w:val="20"/>
        </w:rPr>
      </w:pPr>
      <w:r>
        <w:t>One scan once only for diagnosis. In rare instances the scan may be repeated after 1-2 years to increase diagnostic certainty. Imaging changes in Alzheimer’s disease evolve slowly so there is no justification for repeating the scan earlier than one year.</w:t>
      </w:r>
    </w:p>
    <w:p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rsidR="00382407" w:rsidRPr="00154B00" w:rsidRDefault="00444CF2" w:rsidP="00AE1188">
      <w:pPr>
        <w:ind w:left="426"/>
        <w:rPr>
          <w:b/>
          <w:szCs w:val="20"/>
        </w:rPr>
      </w:pPr>
      <w:r>
        <w:t>Once only in 90% of referred patients. 10% may require a repeat scan 1-2 years after the first scan to increase diagnostic certainty.</w:t>
      </w:r>
    </w:p>
    <w:p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rsidR="00AE1188" w:rsidRPr="00154B00" w:rsidRDefault="00444CF2" w:rsidP="00AE1188">
      <w:pPr>
        <w:ind w:left="426"/>
        <w:rPr>
          <w:szCs w:val="20"/>
        </w:rPr>
      </w:pPr>
      <w:r>
        <w:t>Best estimate is 4</w:t>
      </w:r>
      <w:r w:rsidR="003B62C0">
        <w:t>,000</w:t>
      </w:r>
      <w:r>
        <w:t xml:space="preserve"> and these would be</w:t>
      </w:r>
      <w:r w:rsidR="003B62C0">
        <w:t xml:space="preserve"> in place of brain SPECT</w:t>
      </w:r>
      <w:r>
        <w:t xml:space="preserve"> ordered for suspected Alzheimer’s disease.</w:t>
      </w:r>
    </w:p>
    <w:p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rsidR="007308D1" w:rsidRDefault="00444CF2" w:rsidP="00AE1188">
      <w:pPr>
        <w:ind w:left="426"/>
      </w:pPr>
      <w:r>
        <w:t>Year one</w:t>
      </w:r>
      <w:r w:rsidR="00095DFF">
        <w:t>:</w:t>
      </w:r>
      <w:r>
        <w:t xml:space="preserve"> 4</w:t>
      </w:r>
      <w:proofErr w:type="gramStart"/>
      <w:r w:rsidR="007308D1">
        <w:t>,0000</w:t>
      </w:r>
      <w:proofErr w:type="gramEnd"/>
    </w:p>
    <w:p w:rsidR="007308D1" w:rsidRDefault="00444CF2" w:rsidP="00AE1188">
      <w:pPr>
        <w:ind w:left="426"/>
      </w:pPr>
      <w:r>
        <w:t>Year two</w:t>
      </w:r>
      <w:r w:rsidR="00095DFF">
        <w:t>:</w:t>
      </w:r>
      <w:r>
        <w:t xml:space="preserve"> 8</w:t>
      </w:r>
      <w:r w:rsidR="007308D1">
        <w:t>,000 due to more sites developing the required expertize</w:t>
      </w:r>
      <w:r w:rsidR="000526FB">
        <w:t xml:space="preserve"> and wider take up by memory specialists</w:t>
      </w:r>
      <w:r>
        <w:t xml:space="preserve"> – estimate only</w:t>
      </w:r>
    </w:p>
    <w:p w:rsidR="001B171D" w:rsidRDefault="007308D1" w:rsidP="00AE1188">
      <w:pPr>
        <w:ind w:left="426"/>
      </w:pPr>
      <w:r>
        <w:t>Y</w:t>
      </w:r>
      <w:r w:rsidR="00444CF2">
        <w:t>ear three</w:t>
      </w:r>
      <w:r w:rsidR="00095DFF">
        <w:t>:</w:t>
      </w:r>
      <w:r w:rsidR="00444CF2">
        <w:t xml:space="preserve"> 8</w:t>
      </w:r>
      <w:r w:rsidR="000526FB">
        <w:t>,000</w:t>
      </w:r>
      <w:r w:rsidR="00444CF2">
        <w:t xml:space="preserve"> – estimate only</w:t>
      </w:r>
      <w:r>
        <w:t xml:space="preserve"> </w:t>
      </w:r>
    </w:p>
    <w:p w:rsidR="007308D1" w:rsidRPr="00154B00" w:rsidRDefault="007308D1" w:rsidP="00AE1188">
      <w:pPr>
        <w:ind w:left="426"/>
        <w:rPr>
          <w:szCs w:val="20"/>
        </w:rPr>
      </w:pPr>
      <w:r>
        <w:t xml:space="preserve">Restricting the rebate to those referred by a specialist and only then if standard work-up does not give a diagnosis should contain numbers. </w:t>
      </w:r>
    </w:p>
    <w:p w:rsidR="003433D1" w:rsidRDefault="003433D1">
      <w:pPr>
        <w:rPr>
          <w:b/>
          <w:sz w:val="32"/>
          <w:szCs w:val="32"/>
        </w:rPr>
      </w:pPr>
      <w:r>
        <w:rPr>
          <w:b/>
          <w:sz w:val="32"/>
          <w:szCs w:val="32"/>
        </w:rPr>
        <w:br w:type="page"/>
      </w:r>
    </w:p>
    <w:p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rsidR="00EE72B1" w:rsidRDefault="007308D1" w:rsidP="00AE1188">
      <w:pPr>
        <w:ind w:left="426"/>
      </w:pPr>
      <w:r>
        <w:t>Year one – For fee of $705.05 at 85% ($600)</w:t>
      </w:r>
      <w:r w:rsidR="000526FB">
        <w:t xml:space="preserve"> for</w:t>
      </w:r>
      <w:r w:rsidR="00444CF2">
        <w:t xml:space="preserve"> 4</w:t>
      </w:r>
      <w:r>
        <w:t xml:space="preserve">,000 services </w:t>
      </w:r>
      <w:r w:rsidR="000526FB">
        <w:t xml:space="preserve">it </w:t>
      </w:r>
      <w:r>
        <w:t xml:space="preserve">would cost </w:t>
      </w:r>
      <w:r w:rsidR="00EE72B1">
        <w:t>$2,4</w:t>
      </w:r>
      <w:r w:rsidR="000526FB">
        <w:t xml:space="preserve">00,000 but this would be little </w:t>
      </w:r>
      <w:r>
        <w:t>additional cost to Medicare a</w:t>
      </w:r>
      <w:r w:rsidR="00EE72B1">
        <w:t>s brain FDG PET is substituting</w:t>
      </w:r>
      <w:r>
        <w:t xml:space="preserve"> for an inferior service at the </w:t>
      </w:r>
      <w:r w:rsidR="00EE72B1">
        <w:t xml:space="preserve">existing rebate for the inferior test. </w:t>
      </w:r>
    </w:p>
    <w:p w:rsidR="007308D1" w:rsidRPr="00154B00" w:rsidRDefault="000526FB" w:rsidP="00AE1188">
      <w:pPr>
        <w:ind w:left="426"/>
        <w:rPr>
          <w:szCs w:val="20"/>
        </w:rPr>
      </w:pPr>
      <w:r>
        <w:t>Subsequent year</w:t>
      </w:r>
      <w:r w:rsidR="00EE72B1">
        <w:t>s</w:t>
      </w:r>
      <w:r w:rsidR="007308D1">
        <w:t xml:space="preserve"> – </w:t>
      </w:r>
      <w:r w:rsidR="00EE72B1">
        <w:t>an additional $2,400,000/year if there is a 10</w:t>
      </w:r>
      <w:r>
        <w:t>0% increase in usage</w:t>
      </w:r>
    </w:p>
    <w:p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rsidR="000526FB" w:rsidRPr="000526FB" w:rsidRDefault="000526FB" w:rsidP="000526FB">
      <w:pPr>
        <w:pStyle w:val="Heading2"/>
        <w:numPr>
          <w:ilvl w:val="0"/>
          <w:numId w:val="0"/>
        </w:numPr>
        <w:ind w:left="360"/>
        <w:rPr>
          <w:b w:val="0"/>
        </w:rPr>
      </w:pPr>
      <w:r>
        <w:rPr>
          <w:b w:val="0"/>
        </w:rPr>
        <w:t>90 minutes – arrival checks, blood glucose check</w:t>
      </w:r>
      <w:r w:rsidR="00EE72B1">
        <w:rPr>
          <w:b w:val="0"/>
        </w:rPr>
        <w:t>, cannulation</w:t>
      </w:r>
      <w:r>
        <w:rPr>
          <w:b w:val="0"/>
        </w:rPr>
        <w:t xml:space="preserve"> then injection of FDG, 30 minute brain uptake time in a quiet room, position on scanner and acquire C</w:t>
      </w:r>
      <w:r w:rsidR="00EE72B1">
        <w:rPr>
          <w:b w:val="0"/>
        </w:rPr>
        <w:t>T for attenuation correction, acquire</w:t>
      </w:r>
      <w:r>
        <w:rPr>
          <w:b w:val="0"/>
        </w:rPr>
        <w:t xml:space="preserve"> 15 minute brain PET scan, then reconstruction of images, analysis compared to normal database, report generation and distribution.</w:t>
      </w:r>
    </w:p>
    <w:p w:rsidR="000526FB" w:rsidRDefault="000526FB" w:rsidP="000526FB">
      <w:pPr>
        <w:pStyle w:val="Heading2"/>
        <w:numPr>
          <w:ilvl w:val="0"/>
          <w:numId w:val="0"/>
        </w:numPr>
        <w:ind w:left="360"/>
      </w:pPr>
    </w:p>
    <w:p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785ABD">
        <w:t>I4</w:t>
      </w:r>
      <w:r w:rsidRPr="00AE1188">
        <w:rPr>
          <w:szCs w:val="20"/>
        </w:rPr>
        <w:t xml:space="preserve"> – </w:t>
      </w:r>
      <w:r w:rsidR="00785ABD">
        <w:t>Nuclear Medicine Imaging</w:t>
      </w:r>
      <w:r w:rsidRPr="00AE1188">
        <w:rPr>
          <w:szCs w:val="20"/>
        </w:rPr>
        <w:t xml:space="preserve"> </w:t>
      </w:r>
    </w:p>
    <w:p w:rsidR="00AE1188" w:rsidRPr="00AE1188" w:rsidRDefault="00826E38" w:rsidP="00AE1188">
      <w:pPr>
        <w:pBdr>
          <w:top w:val="single" w:sz="4" w:space="1" w:color="auto"/>
          <w:left w:val="single" w:sz="4" w:space="4" w:color="auto"/>
          <w:bottom w:val="single" w:sz="4" w:space="1" w:color="auto"/>
          <w:right w:val="single" w:sz="4" w:space="4" w:color="auto"/>
        </w:pBdr>
        <w:rPr>
          <w:szCs w:val="20"/>
        </w:rPr>
      </w:pPr>
      <w:r w:rsidRPr="00826E38">
        <w:t>FDG PET study of the brain that includes quantitative comparison to a normal database, performed for the diagnosis of Alzheimer’s disease where clinical evaluation by a specialist, or in consultation with a specialist, and structural brain imaging are equivocal. Limitation of one scan per patient per year and not applicable if a cerebral perfusion SPECT study has been performed within the same calendar year.</w:t>
      </w:r>
    </w:p>
    <w:p w:rsidR="004608FC" w:rsidRDefault="00AE1188" w:rsidP="0062084A">
      <w:pPr>
        <w:pBdr>
          <w:top w:val="single" w:sz="4" w:space="1" w:color="auto"/>
          <w:left w:val="single" w:sz="4" w:space="4" w:color="auto"/>
          <w:bottom w:val="single" w:sz="4" w:space="1" w:color="auto"/>
          <w:right w:val="single" w:sz="4" w:space="4" w:color="auto"/>
        </w:pBdr>
      </w:pPr>
      <w:r w:rsidRPr="00AE1188">
        <w:rPr>
          <w:szCs w:val="20"/>
        </w:rPr>
        <w:t>Fee:  $</w:t>
      </w:r>
      <w:r w:rsidR="00826E38" w:rsidRPr="00826E38">
        <w:t xml:space="preserve">705.05  </w:t>
      </w:r>
      <w:r>
        <w:br w:type="page"/>
      </w:r>
    </w:p>
    <w:p w:rsidR="004608FC" w:rsidRDefault="004608FC" w:rsidP="00603D04">
      <w:pPr>
        <w:ind w:left="426"/>
        <w:rPr>
          <w:b/>
          <w:szCs w:val="20"/>
        </w:rPr>
      </w:pPr>
      <w:r w:rsidRPr="004608FC">
        <w:rPr>
          <w:b/>
          <w:szCs w:val="20"/>
        </w:rPr>
        <w:lastRenderedPageBreak/>
        <w:t>Attachment: Clinical management algorithms</w:t>
      </w:r>
    </w:p>
    <w:p w:rsidR="004608FC" w:rsidRDefault="004608FC" w:rsidP="00603D04">
      <w:pPr>
        <w:ind w:left="426"/>
        <w:rPr>
          <w:b/>
          <w:szCs w:val="20"/>
        </w:rPr>
      </w:pPr>
    </w:p>
    <w:p w:rsidR="004608FC" w:rsidRDefault="004608FC" w:rsidP="00603D04">
      <w:pPr>
        <w:ind w:left="426"/>
        <w:rPr>
          <w:szCs w:val="20"/>
        </w:rPr>
      </w:pPr>
      <w:r>
        <w:rPr>
          <w:szCs w:val="20"/>
        </w:rPr>
        <w:t>T</w:t>
      </w:r>
      <w:r w:rsidRPr="004608FC">
        <w:rPr>
          <w:szCs w:val="20"/>
        </w:rPr>
        <w:t xml:space="preserve">he approach to current management of the eligible population/s in the absence of public funding for the service proposed </w:t>
      </w:r>
    </w:p>
    <w:p w:rsidR="004608FC" w:rsidRDefault="004608FC" w:rsidP="00603D04">
      <w:pPr>
        <w:ind w:left="426"/>
        <w:rPr>
          <w:szCs w:val="20"/>
        </w:rPr>
      </w:pPr>
      <w:r>
        <w:rPr>
          <w:rStyle w:val="Style6"/>
          <w:rFonts w:cs="Arial"/>
          <w:noProof/>
          <w:lang w:eastAsia="en-AU"/>
        </w:rPr>
        <w:drawing>
          <wp:inline distT="0" distB="0" distL="0" distR="0" wp14:anchorId="16FAF991" wp14:editId="3544F031">
            <wp:extent cx="4572000" cy="3429000"/>
            <wp:effectExtent l="0" t="0" r="0" b="0"/>
            <wp:docPr id="2" name="Picture 2"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4608FC" w:rsidRDefault="004608FC" w:rsidP="00603D04">
      <w:pPr>
        <w:ind w:left="426"/>
        <w:rPr>
          <w:szCs w:val="20"/>
        </w:rPr>
      </w:pPr>
    </w:p>
    <w:p w:rsidR="004608FC" w:rsidRDefault="004608FC" w:rsidP="00603D04">
      <w:pPr>
        <w:ind w:left="426"/>
        <w:rPr>
          <w:szCs w:val="20"/>
        </w:rPr>
      </w:pPr>
      <w:r>
        <w:rPr>
          <w:szCs w:val="20"/>
        </w:rPr>
        <w:t>T</w:t>
      </w:r>
      <w:r w:rsidRPr="004608FC">
        <w:rPr>
          <w:szCs w:val="20"/>
        </w:rPr>
        <w:t>he approach to current management of the eligible population/s if public funding is recommended for the service proposed</w:t>
      </w:r>
    </w:p>
    <w:p w:rsidR="004608FC" w:rsidRPr="004608FC" w:rsidRDefault="004608FC" w:rsidP="00603D04">
      <w:pPr>
        <w:ind w:left="426"/>
        <w:rPr>
          <w:szCs w:val="20"/>
        </w:rPr>
      </w:pPr>
      <w:r>
        <w:rPr>
          <w:rStyle w:val="Style6"/>
          <w:rFonts w:cs="Arial"/>
          <w:noProof/>
          <w:lang w:eastAsia="en-AU"/>
        </w:rPr>
        <w:drawing>
          <wp:inline distT="0" distB="0" distL="0" distR="0" wp14:anchorId="7A49BF75" wp14:editId="7A42EB54">
            <wp:extent cx="4210050" cy="3152775"/>
            <wp:effectExtent l="0" t="0" r="0" b="9525"/>
            <wp:docPr id="3" name="Picture 3" descr="Picture"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10050" cy="3152775"/>
                    </a:xfrm>
                    <a:prstGeom prst="rect">
                      <a:avLst/>
                    </a:prstGeom>
                    <a:noFill/>
                    <a:ln>
                      <a:noFill/>
                    </a:ln>
                  </pic:spPr>
                </pic:pic>
              </a:graphicData>
            </a:graphic>
          </wp:inline>
        </w:drawing>
      </w:r>
    </w:p>
    <w:sectPr w:rsidR="004608FC" w:rsidRPr="004608FC" w:rsidSect="00C41D04">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4A" w:rsidRDefault="0062084A" w:rsidP="00CF2DFA">
      <w:pPr>
        <w:spacing w:after="0"/>
      </w:pPr>
      <w:r>
        <w:separator/>
      </w:r>
    </w:p>
  </w:endnote>
  <w:endnote w:type="continuationSeparator" w:id="0">
    <w:p w:rsidR="0062084A" w:rsidRDefault="0062084A"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2F" w:rsidRDefault="00D31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rsidR="0062084A" w:rsidRDefault="0062084A">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7971F6" w:rsidRPr="007971F6">
          <w:rPr>
            <w:b/>
            <w:bCs/>
            <w:noProof/>
            <w:sz w:val="18"/>
            <w:szCs w:val="18"/>
          </w:rPr>
          <w:t>16</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rsidR="0062084A" w:rsidRPr="003F7CB9" w:rsidRDefault="0062084A"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2F" w:rsidRDefault="00D31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4A" w:rsidRDefault="0062084A" w:rsidP="00CF2DFA">
      <w:pPr>
        <w:spacing w:after="0"/>
      </w:pPr>
      <w:r>
        <w:separator/>
      </w:r>
    </w:p>
  </w:footnote>
  <w:footnote w:type="continuationSeparator" w:id="0">
    <w:p w:rsidR="0062084A" w:rsidRDefault="0062084A" w:rsidP="00CF2DF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2F" w:rsidRDefault="00D31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2F" w:rsidRDefault="00D31D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D2F" w:rsidRDefault="00D31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2C410820"/>
    <w:multiLevelType w:val="multilevel"/>
    <w:tmpl w:val="DD50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7717E2F"/>
    <w:multiLevelType w:val="hybridMultilevel"/>
    <w:tmpl w:val="23BEA672"/>
    <w:lvl w:ilvl="0" w:tplc="0696FE68">
      <w:start w:val="1"/>
      <w:numFmt w:val="lowerRoman"/>
      <w:lvlText w:val="%1."/>
      <w:lvlJc w:val="left"/>
      <w:pPr>
        <w:ind w:left="4238" w:hanging="720"/>
      </w:pPr>
      <w:rPr>
        <w:rFonts w:asciiTheme="minorHAnsi" w:eastAsiaTheme="minorHAnsi" w:hAnsiTheme="minorHAnsi" w:cstheme="minorBidi" w:hint="default"/>
        <w:b w:val="0"/>
      </w:rPr>
    </w:lvl>
    <w:lvl w:ilvl="1" w:tplc="0C090019" w:tentative="1">
      <w:start w:val="1"/>
      <w:numFmt w:val="lowerLetter"/>
      <w:lvlText w:val="%2."/>
      <w:lvlJc w:val="left"/>
      <w:pPr>
        <w:ind w:left="4598" w:hanging="360"/>
      </w:pPr>
    </w:lvl>
    <w:lvl w:ilvl="2" w:tplc="0C09001B" w:tentative="1">
      <w:start w:val="1"/>
      <w:numFmt w:val="lowerRoman"/>
      <w:lvlText w:val="%3."/>
      <w:lvlJc w:val="right"/>
      <w:pPr>
        <w:ind w:left="5318" w:hanging="180"/>
      </w:pPr>
    </w:lvl>
    <w:lvl w:ilvl="3" w:tplc="0C09000F" w:tentative="1">
      <w:start w:val="1"/>
      <w:numFmt w:val="decimal"/>
      <w:lvlText w:val="%4."/>
      <w:lvlJc w:val="left"/>
      <w:pPr>
        <w:ind w:left="6038" w:hanging="360"/>
      </w:pPr>
    </w:lvl>
    <w:lvl w:ilvl="4" w:tplc="0C090019" w:tentative="1">
      <w:start w:val="1"/>
      <w:numFmt w:val="lowerLetter"/>
      <w:lvlText w:val="%5."/>
      <w:lvlJc w:val="left"/>
      <w:pPr>
        <w:ind w:left="6758" w:hanging="360"/>
      </w:pPr>
    </w:lvl>
    <w:lvl w:ilvl="5" w:tplc="0C09001B" w:tentative="1">
      <w:start w:val="1"/>
      <w:numFmt w:val="lowerRoman"/>
      <w:lvlText w:val="%6."/>
      <w:lvlJc w:val="right"/>
      <w:pPr>
        <w:ind w:left="7478" w:hanging="180"/>
      </w:pPr>
    </w:lvl>
    <w:lvl w:ilvl="6" w:tplc="0C09000F" w:tentative="1">
      <w:start w:val="1"/>
      <w:numFmt w:val="decimal"/>
      <w:lvlText w:val="%7."/>
      <w:lvlJc w:val="left"/>
      <w:pPr>
        <w:ind w:left="8198" w:hanging="360"/>
      </w:pPr>
    </w:lvl>
    <w:lvl w:ilvl="7" w:tplc="0C090019" w:tentative="1">
      <w:start w:val="1"/>
      <w:numFmt w:val="lowerLetter"/>
      <w:lvlText w:val="%8."/>
      <w:lvlJc w:val="left"/>
      <w:pPr>
        <w:ind w:left="8918" w:hanging="360"/>
      </w:pPr>
    </w:lvl>
    <w:lvl w:ilvl="8" w:tplc="0C09001B" w:tentative="1">
      <w:start w:val="1"/>
      <w:numFmt w:val="lowerRoman"/>
      <w:lvlText w:val="%9."/>
      <w:lvlJc w:val="right"/>
      <w:pPr>
        <w:ind w:left="9638" w:hanging="180"/>
      </w:pPr>
    </w:lvl>
  </w:abstractNum>
  <w:abstractNum w:abstractNumId="12"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BF2F3A"/>
    <w:multiLevelType w:val="multilevel"/>
    <w:tmpl w:val="E178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9"/>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7"/>
  </w:num>
  <w:num w:numId="26">
    <w:abstractNumId w:val="3"/>
  </w:num>
  <w:num w:numId="27">
    <w:abstractNumId w:val="14"/>
  </w:num>
  <w:num w:numId="28">
    <w:abstractNumId w:val="10"/>
  </w:num>
  <w:num w:numId="29">
    <w:abstractNumId w:val="18"/>
  </w:num>
  <w:num w:numId="30">
    <w:abstractNumId w:val="2"/>
  </w:num>
  <w:num w:numId="31">
    <w:abstractNumId w:val="16"/>
  </w:num>
  <w:num w:numId="32">
    <w:abstractNumId w:val="6"/>
  </w:num>
  <w:num w:numId="33">
    <w:abstractNumId w:val="15"/>
  </w:num>
  <w:num w:numId="34">
    <w:abstractNumId w:val="5"/>
  </w:num>
  <w:num w:numId="35">
    <w:abstractNumId w:val="11"/>
  </w:num>
  <w:num w:numId="36">
    <w:abstractNumId w:val="0"/>
  </w:num>
  <w:num w:numId="37">
    <w:abstractNumId w:val="2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C5"/>
    <w:rsid w:val="000110DC"/>
    <w:rsid w:val="000115DC"/>
    <w:rsid w:val="000158AA"/>
    <w:rsid w:val="000159B9"/>
    <w:rsid w:val="00016B6E"/>
    <w:rsid w:val="00023E21"/>
    <w:rsid w:val="00025ABC"/>
    <w:rsid w:val="00026412"/>
    <w:rsid w:val="00031F6F"/>
    <w:rsid w:val="00034D6E"/>
    <w:rsid w:val="0005089D"/>
    <w:rsid w:val="000525BC"/>
    <w:rsid w:val="000526FB"/>
    <w:rsid w:val="00052B7D"/>
    <w:rsid w:val="00073222"/>
    <w:rsid w:val="000770BA"/>
    <w:rsid w:val="00085D83"/>
    <w:rsid w:val="00092580"/>
    <w:rsid w:val="000955E7"/>
    <w:rsid w:val="00095DFF"/>
    <w:rsid w:val="000A110D"/>
    <w:rsid w:val="000A478F"/>
    <w:rsid w:val="000A5B32"/>
    <w:rsid w:val="000B3CD0"/>
    <w:rsid w:val="000D066E"/>
    <w:rsid w:val="000D0831"/>
    <w:rsid w:val="000E2B02"/>
    <w:rsid w:val="000E47E7"/>
    <w:rsid w:val="000E5439"/>
    <w:rsid w:val="00102686"/>
    <w:rsid w:val="0011036E"/>
    <w:rsid w:val="001130B0"/>
    <w:rsid w:val="0011369B"/>
    <w:rsid w:val="0011742E"/>
    <w:rsid w:val="00123D10"/>
    <w:rsid w:val="00126B33"/>
    <w:rsid w:val="00154B00"/>
    <w:rsid w:val="001644E9"/>
    <w:rsid w:val="001845D9"/>
    <w:rsid w:val="0018630F"/>
    <w:rsid w:val="001906CD"/>
    <w:rsid w:val="00191B99"/>
    <w:rsid w:val="0019694B"/>
    <w:rsid w:val="00197D29"/>
    <w:rsid w:val="001A02E3"/>
    <w:rsid w:val="001A0C2B"/>
    <w:rsid w:val="001A1ADF"/>
    <w:rsid w:val="001A365C"/>
    <w:rsid w:val="001B171D"/>
    <w:rsid w:val="001B29A1"/>
    <w:rsid w:val="001B5169"/>
    <w:rsid w:val="001B6164"/>
    <w:rsid w:val="001B7330"/>
    <w:rsid w:val="001D77ED"/>
    <w:rsid w:val="001E1180"/>
    <w:rsid w:val="001E23EA"/>
    <w:rsid w:val="001E6919"/>
    <w:rsid w:val="001E6958"/>
    <w:rsid w:val="00201924"/>
    <w:rsid w:val="00202473"/>
    <w:rsid w:val="002053F2"/>
    <w:rsid w:val="00206D63"/>
    <w:rsid w:val="0021185D"/>
    <w:rsid w:val="00226777"/>
    <w:rsid w:val="00235BD1"/>
    <w:rsid w:val="00242B0E"/>
    <w:rsid w:val="00247DF0"/>
    <w:rsid w:val="00254813"/>
    <w:rsid w:val="00257FF2"/>
    <w:rsid w:val="00265822"/>
    <w:rsid w:val="0027105F"/>
    <w:rsid w:val="002711FB"/>
    <w:rsid w:val="00282BE8"/>
    <w:rsid w:val="00283318"/>
    <w:rsid w:val="00285525"/>
    <w:rsid w:val="00294CD8"/>
    <w:rsid w:val="002A270B"/>
    <w:rsid w:val="002A50FD"/>
    <w:rsid w:val="002A6753"/>
    <w:rsid w:val="002B28D7"/>
    <w:rsid w:val="002B7EB6"/>
    <w:rsid w:val="002C0B61"/>
    <w:rsid w:val="002C15E6"/>
    <w:rsid w:val="002C247D"/>
    <w:rsid w:val="002C3345"/>
    <w:rsid w:val="002D409A"/>
    <w:rsid w:val="002F30E7"/>
    <w:rsid w:val="00300EEB"/>
    <w:rsid w:val="003013A9"/>
    <w:rsid w:val="00301958"/>
    <w:rsid w:val="003020B5"/>
    <w:rsid w:val="003027BB"/>
    <w:rsid w:val="00310A10"/>
    <w:rsid w:val="00327D25"/>
    <w:rsid w:val="003319A7"/>
    <w:rsid w:val="00334FE3"/>
    <w:rsid w:val="003421AE"/>
    <w:rsid w:val="003433D1"/>
    <w:rsid w:val="00344B24"/>
    <w:rsid w:val="003456B9"/>
    <w:rsid w:val="0035067D"/>
    <w:rsid w:val="00353A16"/>
    <w:rsid w:val="0035776D"/>
    <w:rsid w:val="00364FD9"/>
    <w:rsid w:val="00367C1B"/>
    <w:rsid w:val="00376B61"/>
    <w:rsid w:val="00382407"/>
    <w:rsid w:val="00386A64"/>
    <w:rsid w:val="00386FA1"/>
    <w:rsid w:val="00390142"/>
    <w:rsid w:val="003904AC"/>
    <w:rsid w:val="00392F00"/>
    <w:rsid w:val="00397377"/>
    <w:rsid w:val="003A22DE"/>
    <w:rsid w:val="003A2860"/>
    <w:rsid w:val="003A3C35"/>
    <w:rsid w:val="003A7D30"/>
    <w:rsid w:val="003B3C5C"/>
    <w:rsid w:val="003B62C0"/>
    <w:rsid w:val="003C47CA"/>
    <w:rsid w:val="003C738D"/>
    <w:rsid w:val="003D6DE1"/>
    <w:rsid w:val="003D795C"/>
    <w:rsid w:val="003E30FB"/>
    <w:rsid w:val="003F2711"/>
    <w:rsid w:val="003F2CD3"/>
    <w:rsid w:val="003F6C70"/>
    <w:rsid w:val="003F7CB9"/>
    <w:rsid w:val="00403333"/>
    <w:rsid w:val="004115D4"/>
    <w:rsid w:val="00411735"/>
    <w:rsid w:val="00415C74"/>
    <w:rsid w:val="0043654D"/>
    <w:rsid w:val="00437F60"/>
    <w:rsid w:val="00444CF2"/>
    <w:rsid w:val="00451840"/>
    <w:rsid w:val="004608FC"/>
    <w:rsid w:val="00460C9A"/>
    <w:rsid w:val="00464924"/>
    <w:rsid w:val="00464E7F"/>
    <w:rsid w:val="0047581D"/>
    <w:rsid w:val="00480289"/>
    <w:rsid w:val="00481279"/>
    <w:rsid w:val="00483368"/>
    <w:rsid w:val="00494011"/>
    <w:rsid w:val="004A0BF4"/>
    <w:rsid w:val="004A263B"/>
    <w:rsid w:val="004B68AE"/>
    <w:rsid w:val="004C35B0"/>
    <w:rsid w:val="004C49EF"/>
    <w:rsid w:val="004C4A19"/>
    <w:rsid w:val="004C5570"/>
    <w:rsid w:val="004D00C9"/>
    <w:rsid w:val="004D4F8C"/>
    <w:rsid w:val="004E16F5"/>
    <w:rsid w:val="004E3CC7"/>
    <w:rsid w:val="004E5B69"/>
    <w:rsid w:val="004F2A87"/>
    <w:rsid w:val="00507C56"/>
    <w:rsid w:val="0051152A"/>
    <w:rsid w:val="0052344E"/>
    <w:rsid w:val="00526478"/>
    <w:rsid w:val="00530204"/>
    <w:rsid w:val="00534C5F"/>
    <w:rsid w:val="00540257"/>
    <w:rsid w:val="0054192F"/>
    <w:rsid w:val="00544EB3"/>
    <w:rsid w:val="0054594B"/>
    <w:rsid w:val="0054749B"/>
    <w:rsid w:val="00551BBD"/>
    <w:rsid w:val="00551CC6"/>
    <w:rsid w:val="00554E7A"/>
    <w:rsid w:val="0056015F"/>
    <w:rsid w:val="00560541"/>
    <w:rsid w:val="005672D0"/>
    <w:rsid w:val="00572CEB"/>
    <w:rsid w:val="005834C9"/>
    <w:rsid w:val="005A58BA"/>
    <w:rsid w:val="005A5D30"/>
    <w:rsid w:val="005A6AB9"/>
    <w:rsid w:val="005C333E"/>
    <w:rsid w:val="005C3AE7"/>
    <w:rsid w:val="005D0677"/>
    <w:rsid w:val="005E294C"/>
    <w:rsid w:val="005E2CE3"/>
    <w:rsid w:val="005E4475"/>
    <w:rsid w:val="005F3F07"/>
    <w:rsid w:val="00603D04"/>
    <w:rsid w:val="00606857"/>
    <w:rsid w:val="00615F42"/>
    <w:rsid w:val="006171D1"/>
    <w:rsid w:val="0062084A"/>
    <w:rsid w:val="006258C2"/>
    <w:rsid w:val="00626365"/>
    <w:rsid w:val="00630E22"/>
    <w:rsid w:val="0064168C"/>
    <w:rsid w:val="00657B46"/>
    <w:rsid w:val="006764EC"/>
    <w:rsid w:val="006835FE"/>
    <w:rsid w:val="00693BFD"/>
    <w:rsid w:val="00695065"/>
    <w:rsid w:val="006A1038"/>
    <w:rsid w:val="006A1B0C"/>
    <w:rsid w:val="006A649A"/>
    <w:rsid w:val="006B1B49"/>
    <w:rsid w:val="006B6390"/>
    <w:rsid w:val="006C0356"/>
    <w:rsid w:val="006C0843"/>
    <w:rsid w:val="006C74B1"/>
    <w:rsid w:val="006E57AA"/>
    <w:rsid w:val="006F20CF"/>
    <w:rsid w:val="006F38ED"/>
    <w:rsid w:val="007010FA"/>
    <w:rsid w:val="00707D4D"/>
    <w:rsid w:val="00723446"/>
    <w:rsid w:val="00723503"/>
    <w:rsid w:val="007308D1"/>
    <w:rsid w:val="00730C04"/>
    <w:rsid w:val="0073597B"/>
    <w:rsid w:val="007378F6"/>
    <w:rsid w:val="0074545D"/>
    <w:rsid w:val="007522E3"/>
    <w:rsid w:val="0075335B"/>
    <w:rsid w:val="00753C44"/>
    <w:rsid w:val="00754383"/>
    <w:rsid w:val="007564D1"/>
    <w:rsid w:val="00757232"/>
    <w:rsid w:val="00760679"/>
    <w:rsid w:val="00763628"/>
    <w:rsid w:val="00767E99"/>
    <w:rsid w:val="00772E62"/>
    <w:rsid w:val="00775A6A"/>
    <w:rsid w:val="0077789B"/>
    <w:rsid w:val="00780D29"/>
    <w:rsid w:val="00785ABD"/>
    <w:rsid w:val="00791C8D"/>
    <w:rsid w:val="0079354C"/>
    <w:rsid w:val="00794181"/>
    <w:rsid w:val="007971F6"/>
    <w:rsid w:val="007A7F6F"/>
    <w:rsid w:val="007B4C76"/>
    <w:rsid w:val="007C2260"/>
    <w:rsid w:val="007D1E52"/>
    <w:rsid w:val="007D2358"/>
    <w:rsid w:val="007E39E4"/>
    <w:rsid w:val="007E6FB3"/>
    <w:rsid w:val="007F0E03"/>
    <w:rsid w:val="007F21B4"/>
    <w:rsid w:val="00802553"/>
    <w:rsid w:val="00803EAB"/>
    <w:rsid w:val="008046B5"/>
    <w:rsid w:val="00810224"/>
    <w:rsid w:val="008127C0"/>
    <w:rsid w:val="00812EDD"/>
    <w:rsid w:val="008139C5"/>
    <w:rsid w:val="0081650F"/>
    <w:rsid w:val="00826E38"/>
    <w:rsid w:val="00832B31"/>
    <w:rsid w:val="008403E0"/>
    <w:rsid w:val="0084657B"/>
    <w:rsid w:val="0085238C"/>
    <w:rsid w:val="00855944"/>
    <w:rsid w:val="00864A18"/>
    <w:rsid w:val="00870833"/>
    <w:rsid w:val="00874571"/>
    <w:rsid w:val="00881F93"/>
    <w:rsid w:val="00882CB5"/>
    <w:rsid w:val="00883641"/>
    <w:rsid w:val="00884E69"/>
    <w:rsid w:val="00890082"/>
    <w:rsid w:val="008A48D2"/>
    <w:rsid w:val="008A7423"/>
    <w:rsid w:val="008B2222"/>
    <w:rsid w:val="008B2610"/>
    <w:rsid w:val="008B471D"/>
    <w:rsid w:val="008B49E4"/>
    <w:rsid w:val="008B729C"/>
    <w:rsid w:val="008C4A93"/>
    <w:rsid w:val="008E0E49"/>
    <w:rsid w:val="008E35FD"/>
    <w:rsid w:val="008E6227"/>
    <w:rsid w:val="008E78B9"/>
    <w:rsid w:val="00901F1C"/>
    <w:rsid w:val="0090543D"/>
    <w:rsid w:val="009056C5"/>
    <w:rsid w:val="009262F2"/>
    <w:rsid w:val="00937791"/>
    <w:rsid w:val="00951933"/>
    <w:rsid w:val="00954343"/>
    <w:rsid w:val="00955271"/>
    <w:rsid w:val="00963C9C"/>
    <w:rsid w:val="00965B6B"/>
    <w:rsid w:val="00971EDB"/>
    <w:rsid w:val="00972FD6"/>
    <w:rsid w:val="00974D50"/>
    <w:rsid w:val="00982AA7"/>
    <w:rsid w:val="00987ABE"/>
    <w:rsid w:val="00991EE4"/>
    <w:rsid w:val="009939DC"/>
    <w:rsid w:val="00993B9C"/>
    <w:rsid w:val="009B4E1E"/>
    <w:rsid w:val="009C03FB"/>
    <w:rsid w:val="009C4B4F"/>
    <w:rsid w:val="009F0C02"/>
    <w:rsid w:val="009F5758"/>
    <w:rsid w:val="00A0283F"/>
    <w:rsid w:val="00A04F4A"/>
    <w:rsid w:val="00A26343"/>
    <w:rsid w:val="00A3506C"/>
    <w:rsid w:val="00A408B5"/>
    <w:rsid w:val="00A40D82"/>
    <w:rsid w:val="00A529E2"/>
    <w:rsid w:val="00A539F8"/>
    <w:rsid w:val="00A6491A"/>
    <w:rsid w:val="00A6594E"/>
    <w:rsid w:val="00A727B6"/>
    <w:rsid w:val="00A81CC6"/>
    <w:rsid w:val="00A83EC6"/>
    <w:rsid w:val="00A8732C"/>
    <w:rsid w:val="00A9062D"/>
    <w:rsid w:val="00A93F58"/>
    <w:rsid w:val="00A96329"/>
    <w:rsid w:val="00AA134B"/>
    <w:rsid w:val="00AA2CFE"/>
    <w:rsid w:val="00AA5FDA"/>
    <w:rsid w:val="00AA6291"/>
    <w:rsid w:val="00AC0C91"/>
    <w:rsid w:val="00AD37D4"/>
    <w:rsid w:val="00AD7986"/>
    <w:rsid w:val="00AE1188"/>
    <w:rsid w:val="00AE738C"/>
    <w:rsid w:val="00AF1046"/>
    <w:rsid w:val="00AF4466"/>
    <w:rsid w:val="00AF5D1E"/>
    <w:rsid w:val="00B040A9"/>
    <w:rsid w:val="00B1711E"/>
    <w:rsid w:val="00B17CBE"/>
    <w:rsid w:val="00B17E26"/>
    <w:rsid w:val="00B231A4"/>
    <w:rsid w:val="00B25D20"/>
    <w:rsid w:val="00B31C99"/>
    <w:rsid w:val="00B53BA6"/>
    <w:rsid w:val="00B5731D"/>
    <w:rsid w:val="00B6378B"/>
    <w:rsid w:val="00B63E3A"/>
    <w:rsid w:val="00B75965"/>
    <w:rsid w:val="00B771AD"/>
    <w:rsid w:val="00B814CB"/>
    <w:rsid w:val="00BA0CF8"/>
    <w:rsid w:val="00BA1ADF"/>
    <w:rsid w:val="00BA51FC"/>
    <w:rsid w:val="00BB003A"/>
    <w:rsid w:val="00BB3358"/>
    <w:rsid w:val="00BB3382"/>
    <w:rsid w:val="00BB3643"/>
    <w:rsid w:val="00BC3DA0"/>
    <w:rsid w:val="00BC424B"/>
    <w:rsid w:val="00BE0FDE"/>
    <w:rsid w:val="00BE2E82"/>
    <w:rsid w:val="00BF6AC5"/>
    <w:rsid w:val="00C01121"/>
    <w:rsid w:val="00C030A5"/>
    <w:rsid w:val="00C05A45"/>
    <w:rsid w:val="00C0796F"/>
    <w:rsid w:val="00C11B34"/>
    <w:rsid w:val="00C12C5C"/>
    <w:rsid w:val="00C171FB"/>
    <w:rsid w:val="00C209C2"/>
    <w:rsid w:val="00C2267F"/>
    <w:rsid w:val="00C22AD8"/>
    <w:rsid w:val="00C3557E"/>
    <w:rsid w:val="00C3594B"/>
    <w:rsid w:val="00C41D04"/>
    <w:rsid w:val="00C43102"/>
    <w:rsid w:val="00C4696B"/>
    <w:rsid w:val="00C50513"/>
    <w:rsid w:val="00C54503"/>
    <w:rsid w:val="00C63055"/>
    <w:rsid w:val="00C73B62"/>
    <w:rsid w:val="00C776B1"/>
    <w:rsid w:val="00C815FE"/>
    <w:rsid w:val="00C81FA0"/>
    <w:rsid w:val="00C827F4"/>
    <w:rsid w:val="00C847AE"/>
    <w:rsid w:val="00CA04C6"/>
    <w:rsid w:val="00CA26DD"/>
    <w:rsid w:val="00CB12EC"/>
    <w:rsid w:val="00CC09D7"/>
    <w:rsid w:val="00CC12B8"/>
    <w:rsid w:val="00CC5AB1"/>
    <w:rsid w:val="00CD22E3"/>
    <w:rsid w:val="00CD4E44"/>
    <w:rsid w:val="00CD5AE4"/>
    <w:rsid w:val="00CD7A7D"/>
    <w:rsid w:val="00CE0CFD"/>
    <w:rsid w:val="00CF2892"/>
    <w:rsid w:val="00CF2D8E"/>
    <w:rsid w:val="00CF2DFA"/>
    <w:rsid w:val="00CF5AD8"/>
    <w:rsid w:val="00D00122"/>
    <w:rsid w:val="00D00874"/>
    <w:rsid w:val="00D01D2A"/>
    <w:rsid w:val="00D10B47"/>
    <w:rsid w:val="00D11EB1"/>
    <w:rsid w:val="00D17F17"/>
    <w:rsid w:val="00D23597"/>
    <w:rsid w:val="00D30BDC"/>
    <w:rsid w:val="00D30F4A"/>
    <w:rsid w:val="00D31D2F"/>
    <w:rsid w:val="00D57F88"/>
    <w:rsid w:val="00D6499B"/>
    <w:rsid w:val="00D7105C"/>
    <w:rsid w:val="00D73646"/>
    <w:rsid w:val="00D777B4"/>
    <w:rsid w:val="00D77A90"/>
    <w:rsid w:val="00D8360B"/>
    <w:rsid w:val="00D85676"/>
    <w:rsid w:val="00D904FD"/>
    <w:rsid w:val="00D96ADA"/>
    <w:rsid w:val="00DA2886"/>
    <w:rsid w:val="00DA5E50"/>
    <w:rsid w:val="00DA7D0C"/>
    <w:rsid w:val="00DB311C"/>
    <w:rsid w:val="00DB432D"/>
    <w:rsid w:val="00DB519B"/>
    <w:rsid w:val="00DC7694"/>
    <w:rsid w:val="00DC7FBE"/>
    <w:rsid w:val="00DD130E"/>
    <w:rsid w:val="00DD308E"/>
    <w:rsid w:val="00DF0C51"/>
    <w:rsid w:val="00DF0D47"/>
    <w:rsid w:val="00DF1652"/>
    <w:rsid w:val="00DF6D37"/>
    <w:rsid w:val="00E048ED"/>
    <w:rsid w:val="00E04FB3"/>
    <w:rsid w:val="00E058F2"/>
    <w:rsid w:val="00E05D9C"/>
    <w:rsid w:val="00E06102"/>
    <w:rsid w:val="00E23E71"/>
    <w:rsid w:val="00E30F19"/>
    <w:rsid w:val="00E33C4A"/>
    <w:rsid w:val="00E357B9"/>
    <w:rsid w:val="00E4321E"/>
    <w:rsid w:val="00E44B80"/>
    <w:rsid w:val="00E47623"/>
    <w:rsid w:val="00E60529"/>
    <w:rsid w:val="00E641EF"/>
    <w:rsid w:val="00E70D86"/>
    <w:rsid w:val="00E72180"/>
    <w:rsid w:val="00E75A0D"/>
    <w:rsid w:val="00E7628E"/>
    <w:rsid w:val="00E82F54"/>
    <w:rsid w:val="00E8649B"/>
    <w:rsid w:val="00E86D34"/>
    <w:rsid w:val="00E871CD"/>
    <w:rsid w:val="00E90990"/>
    <w:rsid w:val="00E95D3D"/>
    <w:rsid w:val="00EA0E25"/>
    <w:rsid w:val="00EA173C"/>
    <w:rsid w:val="00EC127A"/>
    <w:rsid w:val="00EC1FF9"/>
    <w:rsid w:val="00EC2737"/>
    <w:rsid w:val="00EE2716"/>
    <w:rsid w:val="00EE6450"/>
    <w:rsid w:val="00EE72B1"/>
    <w:rsid w:val="00F01C2C"/>
    <w:rsid w:val="00F10ED8"/>
    <w:rsid w:val="00F222BE"/>
    <w:rsid w:val="00F24179"/>
    <w:rsid w:val="00F301F1"/>
    <w:rsid w:val="00F30C22"/>
    <w:rsid w:val="00F33F1A"/>
    <w:rsid w:val="00F547F7"/>
    <w:rsid w:val="00F54CCF"/>
    <w:rsid w:val="00F61D7A"/>
    <w:rsid w:val="00F637B3"/>
    <w:rsid w:val="00F64485"/>
    <w:rsid w:val="00F66CF7"/>
    <w:rsid w:val="00F67BCB"/>
    <w:rsid w:val="00F77C57"/>
    <w:rsid w:val="00F813C7"/>
    <w:rsid w:val="00F83566"/>
    <w:rsid w:val="00F83A9D"/>
    <w:rsid w:val="00F906B5"/>
    <w:rsid w:val="00F93784"/>
    <w:rsid w:val="00F971CC"/>
    <w:rsid w:val="00FA2CAA"/>
    <w:rsid w:val="00FA3DA1"/>
    <w:rsid w:val="00FA6554"/>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F7A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Style6">
    <w:name w:val="Style6"/>
    <w:uiPriority w:val="99"/>
    <w:rsid w:val="004608FC"/>
    <w:rPr>
      <w:rFonts w:ascii="Arial" w:hAnsi="Arial"/>
      <w:b/>
      <w:color w:val="0000FF"/>
      <w:sz w:val="18"/>
    </w:rPr>
  </w:style>
  <w:style w:type="character" w:customStyle="1" w:styleId="period">
    <w:name w:val="period"/>
    <w:basedOn w:val="DefaultParagraphFont"/>
    <w:rsid w:val="001B7330"/>
  </w:style>
  <w:style w:type="character" w:customStyle="1" w:styleId="cit">
    <w:name w:val="cit"/>
    <w:basedOn w:val="DefaultParagraphFont"/>
    <w:rsid w:val="001B7330"/>
  </w:style>
  <w:style w:type="character" w:customStyle="1" w:styleId="citation-doi">
    <w:name w:val="citation-doi"/>
    <w:basedOn w:val="DefaultParagraphFont"/>
    <w:rsid w:val="001B7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506558641">
      <w:bodyDiv w:val="1"/>
      <w:marLeft w:val="0"/>
      <w:marRight w:val="0"/>
      <w:marTop w:val="0"/>
      <w:marBottom w:val="0"/>
      <w:divBdr>
        <w:top w:val="none" w:sz="0" w:space="0" w:color="auto"/>
        <w:left w:val="none" w:sz="0" w:space="0" w:color="auto"/>
        <w:bottom w:val="none" w:sz="0" w:space="0" w:color="auto"/>
        <w:right w:val="none" w:sz="0" w:space="0" w:color="auto"/>
      </w:divBdr>
      <w:divsChild>
        <w:div w:id="1806704179">
          <w:marLeft w:val="0"/>
          <w:marRight w:val="0"/>
          <w:marTop w:val="0"/>
          <w:marBottom w:val="0"/>
          <w:divBdr>
            <w:top w:val="none" w:sz="0" w:space="0" w:color="auto"/>
            <w:left w:val="none" w:sz="0" w:space="0" w:color="auto"/>
            <w:bottom w:val="none" w:sz="0" w:space="0" w:color="auto"/>
            <w:right w:val="none" w:sz="0" w:space="0" w:color="auto"/>
          </w:divBdr>
        </w:div>
      </w:divsChild>
    </w:div>
    <w:div w:id="1514496595">
      <w:bodyDiv w:val="1"/>
      <w:marLeft w:val="0"/>
      <w:marRight w:val="0"/>
      <w:marTop w:val="0"/>
      <w:marBottom w:val="0"/>
      <w:divBdr>
        <w:top w:val="none" w:sz="0" w:space="0" w:color="auto"/>
        <w:left w:val="none" w:sz="0" w:space="0" w:color="auto"/>
        <w:bottom w:val="none" w:sz="0" w:space="0" w:color="auto"/>
        <w:right w:val="none" w:sz="0" w:space="0" w:color="auto"/>
      </w:divBdr>
    </w:div>
    <w:div w:id="1578394968">
      <w:bodyDiv w:val="1"/>
      <w:marLeft w:val="0"/>
      <w:marRight w:val="0"/>
      <w:marTop w:val="0"/>
      <w:marBottom w:val="0"/>
      <w:divBdr>
        <w:top w:val="none" w:sz="0" w:space="0" w:color="auto"/>
        <w:left w:val="none" w:sz="0" w:space="0" w:color="auto"/>
        <w:bottom w:val="none" w:sz="0" w:space="0" w:color="auto"/>
        <w:right w:val="none" w:sz="0" w:space="0" w:color="auto"/>
      </w:divBdr>
      <w:divsChild>
        <w:div w:id="2088988876">
          <w:marLeft w:val="0"/>
          <w:marRight w:val="0"/>
          <w:marTop w:val="0"/>
          <w:marBottom w:val="0"/>
          <w:divBdr>
            <w:top w:val="none" w:sz="0" w:space="0" w:color="auto"/>
            <w:left w:val="none" w:sz="0" w:space="0" w:color="auto"/>
            <w:bottom w:val="none" w:sz="0" w:space="0" w:color="auto"/>
            <w:right w:val="none" w:sz="0" w:space="0" w:color="auto"/>
          </w:divBdr>
          <w:divsChild>
            <w:div w:id="1844858945">
              <w:marLeft w:val="0"/>
              <w:marRight w:val="0"/>
              <w:marTop w:val="0"/>
              <w:marBottom w:val="0"/>
              <w:divBdr>
                <w:top w:val="none" w:sz="0" w:space="0" w:color="auto"/>
                <w:left w:val="none" w:sz="0" w:space="0" w:color="auto"/>
                <w:bottom w:val="none" w:sz="0" w:space="0" w:color="auto"/>
                <w:right w:val="none" w:sz="0" w:space="0" w:color="auto"/>
              </w:divBdr>
              <w:divsChild>
                <w:div w:id="10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9120">
      <w:bodyDiv w:val="1"/>
      <w:marLeft w:val="0"/>
      <w:marRight w:val="0"/>
      <w:marTop w:val="0"/>
      <w:marBottom w:val="0"/>
      <w:divBdr>
        <w:top w:val="none" w:sz="0" w:space="0" w:color="auto"/>
        <w:left w:val="none" w:sz="0" w:space="0" w:color="auto"/>
        <w:bottom w:val="none" w:sz="0" w:space="0" w:color="auto"/>
        <w:right w:val="none" w:sz="0" w:space="0" w:color="auto"/>
      </w:divBdr>
      <w:divsChild>
        <w:div w:id="1751460450">
          <w:marLeft w:val="0"/>
          <w:marRight w:val="0"/>
          <w:marTop w:val="0"/>
          <w:marBottom w:val="0"/>
          <w:divBdr>
            <w:top w:val="none" w:sz="0" w:space="0" w:color="auto"/>
            <w:left w:val="none" w:sz="0" w:space="0" w:color="auto"/>
            <w:bottom w:val="none" w:sz="0" w:space="0" w:color="auto"/>
            <w:right w:val="none" w:sz="0" w:space="0" w:color="auto"/>
          </w:divBdr>
          <w:divsChild>
            <w:div w:id="322708195">
              <w:marLeft w:val="0"/>
              <w:marRight w:val="0"/>
              <w:marTop w:val="0"/>
              <w:marBottom w:val="0"/>
              <w:divBdr>
                <w:top w:val="none" w:sz="0" w:space="0" w:color="auto"/>
                <w:left w:val="none" w:sz="0" w:space="0" w:color="auto"/>
                <w:bottom w:val="none" w:sz="0" w:space="0" w:color="auto"/>
                <w:right w:val="none" w:sz="0" w:space="0" w:color="auto"/>
              </w:divBdr>
              <w:divsChild>
                <w:div w:id="47148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sac.gov.au/"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hta@health.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49F1E-1C3A-495C-B8C4-FA70531E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5461</Words>
  <Characters>31129</Characters>
  <Application>Microsoft Office Word</Application>
  <DocSecurity>0</DocSecurity>
  <Lines>259</Lines>
  <Paragraphs>73</Paragraphs>
  <ScaleCrop>false</ScaleCrop>
  <Company/>
  <LinksUpToDate>false</LinksUpToDate>
  <CharactersWithSpaces>36517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2020-08-17T05:28:00Z</dcterms:created>
  <dcterms:modified xsi:type="dcterms:W3CDTF">2020-08-19T02:39:00Z</dcterms:modified>
</cp:coreProperties>
</file>