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F9FE4" w14:textId="3C6546BC" w:rsidR="00B72946" w:rsidRDefault="00011D13" w:rsidP="00C35E4F">
      <w:pPr>
        <w:pStyle w:val="Heading1"/>
        <w:numPr>
          <w:ilvl w:val="0"/>
          <w:numId w:val="0"/>
        </w:numPr>
        <w:pBdr>
          <w:bottom w:val="none" w:sz="0" w:space="0" w:color="auto"/>
        </w:pBdr>
        <w:spacing w:before="0" w:after="0"/>
        <w:ind w:left="788"/>
        <w:jc w:val="center"/>
        <w:rPr>
          <w:rFonts w:ascii="Arial" w:hAnsi="Arial" w:cs="Arial"/>
          <w:b/>
          <w:bCs/>
          <w:color w:val="000080"/>
          <w:sz w:val="36"/>
          <w:szCs w:val="36"/>
        </w:rPr>
      </w:pPr>
      <w:r>
        <w:rPr>
          <w:rFonts w:ascii="Arial" w:hAnsi="Arial" w:cs="Arial"/>
          <w:b/>
          <w:bCs/>
          <w:color w:val="000080"/>
          <w:sz w:val="36"/>
          <w:szCs w:val="36"/>
        </w:rPr>
        <w:t>Medical Services Advisory Committee</w:t>
      </w:r>
      <w:r w:rsidR="006F1757">
        <w:rPr>
          <w:rFonts w:ascii="Arial" w:hAnsi="Arial" w:cs="Arial"/>
          <w:b/>
          <w:bCs/>
          <w:color w:val="000080"/>
          <w:sz w:val="36"/>
          <w:szCs w:val="36"/>
        </w:rPr>
        <w:t xml:space="preserve"> (MSAC)</w:t>
      </w:r>
    </w:p>
    <w:p w14:paraId="5F78D109" w14:textId="3259B414" w:rsidR="005E15AA" w:rsidRDefault="00C35E4F" w:rsidP="005F5381">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Public Summary Document</w:t>
      </w:r>
    </w:p>
    <w:p w14:paraId="2CDE7CA1" w14:textId="2740A0AF" w:rsidR="000E7E62" w:rsidRPr="00CE28E3" w:rsidRDefault="000E7E62" w:rsidP="00E633A7">
      <w:pPr>
        <w:pStyle w:val="Subtitle"/>
        <w:spacing w:before="0" w:after="0"/>
      </w:pPr>
      <w:r w:rsidRPr="00CE28E3">
        <w:t>Application No</w:t>
      </w:r>
      <w:r w:rsidRPr="00E1559A">
        <w:t>. 1714 – National Blood Authority listing for Obizur® (susoctocog alfa) for treatment of bleeding episodes with acquired Haemophilia A</w:t>
      </w:r>
    </w:p>
    <w:p w14:paraId="6E5FF77D" w14:textId="15D6AFCD" w:rsidR="000E7E62" w:rsidRPr="00862CAD" w:rsidRDefault="000E7E62" w:rsidP="00F4566D">
      <w:pPr>
        <w:tabs>
          <w:tab w:val="left" w:pos="3686"/>
        </w:tabs>
        <w:spacing w:before="240" w:after="240"/>
        <w:rPr>
          <w:rFonts w:ascii="Arial" w:hAnsi="Arial" w:cs="Arial"/>
          <w:b/>
          <w:szCs w:val="24"/>
        </w:rPr>
      </w:pPr>
      <w:r w:rsidRPr="00862CAD">
        <w:rPr>
          <w:rFonts w:ascii="Arial" w:hAnsi="Arial" w:cs="Arial"/>
          <w:b/>
          <w:szCs w:val="24"/>
        </w:rPr>
        <w:t>Applicant:</w:t>
      </w:r>
      <w:r w:rsidR="00862CAD" w:rsidRPr="00862CAD">
        <w:rPr>
          <w:rFonts w:ascii="Arial" w:hAnsi="Arial" w:cs="Arial"/>
          <w:b/>
          <w:szCs w:val="24"/>
        </w:rPr>
        <w:t xml:space="preserve"> </w:t>
      </w:r>
      <w:r w:rsidR="00A902E7">
        <w:rPr>
          <w:rFonts w:ascii="Arial" w:hAnsi="Arial" w:cs="Arial"/>
          <w:b/>
          <w:szCs w:val="24"/>
        </w:rPr>
        <w:tab/>
      </w:r>
      <w:r w:rsidRPr="00862CAD">
        <w:rPr>
          <w:rFonts w:ascii="Arial" w:hAnsi="Arial" w:cs="Arial"/>
          <w:b/>
          <w:szCs w:val="24"/>
        </w:rPr>
        <w:t>Takeda Pharmaceuticals Australia Pty Ltd</w:t>
      </w:r>
    </w:p>
    <w:p w14:paraId="2F5E0F22" w14:textId="7817158F" w:rsidR="004A7A52" w:rsidRDefault="000E7E62" w:rsidP="00A902E7">
      <w:pPr>
        <w:tabs>
          <w:tab w:val="left" w:pos="3686"/>
        </w:tabs>
        <w:rPr>
          <w:rFonts w:ascii="Arial" w:hAnsi="Arial" w:cs="Arial"/>
          <w:b/>
          <w:szCs w:val="24"/>
        </w:rPr>
      </w:pPr>
      <w:r w:rsidRPr="00862CAD">
        <w:rPr>
          <w:rFonts w:ascii="Arial" w:hAnsi="Arial" w:cs="Arial"/>
          <w:b/>
          <w:szCs w:val="24"/>
        </w:rPr>
        <w:t xml:space="preserve">Date of </w:t>
      </w:r>
      <w:r w:rsidR="00C35E4F">
        <w:rPr>
          <w:rFonts w:ascii="Arial" w:hAnsi="Arial" w:cs="Arial"/>
          <w:b/>
          <w:szCs w:val="24"/>
        </w:rPr>
        <w:t>MSAC</w:t>
      </w:r>
      <w:r w:rsidRPr="00862CAD">
        <w:rPr>
          <w:rFonts w:ascii="Arial" w:hAnsi="Arial" w:cs="Arial"/>
          <w:b/>
          <w:szCs w:val="24"/>
        </w:rPr>
        <w:t xml:space="preserve"> consideration:</w:t>
      </w:r>
      <w:r w:rsidR="00862CAD" w:rsidRPr="00862CAD">
        <w:rPr>
          <w:rFonts w:ascii="Arial" w:hAnsi="Arial" w:cs="Arial"/>
          <w:b/>
          <w:szCs w:val="24"/>
        </w:rPr>
        <w:t xml:space="preserve"> </w:t>
      </w:r>
      <w:r w:rsidR="00A902E7">
        <w:rPr>
          <w:rFonts w:ascii="Arial" w:hAnsi="Arial" w:cs="Arial"/>
          <w:b/>
          <w:szCs w:val="24"/>
        </w:rPr>
        <w:tab/>
      </w:r>
      <w:r w:rsidR="00C35E4F">
        <w:rPr>
          <w:rFonts w:ascii="Arial" w:hAnsi="Arial" w:cs="Arial"/>
          <w:b/>
          <w:szCs w:val="24"/>
        </w:rPr>
        <w:t>30-31 March</w:t>
      </w:r>
      <w:r w:rsidR="00680150">
        <w:rPr>
          <w:rFonts w:ascii="Arial" w:hAnsi="Arial" w:cs="Arial"/>
          <w:b/>
          <w:szCs w:val="24"/>
        </w:rPr>
        <w:t xml:space="preserve"> 2023</w:t>
      </w:r>
    </w:p>
    <w:p w14:paraId="28A2FFCB" w14:textId="40B8884D" w:rsidR="00F72C82" w:rsidRPr="00F72C82" w:rsidRDefault="00F72C82" w:rsidP="00F72C82">
      <w:pPr>
        <w:spacing w:after="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11" w:tooltip="Link to Medical Services Advisory Committee website" w:history="1">
        <w:r w:rsidRPr="00F715D1">
          <w:rPr>
            <w:rStyle w:val="Hyperlink"/>
            <w:szCs w:val="24"/>
          </w:rPr>
          <w:t>visit the MSAC website</w:t>
        </w:r>
      </w:hyperlink>
    </w:p>
    <w:p w14:paraId="12AA5DAD" w14:textId="77777777"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3C43F238" w14:textId="4E77DE56" w:rsidR="00772829" w:rsidRDefault="00772829" w:rsidP="00772829">
      <w:pPr>
        <w:spacing w:after="240"/>
      </w:pPr>
      <w:bookmarkStart w:id="1" w:name="_Hlk69734469"/>
      <w:r>
        <w:t>An application requesting</w:t>
      </w:r>
      <w:r w:rsidR="00A01061">
        <w:t xml:space="preserve"> that</w:t>
      </w:r>
      <w:r>
        <w:t xml:space="preserve"> </w:t>
      </w:r>
      <w:r w:rsidR="00276DAF">
        <w:t>Obizur® (susoctocog alfa)</w:t>
      </w:r>
      <w:r w:rsidR="00543408">
        <w:t xml:space="preserve"> </w:t>
      </w:r>
      <w:r w:rsidR="00276DAF">
        <w:t xml:space="preserve">be </w:t>
      </w:r>
      <w:r w:rsidR="00FA4F0D">
        <w:t xml:space="preserve">publicly </w:t>
      </w:r>
      <w:r w:rsidR="00A40AD7">
        <w:t xml:space="preserve">funded </w:t>
      </w:r>
      <w:r w:rsidR="00F82D4D">
        <w:t xml:space="preserve">under </w:t>
      </w:r>
      <w:r w:rsidR="00276DAF">
        <w:t xml:space="preserve">the </w:t>
      </w:r>
      <w:r w:rsidR="00D83481">
        <w:t xml:space="preserve">National Blood </w:t>
      </w:r>
      <w:r w:rsidR="00543408">
        <w:t xml:space="preserve">Arrangements </w:t>
      </w:r>
      <w:r w:rsidR="00865CDC">
        <w:t xml:space="preserve">via the </w:t>
      </w:r>
      <w:r w:rsidR="00276DAF">
        <w:t>National Product Price List</w:t>
      </w:r>
      <w:r w:rsidR="00C00F1E">
        <w:t xml:space="preserve"> (NPPL)</w:t>
      </w:r>
      <w:r w:rsidR="00543408">
        <w:t xml:space="preserve"> for the treatment of bleeding episodes in adult patients with Acquired Haemophilia A (AHA)</w:t>
      </w:r>
      <w:r w:rsidR="00276DAF">
        <w:t xml:space="preserve">, </w:t>
      </w:r>
      <w:r>
        <w:t xml:space="preserve">was received from </w:t>
      </w:r>
      <w:bookmarkStart w:id="2" w:name="_Hlk120095689"/>
      <w:r w:rsidR="00E15015">
        <w:t>Takeda Pharmaceuticals Australia Pty Ltd</w:t>
      </w:r>
      <w:bookmarkEnd w:id="2"/>
      <w:r w:rsidR="004425E8">
        <w:t xml:space="preserve"> by the Department of Health and Aged Care</w:t>
      </w:r>
      <w:r>
        <w:t>.</w:t>
      </w:r>
      <w:r w:rsidR="009D36D4">
        <w:t xml:space="preserve"> </w:t>
      </w:r>
    </w:p>
    <w:p w14:paraId="6F580DB0" w14:textId="24E1256B" w:rsidR="00C35E4F" w:rsidRDefault="00C35E4F" w:rsidP="00C35E4F">
      <w:pPr>
        <w:pStyle w:val="Heading2"/>
        <w:numPr>
          <w:ilvl w:val="0"/>
          <w:numId w:val="0"/>
        </w:numPr>
      </w:pPr>
      <w:r>
        <w:t>2.</w:t>
      </w:r>
      <w:r>
        <w:tab/>
        <w:t>MSAC’s advice to the Minister</w:t>
      </w:r>
    </w:p>
    <w:p w14:paraId="36C0BB71" w14:textId="5EAC6E22" w:rsidR="008F416A" w:rsidRPr="00E43529" w:rsidRDefault="008F416A" w:rsidP="008F416A">
      <w:pPr>
        <w:rPr>
          <w:rFonts w:eastAsia="Franklin Gothic Book" w:cs="Franklin Gothic Book"/>
          <w:color w:val="000000" w:themeColor="text1"/>
        </w:rPr>
      </w:pPr>
      <w:r w:rsidRPr="00D81A81">
        <w:t>After considering the strength of the available evidence in relation to comparative safety, clinical effectiveness</w:t>
      </w:r>
      <w:r>
        <w:t xml:space="preserve">, </w:t>
      </w:r>
      <w:proofErr w:type="gramStart"/>
      <w:r w:rsidRPr="00D81A81">
        <w:t>cost-effectiveness</w:t>
      </w:r>
      <w:proofErr w:type="gramEnd"/>
      <w:r>
        <w:t xml:space="preserve"> and total cost</w:t>
      </w:r>
      <w:r w:rsidRPr="00D81A81">
        <w:t xml:space="preserve">, </w:t>
      </w:r>
      <w:r w:rsidRPr="00E43529">
        <w:t xml:space="preserve">MSAC supported the addition of </w:t>
      </w:r>
      <w:r w:rsidRPr="00E43529">
        <w:rPr>
          <w:rFonts w:eastAsia="Franklin Gothic Book" w:cs="Franklin Gothic Book"/>
          <w:color w:val="000000" w:themeColor="text1"/>
        </w:rPr>
        <w:t>Obizur</w:t>
      </w:r>
      <w:r w:rsidRPr="00E43529">
        <w:rPr>
          <w:rFonts w:eastAsia="Franklin Gothic Book" w:cs="Franklin Gothic Book"/>
        </w:rPr>
        <w:t xml:space="preserve"> </w:t>
      </w:r>
      <w:r w:rsidRPr="00E43529">
        <w:t xml:space="preserve">to the National Blood Authority’s (NBA’s) NPPL </w:t>
      </w:r>
      <w:r w:rsidRPr="00E43529">
        <w:rPr>
          <w:rFonts w:eastAsia="Franklin Gothic Book" w:cs="Franklin Gothic Book"/>
          <w:color w:val="000000" w:themeColor="text1"/>
        </w:rPr>
        <w:t>for first-line monotherapy treatment</w:t>
      </w:r>
      <w:r w:rsidR="1C3F412D" w:rsidRPr="7D6288D4">
        <w:rPr>
          <w:rFonts w:eastAsia="Franklin Gothic Book" w:cs="Franklin Gothic Book"/>
          <w:color w:val="000000" w:themeColor="text1"/>
        </w:rPr>
        <w:t xml:space="preserve"> only,</w:t>
      </w:r>
      <w:r w:rsidRPr="00E43529">
        <w:rPr>
          <w:rFonts w:eastAsia="Franklin Gothic Book" w:cs="Franklin Gothic Book"/>
          <w:color w:val="000000" w:themeColor="text1"/>
        </w:rPr>
        <w:t xml:space="preserve"> of spontaneous bleeding episodes in adult patients with AHA</w:t>
      </w:r>
      <w:r w:rsidRPr="00E43529">
        <w:t xml:space="preserve">. MSAC noted its advice would inform the </w:t>
      </w:r>
      <w:r w:rsidRPr="00E43529">
        <w:rPr>
          <w:rFonts w:eastAsia="Franklin Gothic Book" w:cs="Franklin Gothic Book"/>
          <w:color w:val="000000" w:themeColor="text1"/>
        </w:rPr>
        <w:t>Jurisdictional Blood Committee (JBC)</w:t>
      </w:r>
      <w:r w:rsidRPr="00E43529">
        <w:t xml:space="preserve"> and any potential recommendation to all </w:t>
      </w:r>
      <w:r w:rsidR="00B8735A">
        <w:t>H</w:t>
      </w:r>
      <w:r w:rsidRPr="00E43529">
        <w:t xml:space="preserve">ealth </w:t>
      </w:r>
      <w:r w:rsidR="00B8735A">
        <w:t>M</w:t>
      </w:r>
      <w:r w:rsidRPr="00E43529">
        <w:t>inisters to include Obizur on the NPPL.</w:t>
      </w:r>
    </w:p>
    <w:p w14:paraId="1AE3B0D9" w14:textId="268B7E66" w:rsidR="008F416A" w:rsidRPr="00E43529" w:rsidRDefault="008F416A" w:rsidP="008F416A">
      <w:pPr>
        <w:rPr>
          <w:rFonts w:eastAsia="Franklin Gothic Book" w:cs="Franklin Gothic Book"/>
          <w:color w:val="000000" w:themeColor="text1"/>
        </w:rPr>
      </w:pPr>
      <w:r>
        <w:t xml:space="preserve">MSAC noted the clinical </w:t>
      </w:r>
      <w:r w:rsidRPr="300B3B16">
        <w:rPr>
          <w:rFonts w:eastAsia="Franklin Gothic Book" w:cs="Franklin Gothic Book"/>
          <w:color w:val="000000" w:themeColor="text1"/>
        </w:rPr>
        <w:t>claim of non-inferiority of Obizur use in all lines of therapy in terms of safety and effectiveness against both comparators, NovoSeven</w:t>
      </w:r>
      <w:r w:rsidRPr="300B3B16">
        <w:rPr>
          <w:rFonts w:eastAsia="Franklin Gothic Book" w:cs="Franklin Gothic Book"/>
          <w:color w:val="000000" w:themeColor="text1"/>
          <w:vertAlign w:val="superscript"/>
        </w:rPr>
        <w:t>®</w:t>
      </w:r>
      <w:r w:rsidRPr="300B3B16">
        <w:rPr>
          <w:rFonts w:eastAsia="Franklin Gothic Book" w:cs="Franklin Gothic Book"/>
          <w:color w:val="000000" w:themeColor="text1"/>
        </w:rPr>
        <w:t xml:space="preserve"> RT and FEIBA NF</w:t>
      </w:r>
      <w:r w:rsidRPr="300B3B16">
        <w:rPr>
          <w:rFonts w:eastAsia="Franklin Gothic Book" w:cs="Franklin Gothic Book"/>
          <w:color w:val="000000" w:themeColor="text1"/>
          <w:vertAlign w:val="superscript"/>
        </w:rPr>
        <w:t>®</w:t>
      </w:r>
      <w:r w:rsidRPr="300B3B16">
        <w:rPr>
          <w:rFonts w:eastAsia="Franklin Gothic Book" w:cs="Franklin Gothic Book"/>
          <w:color w:val="000000" w:themeColor="text1"/>
        </w:rPr>
        <w:t>, was uncertain due to the lack of high-level comparative evidence but was likely non-inferior for first line use. MSAC acknowledged that</w:t>
      </w:r>
      <w:r w:rsidR="00060BF3" w:rsidRPr="300B3B16">
        <w:rPr>
          <w:rFonts w:eastAsia="Franklin Gothic Book" w:cs="Franklin Gothic Book"/>
          <w:color w:val="000000" w:themeColor="text1"/>
        </w:rPr>
        <w:t>,</w:t>
      </w:r>
      <w:r w:rsidRPr="300B3B16">
        <w:rPr>
          <w:rFonts w:eastAsia="Franklin Gothic Book" w:cs="Franklin Gothic Book"/>
          <w:color w:val="000000" w:themeColor="text1"/>
        </w:rPr>
        <w:t xml:space="preserve"> due to the rarity of AHA, it was unlikely that any randomised controlled trials would be forthcoming to provide greater certainty of evidence. </w:t>
      </w:r>
    </w:p>
    <w:p w14:paraId="298CA351" w14:textId="49F2A512" w:rsidR="009D7915" w:rsidRDefault="6DC58D88" w:rsidP="009D7915">
      <w:pPr>
        <w:rPr>
          <w:rFonts w:eastAsia="Franklin Gothic Book" w:cs="Franklin Gothic Book"/>
          <w:color w:val="000000" w:themeColor="text1"/>
        </w:rPr>
      </w:pPr>
      <w:r w:rsidRPr="300B3B16">
        <w:rPr>
          <w:rFonts w:eastAsia="Franklin Gothic Book" w:cs="Franklin Gothic Book"/>
          <w:color w:val="000000" w:themeColor="text1"/>
        </w:rPr>
        <w:t xml:space="preserve">MSAC considered that the cost-minimisation analysis and estimated financial impact were difficult to assess with confidence due to the limited supporting published evidence, confounding factors in estimating </w:t>
      </w:r>
      <w:proofErr w:type="spellStart"/>
      <w:r w:rsidRPr="300B3B16">
        <w:rPr>
          <w:rFonts w:eastAsia="Franklin Gothic Book" w:cs="Franklin Gothic Book"/>
          <w:color w:val="000000" w:themeColor="text1"/>
        </w:rPr>
        <w:t>equi</w:t>
      </w:r>
      <w:proofErr w:type="spellEnd"/>
      <w:r w:rsidRPr="300B3B16">
        <w:rPr>
          <w:rFonts w:eastAsia="Franklin Gothic Book" w:cs="Franklin Gothic Book"/>
          <w:color w:val="000000" w:themeColor="text1"/>
        </w:rPr>
        <w:t xml:space="preserve">-effective doses, the small number of patients predicted to be treated per year, </w:t>
      </w:r>
      <w:r w:rsidR="3F7819A9" w:rsidRPr="300B3B16">
        <w:rPr>
          <w:rFonts w:eastAsia="Franklin Gothic Book" w:cs="Franklin Gothic Book"/>
          <w:color w:val="000000" w:themeColor="text1"/>
        </w:rPr>
        <w:t>their diverse aetiologies</w:t>
      </w:r>
      <w:r w:rsidR="00060BF3" w:rsidRPr="300B3B16">
        <w:rPr>
          <w:rFonts w:eastAsia="Franklin Gothic Book" w:cs="Franklin Gothic Book"/>
          <w:color w:val="000000" w:themeColor="text1"/>
        </w:rPr>
        <w:t>,</w:t>
      </w:r>
      <w:r w:rsidR="3F7819A9" w:rsidRPr="300B3B16">
        <w:rPr>
          <w:rFonts w:eastAsia="Franklin Gothic Book" w:cs="Franklin Gothic Book"/>
          <w:color w:val="000000" w:themeColor="text1"/>
        </w:rPr>
        <w:t xml:space="preserve"> </w:t>
      </w:r>
      <w:r w:rsidRPr="300B3B16">
        <w:rPr>
          <w:rFonts w:eastAsia="Franklin Gothic Book" w:cs="Franklin Gothic Book"/>
          <w:color w:val="000000" w:themeColor="text1"/>
        </w:rPr>
        <w:t>and the highly variable p</w:t>
      </w:r>
      <w:r w:rsidR="6C84AF08" w:rsidRPr="300B3B16">
        <w:rPr>
          <w:rFonts w:eastAsia="Franklin Gothic Book" w:cs="Franklin Gothic Book"/>
          <w:color w:val="000000" w:themeColor="text1"/>
        </w:rPr>
        <w:t>resentation and</w:t>
      </w:r>
      <w:r w:rsidRPr="300B3B16">
        <w:rPr>
          <w:rFonts w:eastAsia="Franklin Gothic Book" w:cs="Franklin Gothic Book"/>
          <w:color w:val="000000" w:themeColor="text1"/>
        </w:rPr>
        <w:t xml:space="preserve"> clinical course of a bleeding episode (among other issues). Nonetheless, MSAC considered there to be clinical need for improved therapies for AHA such as Obizur and that provisions could be implemented such as improving monitoring of the use of each therapy (including cost per bleeding episode) and post-treatment outcomes via the Australian Bleeding Disorders Registry (ABDR), a risk share arrangement (RSA) with the applicant to avoid overspending on the budget, and a review of all treatment utilisation after two years post-implementation.</w:t>
      </w:r>
      <w:r w:rsidR="009D7915">
        <w:rPr>
          <w:rFonts w:eastAsia="Franklin Gothic Book" w:cs="Franklin Gothic Book"/>
          <w:color w:val="000000" w:themeColor="text1"/>
        </w:rPr>
        <w:br w:type="page"/>
      </w:r>
    </w:p>
    <w:tbl>
      <w:tblPr>
        <w:tblStyle w:val="TableGrid"/>
        <w:tblW w:w="0" w:type="auto"/>
        <w:tblLook w:val="04A0" w:firstRow="1" w:lastRow="0" w:firstColumn="1" w:lastColumn="0" w:noHBand="0" w:noVBand="1"/>
        <w:tblDescription w:val="Consumer summary of MSAC consideration"/>
      </w:tblPr>
      <w:tblGrid>
        <w:gridCol w:w="9016"/>
      </w:tblGrid>
      <w:tr w:rsidR="008F416A" w:rsidRPr="00AF46D8" w14:paraId="4F307FFE" w14:textId="77777777" w:rsidTr="0301EDCD">
        <w:trPr>
          <w:tblHeader/>
        </w:trPr>
        <w:tc>
          <w:tcPr>
            <w:tcW w:w="9016" w:type="dxa"/>
          </w:tcPr>
          <w:p w14:paraId="3AA4612B" w14:textId="77777777" w:rsidR="008F416A" w:rsidRPr="00AF46D8" w:rsidRDefault="008F416A" w:rsidP="008F416A">
            <w:pPr>
              <w:pStyle w:val="Heading3"/>
              <w:spacing w:before="120" w:after="120"/>
              <w:outlineLvl w:val="2"/>
              <w:rPr>
                <w:rFonts w:eastAsiaTheme="minorHAnsi" w:cstheme="minorBidi"/>
                <w:iCs/>
              </w:rPr>
            </w:pPr>
            <w:r w:rsidRPr="00AF46D8">
              <w:lastRenderedPageBreak/>
              <w:t>Consumer summary</w:t>
            </w:r>
          </w:p>
        </w:tc>
      </w:tr>
      <w:tr w:rsidR="008F416A" w:rsidRPr="00AF46D8" w14:paraId="521C74C6" w14:textId="77777777" w:rsidTr="0301EDCD">
        <w:tc>
          <w:tcPr>
            <w:tcW w:w="9016" w:type="dxa"/>
          </w:tcPr>
          <w:p w14:paraId="12AB1728" w14:textId="77777777" w:rsidR="008F416A" w:rsidRDefault="008F416A" w:rsidP="002859B3">
            <w:r w:rsidRPr="00AF46D8">
              <w:t>This is an application from</w:t>
            </w:r>
            <w:r>
              <w:t xml:space="preserve"> Takeda Pharmaceutical Australia</w:t>
            </w:r>
            <w:r w:rsidRPr="00AF46D8">
              <w:t xml:space="preserve"> requesting</w:t>
            </w:r>
            <w:r>
              <w:t xml:space="preserve"> that Obizur® (susoctocog alfa) be</w:t>
            </w:r>
            <w:r w:rsidRPr="00AF46D8">
              <w:t xml:space="preserve"> </w:t>
            </w:r>
            <w:r>
              <w:t>publicly funded under the National Blood Arrangements through the National Product Price List for the treatment of bleeding episodes in adult patients with acquired haemophilia A.</w:t>
            </w:r>
          </w:p>
          <w:p w14:paraId="48A411E1" w14:textId="248C5734" w:rsidR="008F416A" w:rsidRDefault="008F416A" w:rsidP="002859B3">
            <w:r>
              <w:t xml:space="preserve">Acquired haemophilia A </w:t>
            </w:r>
            <w:r w:rsidR="00F14AE3">
              <w:t xml:space="preserve">(AHA) </w:t>
            </w:r>
            <w:r>
              <w:t xml:space="preserve">is a condition where patients </w:t>
            </w:r>
            <w:r w:rsidR="3E58C5E6">
              <w:t>present with</w:t>
            </w:r>
            <w:r>
              <w:t xml:space="preserve"> spontaneous bleeding</w:t>
            </w:r>
            <w:r w:rsidR="00645336">
              <w:t xml:space="preserve"> (bleeding for no reason</w:t>
            </w:r>
            <w:r w:rsidR="003676CA">
              <w:t xml:space="preserve"> or without an obvious injury</w:t>
            </w:r>
            <w:r w:rsidR="00645336">
              <w:t>)</w:t>
            </w:r>
            <w:r>
              <w:t xml:space="preserve"> despite having no history of a bleeding disorder. </w:t>
            </w:r>
            <w:r w:rsidR="00B436EC">
              <w:t xml:space="preserve">The condition can appear late in life and is different to </w:t>
            </w:r>
            <w:r w:rsidR="00090185">
              <w:t>congenital haemophilia A</w:t>
            </w:r>
            <w:r w:rsidR="00F30A5E">
              <w:t xml:space="preserve"> where patients are born with the condition.</w:t>
            </w:r>
            <w:r w:rsidR="00090185">
              <w:t xml:space="preserve"> </w:t>
            </w:r>
            <w:r w:rsidR="60D9F17E">
              <w:t>Obizur is not proposed to be used in the management of patients with congenital haemophilia A</w:t>
            </w:r>
            <w:r w:rsidR="009035DF">
              <w:t xml:space="preserve">. </w:t>
            </w:r>
            <w:r w:rsidR="5AF78D3C">
              <w:t xml:space="preserve">Patients with </w:t>
            </w:r>
            <w:r w:rsidR="005B6F9D">
              <w:t xml:space="preserve">AHA </w:t>
            </w:r>
            <w:r>
              <w:t xml:space="preserve">have the protein needed for blood clotting (Factor VIII) but develop </w:t>
            </w:r>
            <w:r w:rsidR="00F61E3D">
              <w:t>antibodies against this protein</w:t>
            </w:r>
            <w:r w:rsidR="00FE5416">
              <w:t xml:space="preserve"> (autoantibodies)</w:t>
            </w:r>
            <w:r w:rsidR="00F61E3D">
              <w:t xml:space="preserve"> </w:t>
            </w:r>
            <w:r w:rsidR="5CDE4E5D">
              <w:t xml:space="preserve">which </w:t>
            </w:r>
            <w:r w:rsidR="00B53AC4">
              <w:t>inactivates it (</w:t>
            </w:r>
            <w:r w:rsidR="2A05620E">
              <w:t>stops it</w:t>
            </w:r>
            <w:r>
              <w:t xml:space="preserve"> </w:t>
            </w:r>
            <w:r w:rsidR="00B53AC4">
              <w:t xml:space="preserve">from </w:t>
            </w:r>
            <w:r>
              <w:t>working</w:t>
            </w:r>
            <w:r w:rsidR="00B53AC4">
              <w:t>)</w:t>
            </w:r>
            <w:r>
              <w:t xml:space="preserve">. </w:t>
            </w:r>
            <w:r w:rsidR="003B08A6">
              <w:t>A</w:t>
            </w:r>
            <w:r w:rsidR="3CF1FC58">
              <w:t>s</w:t>
            </w:r>
            <w:r w:rsidR="003B08A6">
              <w:t xml:space="preserve"> Factor VIII becomes inactivated</w:t>
            </w:r>
            <w:r w:rsidR="53448098">
              <w:t>,</w:t>
            </w:r>
            <w:r w:rsidR="003B08A6">
              <w:t xml:space="preserve"> </w:t>
            </w:r>
            <w:r w:rsidR="5E23BBE1">
              <w:t xml:space="preserve">the </w:t>
            </w:r>
            <w:r>
              <w:t>blood does not clot</w:t>
            </w:r>
            <w:r w:rsidR="2FD385CE">
              <w:t xml:space="preserve"> as quickly as it should and </w:t>
            </w:r>
            <w:r w:rsidR="16620AAF">
              <w:t xml:space="preserve">patients </w:t>
            </w:r>
            <w:r w:rsidR="2FD385CE">
              <w:t>may experience</w:t>
            </w:r>
            <w:r w:rsidR="6A4B0874">
              <w:t xml:space="preserve"> </w:t>
            </w:r>
            <w:r w:rsidR="6FD6D433">
              <w:t xml:space="preserve">abnormal </w:t>
            </w:r>
            <w:r w:rsidR="6A4B0874">
              <w:t>bleedi</w:t>
            </w:r>
            <w:r w:rsidR="7461D5F3">
              <w:t>n</w:t>
            </w:r>
            <w:r w:rsidR="6A4B0874">
              <w:t xml:space="preserve">g following surgery or injury, or develop spontaneous bleeding, which </w:t>
            </w:r>
            <w:r w:rsidR="00D2724D">
              <w:t xml:space="preserve">can range from minimal </w:t>
            </w:r>
            <w:r w:rsidR="00F36B79">
              <w:t xml:space="preserve">requiring no treatment </w:t>
            </w:r>
            <w:r w:rsidR="00D2724D">
              <w:t>to</w:t>
            </w:r>
            <w:r w:rsidR="6A4B0874">
              <w:t xml:space="preserve"> severe or life-threatening</w:t>
            </w:r>
            <w:r w:rsidR="00F36B79">
              <w:t xml:space="preserve"> requiring hospitalisation</w:t>
            </w:r>
            <w:r>
              <w:t>.</w:t>
            </w:r>
          </w:p>
          <w:p w14:paraId="594EAEFE" w14:textId="38A65EA1" w:rsidR="008F416A" w:rsidRDefault="6C84AF08" w:rsidP="5BAF2109">
            <w:r>
              <w:t>Obizur is a</w:t>
            </w:r>
            <w:r w:rsidR="1E31B7E5">
              <w:t xml:space="preserve"> manufactured product </w:t>
            </w:r>
            <w:r w:rsidR="6E002761">
              <w:t xml:space="preserve">(rather than sourced from donated blood) </w:t>
            </w:r>
            <w:r>
              <w:t xml:space="preserve">that replaces </w:t>
            </w:r>
            <w:r w:rsidR="423266ED">
              <w:t xml:space="preserve">the </w:t>
            </w:r>
            <w:r w:rsidR="55907B8D">
              <w:t>action of</w:t>
            </w:r>
            <w:r w:rsidR="4B8FB540">
              <w:t xml:space="preserve"> </w:t>
            </w:r>
            <w:r w:rsidR="20E0BD24">
              <w:t xml:space="preserve">the inactivated </w:t>
            </w:r>
            <w:r>
              <w:t>Factor VIII</w:t>
            </w:r>
            <w:r w:rsidR="22D6F426">
              <w:t xml:space="preserve"> in patients with </w:t>
            </w:r>
            <w:r w:rsidR="23908233">
              <w:t>AHA but</w:t>
            </w:r>
            <w:r w:rsidR="1FDE0D5A" w:rsidRPr="300B3B16">
              <w:rPr>
                <w:rFonts w:eastAsiaTheme="minorEastAsia"/>
              </w:rPr>
              <w:t xml:space="preserve"> </w:t>
            </w:r>
            <w:r w:rsidR="7D8BDBC4" w:rsidRPr="300B3B16">
              <w:rPr>
                <w:rFonts w:eastAsiaTheme="minorEastAsia"/>
              </w:rPr>
              <w:t xml:space="preserve">is not </w:t>
            </w:r>
            <w:r w:rsidR="7D84D308" w:rsidRPr="300B3B16">
              <w:rPr>
                <w:rFonts w:eastAsiaTheme="minorEastAsia"/>
              </w:rPr>
              <w:t xml:space="preserve">affected </w:t>
            </w:r>
            <w:r w:rsidR="7D8BDBC4" w:rsidRPr="300B3B16">
              <w:rPr>
                <w:rFonts w:eastAsiaTheme="minorEastAsia"/>
              </w:rPr>
              <w:t>by the autoantibodies that cause AHA</w:t>
            </w:r>
            <w:r>
              <w:t xml:space="preserve">. Furthermore, </w:t>
            </w:r>
            <w:r w:rsidR="2AC23123">
              <w:t xml:space="preserve">unlike existing treatments, </w:t>
            </w:r>
            <w:r>
              <w:t xml:space="preserve">Obizur treatment allows for the patient’s </w:t>
            </w:r>
            <w:r w:rsidR="01987C8B">
              <w:t>clotting activity</w:t>
            </w:r>
            <w:r>
              <w:t xml:space="preserve"> to be measured</w:t>
            </w:r>
            <w:r w:rsidR="41E11828">
              <w:t xml:space="preserve"> in response to treatment</w:t>
            </w:r>
            <w:r>
              <w:t>, which assists with guiding dosing and monitoring.</w:t>
            </w:r>
          </w:p>
          <w:p w14:paraId="3A9C2057" w14:textId="2543B927" w:rsidR="008F416A" w:rsidRDefault="008F416A" w:rsidP="002859B3">
            <w:r>
              <w:t xml:space="preserve">MSAC considered that, if Obizur is used </w:t>
            </w:r>
            <w:r w:rsidR="242DC041">
              <w:t xml:space="preserve">alone </w:t>
            </w:r>
            <w:r>
              <w:t xml:space="preserve">as a </w:t>
            </w:r>
            <w:bookmarkStart w:id="3" w:name="_Int_oswe5OAQ"/>
            <w:proofErr w:type="gramStart"/>
            <w:r>
              <w:t>first-line</w:t>
            </w:r>
            <w:bookmarkEnd w:id="3"/>
            <w:proofErr w:type="gramEnd"/>
            <w:r>
              <w:t xml:space="preserve"> </w:t>
            </w:r>
            <w:r w:rsidR="002A546D">
              <w:t xml:space="preserve">(first choice) </w:t>
            </w:r>
            <w:r>
              <w:t>therapy</w:t>
            </w:r>
            <w:r w:rsidR="1414781D">
              <w:t xml:space="preserve"> for bleeding</w:t>
            </w:r>
            <w:r>
              <w:t xml:space="preserve">, it appears to be as safe and effective as other </w:t>
            </w:r>
            <w:r w:rsidR="002A546D">
              <w:t xml:space="preserve">available </w:t>
            </w:r>
            <w:r>
              <w:t xml:space="preserve">treatments, and there is a high need for </w:t>
            </w:r>
            <w:r w:rsidR="00763F39">
              <w:t xml:space="preserve">new treatment options such as </w:t>
            </w:r>
            <w:r>
              <w:t>Obizur</w:t>
            </w:r>
            <w:r w:rsidR="00763F39">
              <w:t xml:space="preserve"> to help treat bleed</w:t>
            </w:r>
            <w:r w:rsidR="002A3E2E">
              <w:t>ing</w:t>
            </w:r>
            <w:r w:rsidR="00537DF2">
              <w:t xml:space="preserve"> in these patients</w:t>
            </w:r>
            <w:r>
              <w:t xml:space="preserve">. </w:t>
            </w:r>
            <w:r w:rsidR="00537DF2">
              <w:t xml:space="preserve">MSAC noted that there are very few patients (around 100) </w:t>
            </w:r>
            <w:r w:rsidR="00F14AE3">
              <w:t xml:space="preserve">in Australia with AHA </w:t>
            </w:r>
            <w:r w:rsidR="00927F12">
              <w:t>and even fewer (less than 20)</w:t>
            </w:r>
            <w:r w:rsidR="002A546D">
              <w:t xml:space="preserve"> who</w:t>
            </w:r>
            <w:r w:rsidR="00927F12">
              <w:t xml:space="preserve"> </w:t>
            </w:r>
            <w:r w:rsidR="00F26C64">
              <w:t xml:space="preserve">require hospitalisation and treatment for a bleed each year. </w:t>
            </w:r>
            <w:r>
              <w:t xml:space="preserve">MSAC could not confidently assess </w:t>
            </w:r>
            <w:proofErr w:type="spellStart"/>
            <w:r>
              <w:t>Obizur’s</w:t>
            </w:r>
            <w:proofErr w:type="spellEnd"/>
            <w:r>
              <w:t xml:space="preserve"> value for money because supporting evidence was limited</w:t>
            </w:r>
            <w:r w:rsidR="009B7E09">
              <w:t xml:space="preserve"> (due to how rare the condition is)</w:t>
            </w:r>
            <w:r>
              <w:t xml:space="preserve">, but MSAC advised that </w:t>
            </w:r>
            <w:r w:rsidR="00546A1B">
              <w:t xml:space="preserve">the use </w:t>
            </w:r>
            <w:r>
              <w:t>of Obizur should be monitored and reviewed after two years to ensure that it remains effective and safe and is good value for money.</w:t>
            </w:r>
          </w:p>
          <w:p w14:paraId="129169D2" w14:textId="380C9347" w:rsidR="008F416A" w:rsidRPr="00AF46D8" w:rsidRDefault="008F416A" w:rsidP="002859B3">
            <w:pPr>
              <w:pStyle w:val="Heading3"/>
              <w:outlineLvl w:val="2"/>
            </w:pPr>
            <w:r>
              <w:t xml:space="preserve">MSAC’s advice to the </w:t>
            </w:r>
            <w:bookmarkStart w:id="4" w:name="_Int_ivFPtACJ"/>
            <w:proofErr w:type="gramStart"/>
            <w:r>
              <w:t>Commonwealth Minister</w:t>
            </w:r>
            <w:bookmarkEnd w:id="4"/>
            <w:proofErr w:type="gramEnd"/>
            <w:r>
              <w:t xml:space="preserve"> for Health</w:t>
            </w:r>
            <w:r w:rsidR="008F61A0">
              <w:t xml:space="preserve"> and Aged Care</w:t>
            </w:r>
          </w:p>
          <w:p w14:paraId="6F956A50" w14:textId="77777777" w:rsidR="008F416A" w:rsidRPr="00AF46D8" w:rsidRDefault="008F416A" w:rsidP="002859B3">
            <w:r w:rsidRPr="008C409C">
              <w:t>MSAC supported Obizur being publicly funded through the National Product Price List as a fi</w:t>
            </w:r>
            <w:r>
              <w:t>rs</w:t>
            </w:r>
            <w:r w:rsidRPr="008C409C">
              <w:t>t-line therapy. Obizur</w:t>
            </w:r>
            <w:r>
              <w:t xml:space="preserve"> as a first-line treatment appears to be as safe and effective as other treatments. The use, </w:t>
            </w:r>
            <w:proofErr w:type="gramStart"/>
            <w:r>
              <w:t>effectiveness</w:t>
            </w:r>
            <w:proofErr w:type="gramEnd"/>
            <w:r>
              <w:t xml:space="preserve"> and safety of Obizur should be reviewed after two years.</w:t>
            </w:r>
          </w:p>
        </w:tc>
      </w:tr>
    </w:tbl>
    <w:p w14:paraId="6F35C997" w14:textId="65EB0C3B" w:rsidR="00C35E4F" w:rsidRDefault="00C35E4F" w:rsidP="00C35E4F">
      <w:pPr>
        <w:pStyle w:val="Heading2"/>
        <w:numPr>
          <w:ilvl w:val="0"/>
          <w:numId w:val="0"/>
        </w:numPr>
      </w:pPr>
      <w:r>
        <w:t>3.</w:t>
      </w:r>
      <w:r>
        <w:tab/>
        <w:t>Summary of consideration and rationale for MSAC’s advice</w:t>
      </w:r>
    </w:p>
    <w:p w14:paraId="5795084F" w14:textId="7484DE37" w:rsidR="008437A6" w:rsidRDefault="0091205A" w:rsidP="0091205A">
      <w:bookmarkStart w:id="5" w:name="_Toc69491416"/>
      <w:bookmarkEnd w:id="1"/>
      <w:r w:rsidRPr="00516D4E">
        <w:t>MSAC</w:t>
      </w:r>
      <w:r>
        <w:t xml:space="preserve"> noted that this application from Takeda Pharmaceuticals Australia Pty Ltd was requesting that Obizur® (susoctocog alfa) be publicly funded under the National Blood Arrangements through the NBA’s NPPL for the treatment of bleeding episodes in patients with AHA.</w:t>
      </w:r>
      <w:r w:rsidR="008B144C">
        <w:t xml:space="preserve"> </w:t>
      </w:r>
      <w:r w:rsidR="00E07ECF">
        <w:rPr>
          <w:lang w:val="en-US"/>
        </w:rPr>
        <w:t>MSAC noted that consultation feedback sought from professional societies were strongly supportive of listing</w:t>
      </w:r>
      <w:r w:rsidR="00101600">
        <w:rPr>
          <w:lang w:val="en-US"/>
        </w:rPr>
        <w:t xml:space="preserve"> and agreed that </w:t>
      </w:r>
      <w:r w:rsidR="00FC2A0E">
        <w:rPr>
          <w:lang w:val="en-US"/>
        </w:rPr>
        <w:t>advances in available treatments for these patients was needed</w:t>
      </w:r>
      <w:r w:rsidR="00E07ECF">
        <w:rPr>
          <w:lang w:val="en-US"/>
        </w:rPr>
        <w:t xml:space="preserve">. </w:t>
      </w:r>
    </w:p>
    <w:p w14:paraId="15A928E9" w14:textId="48048119" w:rsidR="008464A8" w:rsidRPr="00DC3E18" w:rsidRDefault="0091205A" w:rsidP="0091205A">
      <w:pPr>
        <w:rPr>
          <w:lang w:val="en-US"/>
        </w:rPr>
      </w:pPr>
      <w:r>
        <w:t xml:space="preserve">MSAC noted that </w:t>
      </w:r>
      <w:r w:rsidR="006D5422">
        <w:t>AHA</w:t>
      </w:r>
      <w:r>
        <w:t xml:space="preserve"> is a rare but life-threatening autoimmune bleeding disorder where patients develop autoantibodies to coagulation Factor VIII (FVIII). </w:t>
      </w:r>
      <w:r w:rsidR="008437A6">
        <w:t>P</w:t>
      </w:r>
      <w:r>
        <w:t xml:space="preserve">atients </w:t>
      </w:r>
      <w:r w:rsidR="7AD4841A">
        <w:t>typically</w:t>
      </w:r>
      <w:r>
        <w:t xml:space="preserve"> present with a sudden bleed</w:t>
      </w:r>
      <w:r w:rsidR="51A9EF0D">
        <w:t>ing event</w:t>
      </w:r>
      <w:r>
        <w:t>. MSAC noted that there are two peaks for the disease: during pregnancy, and in older (around 75</w:t>
      </w:r>
      <w:r w:rsidRPr="714F1E74">
        <w:rPr>
          <w:lang w:val="en-US"/>
        </w:rPr>
        <w:t xml:space="preserve"> years of age and older) people (more often in males than females). MSAC noted </w:t>
      </w:r>
      <w:r w:rsidRPr="714F1E74">
        <w:rPr>
          <w:lang w:val="en-US"/>
        </w:rPr>
        <w:lastRenderedPageBreak/>
        <w:t xml:space="preserve">that approximately 40–50% of AHA patients have an </w:t>
      </w:r>
      <w:r w:rsidR="6628F7C6" w:rsidRPr="714F1E74">
        <w:rPr>
          <w:lang w:val="en-US"/>
        </w:rPr>
        <w:t xml:space="preserve">identifiable </w:t>
      </w:r>
      <w:r w:rsidRPr="714F1E74">
        <w:rPr>
          <w:lang w:val="en-US"/>
        </w:rPr>
        <w:t>underlying condition such as autoimmune diseases</w:t>
      </w:r>
      <w:r w:rsidR="066D9CBF" w:rsidRPr="714F1E74">
        <w:rPr>
          <w:lang w:val="en-US"/>
        </w:rPr>
        <w:t xml:space="preserve"> and</w:t>
      </w:r>
      <w:r w:rsidRPr="714F1E74">
        <w:rPr>
          <w:lang w:val="en-US"/>
        </w:rPr>
        <w:t xml:space="preserve"> cancer or </w:t>
      </w:r>
      <w:r w:rsidR="00E77CA2">
        <w:rPr>
          <w:lang w:val="en-US"/>
        </w:rPr>
        <w:t xml:space="preserve">the condition </w:t>
      </w:r>
      <w:r w:rsidR="457D4872" w:rsidRPr="714F1E74">
        <w:rPr>
          <w:lang w:val="en-US"/>
        </w:rPr>
        <w:t xml:space="preserve">is </w:t>
      </w:r>
      <w:r w:rsidRPr="714F1E74">
        <w:rPr>
          <w:lang w:val="en-US"/>
        </w:rPr>
        <w:t>pregnancy</w:t>
      </w:r>
      <w:r w:rsidR="0F93225B" w:rsidRPr="714F1E74">
        <w:rPr>
          <w:lang w:val="en-US"/>
        </w:rPr>
        <w:t>-associated</w:t>
      </w:r>
      <w:r w:rsidRPr="714F1E74">
        <w:rPr>
          <w:lang w:val="en-US"/>
        </w:rPr>
        <w:t>.</w:t>
      </w:r>
      <w:r w:rsidR="00DC3E18">
        <w:rPr>
          <w:rStyle w:val="FootnoteReference"/>
          <w:lang w:val="en-US"/>
        </w:rPr>
        <w:footnoteReference w:id="2"/>
      </w:r>
    </w:p>
    <w:p w14:paraId="304E64A2" w14:textId="6CF1DC9B" w:rsidR="0091205A" w:rsidRDefault="0091205A" w:rsidP="0091205A">
      <w:pPr>
        <w:rPr>
          <w:lang w:val="en-US"/>
        </w:rPr>
      </w:pPr>
      <w:r>
        <w:t>MSAC noted that Obizur is a purified, recombinant porcine FVIII molecule (</w:t>
      </w:r>
      <w:proofErr w:type="spellStart"/>
      <w:r>
        <w:t>rpFVIII</w:t>
      </w:r>
      <w:proofErr w:type="spellEnd"/>
      <w:r>
        <w:t>) that replaces missing human FVIII in the coagulation pathway. The sequence of Obizur is sufficiently different to human FVIII to minimise cross-reactivity with the inhibitor</w:t>
      </w:r>
      <w:r w:rsidR="2DE7FC72">
        <w:t>s directed</w:t>
      </w:r>
      <w:r>
        <w:t xml:space="preserve"> against human FVIII.</w:t>
      </w:r>
      <w:r w:rsidR="008437A6">
        <w:rPr>
          <w:lang w:val="en-US"/>
        </w:rPr>
        <w:t xml:space="preserve"> </w:t>
      </w:r>
      <w:r>
        <w:rPr>
          <w:lang w:val="en-US"/>
        </w:rPr>
        <w:t xml:space="preserve">Additionally, MSAC </w:t>
      </w:r>
      <w:r w:rsidR="00A30FC2">
        <w:rPr>
          <w:lang w:val="en-US"/>
        </w:rPr>
        <w:t xml:space="preserve">noted </w:t>
      </w:r>
      <w:r>
        <w:rPr>
          <w:lang w:val="en-US"/>
        </w:rPr>
        <w:t xml:space="preserve">that Obizur is already being used in Australia for treatment of </w:t>
      </w:r>
      <w:r w:rsidR="005D62F6">
        <w:rPr>
          <w:lang w:val="en-US"/>
        </w:rPr>
        <w:t xml:space="preserve">spontaneous bleeding episodes </w:t>
      </w:r>
      <w:r w:rsidR="008F242A">
        <w:rPr>
          <w:lang w:val="en-US"/>
        </w:rPr>
        <w:t xml:space="preserve">in patients with </w:t>
      </w:r>
      <w:r>
        <w:rPr>
          <w:lang w:val="en-US"/>
        </w:rPr>
        <w:t>AHA without a fixed funding mechanism.</w:t>
      </w:r>
    </w:p>
    <w:p w14:paraId="4A776AE0" w14:textId="177E6FF5" w:rsidR="0091205A" w:rsidRPr="007B3A83" w:rsidRDefault="0091205A" w:rsidP="0091205A">
      <w:r>
        <w:t xml:space="preserve">MSAC noted there is a clinical need for access to improved therapies that allow better monitoring of treatment response, particularly because direct measurement of </w:t>
      </w:r>
      <w:r w:rsidR="516E831A">
        <w:t>coagulation in response to treatment</w:t>
      </w:r>
      <w:r>
        <w:t xml:space="preserve"> could reduce thrombotic complications for patients with </w:t>
      </w:r>
      <w:r w:rsidR="12706A47">
        <w:t>AHA</w:t>
      </w:r>
      <w:r w:rsidR="4A265666">
        <w:t>, particularly those</w:t>
      </w:r>
      <w:r w:rsidR="12706A47">
        <w:t xml:space="preserve"> with</w:t>
      </w:r>
      <w:r>
        <w:t xml:space="preserve"> underlying cardiovascular disease. MSAC noted that the proposed population is restricted to patients </w:t>
      </w:r>
      <w:r w:rsidR="7E370159">
        <w:t xml:space="preserve">with AHA </w:t>
      </w:r>
      <w:r>
        <w:t>only</w:t>
      </w:r>
      <w:r w:rsidR="00E12907">
        <w:t xml:space="preserve"> (</w:t>
      </w:r>
      <w:r w:rsidR="00BB57A9">
        <w:t>congenital haemophilia A was not within the scope of this</w:t>
      </w:r>
      <w:r w:rsidR="00E12907">
        <w:t xml:space="preserve"> application</w:t>
      </w:r>
      <w:r w:rsidR="00BB57A9">
        <w:t>)</w:t>
      </w:r>
      <w:r>
        <w:t>, excluding those with anti-</w:t>
      </w:r>
      <w:proofErr w:type="spellStart"/>
      <w:r>
        <w:t>pFVIII</w:t>
      </w:r>
      <w:proofErr w:type="spellEnd"/>
      <w:r>
        <w:t xml:space="preserve"> inhibitor levels &gt;20</w:t>
      </w:r>
      <w:r>
        <w:rPr>
          <w:b/>
          <w:bCs/>
        </w:rPr>
        <w:t> </w:t>
      </w:r>
      <w:r>
        <w:t>Bethesda Units (BU). MSAC noted th</w:t>
      </w:r>
      <w:r w:rsidR="02937695">
        <w:t>ere</w:t>
      </w:r>
      <w:r>
        <w:t xml:space="preserve"> is a small </w:t>
      </w:r>
      <w:r w:rsidR="027F4EA5">
        <w:t>prevalent</w:t>
      </w:r>
      <w:r>
        <w:t xml:space="preserve"> population; of the 92 patients w</w:t>
      </w:r>
      <w:r w:rsidR="005F6AAD">
        <w:t>h</w:t>
      </w:r>
      <w:r>
        <w:t xml:space="preserve">o were </w:t>
      </w:r>
      <w:r w:rsidR="006E47BE">
        <w:t>known to have</w:t>
      </w:r>
      <w:r>
        <w:t xml:space="preserve"> AHA </w:t>
      </w:r>
      <w:r w:rsidR="0065051A">
        <w:t xml:space="preserve">in Australia </w:t>
      </w:r>
      <w:r>
        <w:t>in 2019–20</w:t>
      </w:r>
      <w:r w:rsidR="000647A0">
        <w:t xml:space="preserve"> according to the ABDR annual report</w:t>
      </w:r>
      <w:r>
        <w:t>, 12 (13%) required haemostatic treatment.</w:t>
      </w:r>
    </w:p>
    <w:p w14:paraId="624BECEA" w14:textId="4B0E1415" w:rsidR="0091205A" w:rsidRDefault="0091205A" w:rsidP="0091205A">
      <w:r>
        <w:t>MSAC noted that treatment of AHA involves treating the underlying disease, usually with steroids with or without cyclophosphamide (or similar)</w:t>
      </w:r>
      <w:r w:rsidR="2397742A">
        <w:t xml:space="preserve"> in addition to the </w:t>
      </w:r>
      <w:r w:rsidR="4E7EBADD">
        <w:t xml:space="preserve">acute </w:t>
      </w:r>
      <w:r w:rsidR="2397742A">
        <w:t>management of bleeding episodes</w:t>
      </w:r>
      <w:r>
        <w:t xml:space="preserve">. MSAC noted that approximately 30% of people who bleed do not need </w:t>
      </w:r>
      <w:r w:rsidR="532499B0">
        <w:t xml:space="preserve">haemostasis </w:t>
      </w:r>
      <w:r>
        <w:t xml:space="preserve">treatment, while approximately 16% of </w:t>
      </w:r>
      <w:r w:rsidR="18AFD0FE">
        <w:t xml:space="preserve">all </w:t>
      </w:r>
      <w:r>
        <w:t xml:space="preserve">patients </w:t>
      </w:r>
      <w:r w:rsidR="79904B6B">
        <w:t xml:space="preserve">on the </w:t>
      </w:r>
      <w:r w:rsidR="00C8202C">
        <w:t>register</w:t>
      </w:r>
      <w:r>
        <w:t xml:space="preserve"> </w:t>
      </w:r>
      <w:r w:rsidR="7866AE80">
        <w:t>need treatment</w:t>
      </w:r>
      <w:r w:rsidR="7A3094A1">
        <w:t xml:space="preserve"> each yea</w:t>
      </w:r>
      <w:r w:rsidR="2B1E71D8">
        <w:t>r</w:t>
      </w:r>
      <w:r>
        <w:t xml:space="preserve">. MSAC noted that up to one-third of patients </w:t>
      </w:r>
      <w:r w:rsidR="4C16514B">
        <w:t>with AHA</w:t>
      </w:r>
      <w:r>
        <w:t xml:space="preserve"> die either from their underlying disease, </w:t>
      </w:r>
      <w:proofErr w:type="gramStart"/>
      <w:r>
        <w:t>bleeding</w:t>
      </w:r>
      <w:proofErr w:type="gramEnd"/>
      <w:r>
        <w:t xml:space="preserve"> or complication of treatment (usually as a result of high doses of immunosuppressants).</w:t>
      </w:r>
    </w:p>
    <w:p w14:paraId="15CCA92C" w14:textId="43096353" w:rsidR="0091205A" w:rsidRDefault="0091205A" w:rsidP="0091205A">
      <w:r>
        <w:t xml:space="preserve">MSAC noted that the two nominated comparators were </w:t>
      </w:r>
      <w:r w:rsidR="002D4A18">
        <w:t>bypassing agents (</w:t>
      </w:r>
      <w:r>
        <w:t>BPAs</w:t>
      </w:r>
      <w:r w:rsidR="002D4A18">
        <w:t>)</w:t>
      </w:r>
      <w:r>
        <w:t>: NovoSeven® RT (recombinant activated Factor VII [FVII]) and FEIBA NF® (FVIII inhibitor). MSAC noted that there is no ability to monitor treatment response or guide dosing in patients when BPAs</w:t>
      </w:r>
      <w:r w:rsidR="002D4A18">
        <w:t xml:space="preserve"> are given to treat an acute bleed</w:t>
      </w:r>
      <w:r>
        <w:t xml:space="preserve">, and repeated dosing is based on </w:t>
      </w:r>
      <w:r w:rsidR="3880390D">
        <w:t>the</w:t>
      </w:r>
      <w:r>
        <w:t xml:space="preserve"> </w:t>
      </w:r>
      <w:r w:rsidR="007B35E1">
        <w:t xml:space="preserve">observed </w:t>
      </w:r>
      <w:r>
        <w:t xml:space="preserve">clinical response. In contrast, because Obizur replaces FVIII, clinicians can monitor </w:t>
      </w:r>
      <w:r w:rsidR="720909FD">
        <w:t>clotting</w:t>
      </w:r>
      <w:r>
        <w:t xml:space="preserve"> activity </w:t>
      </w:r>
      <w:r w:rsidR="5D95C120">
        <w:t>by the</w:t>
      </w:r>
      <w:r>
        <w:t xml:space="preserve"> activated partial thromboplastin time (</w:t>
      </w:r>
      <w:r w:rsidR="6309D9BA">
        <w:t>APTT)</w:t>
      </w:r>
      <w:r>
        <w:t xml:space="preserve"> (MBS item 65120) to guide dosing and assess response to treatment. Improved monitoring may mitigate the risk of bleeding and serious adverse events (SAEs) associated with high </w:t>
      </w:r>
      <w:r w:rsidR="60CC9ECE">
        <w:t>clotting</w:t>
      </w:r>
      <w:r>
        <w:t xml:space="preserve"> </w:t>
      </w:r>
      <w:r w:rsidR="772D9B32">
        <w:t>activity</w:t>
      </w:r>
      <w:r>
        <w:t xml:space="preserve">, such as thrombosis. MSAC noted that patients can </w:t>
      </w:r>
      <w:r w:rsidR="696C690B">
        <w:t xml:space="preserve">also </w:t>
      </w:r>
      <w:r>
        <w:t xml:space="preserve">develop antibodies to </w:t>
      </w:r>
      <w:proofErr w:type="spellStart"/>
      <w:r>
        <w:t>rpFVIII</w:t>
      </w:r>
      <w:proofErr w:type="spellEnd"/>
      <w:r>
        <w:t>, so the</w:t>
      </w:r>
      <w:r w:rsidR="42D94E17">
        <w:t>se</w:t>
      </w:r>
      <w:r>
        <w:t xml:space="preserve"> </w:t>
      </w:r>
      <w:r w:rsidR="62CAD580">
        <w:t>have to be</w:t>
      </w:r>
      <w:r>
        <w:t xml:space="preserve"> tested </w:t>
      </w:r>
      <w:r w:rsidR="09E1AD10">
        <w:t xml:space="preserve">for </w:t>
      </w:r>
      <w:r>
        <w:t>before Obizur treatment starts (without delaying treatment)</w:t>
      </w:r>
      <w:r w:rsidR="6923C3BC">
        <w:t>; if a patient is found to have elevated anti-</w:t>
      </w:r>
      <w:proofErr w:type="spellStart"/>
      <w:r w:rsidR="6923C3BC">
        <w:t>rpFVIII</w:t>
      </w:r>
      <w:proofErr w:type="spellEnd"/>
      <w:r w:rsidR="6923C3BC">
        <w:t xml:space="preserve"> antibodies</w:t>
      </w:r>
      <w:r w:rsidR="00A73101">
        <w:t>,</w:t>
      </w:r>
      <w:r w:rsidR="6923C3BC">
        <w:t xml:space="preserve"> Obizur would be </w:t>
      </w:r>
      <w:bookmarkStart w:id="6" w:name="_Int_aGcPSiuk"/>
      <w:proofErr w:type="gramStart"/>
      <w:r w:rsidR="6923C3BC">
        <w:t>ceased</w:t>
      </w:r>
      <w:bookmarkEnd w:id="6"/>
      <w:proofErr w:type="gramEnd"/>
      <w:r w:rsidR="6923C3BC">
        <w:t xml:space="preserve"> and BPAs used instead.</w:t>
      </w:r>
    </w:p>
    <w:p w14:paraId="1E1F94DE" w14:textId="01B4ECC7" w:rsidR="0091205A" w:rsidRDefault="0091205A" w:rsidP="0091205A">
      <w:r>
        <w:t>MSAC noted that the initial dose</w:t>
      </w:r>
      <w:r w:rsidR="00200823">
        <w:t xml:space="preserve"> for Obizur</w:t>
      </w:r>
      <w:r>
        <w:t xml:space="preserve"> proposed in the </w:t>
      </w:r>
      <w:r w:rsidR="00A73101">
        <w:t xml:space="preserve">applicant-developed assessment report </w:t>
      </w:r>
      <w:r w:rsidR="007D0A1B">
        <w:t>(</w:t>
      </w:r>
      <w:r>
        <w:t>ADAR</w:t>
      </w:r>
      <w:r w:rsidR="007D0A1B">
        <w:t>)</w:t>
      </w:r>
      <w:r>
        <w:t xml:space="preserve"> (100–200 Units/kg) was less than the initial dose </w:t>
      </w:r>
      <w:r w:rsidR="00334786">
        <w:t xml:space="preserve">currently </w:t>
      </w:r>
      <w:r>
        <w:t xml:space="preserve">recommended in the Product Information (PI) (200 Units/kg). MSAC </w:t>
      </w:r>
      <w:r w:rsidR="00383183">
        <w:t xml:space="preserve">agreed with </w:t>
      </w:r>
      <w:r>
        <w:t>ESC</w:t>
      </w:r>
      <w:r w:rsidR="00383183">
        <w:t>’s advice</w:t>
      </w:r>
      <w:r>
        <w:t xml:space="preserve"> that “based on the evidence presented … an initial dose between 100 and 200 Units/kg may be appropriate, relative to the clinical judgement of the treating practitioner and individual patient circumstance (including assessment of laboratory results)”. MSAC also considered that clinical practice has evolved</w:t>
      </w:r>
      <w:r w:rsidR="00200823">
        <w:t>,</w:t>
      </w:r>
      <w:r>
        <w:t xml:space="preserve"> </w:t>
      </w:r>
      <w:r w:rsidR="00DC15D5">
        <w:t xml:space="preserve">noting the presented </w:t>
      </w:r>
      <w:r>
        <w:t>evidence</w:t>
      </w:r>
      <w:r w:rsidR="67B5C633">
        <w:t>, and consultation feedback,</w:t>
      </w:r>
      <w:r>
        <w:t xml:space="preserve"> </w:t>
      </w:r>
      <w:r w:rsidR="00DC15D5">
        <w:t xml:space="preserve">to </w:t>
      </w:r>
      <w:r>
        <w:t>support a lower starting dose</w:t>
      </w:r>
      <w:r w:rsidR="00DC15D5">
        <w:t xml:space="preserve"> as well as the ability to directly </w:t>
      </w:r>
      <w:r w:rsidR="004504A8">
        <w:t xml:space="preserve">monitor </w:t>
      </w:r>
      <w:r w:rsidR="120BAD48">
        <w:t>APTT</w:t>
      </w:r>
      <w:r w:rsidR="004504A8">
        <w:t xml:space="preserve"> during treatment</w:t>
      </w:r>
      <w:r>
        <w:t xml:space="preserve">. </w:t>
      </w:r>
      <w:r w:rsidR="00575205" w:rsidRPr="00575205">
        <w:t>MSAC also noted that the European Summary of Product Characteristics for Obizur contains a statement that permits a lower initial dose than 200 units/kg in patients who test negative for anti-</w:t>
      </w:r>
      <w:proofErr w:type="spellStart"/>
      <w:r w:rsidR="00575205" w:rsidRPr="00575205">
        <w:t>rpFVIII</w:t>
      </w:r>
      <w:proofErr w:type="spellEnd"/>
      <w:r w:rsidR="00575205" w:rsidRPr="00575205">
        <w:t xml:space="preserve"> antibodies at baseline, but that clinical response should be closely monitored.</w:t>
      </w:r>
    </w:p>
    <w:p w14:paraId="3C6C4503" w14:textId="77777777" w:rsidR="00684EEF" w:rsidRDefault="00684EEF" w:rsidP="00684EEF">
      <w:r>
        <w:lastRenderedPageBreak/>
        <w:t xml:space="preserve">MSAC noted the ADAR did not propose a line of therapy for Obizur in the clinical management algorithm. MSAC noted that the Baxalta Advisory Board (in March 2017) and international management guidelines (from 2020) both suggested Obizur as an alternative first-line therapy. MSAC also noted that feedback from professional societies was that Obizur should be used only as a first-line therapy in Australia. MSAC noted the pre-MSAC response agreed with ESC that the clinical management algorithm from the UK-based National Health Service </w:t>
      </w:r>
      <w:r w:rsidRPr="00A7213F">
        <w:t>Policy on Obizur treatment for a bleeding episode in people with AHA</w:t>
      </w:r>
      <w:r>
        <w:rPr>
          <w:rStyle w:val="FootnoteReference"/>
        </w:rPr>
        <w:footnoteReference w:id="3"/>
      </w:r>
      <w:r>
        <w:t xml:space="preserve"> should be adapted for use in Australia. The applicant stated that they would “contribute to the communication of any Australian guidelines developed to guide treatment with Obizur in clinical practice”.</w:t>
      </w:r>
    </w:p>
    <w:p w14:paraId="30A3E94C" w14:textId="14A19371" w:rsidR="0091205A" w:rsidRDefault="0091205A" w:rsidP="00373EB7">
      <w:r>
        <w:t xml:space="preserve">MSAC noted that the evidence base </w:t>
      </w:r>
      <w:r w:rsidR="005D02F0">
        <w:t>presented</w:t>
      </w:r>
      <w:r w:rsidR="3EB5C7F1">
        <w:t>, which included 16 case series and 1 retrospective cohort study,</w:t>
      </w:r>
      <w:r w:rsidR="005D02F0">
        <w:t xml:space="preserve"> was limited in terms of </w:t>
      </w:r>
      <w:r w:rsidR="008E4770">
        <w:t xml:space="preserve">the lack of direct comparative studies </w:t>
      </w:r>
      <w:r>
        <w:t xml:space="preserve">for the intervention </w:t>
      </w:r>
      <w:r w:rsidR="008E4770">
        <w:t xml:space="preserve">versus the comparators and </w:t>
      </w:r>
      <w:r w:rsidR="00373EB7">
        <w:t xml:space="preserve">all </w:t>
      </w:r>
      <w:r w:rsidR="5F635558">
        <w:t xml:space="preserve">17 </w:t>
      </w:r>
      <w:r w:rsidR="00373EB7">
        <w:t xml:space="preserve">studies </w:t>
      </w:r>
      <w:r w:rsidR="7C0F457D">
        <w:t>presented</w:t>
      </w:r>
      <w:r w:rsidR="00373EB7">
        <w:t xml:space="preserve"> </w:t>
      </w:r>
      <w:r w:rsidR="006527F0">
        <w:t>were</w:t>
      </w:r>
      <w:r w:rsidR="008E4770">
        <w:t xml:space="preserve"> </w:t>
      </w:r>
      <w:r w:rsidR="006527F0">
        <w:t xml:space="preserve">at </w:t>
      </w:r>
      <w:r w:rsidR="00373EB7">
        <w:t>a high or very high risk of bias</w:t>
      </w:r>
      <w:r w:rsidR="008E4770">
        <w:t xml:space="preserve">. </w:t>
      </w:r>
      <w:r w:rsidR="12527EF0">
        <w:t>The retrospective cohort study</w:t>
      </w:r>
      <w:r w:rsidR="73A452AF">
        <w:t>, which used Medicare claims data,</w:t>
      </w:r>
      <w:r w:rsidR="12527EF0">
        <w:t xml:space="preserve"> was the only study </w:t>
      </w:r>
      <w:r w:rsidR="67CDFB28">
        <w:t>that directly compared Obizur versus NovoSeven</w:t>
      </w:r>
      <w:r w:rsidR="32F52926">
        <w:t xml:space="preserve"> and its survival analysis was provided as evidence for all-cause mortality (</w:t>
      </w:r>
      <w:r w:rsidR="67CDFB28">
        <w:t>measur</w:t>
      </w:r>
      <w:r w:rsidR="3B94F363">
        <w:t>ing</w:t>
      </w:r>
      <w:r w:rsidR="67CDFB28">
        <w:t xml:space="preserve"> the probability of death as the outcome</w:t>
      </w:r>
      <w:r w:rsidR="1AE204B9">
        <w:t>)</w:t>
      </w:r>
      <w:r w:rsidR="66CE3AD3">
        <w:t>.</w:t>
      </w:r>
      <w:r w:rsidR="008E4770">
        <w:t xml:space="preserve"> </w:t>
      </w:r>
      <w:r w:rsidR="005F3476">
        <w:t xml:space="preserve">MSAC acknowledged that the low patient numbers presented challenges in generating reliable data such as large comparative studies like randomised controlled trials (RCTs). </w:t>
      </w:r>
      <w:r>
        <w:t xml:space="preserve">MSAC also noted that </w:t>
      </w:r>
      <w:r w:rsidR="0B14A3DB">
        <w:t xml:space="preserve">there are no </w:t>
      </w:r>
      <w:r>
        <w:t xml:space="preserve">data on the use of Obizur in pregnant and lactating women or its effect on fertility, and </w:t>
      </w:r>
      <w:r w:rsidR="7C2F6AFD">
        <w:t xml:space="preserve">there are no </w:t>
      </w:r>
      <w:r>
        <w:t>data on use in patients less than 18 years of age.</w:t>
      </w:r>
      <w:r w:rsidR="00426E4D">
        <w:t xml:space="preserve"> However, MSAC agreed with ESC that “…further </w:t>
      </w:r>
      <w:r w:rsidR="5C6F352A">
        <w:t xml:space="preserve">(clinical trial) </w:t>
      </w:r>
      <w:r w:rsidR="00426E4D">
        <w:t>data may be unlikely to be available in the future” because of small patient numbers, and that “…clinical effectiveness and safety of Obizur appears to be non-inferior compared with each of the two comparators”. MSAC also noted that the pre-MSAC response acknowledged that there is uncertainty with the non-inferiority claim.</w:t>
      </w:r>
    </w:p>
    <w:p w14:paraId="7F037C07" w14:textId="35996CAE" w:rsidR="0091205A" w:rsidRDefault="0091205A" w:rsidP="0091205A">
      <w:r>
        <w:t xml:space="preserve">Regarding comparative safety, </w:t>
      </w:r>
      <w:r w:rsidR="00C42FA5">
        <w:t xml:space="preserve">MSAC considered that there </w:t>
      </w:r>
      <w:r w:rsidR="00993C0B">
        <w:t>was</w:t>
      </w:r>
      <w:r w:rsidR="00C42FA5">
        <w:t xml:space="preserve"> </w:t>
      </w:r>
      <w:r w:rsidR="00451311">
        <w:t>insufficient evidence to support the claim of non-inferiority, due to inconsistent results</w:t>
      </w:r>
      <w:r w:rsidR="004D709A">
        <w:t xml:space="preserve"> (both inferior and superior) across naïve indirect comparisons, differences between studies and small patient numbers.</w:t>
      </w:r>
      <w:r w:rsidR="00451311">
        <w:t xml:space="preserve"> </w:t>
      </w:r>
      <w:r w:rsidR="00777847">
        <w:t>This included evidence related to risk of treatment-related thrombosis</w:t>
      </w:r>
      <w:r w:rsidR="00B524EB">
        <w:t xml:space="preserve"> (inconsistent results)</w:t>
      </w:r>
      <w:r w:rsidR="00777847">
        <w:t xml:space="preserve">, </w:t>
      </w:r>
      <w:r w:rsidR="00734BCE">
        <w:t>serious adverse events (SAEs</w:t>
      </w:r>
      <w:r w:rsidR="00411340">
        <w:t xml:space="preserve">, inconsistent </w:t>
      </w:r>
      <w:r w:rsidR="00B524EB">
        <w:t>results</w:t>
      </w:r>
      <w:r w:rsidR="00734BCE">
        <w:t>)</w:t>
      </w:r>
      <w:r w:rsidR="00BD5BD8">
        <w:t xml:space="preserve"> and treatment related mortality</w:t>
      </w:r>
      <w:r w:rsidR="007D7A96">
        <w:t xml:space="preserve"> (no difference)</w:t>
      </w:r>
      <w:r w:rsidR="000D5303">
        <w:t>.</w:t>
      </w:r>
      <w:r w:rsidR="001F64A5">
        <w:t xml:space="preserve"> </w:t>
      </w:r>
      <w:r>
        <w:t>For all-cause mortality, MSAC noted that patients receiving Obizur were 14% more likely to die versus NovoSeven, and 10% more likely to die versus FEIBA. However, the study using Medicare claims data suggested that patients receiving Obizur had a higher probability of survival.</w:t>
      </w:r>
      <w:r w:rsidR="001F64A5">
        <w:t xml:space="preserve"> </w:t>
      </w:r>
      <w:r>
        <w:t xml:space="preserve">Overall, MSAC considered that it was difficult to disentangle safety outcomes </w:t>
      </w:r>
      <w:r w:rsidR="29E5E170">
        <w:t>due to therapy</w:t>
      </w:r>
      <w:r>
        <w:t xml:space="preserve"> from confounding factors, but that there was no clear </w:t>
      </w:r>
      <w:r w:rsidR="6A687C6E">
        <w:t xml:space="preserve">evidence of </w:t>
      </w:r>
      <w:r>
        <w:t>inferiority for Obizur when restricted to first-line therapy.</w:t>
      </w:r>
    </w:p>
    <w:p w14:paraId="43BA148D" w14:textId="55481E44" w:rsidR="0091205A" w:rsidRPr="00F72583" w:rsidRDefault="500A7886" w:rsidP="0091205A">
      <w:r w:rsidRPr="00F72583">
        <w:t>MSAC noted b</w:t>
      </w:r>
      <w:r w:rsidR="0BA32AA0" w:rsidRPr="00F72583">
        <w:t>leeding resolution was used to measure the comparative effectiveness of Obizur versus the comparators</w:t>
      </w:r>
      <w:r w:rsidR="189C4F90" w:rsidRPr="00F72583">
        <w:t xml:space="preserve"> however, </w:t>
      </w:r>
      <w:r w:rsidR="31907BD2" w:rsidRPr="00F72583">
        <w:t xml:space="preserve">MSAC interpreted these estimates with </w:t>
      </w:r>
      <w:r w:rsidR="3780991D" w:rsidRPr="00F72583">
        <w:t>caution since</w:t>
      </w:r>
      <w:r w:rsidR="31907BD2" w:rsidRPr="00F72583">
        <w:t xml:space="preserve"> </w:t>
      </w:r>
      <w:r w:rsidR="189C4F90" w:rsidRPr="00F72583">
        <w:t xml:space="preserve">the studies </w:t>
      </w:r>
      <w:r w:rsidR="07C7913B" w:rsidRPr="00F72583">
        <w:t xml:space="preserve">varied in their reporting on </w:t>
      </w:r>
      <w:r w:rsidR="49BA3100" w:rsidRPr="00F72583">
        <w:t xml:space="preserve">final </w:t>
      </w:r>
      <w:r w:rsidR="07C7913B" w:rsidRPr="00F72583">
        <w:t>outcomes</w:t>
      </w:r>
      <w:r w:rsidR="13A06F50" w:rsidRPr="00F72583">
        <w:t xml:space="preserve"> </w:t>
      </w:r>
      <w:r w:rsidR="7EF350C7" w:rsidRPr="00F72583">
        <w:t xml:space="preserve">of </w:t>
      </w:r>
      <w:r w:rsidR="13A06F50" w:rsidRPr="00F72583">
        <w:t>bleed</w:t>
      </w:r>
      <w:r w:rsidR="344B6E3E" w:rsidRPr="00F72583">
        <w:t xml:space="preserve"> resolution</w:t>
      </w:r>
      <w:r w:rsidR="7D8E4325" w:rsidRPr="00F72583">
        <w:t xml:space="preserve"> </w:t>
      </w:r>
      <w:r w:rsidR="3B4A4AAE" w:rsidRPr="00F72583">
        <w:t>(</w:t>
      </w:r>
      <w:r w:rsidR="45FCD5EF" w:rsidRPr="00F72583">
        <w:t xml:space="preserve">‘non-resolved’ bleeds were reported but </w:t>
      </w:r>
      <w:r w:rsidR="7F484BBC" w:rsidRPr="00F72583">
        <w:t xml:space="preserve">the </w:t>
      </w:r>
      <w:r w:rsidR="0BE8639B" w:rsidRPr="00F72583">
        <w:t xml:space="preserve">outcome </w:t>
      </w:r>
      <w:r w:rsidR="45FCD5EF" w:rsidRPr="00F72583">
        <w:t>not described further</w:t>
      </w:r>
      <w:r w:rsidR="548B11E2" w:rsidRPr="00F72583">
        <w:t xml:space="preserve">) </w:t>
      </w:r>
      <w:r w:rsidR="13A06F50" w:rsidRPr="00F72583">
        <w:t xml:space="preserve">or </w:t>
      </w:r>
      <w:r w:rsidR="3780991D" w:rsidRPr="00F72583">
        <w:t xml:space="preserve">of </w:t>
      </w:r>
      <w:r w:rsidR="13A06F50" w:rsidRPr="00F72583">
        <w:t>death</w:t>
      </w:r>
      <w:r w:rsidR="07C7913B" w:rsidRPr="00F72583">
        <w:t xml:space="preserve"> </w:t>
      </w:r>
      <w:r w:rsidR="7EF350C7" w:rsidRPr="00F72583">
        <w:t xml:space="preserve">and there was a lack of reporting on </w:t>
      </w:r>
      <w:r w:rsidR="344B6E3E" w:rsidRPr="00F72583">
        <w:t>time to resolution</w:t>
      </w:r>
      <w:r w:rsidR="3780991D" w:rsidRPr="00F72583">
        <w:t xml:space="preserve"> of a bleed</w:t>
      </w:r>
      <w:r w:rsidR="0BA32AA0" w:rsidRPr="00F72583">
        <w:t xml:space="preserve">. </w:t>
      </w:r>
      <w:r w:rsidR="055CC6B4" w:rsidRPr="00F72583">
        <w:t xml:space="preserve">MSAC noted that patients receiving Obizur were 8% and 11% less likely to have their primary bleed resolved versus NovoSeven and FEIBA, respectively. </w:t>
      </w:r>
      <w:r w:rsidR="514EFFB2" w:rsidRPr="00F72583">
        <w:t>MSAC noted the ADAR</w:t>
      </w:r>
      <w:r w:rsidR="6DB3209A" w:rsidRPr="00F72583">
        <w:t xml:space="preserve"> claimed this result may be</w:t>
      </w:r>
      <w:r w:rsidR="055CC6B4" w:rsidRPr="00F72583">
        <w:t xml:space="preserve"> because </w:t>
      </w:r>
      <w:r w:rsidR="6DB3209A" w:rsidRPr="00F72583">
        <w:t>more patients were receiving Obizur as second-line therapy in the Obizur studies and therefore they were</w:t>
      </w:r>
      <w:r w:rsidR="055CC6B4" w:rsidRPr="00F72583">
        <w:t xml:space="preserve"> more </w:t>
      </w:r>
      <w:r w:rsidR="3273278B" w:rsidRPr="00F72583">
        <w:t>likely to be sicker</w:t>
      </w:r>
      <w:r w:rsidR="055CC6B4" w:rsidRPr="00F72583">
        <w:t xml:space="preserve">. MSAC noted the ADAR provided a subgroup analysis </w:t>
      </w:r>
      <w:r w:rsidR="3780991D" w:rsidRPr="00F72583">
        <w:t xml:space="preserve">for </w:t>
      </w:r>
      <w:r w:rsidR="055CC6B4" w:rsidRPr="00F72583">
        <w:t xml:space="preserve">first-line </w:t>
      </w:r>
      <w:r w:rsidR="3780991D" w:rsidRPr="00F72583">
        <w:t>treatment using Obizur</w:t>
      </w:r>
      <w:r w:rsidR="055CC6B4" w:rsidRPr="00F72583">
        <w:t xml:space="preserve"> that showed no significant differences between treatments for primary bleeds resolved.</w:t>
      </w:r>
    </w:p>
    <w:p w14:paraId="7953B3D4" w14:textId="5A7D33F1" w:rsidR="0091205A" w:rsidRDefault="0091205A" w:rsidP="0091205A">
      <w:r w:rsidRPr="00F72583">
        <w:t xml:space="preserve">For total number of bleeding episodes resolved, MSAC noted that Obizur patients were 9% less likely to have total number of bleeding episodes resolved versus NovoSeven. However, there was no difference versus FEIBA, and no difference if Obizur is used as a first-line therapy versus </w:t>
      </w:r>
      <w:r w:rsidRPr="00F72583">
        <w:lastRenderedPageBreak/>
        <w:t>NovoSeven.</w:t>
      </w:r>
      <w:r w:rsidR="00894BF2">
        <w:t xml:space="preserve"> </w:t>
      </w:r>
      <w:r>
        <w:t xml:space="preserve">MSAC noted that there was no between-group difference for </w:t>
      </w:r>
      <w:r w:rsidR="2D79CF6A">
        <w:t xml:space="preserve">the surrogate outcome of </w:t>
      </w:r>
      <w:r>
        <w:t xml:space="preserve">positive </w:t>
      </w:r>
      <w:r w:rsidR="080FF7AD">
        <w:t xml:space="preserve">bleed </w:t>
      </w:r>
      <w:r>
        <w:t xml:space="preserve">rate at 24 hours versus NovoSeven. MSAC noted that Obizur studies used </w:t>
      </w:r>
      <w:r w:rsidR="107B6C54">
        <w:t>APTT</w:t>
      </w:r>
      <w:r>
        <w:t xml:space="preserve"> to determine the positive rate, while NovoSeven studies used clinical judgement. MSAC considered that monitoring </w:t>
      </w:r>
      <w:r w:rsidR="075461EC">
        <w:t>APTT</w:t>
      </w:r>
      <w:r>
        <w:t xml:space="preserve"> may show a response more quickly than a clinically recognisable response.</w:t>
      </w:r>
    </w:p>
    <w:p w14:paraId="0E0A338F" w14:textId="1383DC6D" w:rsidR="00993C0B" w:rsidRDefault="00993C0B" w:rsidP="003218EA">
      <w:pPr>
        <w:keepLines/>
      </w:pPr>
      <w:r>
        <w:t xml:space="preserve">MSAC considered </w:t>
      </w:r>
      <w:r w:rsidR="001F64A5">
        <w:t xml:space="preserve">in relation to the clinical claim </w:t>
      </w:r>
      <w:r>
        <w:t>that, if Obizur is used as a first-line monotherapy treatment</w:t>
      </w:r>
      <w:r w:rsidR="004E7B98">
        <w:t xml:space="preserve"> for spontaneous bleeding episodes</w:t>
      </w:r>
      <w:r>
        <w:t xml:space="preserve">, there is evidence to support the claim of non-inferior effectiveness compared to </w:t>
      </w:r>
      <w:r w:rsidR="00A5725B">
        <w:t>both</w:t>
      </w:r>
      <w:r>
        <w:t xml:space="preserve"> comparators.</w:t>
      </w:r>
      <w:r w:rsidR="00A5725B">
        <w:t xml:space="preserve"> </w:t>
      </w:r>
      <w:r w:rsidR="004E4D26">
        <w:t xml:space="preserve">In terms of safety, MSAC considered that Obizur was likely to have acceptable safety compared to </w:t>
      </w:r>
      <w:r w:rsidR="00F72583">
        <w:t>both</w:t>
      </w:r>
      <w:r w:rsidR="004E4D26">
        <w:t xml:space="preserve">. </w:t>
      </w:r>
    </w:p>
    <w:p w14:paraId="3AB48F3F" w14:textId="379FE951" w:rsidR="0091205A" w:rsidRDefault="0091205A" w:rsidP="0091205A">
      <w:r>
        <w:t xml:space="preserve">MSAC noted that a cost-minimisation </w:t>
      </w:r>
      <w:r w:rsidR="00511D64">
        <w:t xml:space="preserve">approach </w:t>
      </w:r>
      <w:r>
        <w:t xml:space="preserve">(CMA) was performed for each comparator </w:t>
      </w:r>
      <w:r w:rsidR="23D3F097">
        <w:t>alone</w:t>
      </w:r>
      <w:r>
        <w:t xml:space="preserve"> </w:t>
      </w:r>
      <w:r w:rsidR="00E74187">
        <w:t>versus Obizur</w:t>
      </w:r>
      <w:r w:rsidR="00A00EE1">
        <w:t xml:space="preserve"> </w:t>
      </w:r>
      <w:r w:rsidR="00575FD3">
        <w:t>for the economic evaluation</w:t>
      </w:r>
      <w:r w:rsidR="2D1D3728">
        <w:t>, but in practice both BPAs may be used in man</w:t>
      </w:r>
      <w:r w:rsidR="00D25BBF">
        <w:t>a</w:t>
      </w:r>
      <w:r w:rsidR="2D1D3728">
        <w:t>ging an individual’s bleeding event</w:t>
      </w:r>
      <w:r>
        <w:t>. The proposed price per vial of Obizur was based on weight</w:t>
      </w:r>
      <w:r w:rsidR="00213269">
        <w:t>ing</w:t>
      </w:r>
      <w:r>
        <w:t xml:space="preserve"> </w:t>
      </w:r>
      <w:r w:rsidR="00213269">
        <w:t xml:space="preserve">the </w:t>
      </w:r>
      <w:r>
        <w:t xml:space="preserve">respective cost-minimised prices by </w:t>
      </w:r>
      <w:r w:rsidR="00F540A7">
        <w:t xml:space="preserve">the </w:t>
      </w:r>
      <w:r>
        <w:t>observed distribution of use of each comparator.</w:t>
      </w:r>
      <w:r w:rsidR="00E74187">
        <w:t xml:space="preserve"> </w:t>
      </w:r>
      <w:r w:rsidR="009A18E4">
        <w:t xml:space="preserve">MSAC noted ESC’s advice pertaining to the areas of uncertainty with the economic </w:t>
      </w:r>
      <w:r w:rsidR="001A252A">
        <w:t>evaluation.</w:t>
      </w:r>
      <w:r w:rsidR="009A18E4">
        <w:t xml:space="preserve"> MSAC</w:t>
      </w:r>
      <w:r>
        <w:t xml:space="preserve"> noted that the incremental cost-effectiveness of </w:t>
      </w:r>
      <w:r w:rsidR="00F23AF8">
        <w:t xml:space="preserve">BPAs </w:t>
      </w:r>
      <w:r>
        <w:t xml:space="preserve">versus no intervention </w:t>
      </w:r>
      <w:r w:rsidR="00331801">
        <w:t>has not been established and the applicant did not provide a comparison for Obizur versus no intervention as part of the economic evaluation</w:t>
      </w:r>
      <w:r>
        <w:t xml:space="preserve">. </w:t>
      </w:r>
      <w:r w:rsidR="007060DE">
        <w:t xml:space="preserve">MSAC noted ESC’s advice that without </w:t>
      </w:r>
      <w:r w:rsidR="00943A57">
        <w:t xml:space="preserve">an established cost-effective price for BPAs, the CMA applied for Obizur versus </w:t>
      </w:r>
      <w:r w:rsidR="009A18E4">
        <w:t>each</w:t>
      </w:r>
      <w:r w:rsidR="00943A57">
        <w:t xml:space="preserve"> comparator </w:t>
      </w:r>
      <w:r w:rsidR="009B733E">
        <w:t xml:space="preserve">provides little confidence </w:t>
      </w:r>
      <w:r w:rsidR="00340163">
        <w:t xml:space="preserve">in the assumption that the proposed price per vial for Obizur represents an incremental </w:t>
      </w:r>
      <w:r w:rsidR="009A18E4">
        <w:t xml:space="preserve">benefit </w:t>
      </w:r>
      <w:r w:rsidR="00340163">
        <w:t xml:space="preserve">relative to no intervention. </w:t>
      </w:r>
    </w:p>
    <w:p w14:paraId="5678470B" w14:textId="10703C3D" w:rsidR="0091205A" w:rsidRDefault="005B7594" w:rsidP="0091205A">
      <w:r>
        <w:t>MSAC also noted t</w:t>
      </w:r>
      <w:r w:rsidR="0091205A">
        <w:t xml:space="preserve">he </w:t>
      </w:r>
      <w:r>
        <w:t xml:space="preserve">multiple issues </w:t>
      </w:r>
      <w:r w:rsidR="00FE0CE4">
        <w:t xml:space="preserve">with the assumed </w:t>
      </w:r>
      <w:proofErr w:type="spellStart"/>
      <w:r w:rsidR="0091205A">
        <w:t>equi</w:t>
      </w:r>
      <w:proofErr w:type="spellEnd"/>
      <w:r w:rsidR="0091205A">
        <w:t xml:space="preserve">-effective doses </w:t>
      </w:r>
      <w:r w:rsidR="00FE0CE4">
        <w:t xml:space="preserve">raised </w:t>
      </w:r>
      <w:r w:rsidR="00B556E5">
        <w:t>in the evaluation and affirmed by ESC</w:t>
      </w:r>
      <w:r w:rsidR="00947D14">
        <w:t xml:space="preserve"> that introduced uncertainty in</w:t>
      </w:r>
      <w:r w:rsidR="003C5C89">
        <w:t>to</w:t>
      </w:r>
      <w:r w:rsidR="00947D14">
        <w:t xml:space="preserve"> the economic evaluation</w:t>
      </w:r>
      <w:r w:rsidR="00B556E5">
        <w:t xml:space="preserve">. </w:t>
      </w:r>
      <w:r w:rsidR="00947D14">
        <w:t xml:space="preserve">MSAC noted the evidence base </w:t>
      </w:r>
      <w:r w:rsidR="00745719">
        <w:t>had wide variation in baseline patient characteristics and were not adjusted</w:t>
      </w:r>
      <w:r w:rsidR="00FE0CE4">
        <w:t xml:space="preserve"> </w:t>
      </w:r>
      <w:r w:rsidR="00745719">
        <w:t xml:space="preserve">for </w:t>
      </w:r>
      <w:r w:rsidR="000238DE">
        <w:t xml:space="preserve">when the ADAR established their </w:t>
      </w:r>
      <w:proofErr w:type="spellStart"/>
      <w:r w:rsidR="000238DE">
        <w:t>equi</w:t>
      </w:r>
      <w:proofErr w:type="spellEnd"/>
      <w:r w:rsidR="000238DE">
        <w:t>-effective doses. MSAC also noted</w:t>
      </w:r>
      <w:r w:rsidR="0091205A">
        <w:t xml:space="preserve"> the </w:t>
      </w:r>
      <w:proofErr w:type="spellStart"/>
      <w:r w:rsidR="000238DE">
        <w:t>equi</w:t>
      </w:r>
      <w:proofErr w:type="spellEnd"/>
      <w:r w:rsidR="000238DE">
        <w:t xml:space="preserve">-effective dose for </w:t>
      </w:r>
      <w:r w:rsidR="0091205A">
        <w:t xml:space="preserve">Obizur </w:t>
      </w:r>
      <w:r w:rsidR="000238DE">
        <w:t>estimated by the ADAR</w:t>
      </w:r>
      <w:r w:rsidR="0091205A">
        <w:t xml:space="preserve"> was based on successfully resolved bleeds, but it was uncertain whether this also applied to the comparators</w:t>
      </w:r>
      <w:r w:rsidR="06631679">
        <w:t>, and this outcome was inconsi</w:t>
      </w:r>
      <w:r w:rsidR="00B270DF">
        <w:t>s</w:t>
      </w:r>
      <w:r w:rsidR="06631679">
        <w:t>tently reported across studies</w:t>
      </w:r>
      <w:r w:rsidR="0091205A">
        <w:t>.</w:t>
      </w:r>
      <w:r w:rsidR="007C2215">
        <w:t xml:space="preserve"> MSAC </w:t>
      </w:r>
      <w:r w:rsidR="000D3A6C">
        <w:t xml:space="preserve">agreed with ESC and </w:t>
      </w:r>
      <w:r w:rsidR="007C2215">
        <w:t>did not accept the sensitivity analyses performed during the evaluation, considering these estimates to be too conservative</w:t>
      </w:r>
      <w:r w:rsidR="000D3A6C">
        <w:t xml:space="preserve"> since they excluded studies that used </w:t>
      </w:r>
      <w:r w:rsidR="00200823">
        <w:t>an initial dose of Obizur &lt;200 U/kg</w:t>
      </w:r>
      <w:r w:rsidR="007C2215">
        <w:t xml:space="preserve">. </w:t>
      </w:r>
      <w:r w:rsidR="0091205A">
        <w:t xml:space="preserve">MSAC noted </w:t>
      </w:r>
      <w:r w:rsidR="00BA2BB9">
        <w:t xml:space="preserve">ESC’s advice and calculation </w:t>
      </w:r>
      <w:r w:rsidR="0091205A">
        <w:t xml:space="preserve">that, based on the acceptance of a lower initial dose, the revised </w:t>
      </w:r>
      <w:proofErr w:type="spellStart"/>
      <w:r w:rsidR="0091205A">
        <w:t>equi</w:t>
      </w:r>
      <w:proofErr w:type="spellEnd"/>
      <w:r w:rsidR="0091205A">
        <w:t xml:space="preserve">-effective dose calculations in the pre-ESC response and the new NPPL prices, the cost-minimised weighted price for Obizur may be </w:t>
      </w:r>
      <w:r w:rsidR="0036055A">
        <w:t>$[REDACTED]</w:t>
      </w:r>
      <w:r w:rsidR="0091205A">
        <w:t xml:space="preserve"> per vial.</w:t>
      </w:r>
    </w:p>
    <w:p w14:paraId="6DD78207" w14:textId="661034D7" w:rsidR="009D55E7" w:rsidRDefault="005F3476" w:rsidP="0091205A">
      <w:r>
        <w:t xml:space="preserve">MSAC noted the presentation of a spontaneous bleeding episode and response in treating patients in these circumstances varies greatly and would have a significant impact on the reliability of the financial estimates. </w:t>
      </w:r>
      <w:r w:rsidR="37469DE0">
        <w:t xml:space="preserve">MSAC noted that the financial impact was most sensitive to the assumed </w:t>
      </w:r>
      <w:proofErr w:type="spellStart"/>
      <w:r w:rsidR="37469DE0">
        <w:t>equi</w:t>
      </w:r>
      <w:proofErr w:type="spellEnd"/>
      <w:r w:rsidR="37469DE0">
        <w:t xml:space="preserve">-effective doses. The total dose of BPAs dispensed that was used in the ADAR was substantially higher than the actual dispensed amounts reported in the ABDR 2019–20 annual report. </w:t>
      </w:r>
      <w:r w:rsidR="6B0AC311">
        <w:t xml:space="preserve">MSAC noted </w:t>
      </w:r>
      <w:r w:rsidR="002970D3">
        <w:t xml:space="preserve">there was also uncertainty in the time for bleeding to resolve yet </w:t>
      </w:r>
      <w:r w:rsidR="6B0AC311">
        <w:t>the ADAR assumed no differences between the therapies in the duration of treatment for a bleed</w:t>
      </w:r>
      <w:r w:rsidR="002970D3">
        <w:t>.</w:t>
      </w:r>
      <w:r w:rsidR="6B0AC311">
        <w:t xml:space="preserve"> </w:t>
      </w:r>
      <w:r w:rsidR="002970D3">
        <w:t>Given</w:t>
      </w:r>
      <w:r w:rsidR="6B0AC311">
        <w:t xml:space="preserve"> this notable difference being identified in the evaluation</w:t>
      </w:r>
      <w:r w:rsidR="00884F32">
        <w:t xml:space="preserve">, there is low confidence in the accuracy of the cost of monitoring (especially as Obizur requires additional tests to monitor response) and hospital length of stay. </w:t>
      </w:r>
    </w:p>
    <w:p w14:paraId="6DD14004" w14:textId="75CCAB42" w:rsidR="0091205A" w:rsidRDefault="39B2FA9A" w:rsidP="0091205A">
      <w:r>
        <w:t xml:space="preserve">MSAC noted the ADAR used literature (Holstein et al. 2020) to estimate the number of bleeding episodes per patient that would be treated each year (4.68) for the base case analysis. However, the evaluation estimated using actual dispensed amounts from the ABDR and </w:t>
      </w:r>
      <w:r w:rsidR="000E543B">
        <w:t xml:space="preserve">the </w:t>
      </w:r>
      <w:r>
        <w:t>ADAR estimated dose per bleed, that the number of bleeds per year treated with NovoSeven and FEIBA are 2.21 and 1.17 respectively.</w:t>
      </w:r>
      <w:r w:rsidR="4B6EBA73">
        <w:t xml:space="preserve"> MSAC considered the scenario analysis using the volume of products dispensed</w:t>
      </w:r>
      <w:r w:rsidR="69A2886B">
        <w:t xml:space="preserve"> to likely be a more accurate estimate of the total cost to the NBA</w:t>
      </w:r>
      <w:r w:rsidR="1BFE72F7">
        <w:t xml:space="preserve"> which represents a lower annualised bleeding rate</w:t>
      </w:r>
      <w:r w:rsidR="69A2886B">
        <w:t xml:space="preserve">, rather than that based on the higher annualised bleeding rate </w:t>
      </w:r>
      <w:r w:rsidR="135EA8BA">
        <w:t>described in the literature.</w:t>
      </w:r>
    </w:p>
    <w:p w14:paraId="27CB8D4A" w14:textId="7B088403" w:rsidR="009623D3" w:rsidRDefault="0091205A" w:rsidP="0091205A">
      <w:r>
        <w:lastRenderedPageBreak/>
        <w:t xml:space="preserve">MSAC </w:t>
      </w:r>
      <w:r w:rsidR="009A7791">
        <w:t xml:space="preserve">considered </w:t>
      </w:r>
      <w:r w:rsidR="00D950E1">
        <w:t xml:space="preserve">that despite the uncertainties in the </w:t>
      </w:r>
      <w:r w:rsidR="000401F0">
        <w:t xml:space="preserve">economic modelling and </w:t>
      </w:r>
      <w:r w:rsidR="00D950E1">
        <w:t>financial impact</w:t>
      </w:r>
      <w:r w:rsidR="004B3E6D">
        <w:t xml:space="preserve"> estimates of adding </w:t>
      </w:r>
      <w:r w:rsidR="00F615AC">
        <w:t>Obizur to the NPPL</w:t>
      </w:r>
      <w:r w:rsidR="00010381">
        <w:t xml:space="preserve">, that </w:t>
      </w:r>
      <w:r w:rsidR="00092BAD">
        <w:t xml:space="preserve">current available </w:t>
      </w:r>
      <w:r w:rsidR="00010381">
        <w:t xml:space="preserve">evidence </w:t>
      </w:r>
      <w:r w:rsidR="00092BAD">
        <w:t xml:space="preserve">had at least demonstrated Obizur </w:t>
      </w:r>
      <w:r w:rsidR="00F615AC">
        <w:t>to</w:t>
      </w:r>
      <w:r w:rsidR="00092BAD">
        <w:t xml:space="preserve"> </w:t>
      </w:r>
      <w:r w:rsidR="38BF0104">
        <w:t>have</w:t>
      </w:r>
      <w:r w:rsidR="00092BAD">
        <w:t xml:space="preserve"> non-inferior</w:t>
      </w:r>
      <w:r w:rsidR="002129D3">
        <w:t xml:space="preserve"> effectiveness and </w:t>
      </w:r>
      <w:r w:rsidR="4B6E920E">
        <w:t xml:space="preserve">was </w:t>
      </w:r>
      <w:r w:rsidR="002129D3">
        <w:t xml:space="preserve">acceptable </w:t>
      </w:r>
      <w:r w:rsidR="000401F0">
        <w:t xml:space="preserve">in terms of </w:t>
      </w:r>
      <w:r w:rsidR="002129D3">
        <w:t xml:space="preserve">safety relative </w:t>
      </w:r>
      <w:r w:rsidR="00092BAD">
        <w:t xml:space="preserve">to its </w:t>
      </w:r>
      <w:r w:rsidR="00AF265D">
        <w:t>comparators</w:t>
      </w:r>
      <w:r w:rsidR="00092BAD">
        <w:t xml:space="preserve"> in </w:t>
      </w:r>
      <w:r>
        <w:t>first-line treatment of spontaneous bleeding episodes in adults with AHA</w:t>
      </w:r>
      <w:r w:rsidR="004F042C">
        <w:t xml:space="preserve"> and therefore, supported public funding for Obizur</w:t>
      </w:r>
      <w:r w:rsidR="009F3878">
        <w:t xml:space="preserve"> in the first-line setting</w:t>
      </w:r>
      <w:r>
        <w:t>.</w:t>
      </w:r>
      <w:r w:rsidR="00AF265D">
        <w:t xml:space="preserve"> </w:t>
      </w:r>
      <w:r w:rsidR="003218EA">
        <w:br/>
      </w:r>
      <w:r w:rsidR="00AF265D">
        <w:t xml:space="preserve">MSAC considered the low patient numbers </w:t>
      </w:r>
      <w:r w:rsidR="009B74BA">
        <w:t xml:space="preserve">in this proposed population </w:t>
      </w:r>
      <w:r w:rsidR="00AF265D">
        <w:t xml:space="preserve">and </w:t>
      </w:r>
      <w:r w:rsidR="009B74BA">
        <w:t xml:space="preserve">need for </w:t>
      </w:r>
      <w:r w:rsidR="009623D3">
        <w:t>patients with this rare condition to have access to public funding for novel innovative therapies</w:t>
      </w:r>
      <w:r w:rsidR="000A2E39">
        <w:t xml:space="preserve"> in coming to their decision</w:t>
      </w:r>
      <w:r w:rsidR="009623D3">
        <w:t xml:space="preserve">. </w:t>
      </w:r>
      <w:r w:rsidR="00EA6A13">
        <w:t>To</w:t>
      </w:r>
      <w:r w:rsidR="004B3E6D">
        <w:t xml:space="preserve"> address </w:t>
      </w:r>
      <w:r w:rsidR="00DE11B2">
        <w:t>some of the financial</w:t>
      </w:r>
      <w:r w:rsidR="004B3E6D">
        <w:t xml:space="preserve"> uncertainties</w:t>
      </w:r>
      <w:r w:rsidR="00DE11B2">
        <w:t xml:space="preserve">, MSAC suggested </w:t>
      </w:r>
      <w:r w:rsidR="001A6F1C">
        <w:t xml:space="preserve">some provisions that </w:t>
      </w:r>
      <w:r w:rsidR="7997CBCB">
        <w:t>sh</w:t>
      </w:r>
      <w:r w:rsidR="001A6F1C">
        <w:t xml:space="preserve">ould be implemented to mitigate these risks and improve data collection. </w:t>
      </w:r>
      <w:r w:rsidR="004B3E6D">
        <w:t xml:space="preserve"> </w:t>
      </w:r>
    </w:p>
    <w:p w14:paraId="6843E031" w14:textId="24B258AC" w:rsidR="0091205A" w:rsidRDefault="00915CE6" w:rsidP="0091205A">
      <w:r>
        <w:t xml:space="preserve">Following advice from ESC, </w:t>
      </w:r>
      <w:r w:rsidR="00CB330A">
        <w:t xml:space="preserve">MSAC </w:t>
      </w:r>
      <w:r w:rsidR="005C4C38">
        <w:t xml:space="preserve">noted that the NBA could </w:t>
      </w:r>
      <w:r w:rsidR="0036761F">
        <w:t>consider</w:t>
      </w:r>
      <w:r w:rsidR="005C4C38">
        <w:t xml:space="preserve"> implementing a</w:t>
      </w:r>
      <w:r w:rsidR="00CB330A">
        <w:t xml:space="preserve"> </w:t>
      </w:r>
      <w:r w:rsidR="005C4C38">
        <w:t>risk</w:t>
      </w:r>
      <w:r w:rsidR="009F11D5">
        <w:t xml:space="preserve"> </w:t>
      </w:r>
      <w:r w:rsidR="005C4C38">
        <w:t>shar</w:t>
      </w:r>
      <w:r w:rsidR="009F11D5">
        <w:t>e</w:t>
      </w:r>
      <w:r w:rsidR="005C4C38">
        <w:t xml:space="preserve"> arrangement (R</w:t>
      </w:r>
      <w:r w:rsidR="00CB330A">
        <w:t>SA</w:t>
      </w:r>
      <w:r w:rsidR="005C4C38">
        <w:t xml:space="preserve">) </w:t>
      </w:r>
      <w:r w:rsidR="00284603">
        <w:t>with</w:t>
      </w:r>
      <w:r w:rsidR="005C4C38">
        <w:t xml:space="preserve"> the applicant </w:t>
      </w:r>
      <w:r w:rsidR="0036761F">
        <w:t xml:space="preserve">that </w:t>
      </w:r>
      <w:r w:rsidR="007D402A">
        <w:t xml:space="preserve">includes </w:t>
      </w:r>
      <w:r w:rsidR="0036761F" w:rsidRPr="0058483A">
        <w:rPr>
          <w:rStyle w:val="Strong"/>
          <w:b w:val="0"/>
          <w:bCs w:val="0"/>
        </w:rPr>
        <w:t xml:space="preserve">price reductions </w:t>
      </w:r>
      <w:r>
        <w:rPr>
          <w:rStyle w:val="Strong"/>
          <w:b w:val="0"/>
          <w:bCs w:val="0"/>
        </w:rPr>
        <w:t xml:space="preserve">on Obizur </w:t>
      </w:r>
      <w:r w:rsidR="0036761F">
        <w:rPr>
          <w:rStyle w:val="Strong"/>
          <w:b w:val="0"/>
          <w:bCs w:val="0"/>
        </w:rPr>
        <w:t>to address the risk of the average dose per patient per bleed being higher in practice</w:t>
      </w:r>
      <w:r w:rsidR="002276B0">
        <w:rPr>
          <w:rStyle w:val="Strong"/>
          <w:b w:val="0"/>
          <w:bCs w:val="0"/>
        </w:rPr>
        <w:t xml:space="preserve"> than </w:t>
      </w:r>
      <w:r w:rsidR="00F855C3">
        <w:rPr>
          <w:rStyle w:val="Strong"/>
          <w:b w:val="0"/>
          <w:bCs w:val="0"/>
        </w:rPr>
        <w:t>was</w:t>
      </w:r>
      <w:r w:rsidR="002276B0">
        <w:rPr>
          <w:rStyle w:val="Strong"/>
          <w:b w:val="0"/>
          <w:bCs w:val="0"/>
        </w:rPr>
        <w:t xml:space="preserve"> assumed in the ADAR</w:t>
      </w:r>
      <w:r w:rsidR="004F6845">
        <w:t>.</w:t>
      </w:r>
      <w:r w:rsidR="0036761F">
        <w:t xml:space="preserve"> </w:t>
      </w:r>
      <w:r w:rsidR="0091205A">
        <w:t xml:space="preserve">MSAC noted that the pre-MSAC response agreed </w:t>
      </w:r>
      <w:r w:rsidR="004F042C">
        <w:t xml:space="preserve">with ESC’s advice </w:t>
      </w:r>
      <w:r w:rsidR="00AD2E51">
        <w:t xml:space="preserve">on </w:t>
      </w:r>
      <w:r w:rsidR="0091205A">
        <w:t>the need to determine the average dose per patient per bleed (all bleeds, resolved and unresolved) in practice for Obizur, NovoSeven and FEIBA, or combinations thereof. MSAC noted that the applicant had requested data</w:t>
      </w:r>
      <w:r w:rsidR="00135877">
        <w:t xml:space="preserve"> from the NBA</w:t>
      </w:r>
      <w:r w:rsidR="0091205A">
        <w:t xml:space="preserve"> on </w:t>
      </w:r>
      <w:r w:rsidR="00502681">
        <w:t xml:space="preserve">the </w:t>
      </w:r>
      <w:r w:rsidR="0091205A">
        <w:t xml:space="preserve">average dose </w:t>
      </w:r>
      <w:r w:rsidR="00D8358F">
        <w:t xml:space="preserve">per </w:t>
      </w:r>
      <w:r w:rsidR="00135877">
        <w:t>bleeding episode for the comparators</w:t>
      </w:r>
      <w:r w:rsidR="00CA50D9">
        <w:t xml:space="preserve"> however</w:t>
      </w:r>
      <w:r w:rsidR="00AD2E51">
        <w:t>,</w:t>
      </w:r>
      <w:r w:rsidR="00CD3F2A">
        <w:t xml:space="preserve"> they were unable </w:t>
      </w:r>
      <w:r w:rsidR="008C3B6D">
        <w:t>to provide this</w:t>
      </w:r>
      <w:r w:rsidR="00E343D7">
        <w:t xml:space="preserve"> level of</w:t>
      </w:r>
      <w:r w:rsidR="008C3B6D">
        <w:t xml:space="preserve"> data </w:t>
      </w:r>
      <w:r w:rsidR="00AD2E51">
        <w:t xml:space="preserve">as it </w:t>
      </w:r>
      <w:r w:rsidR="00E343D7">
        <w:t>is not currently captured in the</w:t>
      </w:r>
      <w:r w:rsidR="008C3B6D">
        <w:t xml:space="preserve"> ABDR</w:t>
      </w:r>
      <w:r w:rsidR="00BE249E">
        <w:t xml:space="preserve"> (it captures total amount dispensed for the products),</w:t>
      </w:r>
      <w:r w:rsidR="008C3B6D">
        <w:t xml:space="preserve"> </w:t>
      </w:r>
    </w:p>
    <w:p w14:paraId="0EFCA427" w14:textId="4389149D" w:rsidR="0091205A" w:rsidRDefault="00432333" w:rsidP="0091205A">
      <w:r>
        <w:t xml:space="preserve">MSAC considered that the ABDR dataset </w:t>
      </w:r>
      <w:r w:rsidR="292A518D">
        <w:t>sh</w:t>
      </w:r>
      <w:r>
        <w:t xml:space="preserve">ould be </w:t>
      </w:r>
      <w:r w:rsidR="002C7C5C">
        <w:t>updated to better capture utilisation and clinical outcomes of patients with AHA who have a bleeding episode</w:t>
      </w:r>
      <w:r w:rsidR="00FF5C9C">
        <w:t xml:space="preserve"> as well as to determine a more accurate estimate for dose per patient per bleed for all utilised therapies</w:t>
      </w:r>
      <w:r w:rsidR="00D57B80">
        <w:t xml:space="preserve"> in all bleeds</w:t>
      </w:r>
      <w:r w:rsidR="006B00A3">
        <w:t xml:space="preserve"> (which may contribute to determining a cost-effective price for</w:t>
      </w:r>
      <w:r w:rsidR="003543EF">
        <w:t xml:space="preserve"> existing therapies</w:t>
      </w:r>
      <w:r w:rsidR="006B00A3">
        <w:t>)</w:t>
      </w:r>
      <w:r w:rsidR="002C7C5C">
        <w:t xml:space="preserve">. </w:t>
      </w:r>
      <w:r w:rsidR="0091205A">
        <w:t xml:space="preserve">MSAC also considered that </w:t>
      </w:r>
      <w:r w:rsidR="001360E6">
        <w:t xml:space="preserve">the dataset should </w:t>
      </w:r>
      <w:r w:rsidR="00D57B80">
        <w:t>capture</w:t>
      </w:r>
      <w:r w:rsidR="0091205A">
        <w:t xml:space="preserve"> duration of treatment</w:t>
      </w:r>
      <w:r w:rsidR="00AD4619">
        <w:t>,</w:t>
      </w:r>
      <w:r w:rsidR="0091205A">
        <w:t xml:space="preserve"> hospital stay and </w:t>
      </w:r>
      <w:r w:rsidR="00AD4619">
        <w:t>death</w:t>
      </w:r>
      <w:r w:rsidR="0091205A">
        <w:t xml:space="preserve"> </w:t>
      </w:r>
      <w:r w:rsidR="00AD4619">
        <w:t>as part of the safety outcomes</w:t>
      </w:r>
      <w:r w:rsidR="002E4DC5">
        <w:t>. MSAC noted that</w:t>
      </w:r>
      <w:r w:rsidR="0091205A">
        <w:t xml:space="preserve"> the ABDR </w:t>
      </w:r>
      <w:r w:rsidR="002E4DC5">
        <w:t xml:space="preserve">is currently estimated </w:t>
      </w:r>
      <w:r w:rsidR="00C2161D">
        <w:t>to</w:t>
      </w:r>
      <w:r w:rsidR="002E4DC5">
        <w:t xml:space="preserve"> captur</w:t>
      </w:r>
      <w:r w:rsidR="00C2161D">
        <w:t>e</w:t>
      </w:r>
      <w:r w:rsidR="002E4DC5">
        <w:t xml:space="preserve"> </w:t>
      </w:r>
      <w:r w:rsidR="0091205A">
        <w:t xml:space="preserve">more than 90% of </w:t>
      </w:r>
      <w:r w:rsidR="002E4DC5">
        <w:t xml:space="preserve">patients </w:t>
      </w:r>
      <w:r w:rsidR="00CE6537">
        <w:t>in Australia diagnosed with AHA</w:t>
      </w:r>
      <w:r w:rsidR="0091205A">
        <w:t xml:space="preserve">. Additionally, </w:t>
      </w:r>
      <w:r w:rsidR="00C65B49">
        <w:t xml:space="preserve">MSAC considered that </w:t>
      </w:r>
      <w:r w:rsidR="0091205A">
        <w:t>insights could be obtained from patients to understand their experiences during treatment</w:t>
      </w:r>
      <w:r w:rsidR="00C65B49">
        <w:t xml:space="preserve"> and how the condition presents for them individually</w:t>
      </w:r>
      <w:r w:rsidR="0091205A">
        <w:t>.</w:t>
      </w:r>
    </w:p>
    <w:p w14:paraId="6661476B" w14:textId="14FBA63A" w:rsidR="00915CE6" w:rsidRDefault="00915CE6" w:rsidP="0091205A">
      <w:r>
        <w:t>MSAC considered that a post-implementation review should be conducted 24 months</w:t>
      </w:r>
      <w:r w:rsidR="00C65B49">
        <w:t xml:space="preserve"> following public funding</w:t>
      </w:r>
      <w:r w:rsidR="00DE0821">
        <w:t>,</w:t>
      </w:r>
      <w:r w:rsidR="00C65B49">
        <w:t xml:space="preserve"> </w:t>
      </w:r>
      <w:r w:rsidR="00E7016A">
        <w:t xml:space="preserve">to </w:t>
      </w:r>
      <w:r w:rsidR="003703B7">
        <w:t xml:space="preserve">consider </w:t>
      </w:r>
      <w:r w:rsidR="0050549D">
        <w:t xml:space="preserve">updated data on </w:t>
      </w:r>
      <w:r w:rsidR="002C22D1">
        <w:t xml:space="preserve">efficacy, </w:t>
      </w:r>
      <w:proofErr w:type="gramStart"/>
      <w:r w:rsidR="002C22D1">
        <w:t>safety</w:t>
      </w:r>
      <w:proofErr w:type="gramEnd"/>
      <w:r w:rsidR="00E7016A">
        <w:t xml:space="preserve"> and financial impact</w:t>
      </w:r>
      <w:r>
        <w:t>.</w:t>
      </w:r>
    </w:p>
    <w:p w14:paraId="3C4C59E0" w14:textId="5820B460" w:rsidR="004F042C" w:rsidRPr="00AF46D8" w:rsidRDefault="004F042C" w:rsidP="0091205A">
      <w:r>
        <w:t>MSAC confirmed ESC’s advice that haematologists should be the sole prescriber for Obizur and noted that patients with AHA are generally managed in specialist centres (such as Haemophilia Treatment Centres (HTC)). MSAC advised that Obizur cannot be regarded as a complete substitute for BPAs, as there is a need for alternative treatments when anti-</w:t>
      </w:r>
      <w:proofErr w:type="spellStart"/>
      <w:r>
        <w:t>pFVIII</w:t>
      </w:r>
      <w:proofErr w:type="spellEnd"/>
      <w:r>
        <w:t xml:space="preserve"> inhibitor levels are &gt;20 BU.</w:t>
      </w:r>
    </w:p>
    <w:p w14:paraId="11950499" w14:textId="6034D562" w:rsidR="00772829" w:rsidRPr="00CE28E3" w:rsidRDefault="00C35E4F" w:rsidP="002A18BE">
      <w:pPr>
        <w:pStyle w:val="Heading2"/>
        <w:numPr>
          <w:ilvl w:val="0"/>
          <w:numId w:val="0"/>
        </w:numPr>
      </w:pPr>
      <w:r>
        <w:t>4</w:t>
      </w:r>
      <w:r w:rsidR="00C36633">
        <w:t>.</w:t>
      </w:r>
      <w:r w:rsidR="00C36633">
        <w:tab/>
      </w:r>
      <w:r w:rsidR="00772829" w:rsidRPr="00CE28E3">
        <w:t>Background</w:t>
      </w:r>
      <w:bookmarkEnd w:id="5"/>
    </w:p>
    <w:p w14:paraId="0FAC88AF" w14:textId="77777777" w:rsidR="00E15015" w:rsidRDefault="001B2EA2" w:rsidP="001B2EA2">
      <w:bookmarkStart w:id="7" w:name="_Hlk69734494"/>
      <w:r>
        <w:t xml:space="preserve">MSAC has not previously considered Obizur </w:t>
      </w:r>
      <w:r w:rsidRPr="00E17281">
        <w:t>for the treatment of bleeding episodes in adult patients with AHA</w:t>
      </w:r>
      <w:r>
        <w:t xml:space="preserve">. </w:t>
      </w:r>
    </w:p>
    <w:p w14:paraId="69045AAB" w14:textId="12243049" w:rsidR="001B2EA2" w:rsidRDefault="001B2EA2" w:rsidP="001B2EA2">
      <w:r>
        <w:t xml:space="preserve">In 2016, </w:t>
      </w:r>
      <w:r w:rsidRPr="00106937">
        <w:t>Takeda Pharmaceuticals Australia Pty Ltd</w:t>
      </w:r>
      <w:r>
        <w:t xml:space="preserve"> (previously Baxalta Australia) submitted a </w:t>
      </w:r>
      <w:r w:rsidR="008F1DB1">
        <w:t>S</w:t>
      </w:r>
      <w:r>
        <w:t xml:space="preserve">chedule 4 application to the </w:t>
      </w:r>
      <w:r w:rsidR="008F1DB1">
        <w:t xml:space="preserve">NBA </w:t>
      </w:r>
      <w:r>
        <w:t xml:space="preserve">for Obizur to be included on the </w:t>
      </w:r>
      <w:r w:rsidR="00C00F1E">
        <w:t>NPPL</w:t>
      </w:r>
      <w:r>
        <w:t xml:space="preserve">. An addendum to the </w:t>
      </w:r>
      <w:r w:rsidR="00961887">
        <w:t>S</w:t>
      </w:r>
      <w:r>
        <w:t>chedule 4 submission was further provided in 2017.</w:t>
      </w:r>
    </w:p>
    <w:p w14:paraId="67173BB1" w14:textId="115D1559" w:rsidR="001B2EA2" w:rsidRDefault="001B2EA2" w:rsidP="001B2EA2">
      <w:r>
        <w:t xml:space="preserve">In 2020, the </w:t>
      </w:r>
      <w:r w:rsidR="008F1DB1">
        <w:t>NBA</w:t>
      </w:r>
      <w:r w:rsidR="001D4E54">
        <w:t xml:space="preserve"> </w:t>
      </w:r>
      <w:r>
        <w:t xml:space="preserve">conducted a Cycle 1 multi-criteria analysis (MCA) evaluation which provided a description of the proposal, followed by </w:t>
      </w:r>
      <w:r w:rsidR="00016158">
        <w:t>a</w:t>
      </w:r>
      <w:r w:rsidR="00311D2D">
        <w:t xml:space="preserve"> PICO</w:t>
      </w:r>
      <w:r>
        <w:t xml:space="preserve"> and a high-level literature review. </w:t>
      </w:r>
      <w:r w:rsidR="008628A2">
        <w:t>The MCA concluded that u</w:t>
      </w:r>
      <w:r w:rsidR="008D19C3">
        <w:t xml:space="preserve">ncertainties </w:t>
      </w:r>
      <w:r w:rsidR="008628A2">
        <w:t xml:space="preserve">remained </w:t>
      </w:r>
      <w:r w:rsidR="008D19C3">
        <w:t>regarding whether Obizur will offer incremental health outcomes or safety benefits compared to BPAs and whether there will be cost savings or additional costs</w:t>
      </w:r>
      <w:r w:rsidR="00513372">
        <w:t>.</w:t>
      </w:r>
      <w:r w:rsidR="008D19C3">
        <w:t xml:space="preserve"> </w:t>
      </w:r>
      <w:r>
        <w:t>The</w:t>
      </w:r>
      <w:r w:rsidR="00E86102">
        <w:t>refore, the</w:t>
      </w:r>
      <w:r>
        <w:t xml:space="preserve"> </w:t>
      </w:r>
      <w:r w:rsidR="00543408">
        <w:t>NBA</w:t>
      </w:r>
      <w:r w:rsidR="00961887">
        <w:t xml:space="preserve">, on behalf of the </w:t>
      </w:r>
      <w:r w:rsidR="00541401">
        <w:t>JBC</w:t>
      </w:r>
      <w:r w:rsidR="00961887">
        <w:t>,</w:t>
      </w:r>
      <w:r w:rsidR="001D4E54">
        <w:t xml:space="preserve"> </w:t>
      </w:r>
      <w:r w:rsidR="007A7499">
        <w:t xml:space="preserve">referred </w:t>
      </w:r>
      <w:r>
        <w:t xml:space="preserve">the Obizur application to MSAC for </w:t>
      </w:r>
      <w:r w:rsidR="00227DD1">
        <w:t xml:space="preserve">a </w:t>
      </w:r>
      <w:r w:rsidR="00656BF0">
        <w:t>health technology assessment (</w:t>
      </w:r>
      <w:r>
        <w:t>HTA</w:t>
      </w:r>
      <w:r w:rsidR="00656BF0">
        <w:t>)</w:t>
      </w:r>
      <w:r w:rsidR="006E79E2">
        <w:t xml:space="preserve"> to address these uncertainties</w:t>
      </w:r>
      <w:r>
        <w:t>.</w:t>
      </w:r>
      <w:r w:rsidR="00E86102">
        <w:t xml:space="preserve"> The MSAC </w:t>
      </w:r>
      <w:r w:rsidR="00E86102">
        <w:lastRenderedPageBreak/>
        <w:t xml:space="preserve">Executive </w:t>
      </w:r>
      <w:r w:rsidR="007E22A8">
        <w:t xml:space="preserve">were consulted on the pathway for consideration and </w:t>
      </w:r>
      <w:r w:rsidR="006C03B2">
        <w:t>advised</w:t>
      </w:r>
      <w:r w:rsidR="006E79E2">
        <w:t xml:space="preserve"> at its April 2022 meeting,</w:t>
      </w:r>
      <w:r w:rsidR="006C03B2">
        <w:t xml:space="preserve"> that the Obizur application could by-pass PASC</w:t>
      </w:r>
      <w:r w:rsidR="003879A9">
        <w:t xml:space="preserve"> and lodge </w:t>
      </w:r>
      <w:r w:rsidR="004A34EC">
        <w:t>an ADAR directly</w:t>
      </w:r>
      <w:r w:rsidR="002442A8">
        <w:t>,</w:t>
      </w:r>
      <w:r w:rsidR="006C03B2">
        <w:t xml:space="preserve"> </w:t>
      </w:r>
      <w:r w:rsidR="00E424CB">
        <w:t xml:space="preserve">considering </w:t>
      </w:r>
      <w:r w:rsidR="002442A8">
        <w:t xml:space="preserve">that </w:t>
      </w:r>
      <w:r w:rsidR="00E424CB">
        <w:t xml:space="preserve">a clearly defined PICO </w:t>
      </w:r>
      <w:r w:rsidR="002442A8">
        <w:t>was</w:t>
      </w:r>
      <w:r w:rsidR="00E424CB">
        <w:t xml:space="preserve"> included in the MCA. </w:t>
      </w:r>
    </w:p>
    <w:p w14:paraId="0C91989D" w14:textId="3F9AC1BC" w:rsidR="00C00F1E" w:rsidRDefault="00C00F1E" w:rsidP="001B2EA2">
      <w:r w:rsidRPr="00147524">
        <w:t xml:space="preserve">A summary of how the ADAR </w:t>
      </w:r>
      <w:r w:rsidR="00656BF0" w:rsidRPr="00147524">
        <w:t xml:space="preserve">and pre-ESC response has </w:t>
      </w:r>
      <w:r w:rsidRPr="00147524">
        <w:t>address</w:t>
      </w:r>
      <w:r w:rsidR="00656BF0" w:rsidRPr="00147524">
        <w:t>ed</w:t>
      </w:r>
      <w:r w:rsidRPr="00147524">
        <w:t xml:space="preserve"> concerns raised</w:t>
      </w:r>
      <w:r w:rsidR="003970A9" w:rsidRPr="00147524">
        <w:t xml:space="preserve"> </w:t>
      </w:r>
      <w:r w:rsidR="00656BF0" w:rsidRPr="00147524">
        <w:t xml:space="preserve">by </w:t>
      </w:r>
      <w:r w:rsidR="003970A9" w:rsidRPr="00147524">
        <w:t>the MCA</w:t>
      </w:r>
      <w:r w:rsidR="0052790D" w:rsidRPr="00147524">
        <w:t xml:space="preserve"> evaluation</w:t>
      </w:r>
      <w:r w:rsidR="00656BF0" w:rsidRPr="00147524">
        <w:t xml:space="preserve">, </w:t>
      </w:r>
      <w:r w:rsidR="00096A6B" w:rsidRPr="00147524">
        <w:t>the MSAC Executive</w:t>
      </w:r>
      <w:r w:rsidR="00656BF0" w:rsidRPr="00147524">
        <w:t xml:space="preserve"> and the Commentary</w:t>
      </w:r>
      <w:r w:rsidRPr="00147524">
        <w:t xml:space="preserve">, is shown in </w:t>
      </w:r>
      <w:r w:rsidRPr="00147524">
        <w:fldChar w:fldCharType="begin"/>
      </w:r>
      <w:r w:rsidRPr="00147524">
        <w:instrText xml:space="preserve"> REF _Ref120530741 \h </w:instrText>
      </w:r>
      <w:r w:rsidR="006D4F28" w:rsidRPr="00147524">
        <w:instrText xml:space="preserve"> \* MERGEFORMAT </w:instrText>
      </w:r>
      <w:r w:rsidRPr="00147524">
        <w:fldChar w:fldCharType="separate"/>
      </w:r>
      <w:r w:rsidR="00C25EB0">
        <w:t xml:space="preserve">Table </w:t>
      </w:r>
      <w:r w:rsidR="00C25EB0">
        <w:rPr>
          <w:noProof/>
        </w:rPr>
        <w:t>1</w:t>
      </w:r>
      <w:r w:rsidRPr="00147524">
        <w:fldChar w:fldCharType="end"/>
      </w:r>
      <w:r w:rsidRPr="00147524">
        <w:t>.</w:t>
      </w:r>
    </w:p>
    <w:p w14:paraId="435DA7B8" w14:textId="6D2C3CA6" w:rsidR="0018717B" w:rsidRDefault="0018717B" w:rsidP="00C00F1E">
      <w:pPr>
        <w:pStyle w:val="Caption"/>
      </w:pPr>
      <w:bookmarkStart w:id="8" w:name="_Ref120530741"/>
      <w:r>
        <w:t xml:space="preserve">Table </w:t>
      </w:r>
      <w:r>
        <w:fldChar w:fldCharType="begin"/>
      </w:r>
      <w:r>
        <w:instrText>SEQ Table \* ARABIC</w:instrText>
      </w:r>
      <w:r>
        <w:fldChar w:fldCharType="separate"/>
      </w:r>
      <w:r w:rsidR="00C25EB0">
        <w:rPr>
          <w:noProof/>
        </w:rPr>
        <w:t>1</w:t>
      </w:r>
      <w:r>
        <w:fldChar w:fldCharType="end"/>
      </w:r>
      <w:bookmarkEnd w:id="8"/>
      <w:r>
        <w:t xml:space="preserve"> Summary of</w:t>
      </w:r>
      <w:r w:rsidR="00296E54">
        <w:t xml:space="preserve"> application concerns</w:t>
      </w:r>
    </w:p>
    <w:tbl>
      <w:tblPr>
        <w:tblStyle w:val="TableGrid"/>
        <w:tblW w:w="0" w:type="auto"/>
        <w:tblLook w:val="04A0" w:firstRow="1" w:lastRow="0" w:firstColumn="1" w:lastColumn="0" w:noHBand="0" w:noVBand="1"/>
        <w:tblCaption w:val="Summary of application concerns"/>
      </w:tblPr>
      <w:tblGrid>
        <w:gridCol w:w="1980"/>
        <w:gridCol w:w="3827"/>
        <w:gridCol w:w="3209"/>
      </w:tblGrid>
      <w:tr w:rsidR="009D36D4" w14:paraId="0EE9DE43" w14:textId="77777777" w:rsidTr="0301EDCD">
        <w:trPr>
          <w:cantSplit/>
          <w:tblHeader/>
        </w:trPr>
        <w:tc>
          <w:tcPr>
            <w:tcW w:w="1980" w:type="dxa"/>
          </w:tcPr>
          <w:p w14:paraId="72C78C0F" w14:textId="77777777" w:rsidR="009D36D4" w:rsidRDefault="009D36D4" w:rsidP="009D36D4">
            <w:pPr>
              <w:pStyle w:val="TableHeading0"/>
            </w:pPr>
            <w:r>
              <w:t>Components</w:t>
            </w:r>
          </w:p>
        </w:tc>
        <w:tc>
          <w:tcPr>
            <w:tcW w:w="3827" w:type="dxa"/>
          </w:tcPr>
          <w:p w14:paraId="6C5511FC" w14:textId="77777777" w:rsidR="009D36D4" w:rsidRDefault="009D36D4" w:rsidP="009D36D4">
            <w:pPr>
              <w:pStyle w:val="TableHeading0"/>
            </w:pPr>
            <w:r>
              <w:t>Matter of concern</w:t>
            </w:r>
          </w:p>
        </w:tc>
        <w:tc>
          <w:tcPr>
            <w:tcW w:w="3209" w:type="dxa"/>
          </w:tcPr>
          <w:p w14:paraId="169FE391" w14:textId="77777777" w:rsidR="009D36D4" w:rsidRDefault="009D36D4" w:rsidP="009D36D4">
            <w:pPr>
              <w:pStyle w:val="TableHeading0"/>
            </w:pPr>
            <w:r>
              <w:t>How the current assessment report addresses it</w:t>
            </w:r>
          </w:p>
        </w:tc>
      </w:tr>
      <w:tr w:rsidR="00955FB7" w14:paraId="679E6807" w14:textId="77777777" w:rsidTr="0301EDCD">
        <w:trPr>
          <w:cantSplit/>
          <w:trHeight w:val="780"/>
        </w:trPr>
        <w:tc>
          <w:tcPr>
            <w:tcW w:w="1980" w:type="dxa"/>
            <w:vMerge w:val="restart"/>
          </w:tcPr>
          <w:p w14:paraId="67092591" w14:textId="7958C9D4" w:rsidR="00955FB7" w:rsidRDefault="00955FB7" w:rsidP="009D36D4">
            <w:pPr>
              <w:pStyle w:val="Tabletext0"/>
            </w:pPr>
            <w:r>
              <w:t>Intervention</w:t>
            </w:r>
          </w:p>
        </w:tc>
        <w:tc>
          <w:tcPr>
            <w:tcW w:w="3827" w:type="dxa"/>
          </w:tcPr>
          <w:p w14:paraId="64F324AF" w14:textId="1504BBF1" w:rsidR="00955FB7" w:rsidRDefault="15D9D429" w:rsidP="009D36D4">
            <w:pPr>
              <w:pStyle w:val="Tabletext0"/>
            </w:pPr>
            <w:r>
              <w:t xml:space="preserve">The place of Obizur in the treatment algorithm is uncertain as to whether it should be used first-line or </w:t>
            </w:r>
            <w:bookmarkStart w:id="9" w:name="_Int_SLOQfZ1s"/>
            <w:proofErr w:type="gramStart"/>
            <w:r>
              <w:t>second-line</w:t>
            </w:r>
            <w:bookmarkEnd w:id="9"/>
            <w:proofErr w:type="gramEnd"/>
            <w:r>
              <w:t xml:space="preserve"> after bypassing agents</w:t>
            </w:r>
            <w:r w:rsidR="796ABF53">
              <w:t>, or in combination.</w:t>
            </w:r>
          </w:p>
        </w:tc>
        <w:tc>
          <w:tcPr>
            <w:tcW w:w="3209" w:type="dxa"/>
          </w:tcPr>
          <w:p w14:paraId="5ED334D3" w14:textId="4F6D53E7" w:rsidR="00955FB7" w:rsidRDefault="00293F42" w:rsidP="009D36D4">
            <w:pPr>
              <w:pStyle w:val="Tabletext0"/>
            </w:pPr>
            <w:r>
              <w:t xml:space="preserve">The amalgamated evidence has been separated into </w:t>
            </w:r>
            <w:r w:rsidR="00ED0ABD">
              <w:t xml:space="preserve">one </w:t>
            </w:r>
            <w:r>
              <w:t>line of therapy</w:t>
            </w:r>
            <w:r w:rsidR="00F40B64">
              <w:t xml:space="preserve"> only. Sequential therapy is not assessed.</w:t>
            </w:r>
          </w:p>
        </w:tc>
      </w:tr>
      <w:tr w:rsidR="00955FB7" w14:paraId="01F32F2F" w14:textId="77777777" w:rsidTr="0301EDCD">
        <w:trPr>
          <w:cantSplit/>
          <w:trHeight w:val="525"/>
        </w:trPr>
        <w:tc>
          <w:tcPr>
            <w:tcW w:w="1980" w:type="dxa"/>
            <w:vMerge/>
          </w:tcPr>
          <w:p w14:paraId="0958FFD9" w14:textId="77777777" w:rsidR="00955FB7" w:rsidRDefault="00955FB7" w:rsidP="009D36D4">
            <w:pPr>
              <w:pStyle w:val="Tabletext0"/>
            </w:pPr>
          </w:p>
        </w:tc>
        <w:tc>
          <w:tcPr>
            <w:tcW w:w="3827" w:type="dxa"/>
          </w:tcPr>
          <w:p w14:paraId="365BD444" w14:textId="776AC883" w:rsidR="00955FB7" w:rsidRDefault="7CB8B837" w:rsidP="009D36D4">
            <w:pPr>
              <w:pStyle w:val="Tabletext0"/>
            </w:pPr>
            <w:r>
              <w:t>The initial dose used in practice (approximately 10% of the estimated total dose per bleed) d</w:t>
            </w:r>
            <w:r w:rsidR="7DACA612">
              <w:t>o</w:t>
            </w:r>
            <w:r w:rsidR="7F2497A1">
              <w:t>e</w:t>
            </w:r>
            <w:r>
              <w:t>s no</w:t>
            </w:r>
            <w:r w:rsidR="2E9240CB">
              <w:t>t</w:t>
            </w:r>
            <w:r>
              <w:t xml:space="preserve"> reflect the dosing in the TGA product information</w:t>
            </w:r>
          </w:p>
        </w:tc>
        <w:tc>
          <w:tcPr>
            <w:tcW w:w="3209" w:type="dxa"/>
          </w:tcPr>
          <w:p w14:paraId="7BEB0386" w14:textId="78AF290A" w:rsidR="00955FB7" w:rsidRDefault="00293F42" w:rsidP="009D36D4">
            <w:pPr>
              <w:pStyle w:val="Tabletext0"/>
            </w:pPr>
            <w:r>
              <w:t xml:space="preserve">Refers to clinical advice that the first dose recommended in the Product Information has evolved from first registration. </w:t>
            </w:r>
          </w:p>
        </w:tc>
      </w:tr>
      <w:tr w:rsidR="009D36D4" w14:paraId="670DAE97" w14:textId="77777777" w:rsidTr="0301EDCD">
        <w:trPr>
          <w:cantSplit/>
        </w:trPr>
        <w:tc>
          <w:tcPr>
            <w:tcW w:w="1980" w:type="dxa"/>
          </w:tcPr>
          <w:p w14:paraId="3D0066BD" w14:textId="77777777" w:rsidR="009D36D4" w:rsidRDefault="009D36D4" w:rsidP="009D36D4">
            <w:pPr>
              <w:pStyle w:val="Tabletext0"/>
            </w:pPr>
            <w:r>
              <w:t>Comparator</w:t>
            </w:r>
          </w:p>
        </w:tc>
        <w:tc>
          <w:tcPr>
            <w:tcW w:w="3827" w:type="dxa"/>
          </w:tcPr>
          <w:p w14:paraId="5372358E" w14:textId="5808D826" w:rsidR="009D36D4" w:rsidRDefault="001F4096" w:rsidP="009D36D4">
            <w:pPr>
              <w:pStyle w:val="Tabletext0"/>
            </w:pPr>
            <w:r>
              <w:t xml:space="preserve">The MSAC </w:t>
            </w:r>
            <w:r w:rsidR="00794775">
              <w:t xml:space="preserve">Executive </w:t>
            </w:r>
            <w:r w:rsidR="00096A6B">
              <w:t xml:space="preserve">advised </w:t>
            </w:r>
            <w:r>
              <w:t xml:space="preserve">that the </w:t>
            </w:r>
            <w:r w:rsidR="003879A9">
              <w:t xml:space="preserve">ADAR </w:t>
            </w:r>
            <w:r>
              <w:t xml:space="preserve">should </w:t>
            </w:r>
            <w:r w:rsidR="00A1124F">
              <w:t xml:space="preserve">estimate </w:t>
            </w:r>
            <w:r>
              <w:t xml:space="preserve">the incremental cost-effectiveness of </w:t>
            </w:r>
            <w:r w:rsidRPr="001F4096">
              <w:t xml:space="preserve">Obizur over no intervention as an additional </w:t>
            </w:r>
            <w:r w:rsidR="008C5A1C" w:rsidRPr="001F4096">
              <w:t>analys</w:t>
            </w:r>
            <w:r w:rsidR="008C5A1C">
              <w:t>i</w:t>
            </w:r>
            <w:r w:rsidR="008C5A1C" w:rsidRPr="001F4096">
              <w:t xml:space="preserve">s </w:t>
            </w:r>
            <w:r w:rsidRPr="001F4096">
              <w:t>to Obizur vs BPAs</w:t>
            </w:r>
            <w:r w:rsidR="00CA0B9F">
              <w:t>.</w:t>
            </w:r>
          </w:p>
        </w:tc>
        <w:tc>
          <w:tcPr>
            <w:tcW w:w="3209" w:type="dxa"/>
          </w:tcPr>
          <w:p w14:paraId="5F7D5AB5" w14:textId="5872E08B" w:rsidR="009D36D4" w:rsidRDefault="001F4096" w:rsidP="009D36D4">
            <w:pPr>
              <w:pStyle w:val="Tabletext0"/>
            </w:pPr>
            <w:r>
              <w:t xml:space="preserve">This was not addressed as the Applicant reasoned that BPAs are standard of care for first-line treatment of acute bleeds for AHA. </w:t>
            </w:r>
          </w:p>
        </w:tc>
      </w:tr>
      <w:tr w:rsidR="00F40B64" w14:paraId="4AA9348D" w14:textId="77777777" w:rsidTr="0301EDCD">
        <w:trPr>
          <w:cantSplit/>
          <w:trHeight w:val="1155"/>
        </w:trPr>
        <w:tc>
          <w:tcPr>
            <w:tcW w:w="1980" w:type="dxa"/>
            <w:vMerge w:val="restart"/>
          </w:tcPr>
          <w:p w14:paraId="12EFB2B8" w14:textId="77777777" w:rsidR="00F40B64" w:rsidRDefault="00F40B64" w:rsidP="009D36D4">
            <w:pPr>
              <w:pStyle w:val="Tabletext0"/>
            </w:pPr>
            <w:r>
              <w:t>Clinical effectiveness</w:t>
            </w:r>
          </w:p>
        </w:tc>
        <w:tc>
          <w:tcPr>
            <w:tcW w:w="3827" w:type="dxa"/>
          </w:tcPr>
          <w:p w14:paraId="10A80AD9" w14:textId="4C1AA4E2" w:rsidR="00F40B64" w:rsidRDefault="00F40B64" w:rsidP="009D36D4">
            <w:pPr>
              <w:pStyle w:val="Tabletext0"/>
            </w:pPr>
            <w:r>
              <w:t>The National Blood Authority considered there was uncertainty regarding whether Obizur will offer incremental health outcomes or safety benefits compared to BPAs.</w:t>
            </w:r>
          </w:p>
        </w:tc>
        <w:tc>
          <w:tcPr>
            <w:tcW w:w="3209" w:type="dxa"/>
          </w:tcPr>
          <w:p w14:paraId="19B4DDAF" w14:textId="27F2A56C" w:rsidR="00F40B64" w:rsidRDefault="00F40B64" w:rsidP="009D36D4">
            <w:pPr>
              <w:pStyle w:val="Tabletext0"/>
            </w:pPr>
            <w:r>
              <w:t xml:space="preserve">The applicant has conducted unadjusted naïve comparisons of safety and performance for Obizur vs. NovoSeven and Obizur vs. FEIBA. However, not all outcomes of the MCA were covered. </w:t>
            </w:r>
          </w:p>
        </w:tc>
      </w:tr>
      <w:tr w:rsidR="00F40B64" w14:paraId="10EC1932" w14:textId="77777777" w:rsidTr="0301EDCD">
        <w:trPr>
          <w:cantSplit/>
          <w:trHeight w:val="950"/>
        </w:trPr>
        <w:tc>
          <w:tcPr>
            <w:tcW w:w="1980" w:type="dxa"/>
            <w:vMerge/>
          </w:tcPr>
          <w:p w14:paraId="22F30BD3" w14:textId="77777777" w:rsidR="00F40B64" w:rsidRDefault="00F40B64" w:rsidP="009D36D4">
            <w:pPr>
              <w:pStyle w:val="Tabletext0"/>
            </w:pPr>
          </w:p>
        </w:tc>
        <w:tc>
          <w:tcPr>
            <w:tcW w:w="3827" w:type="dxa"/>
          </w:tcPr>
          <w:p w14:paraId="6119705F" w14:textId="4B139042" w:rsidR="00F40B64" w:rsidRDefault="00F40B64" w:rsidP="009D36D4">
            <w:pPr>
              <w:pStyle w:val="Tabletext0"/>
            </w:pPr>
            <w:r>
              <w:t>The outcome of achieving haemostasis following Obizur is not consistently reported for all patients in the identified publications.</w:t>
            </w:r>
          </w:p>
        </w:tc>
        <w:tc>
          <w:tcPr>
            <w:tcW w:w="3209" w:type="dxa"/>
          </w:tcPr>
          <w:p w14:paraId="27F8DABC" w14:textId="4985705A" w:rsidR="00F40B64" w:rsidRDefault="00F40B64" w:rsidP="00955FB7">
            <w:pPr>
              <w:pStyle w:val="Tabletext0"/>
            </w:pPr>
            <w:r>
              <w:t xml:space="preserve">Where able, the </w:t>
            </w:r>
            <w:proofErr w:type="gramStart"/>
            <w:r>
              <w:t>final outcome</w:t>
            </w:r>
            <w:proofErr w:type="gramEnd"/>
            <w:r>
              <w:t xml:space="preserve"> of bleeding is reported, but uncertainty remains as to the poorly defined outcome of ‘unresolved bleeding’.</w:t>
            </w:r>
          </w:p>
        </w:tc>
      </w:tr>
      <w:tr w:rsidR="00F40B64" w14:paraId="4A23A913" w14:textId="77777777" w:rsidTr="0301EDCD">
        <w:trPr>
          <w:cantSplit/>
          <w:trHeight w:val="577"/>
        </w:trPr>
        <w:tc>
          <w:tcPr>
            <w:tcW w:w="1980" w:type="dxa"/>
            <w:vMerge/>
          </w:tcPr>
          <w:p w14:paraId="22E2B162" w14:textId="77777777" w:rsidR="00F40B64" w:rsidRDefault="00F40B64" w:rsidP="009D36D4">
            <w:pPr>
              <w:pStyle w:val="Tabletext0"/>
            </w:pPr>
          </w:p>
        </w:tc>
        <w:tc>
          <w:tcPr>
            <w:tcW w:w="3827" w:type="dxa"/>
          </w:tcPr>
          <w:p w14:paraId="6DBBB3E5" w14:textId="762CE09A" w:rsidR="00F40B64" w:rsidRDefault="00F40B64" w:rsidP="009D36D4">
            <w:pPr>
              <w:pStyle w:val="Tabletext0"/>
            </w:pPr>
            <w:r>
              <w:t>Impact of non-therapy costs</w:t>
            </w:r>
          </w:p>
        </w:tc>
        <w:tc>
          <w:tcPr>
            <w:tcW w:w="3209" w:type="dxa"/>
          </w:tcPr>
          <w:p w14:paraId="4BA06A82" w14:textId="77777777" w:rsidR="00F40B64" w:rsidRDefault="00F40B64" w:rsidP="009D36D4">
            <w:pPr>
              <w:pStyle w:val="Tabletext0"/>
            </w:pPr>
            <w:r>
              <w:t>Difference in rate of thrombosis</w:t>
            </w:r>
            <w:r w:rsidR="00486212">
              <w:t xml:space="preserve"> by therapy type</w:t>
            </w:r>
            <w:r>
              <w:t xml:space="preserve"> has been assessed, but not other hospitalisation costs.</w:t>
            </w:r>
          </w:p>
          <w:p w14:paraId="54F15A57" w14:textId="79640179" w:rsidR="00C86611" w:rsidRDefault="00C86611" w:rsidP="009D36D4">
            <w:pPr>
              <w:pStyle w:val="Tabletext0"/>
            </w:pPr>
            <w:r>
              <w:t xml:space="preserve">There is no assessment </w:t>
            </w:r>
            <w:r w:rsidR="00B55057">
              <w:t>of length of stay or associate</w:t>
            </w:r>
            <w:r w:rsidR="008C5A1C">
              <w:t>d</w:t>
            </w:r>
            <w:r w:rsidR="00B55057">
              <w:t xml:space="preserve"> costs </w:t>
            </w:r>
            <w:r>
              <w:t>for patients who received FEIBA and NovoSeven.</w:t>
            </w:r>
          </w:p>
        </w:tc>
      </w:tr>
      <w:tr w:rsidR="009D36D4" w14:paraId="24C7D6EF" w14:textId="77777777" w:rsidTr="0301EDCD">
        <w:trPr>
          <w:cantSplit/>
        </w:trPr>
        <w:tc>
          <w:tcPr>
            <w:tcW w:w="1980" w:type="dxa"/>
          </w:tcPr>
          <w:p w14:paraId="5851E4FB" w14:textId="2A31BDBE" w:rsidR="009D36D4" w:rsidRDefault="0050727E" w:rsidP="009D36D4">
            <w:pPr>
              <w:pStyle w:val="Tabletext0"/>
            </w:pPr>
            <w:r>
              <w:t>Cost-effectiveness</w:t>
            </w:r>
          </w:p>
        </w:tc>
        <w:tc>
          <w:tcPr>
            <w:tcW w:w="3827" w:type="dxa"/>
          </w:tcPr>
          <w:p w14:paraId="58CA5044" w14:textId="32B3E9D4" w:rsidR="009D36D4" w:rsidRDefault="009D36D4" w:rsidP="009D36D4">
            <w:pPr>
              <w:pStyle w:val="Tabletext0"/>
            </w:pPr>
            <w:r>
              <w:t xml:space="preserve">The </w:t>
            </w:r>
            <w:r w:rsidR="001D4E54">
              <w:t xml:space="preserve">National Blood Authority </w:t>
            </w:r>
            <w:r w:rsidR="007C3376">
              <w:t xml:space="preserve">considered </w:t>
            </w:r>
            <w:r>
              <w:t xml:space="preserve">there was uncertainty as to whether there will be cost savings or additional costs. </w:t>
            </w:r>
          </w:p>
        </w:tc>
        <w:tc>
          <w:tcPr>
            <w:tcW w:w="3209" w:type="dxa"/>
          </w:tcPr>
          <w:p w14:paraId="64762DCC" w14:textId="09D061FC" w:rsidR="009D36D4" w:rsidRDefault="0050727E" w:rsidP="009D36D4">
            <w:pPr>
              <w:pStyle w:val="Tabletext0"/>
            </w:pPr>
            <w:r>
              <w:t>The applicant has conducted a cost-minimisation analysis for Obizur vs. NovoSeven and Obizur vs. FEIBA.</w:t>
            </w:r>
            <w:r w:rsidR="00BA08AD">
              <w:t xml:space="preserve"> The applicant also presented financial implications of listing Obizur. </w:t>
            </w:r>
          </w:p>
        </w:tc>
      </w:tr>
      <w:tr w:rsidR="007D6735" w14:paraId="1F27CAF2" w14:textId="77777777" w:rsidTr="0301EDCD">
        <w:trPr>
          <w:cantSplit/>
        </w:trPr>
        <w:tc>
          <w:tcPr>
            <w:tcW w:w="1980" w:type="dxa"/>
          </w:tcPr>
          <w:p w14:paraId="7C5930A9" w14:textId="61C98C2B" w:rsidR="007D6735" w:rsidRDefault="00CA0B9F" w:rsidP="009D36D4">
            <w:pPr>
              <w:pStyle w:val="Tabletext0"/>
            </w:pPr>
            <w:r>
              <w:t xml:space="preserve">Financial analyses </w:t>
            </w:r>
          </w:p>
        </w:tc>
        <w:tc>
          <w:tcPr>
            <w:tcW w:w="3827" w:type="dxa"/>
          </w:tcPr>
          <w:p w14:paraId="04ACCFE4" w14:textId="101EA254" w:rsidR="007D6735" w:rsidRDefault="007D6735" w:rsidP="009D36D4">
            <w:pPr>
              <w:pStyle w:val="Tabletext0"/>
            </w:pPr>
            <w:r w:rsidRPr="007D6735">
              <w:t xml:space="preserve">The </w:t>
            </w:r>
            <w:r w:rsidR="00CA0B9F">
              <w:t xml:space="preserve">MSAC Executive advised the </w:t>
            </w:r>
            <w:r w:rsidRPr="007D6735">
              <w:t>estimation of cost-offsets from substituting treatment with BPAs should also form part of the financial analyses.</w:t>
            </w:r>
          </w:p>
        </w:tc>
        <w:tc>
          <w:tcPr>
            <w:tcW w:w="3209" w:type="dxa"/>
          </w:tcPr>
          <w:p w14:paraId="74B0011E" w14:textId="2EE1DD43" w:rsidR="007D6735" w:rsidRDefault="00B56ABA" w:rsidP="009D36D4">
            <w:pPr>
              <w:pStyle w:val="Tabletext0"/>
            </w:pPr>
            <w:r>
              <w:t xml:space="preserve">The applicant </w:t>
            </w:r>
            <w:r w:rsidR="007460D3">
              <w:t xml:space="preserve">included the cost-offsets from </w:t>
            </w:r>
            <w:r w:rsidR="007460D3" w:rsidRPr="007D6735">
              <w:t>substituting treatment with BPAs</w:t>
            </w:r>
            <w:r w:rsidR="007460D3">
              <w:t xml:space="preserve"> as </w:t>
            </w:r>
            <w:r w:rsidR="007460D3" w:rsidRPr="007D6735">
              <w:t>part of the financial analyses</w:t>
            </w:r>
            <w:r w:rsidR="007460D3">
              <w:t xml:space="preserve">. </w:t>
            </w:r>
          </w:p>
        </w:tc>
      </w:tr>
    </w:tbl>
    <w:p w14:paraId="0EF87798" w14:textId="7CDBD5F7" w:rsidR="009D36D4" w:rsidRPr="00310C3F" w:rsidRDefault="00296E54" w:rsidP="00C00F1E">
      <w:pPr>
        <w:pStyle w:val="TableFooter"/>
      </w:pPr>
      <w:r>
        <w:t xml:space="preserve">AHA = Acquired Haemophilia A; </w:t>
      </w:r>
      <w:r w:rsidR="006A3793">
        <w:t xml:space="preserve">BPAs = bypassing agents; </w:t>
      </w:r>
      <w:r w:rsidR="000B6320">
        <w:t xml:space="preserve">MCA: Multi-criteria analysis; </w:t>
      </w:r>
      <w:r>
        <w:t>MSAC = Medical Service Advisory Committee</w:t>
      </w:r>
    </w:p>
    <w:p w14:paraId="6D10B8EA" w14:textId="40A7F7B6" w:rsidR="00772829" w:rsidRPr="00CE28E3" w:rsidRDefault="00F72C82" w:rsidP="002A18BE">
      <w:pPr>
        <w:pStyle w:val="Heading2"/>
        <w:numPr>
          <w:ilvl w:val="0"/>
          <w:numId w:val="0"/>
        </w:numPr>
      </w:pPr>
      <w:bookmarkStart w:id="10" w:name="_Toc69491417"/>
      <w:bookmarkEnd w:id="7"/>
      <w:r>
        <w:t>5</w:t>
      </w:r>
      <w:r w:rsidR="00C36633">
        <w:t>.</w:t>
      </w:r>
      <w:r w:rsidR="00C36633">
        <w:tab/>
      </w:r>
      <w:r w:rsidR="00772829" w:rsidRPr="00CE28E3">
        <w:t>Prerequisites to implementation of any funding advice</w:t>
      </w:r>
      <w:bookmarkEnd w:id="10"/>
    </w:p>
    <w:p w14:paraId="3592D9C7" w14:textId="77777777" w:rsidR="00311D2D" w:rsidRDefault="00311D2D" w:rsidP="00311D2D">
      <w:r>
        <w:t>Obizur is included on the A</w:t>
      </w:r>
      <w:r w:rsidRPr="00311D2D">
        <w:t>ustralian Register of Therapeutic Goods</w:t>
      </w:r>
      <w:r>
        <w:t xml:space="preserve"> (AUST R 236475, effective from 29/04/2016). </w:t>
      </w:r>
    </w:p>
    <w:p w14:paraId="5DB96901" w14:textId="251CF781" w:rsidR="00311D2D" w:rsidRDefault="00311D2D" w:rsidP="00311D2D">
      <w:r>
        <w:t>Two tests are currently</w:t>
      </w:r>
      <w:r w:rsidR="000C1392">
        <w:t xml:space="preserve"> </w:t>
      </w:r>
      <w:r>
        <w:t xml:space="preserve">required </w:t>
      </w:r>
      <w:r w:rsidR="00861129">
        <w:t>to direct</w:t>
      </w:r>
      <w:r>
        <w:t xml:space="preserve"> AHA treatment: isolated prolonged activated partial thromboplastin time (APTT) </w:t>
      </w:r>
      <w:r w:rsidR="00E3287B">
        <w:t>(</w:t>
      </w:r>
      <w:r w:rsidR="006763BB">
        <w:t>covered under</w:t>
      </w:r>
      <w:r w:rsidR="006D7462">
        <w:t xml:space="preserve"> the broader</w:t>
      </w:r>
      <w:r w:rsidR="006763BB">
        <w:t xml:space="preserve"> </w:t>
      </w:r>
      <w:r w:rsidR="00E3287B">
        <w:t>MBS item 65120</w:t>
      </w:r>
      <w:r w:rsidR="00AC5A38">
        <w:t xml:space="preserve"> for blood clotting </w:t>
      </w:r>
      <w:r w:rsidR="00AC5A38">
        <w:lastRenderedPageBreak/>
        <w:t>testing</w:t>
      </w:r>
      <w:r w:rsidR="00E3287B">
        <w:t xml:space="preserve">) </w:t>
      </w:r>
      <w:r>
        <w:t xml:space="preserve">and </w:t>
      </w:r>
      <w:r w:rsidR="004613DD">
        <w:t xml:space="preserve">quantitation of </w:t>
      </w:r>
      <w:r>
        <w:t xml:space="preserve">FVIII </w:t>
      </w:r>
      <w:r w:rsidR="00BC0ACA">
        <w:t>concentration</w:t>
      </w:r>
      <w:r>
        <w:t xml:space="preserve"> </w:t>
      </w:r>
      <w:r w:rsidR="3F3720F8">
        <w:t>and anti-FVIII</w:t>
      </w:r>
      <w:r>
        <w:t xml:space="preserve"> </w:t>
      </w:r>
      <w:r w:rsidR="6765945E">
        <w:t xml:space="preserve">inhibitors </w:t>
      </w:r>
      <w:r>
        <w:t>(MBS Item 65150). Treatment with Obizur requires an additional test for monitoring of anti-porcine FVIII (anti-</w:t>
      </w:r>
      <w:proofErr w:type="spellStart"/>
      <w:r>
        <w:t>pFVIII</w:t>
      </w:r>
      <w:proofErr w:type="spellEnd"/>
      <w:r>
        <w:t xml:space="preserve">) </w:t>
      </w:r>
      <w:r w:rsidR="009A5F50">
        <w:t>concentration</w:t>
      </w:r>
      <w:r w:rsidR="000C1392">
        <w:t xml:space="preserve">, </w:t>
      </w:r>
      <w:r>
        <w:t>required prior to</w:t>
      </w:r>
      <w:r w:rsidR="000C1392">
        <w:t>,</w:t>
      </w:r>
      <w:r>
        <w:t xml:space="preserve"> or during</w:t>
      </w:r>
      <w:r w:rsidR="000C1392">
        <w:t>,</w:t>
      </w:r>
      <w:r>
        <w:t xml:space="preserve"> treatment (MBS Item 65159).</w:t>
      </w:r>
    </w:p>
    <w:p w14:paraId="2CFE30AB" w14:textId="6F46CB89" w:rsidR="00A20844" w:rsidRPr="00330A0A" w:rsidRDefault="00A20844" w:rsidP="00311D2D">
      <w:r>
        <w:t>There are reporting policies in place for high</w:t>
      </w:r>
      <w:r w:rsidR="5EF20F1D">
        <w:t>-</w:t>
      </w:r>
      <w:r>
        <w:t xml:space="preserve">cost care for coagulation disorders, including AHA, to meet the requirements of the </w:t>
      </w:r>
      <w:r w:rsidR="00F72583" w:rsidRPr="00132B9E">
        <w:t>Blood Supply Stewardship Policy</w:t>
      </w:r>
      <w:r w:rsidR="004B6824" w:rsidRPr="7D6288D4">
        <w:rPr>
          <w:rStyle w:val="FootnoteReference"/>
          <w:i/>
          <w:iCs/>
          <w:color w:val="0070C0"/>
          <w:u w:val="single"/>
        </w:rPr>
        <w:footnoteReference w:id="4"/>
      </w:r>
      <w:r>
        <w:t>.</w:t>
      </w:r>
      <w:r w:rsidR="001A6A12">
        <w:t xml:space="preserve"> This would be relevant to Obizur, as well the comparator treatments</w:t>
      </w:r>
      <w:r w:rsidR="00917CB0">
        <w:t>.</w:t>
      </w:r>
    </w:p>
    <w:p w14:paraId="2E9DD9C7" w14:textId="78AF5C4C" w:rsidR="00772829" w:rsidRDefault="00F72C82" w:rsidP="002A18BE">
      <w:pPr>
        <w:pStyle w:val="Heading2"/>
        <w:numPr>
          <w:ilvl w:val="0"/>
          <w:numId w:val="0"/>
        </w:numPr>
      </w:pPr>
      <w:bookmarkStart w:id="11" w:name="_Toc69491418"/>
      <w:r>
        <w:t>6</w:t>
      </w:r>
      <w:r w:rsidR="00C36633">
        <w:t>.</w:t>
      </w:r>
      <w:r w:rsidR="00C36633">
        <w:tab/>
      </w:r>
      <w:r w:rsidR="00772829" w:rsidRPr="00CE28E3">
        <w:t>Proposal for public funding</w:t>
      </w:r>
      <w:bookmarkEnd w:id="11"/>
    </w:p>
    <w:p w14:paraId="0EF794A4" w14:textId="4EDD82FF" w:rsidR="00AC5AAE" w:rsidRDefault="00D339DD" w:rsidP="004D2EEC">
      <w:r w:rsidRPr="00D339DD">
        <w:t xml:space="preserve">Obizur is a </w:t>
      </w:r>
      <w:r w:rsidR="004D2EEC">
        <w:t>B</w:t>
      </w:r>
      <w:r w:rsidR="0028177B">
        <w:t>-</w:t>
      </w:r>
      <w:r w:rsidR="004D2EEC">
        <w:t xml:space="preserve">domain deleted recombinant derived </w:t>
      </w:r>
      <w:proofErr w:type="spellStart"/>
      <w:r w:rsidR="004D2EEC">
        <w:t>antihaemophilic</w:t>
      </w:r>
      <w:proofErr w:type="spellEnd"/>
      <w:r w:rsidR="004D2EEC">
        <w:t xml:space="preserve"> factor VIII (</w:t>
      </w:r>
      <w:proofErr w:type="spellStart"/>
      <w:r w:rsidR="004D2EEC">
        <w:t>rpFVIII</w:t>
      </w:r>
      <w:proofErr w:type="spellEnd"/>
      <w:r w:rsidR="004D2EEC">
        <w:t xml:space="preserve">), porcine sequence. </w:t>
      </w:r>
      <w:r w:rsidRPr="00D339DD">
        <w:t>Obizur is available as lyophilized powder for solution in single-dose vials containing nominally 500 units per vial.</w:t>
      </w:r>
      <w:r>
        <w:t xml:space="preserve"> </w:t>
      </w:r>
      <w:r w:rsidR="00AC5AAE">
        <w:t>Once dissolved, Obizur is delivered via intravenous injection.</w:t>
      </w:r>
    </w:p>
    <w:p w14:paraId="2DF1E393" w14:textId="7F3C476F" w:rsidR="004D2EEC" w:rsidRDefault="004D2EEC" w:rsidP="004D2EEC">
      <w:r>
        <w:t xml:space="preserve">Obizur is a haemostatic agent for </w:t>
      </w:r>
      <w:r w:rsidR="00D5267C">
        <w:t xml:space="preserve">on-demand </w:t>
      </w:r>
      <w:r>
        <w:t>treat</w:t>
      </w:r>
      <w:r w:rsidR="00D5267C">
        <w:t>ment of</w:t>
      </w:r>
      <w:r>
        <w:t xml:space="preserve"> acute bleeds in patients with AHA. The protein structure of Obizur is similar-enough to human FVIII that it increases FVIII</w:t>
      </w:r>
      <w:r w:rsidR="003E77A1">
        <w:t xml:space="preserve"> clotting activity</w:t>
      </w:r>
      <w:r>
        <w:t xml:space="preserve">, however </w:t>
      </w:r>
      <w:r w:rsidR="00806E31">
        <w:t xml:space="preserve">Obizur </w:t>
      </w:r>
      <w:r>
        <w:t xml:space="preserve">is sufficiently dissimilar </w:t>
      </w:r>
      <w:r w:rsidR="00467484">
        <w:t xml:space="preserve">in structure </w:t>
      </w:r>
      <w:r>
        <w:t xml:space="preserve">to evade anti-FVIII inhibitors. </w:t>
      </w:r>
      <w:r w:rsidR="66311CDC">
        <w:t>Administration of Obizur aim</w:t>
      </w:r>
      <w:r w:rsidR="7DDC0629">
        <w:t>s</w:t>
      </w:r>
      <w:r w:rsidR="66311CDC">
        <w:t xml:space="preserve"> to control</w:t>
      </w:r>
      <w:r>
        <w:t xml:space="preserve"> </w:t>
      </w:r>
      <w:r w:rsidR="6C6B5653">
        <w:t>and cease</w:t>
      </w:r>
      <w:r>
        <w:t xml:space="preserve"> </w:t>
      </w:r>
      <w:r w:rsidR="77756FC5">
        <w:t xml:space="preserve">the </w:t>
      </w:r>
      <w:r>
        <w:t>bleed</w:t>
      </w:r>
      <w:r w:rsidR="416F7951">
        <w:t>ing</w:t>
      </w:r>
      <w:r w:rsidR="7720A829">
        <w:t xml:space="preserve"> </w:t>
      </w:r>
      <w:r w:rsidR="1DCD1110">
        <w:t>event</w:t>
      </w:r>
      <w:r>
        <w:t xml:space="preserve">. </w:t>
      </w:r>
    </w:p>
    <w:p w14:paraId="67C6F2C3" w14:textId="3A2F4599" w:rsidR="00A12793" w:rsidRDefault="00A20844" w:rsidP="007C336A">
      <w:r>
        <w:t xml:space="preserve">The </w:t>
      </w:r>
      <w:r w:rsidR="00311558">
        <w:t xml:space="preserve">ADAR </w:t>
      </w:r>
      <w:r w:rsidR="009031DD">
        <w:t xml:space="preserve">is seeking listing </w:t>
      </w:r>
      <w:r w:rsidR="00311558">
        <w:t xml:space="preserve">of </w:t>
      </w:r>
      <w:r w:rsidR="009031DD">
        <w:t xml:space="preserve">Obizur </w:t>
      </w:r>
      <w:r w:rsidR="00311558">
        <w:t xml:space="preserve">on the NPPL </w:t>
      </w:r>
      <w:r w:rsidR="009031DD">
        <w:t>for the treatment of bleeding episodes in adult patients with AHA. The proposed population was informed by the following TGA indication for Obizur: “</w:t>
      </w:r>
      <w:r w:rsidR="009031DD" w:rsidRPr="006159D1">
        <w:rPr>
          <w:i/>
        </w:rPr>
        <w:t>for the treatment of bleeding episodes in adults with acquired haemophilia A.</w:t>
      </w:r>
      <w:r w:rsidR="00993BFA" w:rsidRPr="006159D1">
        <w:rPr>
          <w:i/>
        </w:rPr>
        <w:t xml:space="preserve"> </w:t>
      </w:r>
      <w:r w:rsidR="009031DD" w:rsidRPr="006159D1">
        <w:rPr>
          <w:i/>
        </w:rPr>
        <w:t>Safety and efficacy of OBIZUR have not been established in patients with baseline anti- porcine factor VIII inhibitor titre greater than 20 BU.,</w:t>
      </w:r>
      <w:r w:rsidR="00993BFA" w:rsidRPr="006159D1">
        <w:rPr>
          <w:i/>
        </w:rPr>
        <w:t xml:space="preserve"> </w:t>
      </w:r>
      <w:r w:rsidR="009031DD" w:rsidRPr="006159D1">
        <w:rPr>
          <w:i/>
        </w:rPr>
        <w:t>OBIZUR is not indicated for the treatment of congenital haemophilia A or von Willebrand disease</w:t>
      </w:r>
      <w:r w:rsidR="009031DD">
        <w:t>” (Public Summary ARTG 236475)</w:t>
      </w:r>
      <w:r w:rsidR="00DF3350">
        <w:t>.</w:t>
      </w:r>
      <w:bookmarkStart w:id="12" w:name="_Ref120545788"/>
    </w:p>
    <w:bookmarkEnd w:id="12"/>
    <w:p w14:paraId="288E7B64" w14:textId="6A860DE8" w:rsidR="001A6A12" w:rsidRDefault="001A6A12" w:rsidP="009031DD">
      <w:r w:rsidRPr="00920354">
        <w:t xml:space="preserve">The </w:t>
      </w:r>
      <w:r w:rsidR="009948C7">
        <w:t>ADAR</w:t>
      </w:r>
      <w:r>
        <w:t xml:space="preserve"> </w:t>
      </w:r>
      <w:r w:rsidR="001C7BA4">
        <w:t>proposed</w:t>
      </w:r>
      <w:r>
        <w:t xml:space="preserve"> that the initial dose </w:t>
      </w:r>
      <w:r w:rsidR="00007795">
        <w:t xml:space="preserve">may </w:t>
      </w:r>
      <w:r>
        <w:t xml:space="preserve">be </w:t>
      </w:r>
      <w:r w:rsidR="00007795">
        <w:t>given at</w:t>
      </w:r>
      <w:r>
        <w:t xml:space="preserve"> a range of 100 to 200 U/kg, depending on the treating clinician’s preference</w:t>
      </w:r>
      <w:r w:rsidR="00487A17">
        <w:t xml:space="preserve"> however,</w:t>
      </w:r>
      <w:r>
        <w:t xml:space="preserve"> </w:t>
      </w:r>
      <w:r w:rsidR="00487A17">
        <w:t>t</w:t>
      </w:r>
      <w:r>
        <w:t>he PI</w:t>
      </w:r>
      <w:r w:rsidR="00007795">
        <w:t xml:space="preserve"> </w:t>
      </w:r>
      <w:r>
        <w:t>recommend</w:t>
      </w:r>
      <w:r w:rsidR="00007795">
        <w:t>s</w:t>
      </w:r>
      <w:r>
        <w:t xml:space="preserve"> </w:t>
      </w:r>
      <w:r w:rsidR="00007795">
        <w:t xml:space="preserve">an </w:t>
      </w:r>
      <w:r>
        <w:t xml:space="preserve">initial dose </w:t>
      </w:r>
      <w:r w:rsidR="00007795">
        <w:t>of</w:t>
      </w:r>
      <w:r>
        <w:t xml:space="preserve"> 200 U/kg</w:t>
      </w:r>
      <w:r w:rsidR="00007795">
        <w:t xml:space="preserve"> and states</w:t>
      </w:r>
      <w:r>
        <w:t xml:space="preserve"> that “</w:t>
      </w:r>
      <w:r w:rsidR="00007795">
        <w:t>i</w:t>
      </w:r>
      <w:r w:rsidRPr="00E12240">
        <w:t>nitial dosing below the recommended 200 U/kg has been associated with lack of efficacy”</w:t>
      </w:r>
      <w:r>
        <w:t xml:space="preserve">. </w:t>
      </w:r>
      <w:r w:rsidRPr="00C452BF">
        <w:t xml:space="preserve">The </w:t>
      </w:r>
      <w:r w:rsidR="001C7BA4" w:rsidRPr="00C452BF">
        <w:t xml:space="preserve">ADAR </w:t>
      </w:r>
      <w:r w:rsidRPr="00C452BF">
        <w:t>state</w:t>
      </w:r>
      <w:r w:rsidR="001C7BA4" w:rsidRPr="00C452BF">
        <w:t>d</w:t>
      </w:r>
      <w:r w:rsidRPr="00C452BF">
        <w:t xml:space="preserve"> that </w:t>
      </w:r>
      <w:r w:rsidR="000C1392" w:rsidRPr="000B2F72">
        <w:t xml:space="preserve">utilisation </w:t>
      </w:r>
      <w:r w:rsidR="00AA53EA" w:rsidRPr="000B2F72">
        <w:t xml:space="preserve">of </w:t>
      </w:r>
      <w:r w:rsidR="00DA7822" w:rsidRPr="001D21CE">
        <w:t>an</w:t>
      </w:r>
      <w:r w:rsidR="00AB4B64" w:rsidRPr="00356438">
        <w:t xml:space="preserve"> </w:t>
      </w:r>
      <w:r w:rsidR="00DA7822" w:rsidRPr="00356438">
        <w:t>initial</w:t>
      </w:r>
      <w:r w:rsidRPr="007623EE">
        <w:t xml:space="preserve"> dose</w:t>
      </w:r>
      <w:r w:rsidR="00DA7822" w:rsidRPr="007623EE">
        <w:t xml:space="preserve"> in the range of 100 to 200 U/kg</w:t>
      </w:r>
      <w:r w:rsidRPr="00147524">
        <w:t xml:space="preserve"> reflects current clinical practice</w:t>
      </w:r>
      <w:r w:rsidR="00487A17">
        <w:t xml:space="preserve"> and</w:t>
      </w:r>
      <w:r w:rsidRPr="00147524">
        <w:t xml:space="preserve"> cited studies</w:t>
      </w:r>
      <w:r w:rsidR="00133272" w:rsidRPr="00147524">
        <w:t xml:space="preserve"> </w:t>
      </w:r>
      <w:r w:rsidRPr="00147524">
        <w:t>241302</w:t>
      </w:r>
      <w:r w:rsidR="00B35621">
        <w:t xml:space="preserve"> and</w:t>
      </w:r>
      <w:r w:rsidRPr="00147524">
        <w:t xml:space="preserve"> 241501 </w:t>
      </w:r>
      <w:r w:rsidR="00133272" w:rsidRPr="00147524">
        <w:t xml:space="preserve">presented for TGA registration </w:t>
      </w:r>
      <w:r w:rsidRPr="00C452BF">
        <w:t>and Ellsworth et al (</w:t>
      </w:r>
      <w:bookmarkStart w:id="13" w:name="_Int_VtlM8JYp"/>
      <w:r w:rsidRPr="00C452BF">
        <w:t>2020)</w:t>
      </w:r>
      <w:r w:rsidR="00B479E2" w:rsidRPr="00147524">
        <w:rPr>
          <w:rStyle w:val="FootnoteReference"/>
        </w:rPr>
        <w:footnoteReference w:id="5"/>
      </w:r>
      <w:bookmarkEnd w:id="13"/>
      <w:r w:rsidR="00B35621">
        <w:t>,</w:t>
      </w:r>
      <w:r w:rsidRPr="00C452BF">
        <w:t xml:space="preserve"> initiated Obizur at 100 U/kg </w:t>
      </w:r>
      <w:r w:rsidR="00AA53EA" w:rsidRPr="00356438">
        <w:t xml:space="preserve">and </w:t>
      </w:r>
      <w:r w:rsidRPr="00356438">
        <w:t>suggests no loss in efficacy or safety</w:t>
      </w:r>
      <w:r w:rsidRPr="007623EE">
        <w:t xml:space="preserve">. This </w:t>
      </w:r>
      <w:r w:rsidR="008C3321" w:rsidRPr="007623EE">
        <w:t xml:space="preserve">claim </w:t>
      </w:r>
      <w:r w:rsidRPr="00147524">
        <w:t xml:space="preserve">is based </w:t>
      </w:r>
      <w:r w:rsidR="00B149F2" w:rsidRPr="00147524">
        <w:t>on</w:t>
      </w:r>
      <w:r w:rsidRPr="00147524">
        <w:t xml:space="preserve"> a naïve comparison of studies</w:t>
      </w:r>
      <w:r w:rsidR="00712325" w:rsidRPr="00147524">
        <w:t xml:space="preserve">. </w:t>
      </w:r>
    </w:p>
    <w:p w14:paraId="7D2064B8" w14:textId="0FFB9823" w:rsidR="00993BFA" w:rsidRDefault="00993BFA" w:rsidP="009031DD">
      <w:r>
        <w:t xml:space="preserve">The </w:t>
      </w:r>
      <w:r w:rsidR="00DC50D4">
        <w:t>ADAR</w:t>
      </w:r>
      <w:r w:rsidR="350AC5C8">
        <w:t>-</w:t>
      </w:r>
      <w:r>
        <w:t xml:space="preserve">proposed price for Obizur is </w:t>
      </w:r>
      <w:r w:rsidRPr="00572CBD">
        <w:t>$</w:t>
      </w:r>
      <w:r w:rsidR="00572CBD" w:rsidRPr="00572CBD">
        <w:t>[</w:t>
      </w:r>
      <w:r w:rsidR="00572CBD">
        <w:t>REDACTED]</w:t>
      </w:r>
      <w:r>
        <w:t xml:space="preserve"> per 500-unit vial. The </w:t>
      </w:r>
      <w:r w:rsidR="001A7D11">
        <w:t xml:space="preserve">ADAR </w:t>
      </w:r>
      <w:r>
        <w:t xml:space="preserve">based this upon a weighted average of the cost per vial resulting from the </w:t>
      </w:r>
      <w:r w:rsidR="006F0946">
        <w:t>cost-minimisation approaches (</w:t>
      </w:r>
      <w:r>
        <w:t>CMAs</w:t>
      </w:r>
      <w:r w:rsidR="006F0946">
        <w:t>)</w:t>
      </w:r>
      <w:r>
        <w:t xml:space="preserve"> versus NovoSeven (78%) and FEIBA (22%) with the current market share serving as the weights. </w:t>
      </w:r>
      <w:r w:rsidR="0068320C">
        <w:t>At present</w:t>
      </w:r>
      <w:r>
        <w:t>, the contracted arrangements for NovoSeven and FEIBA are currently under review. As a result, the proposed price for Obizur may change.</w:t>
      </w:r>
    </w:p>
    <w:p w14:paraId="5EC4EC4A" w14:textId="74167E99" w:rsidR="00D572F2" w:rsidRDefault="001B4B95" w:rsidP="009031DD">
      <w:r>
        <w:t xml:space="preserve">Testing of FVIII </w:t>
      </w:r>
      <w:r w:rsidR="001919BF">
        <w:t xml:space="preserve">concentration and </w:t>
      </w:r>
      <w:r w:rsidR="00AA050F">
        <w:t>APTT</w:t>
      </w:r>
      <w:r w:rsidR="001919BF">
        <w:t xml:space="preserve"> </w:t>
      </w:r>
      <w:r w:rsidR="00FB3FBA">
        <w:t xml:space="preserve">is </w:t>
      </w:r>
      <w:r w:rsidR="003B6ADA">
        <w:t xml:space="preserve">required </w:t>
      </w:r>
      <w:r>
        <w:t xml:space="preserve">at the start/prior to treatment </w:t>
      </w:r>
      <w:r w:rsidR="00CE077B">
        <w:t>with</w:t>
      </w:r>
      <w:r>
        <w:t xml:space="preserve"> Obizur and throughout the treatment period.</w:t>
      </w:r>
      <w:r w:rsidR="0080726A">
        <w:t xml:space="preserve"> </w:t>
      </w:r>
      <w:r w:rsidR="0080726A" w:rsidRPr="0080726A">
        <w:t xml:space="preserve">The PI recommends that </w:t>
      </w:r>
      <w:r w:rsidR="00397BF9">
        <w:t>APTT</w:t>
      </w:r>
      <w:r w:rsidR="0080726A" w:rsidRPr="0080726A">
        <w:t xml:space="preserve"> is assessed </w:t>
      </w:r>
      <w:r w:rsidR="00E3279E">
        <w:t xml:space="preserve">at </w:t>
      </w:r>
      <w:r w:rsidR="0080726A" w:rsidRPr="0080726A">
        <w:t>30 minutes and 3 hours after the initial dose of Obizur, and 30 minutes after subsequent doses.</w:t>
      </w:r>
      <w:r>
        <w:t xml:space="preserve"> Testing for anti-</w:t>
      </w:r>
      <w:proofErr w:type="spellStart"/>
      <w:r>
        <w:t>pFVIII</w:t>
      </w:r>
      <w:proofErr w:type="spellEnd"/>
      <w:r>
        <w:t xml:space="preserve"> is required </w:t>
      </w:r>
      <w:r w:rsidRPr="001B4B95">
        <w:t xml:space="preserve">at the start/prior to treatment </w:t>
      </w:r>
      <w:r w:rsidR="00A23411">
        <w:t>with</w:t>
      </w:r>
      <w:r w:rsidRPr="001B4B95">
        <w:t xml:space="preserve"> Obizur</w:t>
      </w:r>
      <w:r>
        <w:t xml:space="preserve"> and at any point where treatment is not efficacious, that is, to test for </w:t>
      </w:r>
      <w:r w:rsidR="00A5612C">
        <w:t xml:space="preserve">neutralising </w:t>
      </w:r>
      <w:r>
        <w:t>inhibitor development</w:t>
      </w:r>
      <w:r w:rsidR="00A5612C">
        <w:t xml:space="preserve"> directed against Obizur</w:t>
      </w:r>
      <w:r>
        <w:t>.</w:t>
      </w:r>
      <w:r w:rsidR="001A6A12" w:rsidRPr="001A6A12">
        <w:t xml:space="preserve"> </w:t>
      </w:r>
      <w:r w:rsidR="00132071">
        <w:t xml:space="preserve">The relevant MBS items are </w:t>
      </w:r>
      <w:r w:rsidR="003D05DA">
        <w:t xml:space="preserve">described in </w:t>
      </w:r>
      <w:r w:rsidR="003D05DA">
        <w:fldChar w:fldCharType="begin"/>
      </w:r>
      <w:r w:rsidR="003D05DA">
        <w:instrText xml:space="preserve"> REF _Ref122529454 \h </w:instrText>
      </w:r>
      <w:r w:rsidR="003D05DA">
        <w:fldChar w:fldCharType="separate"/>
      </w:r>
      <w:r w:rsidR="00C25EB0">
        <w:t xml:space="preserve">Table </w:t>
      </w:r>
      <w:r w:rsidR="00C25EB0">
        <w:rPr>
          <w:noProof/>
        </w:rPr>
        <w:t>2</w:t>
      </w:r>
      <w:r w:rsidR="003D05DA">
        <w:fldChar w:fldCharType="end"/>
      </w:r>
      <w:r w:rsidR="00712325">
        <w:t xml:space="preserve"> below</w:t>
      </w:r>
      <w:r w:rsidR="003D05DA">
        <w:t>.</w:t>
      </w:r>
    </w:p>
    <w:p w14:paraId="709E8C3A" w14:textId="3A125614" w:rsidR="003D05DA" w:rsidRDefault="003D05DA" w:rsidP="00C14947">
      <w:pPr>
        <w:pStyle w:val="Caption"/>
      </w:pPr>
      <w:bookmarkStart w:id="14" w:name="_Ref122529454"/>
      <w:r>
        <w:lastRenderedPageBreak/>
        <w:t xml:space="preserve">Table </w:t>
      </w:r>
      <w:r>
        <w:fldChar w:fldCharType="begin"/>
      </w:r>
      <w:r>
        <w:instrText>SEQ Table \* ARABIC</w:instrText>
      </w:r>
      <w:r>
        <w:fldChar w:fldCharType="separate"/>
      </w:r>
      <w:r w:rsidR="00C25EB0">
        <w:rPr>
          <w:noProof/>
        </w:rPr>
        <w:t>2</w:t>
      </w:r>
      <w:r>
        <w:fldChar w:fldCharType="end"/>
      </w:r>
      <w:bookmarkEnd w:id="14"/>
      <w:r>
        <w:t xml:space="preserve"> MBS item descriptors</w:t>
      </w:r>
    </w:p>
    <w:tbl>
      <w:tblPr>
        <w:tblStyle w:val="HealthConsult1"/>
        <w:tblW w:w="0" w:type="auto"/>
        <w:tblInd w:w="0" w:type="dxa"/>
        <w:tblLook w:val="04A0" w:firstRow="1" w:lastRow="0" w:firstColumn="1" w:lastColumn="0" w:noHBand="0" w:noVBand="1"/>
        <w:tblCaption w:val="Proposed item descriptor for diagnostic testing"/>
        <w:tblDescription w:val="Proposed item descriptor for diagnostic testing"/>
      </w:tblPr>
      <w:tblGrid>
        <w:gridCol w:w="9016"/>
      </w:tblGrid>
      <w:tr w:rsidR="00132071" w14:paraId="18DC4A59" w14:textId="77777777" w:rsidTr="00FC18B5">
        <w:trPr>
          <w:cantSplit/>
          <w:tblHeader/>
        </w:trPr>
        <w:tc>
          <w:tcPr>
            <w:tcW w:w="9016" w:type="dxa"/>
            <w:tcBorders>
              <w:top w:val="single" w:sz="4" w:space="0" w:color="auto"/>
              <w:left w:val="single" w:sz="4" w:space="0" w:color="auto"/>
              <w:bottom w:val="single" w:sz="4" w:space="0" w:color="auto"/>
              <w:right w:val="single" w:sz="4" w:space="0" w:color="auto"/>
            </w:tcBorders>
          </w:tcPr>
          <w:p w14:paraId="6688601E" w14:textId="17FA5C5F" w:rsidR="00132071" w:rsidRPr="00C14947" w:rsidRDefault="00132071" w:rsidP="00C14947">
            <w:pPr>
              <w:pStyle w:val="TableText"/>
              <w:rPr>
                <w:sz w:val="22"/>
              </w:rPr>
            </w:pPr>
            <w:r>
              <w:t xml:space="preserve">Category 6 – PATHOLOGY SERVICE </w:t>
            </w:r>
            <w:r>
              <w:tab/>
              <w:t>Group P1 - Hematology</w:t>
            </w:r>
          </w:p>
        </w:tc>
      </w:tr>
      <w:tr w:rsidR="00132071" w14:paraId="19AB8701" w14:textId="77777777" w:rsidTr="00FC18B5">
        <w:trPr>
          <w:cantSplit/>
        </w:trPr>
        <w:tc>
          <w:tcPr>
            <w:tcW w:w="9016" w:type="dxa"/>
            <w:tcBorders>
              <w:top w:val="single" w:sz="4" w:space="0" w:color="auto"/>
              <w:left w:val="single" w:sz="4" w:space="0" w:color="auto"/>
              <w:bottom w:val="single" w:sz="4" w:space="0" w:color="auto"/>
              <w:right w:val="single" w:sz="4" w:space="0" w:color="auto"/>
            </w:tcBorders>
          </w:tcPr>
          <w:p w14:paraId="1AD94426" w14:textId="4720FE29" w:rsidR="00132071" w:rsidRDefault="00132071" w:rsidP="00C14947">
            <w:pPr>
              <w:pStyle w:val="TableText"/>
            </w:pPr>
            <w:r>
              <w:t>MBS 65120</w:t>
            </w:r>
          </w:p>
          <w:p w14:paraId="64F600A9" w14:textId="7E6F94B1" w:rsidR="00132071" w:rsidRDefault="00132071" w:rsidP="00082795">
            <w:pPr>
              <w:pStyle w:val="TableText"/>
              <w:spacing w:before="240" w:after="240"/>
            </w:pPr>
            <w:r w:rsidRPr="00132071">
              <w:t xml:space="preserve">Prothrombin time (including INR where appropriate), activated partial thromboplastin time, thrombin time (including test for the presence of heparin), test for factor XIII deficiency (qualitative), </w:t>
            </w:r>
            <w:proofErr w:type="spellStart"/>
            <w:r w:rsidRPr="00132071">
              <w:t>Echis</w:t>
            </w:r>
            <w:proofErr w:type="spellEnd"/>
            <w:r w:rsidRPr="00132071">
              <w:t xml:space="preserve"> test, </w:t>
            </w:r>
            <w:proofErr w:type="spellStart"/>
            <w:r w:rsidRPr="00132071">
              <w:t>Stypven</w:t>
            </w:r>
            <w:proofErr w:type="spellEnd"/>
            <w:r w:rsidRPr="00132071">
              <w:t xml:space="preserve"> test, </w:t>
            </w:r>
            <w:proofErr w:type="spellStart"/>
            <w:r w:rsidRPr="00132071">
              <w:t>reptilase</w:t>
            </w:r>
            <w:proofErr w:type="spellEnd"/>
            <w:r w:rsidRPr="00132071">
              <w:t xml:space="preserve"> time, fibrinogen, or 1 of fibrinogen degradation products, fibrin monomer or D-dimer - 1 test</w:t>
            </w:r>
          </w:p>
          <w:p w14:paraId="1E3CB2FE" w14:textId="6A5EE7B3" w:rsidR="00132071" w:rsidRDefault="00132071" w:rsidP="00C14947">
            <w:pPr>
              <w:pStyle w:val="TableText"/>
            </w:pPr>
            <w:r>
              <w:rPr>
                <w:b/>
                <w:bCs/>
              </w:rPr>
              <w:t>Fee:</w:t>
            </w:r>
            <w:r>
              <w:t xml:space="preserve"> $13.70 </w:t>
            </w:r>
            <w:r>
              <w:rPr>
                <w:b/>
                <w:bCs/>
              </w:rPr>
              <w:t>Benefit:</w:t>
            </w:r>
            <w:r>
              <w:t xml:space="preserve"> 75% = $10.30 85% = $11.65</w:t>
            </w:r>
          </w:p>
        </w:tc>
      </w:tr>
      <w:tr w:rsidR="00132071" w14:paraId="317F4C0C" w14:textId="77777777" w:rsidTr="00FC18B5">
        <w:trPr>
          <w:cantSplit/>
        </w:trPr>
        <w:tc>
          <w:tcPr>
            <w:tcW w:w="9016" w:type="dxa"/>
            <w:tcBorders>
              <w:top w:val="single" w:sz="4" w:space="0" w:color="auto"/>
              <w:left w:val="single" w:sz="4" w:space="0" w:color="auto"/>
              <w:bottom w:val="single" w:sz="4" w:space="0" w:color="auto"/>
              <w:right w:val="single" w:sz="4" w:space="0" w:color="auto"/>
            </w:tcBorders>
          </w:tcPr>
          <w:p w14:paraId="77D232BC" w14:textId="77777777" w:rsidR="00132071" w:rsidRDefault="00132071" w:rsidP="00C14947">
            <w:pPr>
              <w:pStyle w:val="TableText"/>
            </w:pPr>
            <w:r>
              <w:t xml:space="preserve">MBS 65150 </w:t>
            </w:r>
          </w:p>
          <w:p w14:paraId="01C0C344" w14:textId="77777777" w:rsidR="00132071" w:rsidRPr="00132071" w:rsidRDefault="00132071" w:rsidP="00C14947">
            <w:pPr>
              <w:pStyle w:val="TableText"/>
            </w:pPr>
            <w:r w:rsidRPr="00132071">
              <w:t>Quantitation of von Willebrand factor antigen, von Willebrand factor activity (</w:t>
            </w:r>
            <w:proofErr w:type="spellStart"/>
            <w:r w:rsidRPr="00132071">
              <w:t>ristocetin</w:t>
            </w:r>
            <w:proofErr w:type="spellEnd"/>
            <w:r w:rsidRPr="00132071">
              <w:t xml:space="preserve"> cofactor assay), von Willebrand factor collagen binding activity, factor II, factor V, factor VII, factor VIII, factor IX, factor X, factor XI, factor XII, factor XIII, Fletcher factor, Fitzgerald factor, circulating coagulation factor inhibitors other than by Bethesda assay - 1 test</w:t>
            </w:r>
          </w:p>
          <w:p w14:paraId="1870067A" w14:textId="342ACC77" w:rsidR="00132071" w:rsidRDefault="00132071" w:rsidP="00082795">
            <w:pPr>
              <w:pStyle w:val="TableText"/>
              <w:spacing w:after="240"/>
            </w:pPr>
            <w:r w:rsidRPr="00132071">
              <w:t>(Item is subject to rule 6)</w:t>
            </w:r>
          </w:p>
          <w:p w14:paraId="4B81113E" w14:textId="11EB9ABF" w:rsidR="00132071" w:rsidRDefault="00132071" w:rsidP="00C14947">
            <w:pPr>
              <w:pStyle w:val="TableText"/>
            </w:pPr>
            <w:r>
              <w:rPr>
                <w:b/>
                <w:bCs/>
              </w:rPr>
              <w:t>Fee:</w:t>
            </w:r>
            <w:r>
              <w:t xml:space="preserve"> $70.90 </w:t>
            </w:r>
            <w:r>
              <w:rPr>
                <w:b/>
                <w:bCs/>
              </w:rPr>
              <w:t>Benefit:</w:t>
            </w:r>
            <w:r>
              <w:t xml:space="preserve"> 75% = $53.20 85% = $60.30</w:t>
            </w:r>
          </w:p>
        </w:tc>
      </w:tr>
      <w:tr w:rsidR="00132071" w14:paraId="00CDB876" w14:textId="77777777" w:rsidTr="00FC18B5">
        <w:trPr>
          <w:cantSplit/>
        </w:trPr>
        <w:tc>
          <w:tcPr>
            <w:tcW w:w="9016" w:type="dxa"/>
            <w:tcBorders>
              <w:top w:val="single" w:sz="4" w:space="0" w:color="auto"/>
              <w:left w:val="single" w:sz="4" w:space="0" w:color="auto"/>
              <w:bottom w:val="single" w:sz="4" w:space="0" w:color="auto"/>
              <w:right w:val="single" w:sz="4" w:space="0" w:color="auto"/>
            </w:tcBorders>
          </w:tcPr>
          <w:p w14:paraId="5050E160" w14:textId="77777777" w:rsidR="00132071" w:rsidRDefault="00132071" w:rsidP="00C14947">
            <w:pPr>
              <w:pStyle w:val="TableText"/>
            </w:pPr>
            <w:r>
              <w:t>MBS 65159</w:t>
            </w:r>
          </w:p>
          <w:p w14:paraId="42241BCE" w14:textId="62B6E1BF" w:rsidR="00132071" w:rsidRDefault="00132071" w:rsidP="00082795">
            <w:pPr>
              <w:pStyle w:val="TableText"/>
              <w:spacing w:after="240"/>
            </w:pPr>
            <w:r>
              <w:t>Quantitation of circulating coagulation factor inhibitors by Bethesda assay - 1 test</w:t>
            </w:r>
          </w:p>
          <w:p w14:paraId="162ABE28" w14:textId="1229B3B7" w:rsidR="00132071" w:rsidRDefault="00132071" w:rsidP="00C14947">
            <w:pPr>
              <w:pStyle w:val="TableText"/>
            </w:pPr>
            <w:r w:rsidRPr="00132071">
              <w:t>Fee: $70.90 Benefit: 75% = $53.20 85% = $60.30</w:t>
            </w:r>
          </w:p>
        </w:tc>
      </w:tr>
    </w:tbl>
    <w:p w14:paraId="43A9C00E" w14:textId="6DDC75BD" w:rsidR="00772829" w:rsidRPr="00CE28E3" w:rsidRDefault="00F72C82" w:rsidP="002A18BE">
      <w:pPr>
        <w:pStyle w:val="Heading2"/>
        <w:numPr>
          <w:ilvl w:val="0"/>
          <w:numId w:val="0"/>
        </w:numPr>
      </w:pPr>
      <w:bookmarkStart w:id="15" w:name="_Toc69491419"/>
      <w:r>
        <w:t>7</w:t>
      </w:r>
      <w:r w:rsidR="00C36633">
        <w:t>.</w:t>
      </w:r>
      <w:r w:rsidR="00C36633">
        <w:tab/>
      </w:r>
      <w:r w:rsidR="00772829" w:rsidRPr="00CE28E3">
        <w:t>Population</w:t>
      </w:r>
      <w:bookmarkEnd w:id="15"/>
      <w:r w:rsidR="00772829" w:rsidRPr="00CE28E3">
        <w:t xml:space="preserve"> </w:t>
      </w:r>
    </w:p>
    <w:p w14:paraId="28CC1036" w14:textId="1AC6E0B4" w:rsidR="00B2596A" w:rsidRDefault="00B2596A" w:rsidP="00B2596A">
      <w:r>
        <w:t xml:space="preserve">The proposed population for Obizur includes adult patients </w:t>
      </w:r>
      <w:r w:rsidRPr="00205BF1">
        <w:t>(≥18 years) with</w:t>
      </w:r>
      <w:r>
        <w:t xml:space="preserve"> AHA who require on-demand treatment of an acute bleeding episode. Consistent with the TGA approved indication, the proposed population excludes patients with </w:t>
      </w:r>
      <w:r w:rsidR="00917CB0">
        <w:t>Congenital Haemophilia A (</w:t>
      </w:r>
      <w:r>
        <w:t>CHA</w:t>
      </w:r>
      <w:r w:rsidR="00917CB0">
        <w:t>)</w:t>
      </w:r>
      <w:r>
        <w:t xml:space="preserve"> or von Willebrand disease</w:t>
      </w:r>
      <w:r w:rsidR="001931C1">
        <w:t>,</w:t>
      </w:r>
      <w:r>
        <w:t xml:space="preserve"> and patients with AHA and anti-</w:t>
      </w:r>
      <w:proofErr w:type="spellStart"/>
      <w:r>
        <w:t>pFVIII</w:t>
      </w:r>
      <w:proofErr w:type="spellEnd"/>
      <w:r>
        <w:t xml:space="preserve"> inhibitor levels greater than 20 Bethesda units (BU), as there is currently insufficient information on how effective Obizur is in this population.</w:t>
      </w:r>
      <w:r w:rsidR="003218EA">
        <w:t xml:space="preserve"> </w:t>
      </w:r>
      <w:r>
        <w:t>Obizur is not indicated for routine</w:t>
      </w:r>
      <w:r w:rsidR="6A6460CF">
        <w:t>,</w:t>
      </w:r>
      <w:r>
        <w:t xml:space="preserve"> or pre-operative</w:t>
      </w:r>
      <w:r w:rsidR="7BC0A161">
        <w:t>,</w:t>
      </w:r>
      <w:r>
        <w:t xml:space="preserve"> bleeding prophylaxis.</w:t>
      </w:r>
    </w:p>
    <w:p w14:paraId="22C20102" w14:textId="2BDB3008" w:rsidR="007623EE" w:rsidRDefault="00B95BC7" w:rsidP="000F5881">
      <w:r w:rsidDel="00D5267C">
        <w:t xml:space="preserve">Haemophilia A is a disease where an individual has </w:t>
      </w:r>
      <w:r w:rsidR="007F210C" w:rsidDel="00D5267C">
        <w:t xml:space="preserve">an </w:t>
      </w:r>
      <w:r w:rsidDel="00D5267C">
        <w:t xml:space="preserve">insufficient </w:t>
      </w:r>
      <w:r w:rsidR="00A23411" w:rsidDel="00D5267C">
        <w:t>concentration</w:t>
      </w:r>
      <w:r w:rsidDel="00D5267C">
        <w:t xml:space="preserve"> of active blood clotting Factor VIII (FVIII)</w:t>
      </w:r>
      <w:r w:rsidR="009601F1" w:rsidDel="00D5267C">
        <w:t xml:space="preserve">, resulting in bleeding episodes which may not resolve due to the interrupted blood-clotting process. Haemophilia A may be classified as </w:t>
      </w:r>
      <w:r w:rsidR="00917CB0" w:rsidDel="00D5267C">
        <w:t xml:space="preserve">congenital </w:t>
      </w:r>
      <w:r w:rsidR="009601F1" w:rsidDel="00D5267C">
        <w:t xml:space="preserve">(CHA) </w:t>
      </w:r>
      <w:r w:rsidR="003503F0" w:rsidDel="00D5267C">
        <w:t xml:space="preserve">or </w:t>
      </w:r>
      <w:r w:rsidR="00917CB0" w:rsidDel="00D5267C">
        <w:t>a</w:t>
      </w:r>
      <w:r w:rsidR="00917CB0" w:rsidRPr="009601F1" w:rsidDel="00D5267C">
        <w:t xml:space="preserve">cquired </w:t>
      </w:r>
      <w:r w:rsidR="009601F1" w:rsidDel="00D5267C">
        <w:t>(AHA).</w:t>
      </w:r>
      <w:r w:rsidR="0000286F" w:rsidDel="00D5267C">
        <w:t xml:space="preserve"> CHA </w:t>
      </w:r>
      <w:r w:rsidR="003503F0" w:rsidDel="00D5267C">
        <w:t>is a genetic disorder caused by missing or defective FVIII</w:t>
      </w:r>
      <w:r w:rsidR="00CC195E" w:rsidDel="00D5267C">
        <w:t xml:space="preserve">. </w:t>
      </w:r>
    </w:p>
    <w:p w14:paraId="66AE2199" w14:textId="55CBFDEF" w:rsidR="00B95BC7" w:rsidDel="00D5267C" w:rsidRDefault="00B95BC7" w:rsidP="000F5881">
      <w:r>
        <w:t xml:space="preserve">AHA is a </w:t>
      </w:r>
      <w:r w:rsidR="00BF7F5F">
        <w:t xml:space="preserve">very </w:t>
      </w:r>
      <w:r>
        <w:t xml:space="preserve">rare autoimmune condition </w:t>
      </w:r>
      <w:r w:rsidR="007F210C">
        <w:t xml:space="preserve">occurring in association with a wide variety of </w:t>
      </w:r>
      <w:r w:rsidR="00F726C7">
        <w:t xml:space="preserve">other </w:t>
      </w:r>
      <w:r w:rsidR="007F210C">
        <w:t xml:space="preserve">underlying conditions </w:t>
      </w:r>
      <w:r>
        <w:t xml:space="preserve">whereby patients spontaneously develop </w:t>
      </w:r>
      <w:r w:rsidR="00FB3E47">
        <w:t xml:space="preserve">neutralising </w:t>
      </w:r>
      <w:r>
        <w:t xml:space="preserve">inhibitors to </w:t>
      </w:r>
      <w:r w:rsidR="00F726C7">
        <w:t xml:space="preserve">previously sufficient </w:t>
      </w:r>
      <w:r>
        <w:t xml:space="preserve">blood clotting FVIII. The disease is characterised </w:t>
      </w:r>
      <w:r w:rsidR="00F726C7">
        <w:t xml:space="preserve">at presentation </w:t>
      </w:r>
      <w:r>
        <w:t>by bleeding episodes (spontaneous or traumatic) in individuals with no personal or familial history (</w:t>
      </w:r>
      <w:r w:rsidR="00A12793">
        <w:t xml:space="preserve">of </w:t>
      </w:r>
      <w:r>
        <w:t>CHA)</w:t>
      </w:r>
      <w:r w:rsidR="00CC195E">
        <w:t>.</w:t>
      </w:r>
      <w:r w:rsidR="00B53904">
        <w:t xml:space="preserve"> </w:t>
      </w:r>
    </w:p>
    <w:p w14:paraId="54123910" w14:textId="46E2C783" w:rsidR="00C3365C" w:rsidRDefault="00CC195E" w:rsidP="000F5881">
      <w:r>
        <w:t xml:space="preserve">AHA </w:t>
      </w:r>
      <w:r w:rsidR="004956F0">
        <w:t>is treated with immunosuppressive therapy (IST) and haemostatic therapy. IST is used for eradication of inhibitors</w:t>
      </w:r>
      <w:r w:rsidR="00F04B52">
        <w:t>. IST</w:t>
      </w:r>
      <w:r w:rsidR="004956F0">
        <w:t xml:space="preserve"> may result in significant complications such as infection, </w:t>
      </w:r>
      <w:proofErr w:type="gramStart"/>
      <w:r w:rsidR="004956F0">
        <w:t>neutropenia</w:t>
      </w:r>
      <w:proofErr w:type="gramEnd"/>
      <w:r w:rsidR="004956F0">
        <w:t xml:space="preserve"> and diabetes. </w:t>
      </w:r>
      <w:r w:rsidR="00F04B52">
        <w:t xml:space="preserve">There is also the risk of relapse, which is highly-variable, depending on regimen and other underlying factors. </w:t>
      </w:r>
      <w:r w:rsidR="004956F0">
        <w:t>Haemostatic therapy</w:t>
      </w:r>
      <w:r w:rsidR="008A5655">
        <w:t xml:space="preserve"> using FEIBA </w:t>
      </w:r>
      <w:r w:rsidR="00736CB3">
        <w:t>and/</w:t>
      </w:r>
      <w:r w:rsidR="008A5655">
        <w:t>or NovoSeven</w:t>
      </w:r>
      <w:r w:rsidR="004956F0">
        <w:t xml:space="preserve"> is used </w:t>
      </w:r>
      <w:r w:rsidR="00B53904">
        <w:t xml:space="preserve">on-demand </w:t>
      </w:r>
      <w:r w:rsidR="004956F0">
        <w:t xml:space="preserve">to resolve acute bleeding episodes or may be given as prophylaxis prior to surgery. </w:t>
      </w:r>
      <w:r w:rsidR="00700BA1">
        <w:t xml:space="preserve">The major risk </w:t>
      </w:r>
      <w:r w:rsidR="00A12793">
        <w:t xml:space="preserve">of </w:t>
      </w:r>
      <w:r w:rsidR="00AB285B">
        <w:t xml:space="preserve">any </w:t>
      </w:r>
      <w:r w:rsidR="00700BA1">
        <w:t>haemostat</w:t>
      </w:r>
      <w:r w:rsidR="002A6466">
        <w:t>ic treatment</w:t>
      </w:r>
      <w:r w:rsidR="00700BA1">
        <w:t xml:space="preserve"> </w:t>
      </w:r>
      <w:r w:rsidR="002A6466">
        <w:t>is</w:t>
      </w:r>
      <w:r w:rsidR="00700BA1">
        <w:t xml:space="preserve"> </w:t>
      </w:r>
      <w:r w:rsidR="007B560F">
        <w:t xml:space="preserve">venous or arterial </w:t>
      </w:r>
      <w:r w:rsidR="00700BA1">
        <w:t>thrombosis</w:t>
      </w:r>
      <w:r w:rsidR="00E2217A">
        <w:t>. Many AHA</w:t>
      </w:r>
      <w:r w:rsidR="00700BA1">
        <w:t xml:space="preserve"> patients have underlying cardiovascular issues</w:t>
      </w:r>
      <w:r w:rsidR="00E2217A">
        <w:t xml:space="preserve"> which can increase the risk of thrombosis</w:t>
      </w:r>
      <w:r w:rsidR="00700BA1">
        <w:t>.</w:t>
      </w:r>
      <w:r w:rsidR="00C364E9">
        <w:t xml:space="preserve"> </w:t>
      </w:r>
    </w:p>
    <w:p w14:paraId="56763658" w14:textId="709C1EA3" w:rsidR="00CC195E" w:rsidRDefault="002F593E" w:rsidP="00252EC3">
      <w:pPr>
        <w:keepLines/>
      </w:pPr>
      <w:bookmarkStart w:id="16" w:name="_Hlk120347953"/>
      <w:r>
        <w:lastRenderedPageBreak/>
        <w:t xml:space="preserve">In the Australian context, </w:t>
      </w:r>
      <w:r w:rsidR="002A6466">
        <w:t>d</w:t>
      </w:r>
      <w:r w:rsidR="00C3365C">
        <w:t>ata from the Australian Bleeding Disorders Registry</w:t>
      </w:r>
      <w:r w:rsidR="00CB7A4E">
        <w:t xml:space="preserve"> (ABDR)</w:t>
      </w:r>
      <w:r w:rsidR="00C3365C">
        <w:t xml:space="preserve"> </w:t>
      </w:r>
      <w:r w:rsidR="00CB7A4E">
        <w:t xml:space="preserve">Annual </w:t>
      </w:r>
      <w:r w:rsidR="00C3365C">
        <w:t xml:space="preserve">report </w:t>
      </w:r>
      <w:r w:rsidR="00CB7A4E">
        <w:t>(2019-</w:t>
      </w:r>
      <w:bookmarkStart w:id="17" w:name="_Int_KJuOpxPK"/>
      <w:r w:rsidR="00CB7A4E">
        <w:t>2020)</w:t>
      </w:r>
      <w:r w:rsidR="00CB7A4E">
        <w:rPr>
          <w:rStyle w:val="FootnoteReference"/>
        </w:rPr>
        <w:footnoteReference w:id="6"/>
      </w:r>
      <w:bookmarkEnd w:id="17"/>
      <w:r w:rsidR="00CB7A4E">
        <w:t xml:space="preserve"> revealed </w:t>
      </w:r>
      <w:r w:rsidR="00C3365C">
        <w:t xml:space="preserve">that there were 92 patients </w:t>
      </w:r>
      <w:r w:rsidR="00A12793">
        <w:t xml:space="preserve">with AHA </w:t>
      </w:r>
      <w:r w:rsidR="00C3365C">
        <w:t>in 2019-2020. Of these, 12 (13%) required haemostatic treatment.</w:t>
      </w:r>
      <w:r w:rsidR="000020F3">
        <w:t xml:space="preserve"> </w:t>
      </w:r>
      <w:proofErr w:type="gramStart"/>
      <w:r>
        <w:t>The majority of</w:t>
      </w:r>
      <w:proofErr w:type="gramEnd"/>
      <w:r>
        <w:t xml:space="preserve"> </w:t>
      </w:r>
      <w:r w:rsidR="00A12793">
        <w:t xml:space="preserve">patients with </w:t>
      </w:r>
      <w:r>
        <w:t>AHA tend to be over the age of 65 years.</w:t>
      </w:r>
      <w:bookmarkEnd w:id="16"/>
      <w:r>
        <w:t xml:space="preserve"> Tay et al. 2009</w:t>
      </w:r>
      <w:r w:rsidR="00CB7A4E">
        <w:rPr>
          <w:rStyle w:val="FootnoteReference"/>
        </w:rPr>
        <w:footnoteReference w:id="7"/>
      </w:r>
      <w:r>
        <w:t xml:space="preserve"> reported a median age of 78 years and 74 years in Dix at al. 2022</w:t>
      </w:r>
      <w:r w:rsidR="00CB7A4E">
        <w:rPr>
          <w:rStyle w:val="FootnoteReference"/>
        </w:rPr>
        <w:footnoteReference w:id="8"/>
      </w:r>
      <w:r>
        <w:t>.</w:t>
      </w:r>
    </w:p>
    <w:p w14:paraId="64694100" w14:textId="6903EBFB" w:rsidR="00772829" w:rsidRPr="00CE28E3" w:rsidRDefault="00F72C82" w:rsidP="002A18BE">
      <w:pPr>
        <w:pStyle w:val="Heading2"/>
        <w:numPr>
          <w:ilvl w:val="0"/>
          <w:numId w:val="0"/>
        </w:numPr>
      </w:pPr>
      <w:bookmarkStart w:id="18" w:name="_Toc69491420"/>
      <w:r>
        <w:t>8</w:t>
      </w:r>
      <w:r w:rsidR="00C36633">
        <w:t>.</w:t>
      </w:r>
      <w:r w:rsidR="00C36633">
        <w:tab/>
      </w:r>
      <w:r w:rsidR="00772829" w:rsidRPr="00CE28E3">
        <w:t>Comparator</w:t>
      </w:r>
      <w:bookmarkEnd w:id="18"/>
    </w:p>
    <w:p w14:paraId="66020C78" w14:textId="05ABBF9A" w:rsidR="00716A28" w:rsidRDefault="00384B34" w:rsidP="00384B34">
      <w:r>
        <w:t xml:space="preserve">The </w:t>
      </w:r>
      <w:r w:rsidR="00424714">
        <w:t xml:space="preserve">nominated </w:t>
      </w:r>
      <w:r>
        <w:t>comparator</w:t>
      </w:r>
      <w:r w:rsidR="00BC1B89">
        <w:t>s</w:t>
      </w:r>
      <w:r>
        <w:t xml:space="preserve"> </w:t>
      </w:r>
      <w:r w:rsidR="00BC1B89">
        <w:t xml:space="preserve">are </w:t>
      </w:r>
      <w:r>
        <w:t xml:space="preserve">NovoSeven and </w:t>
      </w:r>
      <w:r w:rsidRPr="00384B34">
        <w:t>F</w:t>
      </w:r>
      <w:r>
        <w:t>EIBA</w:t>
      </w:r>
      <w:r w:rsidR="00BC1B89">
        <w:t>, which are the two FVIII BPA</w:t>
      </w:r>
      <w:r w:rsidR="000A6440">
        <w:t>s</w:t>
      </w:r>
      <w:r w:rsidR="00BC1B89">
        <w:t xml:space="preserve"> used in Australia for treating bleed</w:t>
      </w:r>
      <w:r w:rsidR="00E13FBA">
        <w:t>s</w:t>
      </w:r>
      <w:r w:rsidR="00BC1B89">
        <w:t xml:space="preserve"> in </w:t>
      </w:r>
      <w:r w:rsidR="00E13FBA">
        <w:t xml:space="preserve">patients with </w:t>
      </w:r>
      <w:r w:rsidR="00BC1B89">
        <w:t>AHA.</w:t>
      </w:r>
      <w:r w:rsidR="008C09A3">
        <w:t xml:space="preserve"> Both therapies work by circumventing the need for FVIII replacement in the blood-clotting pathway.</w:t>
      </w:r>
      <w:r w:rsidR="006C0AE9">
        <w:t xml:space="preserve"> NovoSeven and FEIBA are currently</w:t>
      </w:r>
      <w:r w:rsidR="000A6440">
        <w:t xml:space="preserve"> </w:t>
      </w:r>
      <w:r w:rsidR="006C0AE9">
        <w:t>listed on the NPPL (</w:t>
      </w:r>
      <w:r w:rsidR="007D6780">
        <w:fldChar w:fldCharType="begin"/>
      </w:r>
      <w:r w:rsidR="007D6780">
        <w:instrText xml:space="preserve"> REF _Ref123655768 \h </w:instrText>
      </w:r>
      <w:r w:rsidR="007D6780">
        <w:fldChar w:fldCharType="separate"/>
      </w:r>
      <w:r w:rsidR="00C25EB0">
        <w:t xml:space="preserve">Table </w:t>
      </w:r>
      <w:r w:rsidR="00C25EB0">
        <w:rPr>
          <w:noProof/>
        </w:rPr>
        <w:t>3</w:t>
      </w:r>
      <w:r w:rsidR="007D6780">
        <w:fldChar w:fldCharType="end"/>
      </w:r>
      <w:r w:rsidR="006C0AE9">
        <w:t>).</w:t>
      </w:r>
    </w:p>
    <w:p w14:paraId="2E41D1FC" w14:textId="71B77D39" w:rsidR="001D4FFC" w:rsidRDefault="001D4FFC" w:rsidP="00384B34">
      <w:r>
        <w:t xml:space="preserve">Obizur is proposed as an alternative to both NovoSeven and FEIBA. The </w:t>
      </w:r>
      <w:r w:rsidR="00EF7FFE">
        <w:t xml:space="preserve">ADAR </w:t>
      </w:r>
      <w:r>
        <w:t>hasn’t specifically nominated a line of treatment</w:t>
      </w:r>
      <w:r w:rsidR="00D5267C">
        <w:t xml:space="preserve"> for Obizur</w:t>
      </w:r>
      <w:r>
        <w:t xml:space="preserve">. However, </w:t>
      </w:r>
      <w:r w:rsidR="00D5267C">
        <w:t>in the published literature</w:t>
      </w:r>
      <w:r w:rsidR="00ED1818">
        <w:t>,</w:t>
      </w:r>
      <w:r w:rsidR="00D5267C">
        <w:t xml:space="preserve"> </w:t>
      </w:r>
      <w:r>
        <w:t xml:space="preserve">Obizur has been used </w:t>
      </w:r>
      <w:r w:rsidR="00C04A77">
        <w:t xml:space="preserve">as a first-line treatment as well as in subsequent lines. The major difference between Obizur and BPAs is that </w:t>
      </w:r>
      <w:r w:rsidR="003B57FE">
        <w:t>Obizur requires additional monitoring of FVIII activity throughout treatment as well as establishment that the patient has low anti-</w:t>
      </w:r>
      <w:proofErr w:type="spellStart"/>
      <w:r w:rsidR="003B57FE">
        <w:t>pFVIII</w:t>
      </w:r>
      <w:proofErr w:type="spellEnd"/>
      <w:r w:rsidR="003B57FE">
        <w:t xml:space="preserve"> titre as determined by the </w:t>
      </w:r>
      <w:r w:rsidR="003B57FE" w:rsidRPr="003B57FE">
        <w:t>Nijmegen-Bethesda assay</w:t>
      </w:r>
      <w:r w:rsidR="003B57FE">
        <w:t>.</w:t>
      </w:r>
      <w:r w:rsidR="00806CA2">
        <w:t xml:space="preserve"> </w:t>
      </w:r>
      <w:r w:rsidR="0024305A">
        <w:t xml:space="preserve">While this is an additional cost, the FVIII monitoring requirements for Obizur confers benefit in bleeding management as it can indicate the </w:t>
      </w:r>
      <w:r w:rsidR="00917CB0">
        <w:t>efficacy of treatment</w:t>
      </w:r>
      <w:r w:rsidR="0024305A">
        <w:t>.</w:t>
      </w:r>
    </w:p>
    <w:p w14:paraId="3464CD50" w14:textId="21351C55" w:rsidR="00BC1B89" w:rsidRDefault="007D6780" w:rsidP="007D6780">
      <w:pPr>
        <w:pStyle w:val="Caption"/>
        <w:rPr>
          <w:rStyle w:val="Hyperlink"/>
        </w:rPr>
      </w:pPr>
      <w:bookmarkStart w:id="19" w:name="_Ref123655768"/>
      <w:r>
        <w:t xml:space="preserve">Table </w:t>
      </w:r>
      <w:r>
        <w:fldChar w:fldCharType="begin"/>
      </w:r>
      <w:r>
        <w:instrText>SEQ Table \* ARABIC</w:instrText>
      </w:r>
      <w:r>
        <w:fldChar w:fldCharType="separate"/>
      </w:r>
      <w:r w:rsidR="00C25EB0">
        <w:rPr>
          <w:noProof/>
        </w:rPr>
        <w:t>3</w:t>
      </w:r>
      <w:r>
        <w:fldChar w:fldCharType="end"/>
      </w:r>
      <w:bookmarkEnd w:id="19"/>
      <w:r>
        <w:t xml:space="preserve"> National Product Price List for comparators</w:t>
      </w:r>
    </w:p>
    <w:tbl>
      <w:tblPr>
        <w:tblStyle w:val="TableGrid"/>
        <w:tblW w:w="5000" w:type="pct"/>
        <w:tblLook w:val="04A0" w:firstRow="1" w:lastRow="0" w:firstColumn="1" w:lastColumn="0" w:noHBand="0" w:noVBand="1"/>
      </w:tblPr>
      <w:tblGrid>
        <w:gridCol w:w="1985"/>
        <w:gridCol w:w="1405"/>
        <w:gridCol w:w="1949"/>
        <w:gridCol w:w="1318"/>
        <w:gridCol w:w="2359"/>
      </w:tblGrid>
      <w:tr w:rsidR="00D5267C" w:rsidRPr="00EE4863" w14:paraId="0E2F7DCC" w14:textId="77777777" w:rsidTr="00147524">
        <w:trPr>
          <w:cantSplit/>
        </w:trPr>
        <w:tc>
          <w:tcPr>
            <w:tcW w:w="1101" w:type="pct"/>
          </w:tcPr>
          <w:p w14:paraId="5B73EF6D" w14:textId="336AAC06" w:rsidR="00D5267C" w:rsidRPr="00C14947" w:rsidRDefault="00D5267C" w:rsidP="00EE4863">
            <w:pPr>
              <w:pStyle w:val="TableText"/>
              <w:rPr>
                <w:b/>
                <w:bCs/>
              </w:rPr>
            </w:pPr>
            <w:r w:rsidRPr="00C14947">
              <w:rPr>
                <w:b/>
                <w:bCs/>
              </w:rPr>
              <w:t>Supplier</w:t>
            </w:r>
          </w:p>
        </w:tc>
        <w:tc>
          <w:tcPr>
            <w:tcW w:w="779" w:type="pct"/>
          </w:tcPr>
          <w:p w14:paraId="41B19167" w14:textId="4736C573" w:rsidR="00D5267C" w:rsidRPr="00C14947" w:rsidRDefault="00D5267C" w:rsidP="00EE4863">
            <w:pPr>
              <w:pStyle w:val="TableText"/>
              <w:rPr>
                <w:b/>
                <w:bCs/>
              </w:rPr>
            </w:pPr>
            <w:r>
              <w:rPr>
                <w:b/>
                <w:bCs/>
              </w:rPr>
              <w:t>Product</w:t>
            </w:r>
            <w:r w:rsidR="00D558DF">
              <w:rPr>
                <w:b/>
                <w:bCs/>
              </w:rPr>
              <w:t xml:space="preserve"> Name</w:t>
            </w:r>
          </w:p>
        </w:tc>
        <w:tc>
          <w:tcPr>
            <w:tcW w:w="1081" w:type="pct"/>
          </w:tcPr>
          <w:p w14:paraId="760E8085" w14:textId="58474868" w:rsidR="00D5267C" w:rsidRPr="00C14947" w:rsidRDefault="00D5267C" w:rsidP="00EE4863">
            <w:pPr>
              <w:pStyle w:val="TableText"/>
              <w:rPr>
                <w:b/>
                <w:bCs/>
              </w:rPr>
            </w:pPr>
            <w:r w:rsidRPr="00C14947">
              <w:rPr>
                <w:b/>
                <w:bCs/>
              </w:rPr>
              <w:t>Product Type</w:t>
            </w:r>
          </w:p>
        </w:tc>
        <w:tc>
          <w:tcPr>
            <w:tcW w:w="731" w:type="pct"/>
          </w:tcPr>
          <w:p w14:paraId="4B3DB31E" w14:textId="1620FE54" w:rsidR="00D5267C" w:rsidRPr="00C14947" w:rsidRDefault="00D5267C" w:rsidP="00EE4863">
            <w:pPr>
              <w:pStyle w:val="TableText"/>
              <w:rPr>
                <w:b/>
                <w:bCs/>
              </w:rPr>
            </w:pPr>
            <w:r w:rsidRPr="00C14947">
              <w:rPr>
                <w:b/>
                <w:bCs/>
              </w:rPr>
              <w:t>Presentation</w:t>
            </w:r>
          </w:p>
        </w:tc>
        <w:tc>
          <w:tcPr>
            <w:tcW w:w="1308" w:type="pct"/>
          </w:tcPr>
          <w:p w14:paraId="032C5F54" w14:textId="20B0FBD9" w:rsidR="00D5267C" w:rsidRPr="00C14947" w:rsidRDefault="00D5267C" w:rsidP="00EE4863">
            <w:pPr>
              <w:pStyle w:val="TableText"/>
              <w:rPr>
                <w:b/>
                <w:bCs/>
              </w:rPr>
            </w:pPr>
            <w:r w:rsidRPr="00C14947">
              <w:rPr>
                <w:b/>
                <w:bCs/>
              </w:rPr>
              <w:t>Price</w:t>
            </w:r>
            <w:r w:rsidR="009B61A3">
              <w:rPr>
                <w:b/>
                <w:bCs/>
              </w:rPr>
              <w:t xml:space="preserve"> (updated </w:t>
            </w:r>
            <w:proofErr w:type="spellStart"/>
            <w:r w:rsidR="009B61A3">
              <w:rPr>
                <w:b/>
                <w:bCs/>
              </w:rPr>
              <w:t>price</w:t>
            </w:r>
            <w:r w:rsidR="009B61A3">
              <w:rPr>
                <w:b/>
                <w:bCs/>
                <w:vertAlign w:val="superscript"/>
              </w:rPr>
              <w:t>a</w:t>
            </w:r>
            <w:proofErr w:type="spellEnd"/>
            <w:r w:rsidR="009B61A3">
              <w:rPr>
                <w:b/>
                <w:bCs/>
              </w:rPr>
              <w:t>)</w:t>
            </w:r>
          </w:p>
        </w:tc>
      </w:tr>
      <w:tr w:rsidR="00D5267C" w14:paraId="5B0ED7F8" w14:textId="77777777" w:rsidTr="00147524">
        <w:trPr>
          <w:cantSplit/>
        </w:trPr>
        <w:tc>
          <w:tcPr>
            <w:tcW w:w="1101" w:type="pct"/>
            <w:vMerge w:val="restart"/>
          </w:tcPr>
          <w:p w14:paraId="72ADCB64" w14:textId="77777777" w:rsidR="00D5267C" w:rsidRDefault="00D5267C" w:rsidP="00EE4863">
            <w:pPr>
              <w:pStyle w:val="TableText"/>
            </w:pPr>
            <w:r>
              <w:t>Novo-Nordisk</w:t>
            </w:r>
          </w:p>
          <w:p w14:paraId="02339CF5" w14:textId="1060BF5B" w:rsidR="00D5267C" w:rsidRDefault="00D5267C" w:rsidP="00EE4863">
            <w:pPr>
              <w:pStyle w:val="TableText"/>
            </w:pPr>
            <w:r>
              <w:t>Pharmaceuticals</w:t>
            </w:r>
          </w:p>
        </w:tc>
        <w:tc>
          <w:tcPr>
            <w:tcW w:w="779" w:type="pct"/>
            <w:vMerge w:val="restart"/>
          </w:tcPr>
          <w:p w14:paraId="0101A6CB" w14:textId="1809403F" w:rsidR="00D5267C" w:rsidRDefault="00D5267C" w:rsidP="00EE4863">
            <w:pPr>
              <w:pStyle w:val="TableText"/>
            </w:pPr>
            <w:r>
              <w:t>NovoSeven</w:t>
            </w:r>
          </w:p>
        </w:tc>
        <w:tc>
          <w:tcPr>
            <w:tcW w:w="1081" w:type="pct"/>
            <w:vMerge w:val="restart"/>
          </w:tcPr>
          <w:p w14:paraId="4030CBEC" w14:textId="5423EB2B" w:rsidR="00D5267C" w:rsidRDefault="00D5267C" w:rsidP="00EE4863">
            <w:pPr>
              <w:pStyle w:val="TableText"/>
            </w:pPr>
            <w:r>
              <w:t xml:space="preserve">Factor </w:t>
            </w:r>
            <w:proofErr w:type="spellStart"/>
            <w:r>
              <w:t>VIIa</w:t>
            </w:r>
            <w:proofErr w:type="spellEnd"/>
            <w:r>
              <w:t xml:space="preserve"> (recombinant - imported)</w:t>
            </w:r>
          </w:p>
        </w:tc>
        <w:tc>
          <w:tcPr>
            <w:tcW w:w="731" w:type="pct"/>
          </w:tcPr>
          <w:p w14:paraId="318342CF" w14:textId="0AC995EA" w:rsidR="00D5267C" w:rsidRDefault="00D5267C" w:rsidP="00EE4863">
            <w:pPr>
              <w:pStyle w:val="TableText"/>
            </w:pPr>
            <w:r>
              <w:t>1 mg</w:t>
            </w:r>
          </w:p>
        </w:tc>
        <w:tc>
          <w:tcPr>
            <w:tcW w:w="1308" w:type="pct"/>
          </w:tcPr>
          <w:p w14:paraId="52356059" w14:textId="46144D3F" w:rsidR="00D5267C" w:rsidRDefault="00D5267C" w:rsidP="00EE4863">
            <w:pPr>
              <w:pStyle w:val="TableText"/>
            </w:pPr>
            <w:r>
              <w:t>$1,351.11</w:t>
            </w:r>
            <w:r w:rsidR="009B61A3">
              <w:t xml:space="preserve"> ($1,250.00)</w:t>
            </w:r>
          </w:p>
        </w:tc>
      </w:tr>
      <w:tr w:rsidR="00D5267C" w14:paraId="3DBD69DE" w14:textId="77777777" w:rsidTr="00147524">
        <w:trPr>
          <w:cantSplit/>
        </w:trPr>
        <w:tc>
          <w:tcPr>
            <w:tcW w:w="1101" w:type="pct"/>
            <w:vMerge/>
          </w:tcPr>
          <w:p w14:paraId="07E27C7F" w14:textId="1F935843" w:rsidR="00D5267C" w:rsidRDefault="00D5267C" w:rsidP="00EE4863">
            <w:pPr>
              <w:pStyle w:val="TableText"/>
            </w:pPr>
          </w:p>
        </w:tc>
        <w:tc>
          <w:tcPr>
            <w:tcW w:w="779" w:type="pct"/>
            <w:vMerge/>
          </w:tcPr>
          <w:p w14:paraId="3B8C3CE2" w14:textId="77777777" w:rsidR="00D5267C" w:rsidRDefault="00D5267C" w:rsidP="00EE4863">
            <w:pPr>
              <w:pStyle w:val="TableText"/>
            </w:pPr>
          </w:p>
        </w:tc>
        <w:tc>
          <w:tcPr>
            <w:tcW w:w="1081" w:type="pct"/>
            <w:vMerge/>
          </w:tcPr>
          <w:p w14:paraId="0438E000" w14:textId="376868E0" w:rsidR="00D5267C" w:rsidRDefault="00D5267C" w:rsidP="00EE4863">
            <w:pPr>
              <w:pStyle w:val="TableText"/>
            </w:pPr>
          </w:p>
        </w:tc>
        <w:tc>
          <w:tcPr>
            <w:tcW w:w="731" w:type="pct"/>
          </w:tcPr>
          <w:p w14:paraId="7E71B963" w14:textId="7288EABA" w:rsidR="00D5267C" w:rsidRDefault="00D5267C" w:rsidP="00EE4863">
            <w:pPr>
              <w:pStyle w:val="TableText"/>
            </w:pPr>
            <w:r>
              <w:t>2 mg</w:t>
            </w:r>
          </w:p>
        </w:tc>
        <w:tc>
          <w:tcPr>
            <w:tcW w:w="1308" w:type="pct"/>
          </w:tcPr>
          <w:p w14:paraId="6B6DCEEB" w14:textId="37B9403A" w:rsidR="00D5267C" w:rsidRDefault="00D5267C" w:rsidP="00EE4863">
            <w:pPr>
              <w:pStyle w:val="TableText"/>
            </w:pPr>
            <w:r>
              <w:t>$2,702.22</w:t>
            </w:r>
            <w:r w:rsidR="009B61A3">
              <w:t xml:space="preserve"> ($2,500.00)</w:t>
            </w:r>
          </w:p>
        </w:tc>
      </w:tr>
      <w:tr w:rsidR="00D5267C" w14:paraId="1E85BF29" w14:textId="77777777" w:rsidTr="00147524">
        <w:trPr>
          <w:cantSplit/>
        </w:trPr>
        <w:tc>
          <w:tcPr>
            <w:tcW w:w="1101" w:type="pct"/>
            <w:vMerge/>
          </w:tcPr>
          <w:p w14:paraId="13993D0F" w14:textId="77777777" w:rsidR="00D5267C" w:rsidRDefault="00D5267C" w:rsidP="00EE4863">
            <w:pPr>
              <w:pStyle w:val="TableText"/>
            </w:pPr>
          </w:p>
        </w:tc>
        <w:tc>
          <w:tcPr>
            <w:tcW w:w="779" w:type="pct"/>
            <w:vMerge/>
          </w:tcPr>
          <w:p w14:paraId="74F4862A" w14:textId="77777777" w:rsidR="00D5267C" w:rsidRDefault="00D5267C" w:rsidP="00EE4863">
            <w:pPr>
              <w:pStyle w:val="TableText"/>
            </w:pPr>
          </w:p>
        </w:tc>
        <w:tc>
          <w:tcPr>
            <w:tcW w:w="1081" w:type="pct"/>
            <w:vMerge/>
          </w:tcPr>
          <w:p w14:paraId="41A3467B" w14:textId="0E087170" w:rsidR="00D5267C" w:rsidRDefault="00D5267C" w:rsidP="00EE4863">
            <w:pPr>
              <w:pStyle w:val="TableText"/>
            </w:pPr>
          </w:p>
        </w:tc>
        <w:tc>
          <w:tcPr>
            <w:tcW w:w="731" w:type="pct"/>
          </w:tcPr>
          <w:p w14:paraId="567D88DA" w14:textId="09A1CEAB" w:rsidR="00D5267C" w:rsidRDefault="00D5267C" w:rsidP="00EE4863">
            <w:pPr>
              <w:pStyle w:val="TableText"/>
            </w:pPr>
            <w:r>
              <w:t>5 mg</w:t>
            </w:r>
          </w:p>
        </w:tc>
        <w:tc>
          <w:tcPr>
            <w:tcW w:w="1308" w:type="pct"/>
          </w:tcPr>
          <w:p w14:paraId="4087ED4A" w14:textId="13E44860" w:rsidR="00D5267C" w:rsidRDefault="00D5267C" w:rsidP="00EE4863">
            <w:pPr>
              <w:pStyle w:val="TableText"/>
            </w:pPr>
            <w:r>
              <w:t>$6,755.55</w:t>
            </w:r>
            <w:r w:rsidR="009B61A3">
              <w:t xml:space="preserve"> ($6,250.00)</w:t>
            </w:r>
          </w:p>
        </w:tc>
      </w:tr>
      <w:tr w:rsidR="00D5267C" w14:paraId="6D840BB2" w14:textId="77777777" w:rsidTr="00147524">
        <w:trPr>
          <w:cantSplit/>
        </w:trPr>
        <w:tc>
          <w:tcPr>
            <w:tcW w:w="1101" w:type="pct"/>
            <w:vMerge/>
          </w:tcPr>
          <w:p w14:paraId="302361ED" w14:textId="77777777" w:rsidR="00D5267C" w:rsidRDefault="00D5267C" w:rsidP="00EE4863">
            <w:pPr>
              <w:pStyle w:val="TableText"/>
            </w:pPr>
          </w:p>
        </w:tc>
        <w:tc>
          <w:tcPr>
            <w:tcW w:w="779" w:type="pct"/>
            <w:vMerge/>
          </w:tcPr>
          <w:p w14:paraId="206DB560" w14:textId="77777777" w:rsidR="00D5267C" w:rsidRDefault="00D5267C" w:rsidP="00EE4863">
            <w:pPr>
              <w:pStyle w:val="TableText"/>
            </w:pPr>
          </w:p>
        </w:tc>
        <w:tc>
          <w:tcPr>
            <w:tcW w:w="1081" w:type="pct"/>
            <w:vMerge/>
          </w:tcPr>
          <w:p w14:paraId="67DD268C" w14:textId="63CBE71A" w:rsidR="00D5267C" w:rsidRDefault="00D5267C" w:rsidP="00EE4863">
            <w:pPr>
              <w:pStyle w:val="TableText"/>
            </w:pPr>
          </w:p>
        </w:tc>
        <w:tc>
          <w:tcPr>
            <w:tcW w:w="731" w:type="pct"/>
          </w:tcPr>
          <w:p w14:paraId="4BC8B2DF" w14:textId="1F823B95" w:rsidR="00D5267C" w:rsidRDefault="00D5267C" w:rsidP="00EE4863">
            <w:pPr>
              <w:pStyle w:val="TableText"/>
            </w:pPr>
            <w:r>
              <w:t>8 mg</w:t>
            </w:r>
          </w:p>
        </w:tc>
        <w:tc>
          <w:tcPr>
            <w:tcW w:w="1308" w:type="pct"/>
          </w:tcPr>
          <w:p w14:paraId="5843CED8" w14:textId="58E1B122" w:rsidR="00D5267C" w:rsidRDefault="00D5267C" w:rsidP="00EE4863">
            <w:pPr>
              <w:pStyle w:val="TableText"/>
            </w:pPr>
            <w:r>
              <w:t>$10,808.88</w:t>
            </w:r>
            <w:r w:rsidR="009B61A3">
              <w:t xml:space="preserve"> ($10,000.00)</w:t>
            </w:r>
          </w:p>
        </w:tc>
      </w:tr>
      <w:tr w:rsidR="00A6416C" w14:paraId="71DF6D4F" w14:textId="77777777" w:rsidTr="00147524">
        <w:trPr>
          <w:cantSplit/>
        </w:trPr>
        <w:tc>
          <w:tcPr>
            <w:tcW w:w="1101" w:type="pct"/>
            <w:vMerge w:val="restart"/>
          </w:tcPr>
          <w:p w14:paraId="7404967D" w14:textId="77777777" w:rsidR="00A6416C" w:rsidRDefault="00A6416C" w:rsidP="00D5267C">
            <w:pPr>
              <w:pStyle w:val="TableText"/>
            </w:pPr>
            <w:r>
              <w:t>Takeda</w:t>
            </w:r>
          </w:p>
          <w:p w14:paraId="3D7C03AA" w14:textId="77777777" w:rsidR="00A6416C" w:rsidRDefault="00A6416C" w:rsidP="00D5267C">
            <w:pPr>
              <w:pStyle w:val="TableText"/>
            </w:pPr>
            <w:r>
              <w:t>Pharmaceuticals</w:t>
            </w:r>
          </w:p>
          <w:p w14:paraId="70CCD3B0" w14:textId="59A56367" w:rsidR="00A6416C" w:rsidRDefault="00A6416C" w:rsidP="00D5267C">
            <w:pPr>
              <w:pStyle w:val="TableText"/>
            </w:pPr>
            <w:r>
              <w:t>Australia</w:t>
            </w:r>
          </w:p>
        </w:tc>
        <w:tc>
          <w:tcPr>
            <w:tcW w:w="779" w:type="pct"/>
            <w:vMerge w:val="restart"/>
          </w:tcPr>
          <w:p w14:paraId="7CD35D01" w14:textId="25CCD1C0" w:rsidR="00A6416C" w:rsidRDefault="00A6416C" w:rsidP="00D5267C">
            <w:pPr>
              <w:pStyle w:val="TableText"/>
            </w:pPr>
            <w:r>
              <w:t>FEIBA</w:t>
            </w:r>
          </w:p>
        </w:tc>
        <w:tc>
          <w:tcPr>
            <w:tcW w:w="1081" w:type="pct"/>
            <w:vMerge w:val="restart"/>
          </w:tcPr>
          <w:p w14:paraId="44221C96" w14:textId="77777777" w:rsidR="00A6416C" w:rsidRDefault="00A6416C" w:rsidP="00D5267C">
            <w:pPr>
              <w:pStyle w:val="TableText"/>
            </w:pPr>
            <w:r>
              <w:t>Factor VIII</w:t>
            </w:r>
          </w:p>
          <w:p w14:paraId="6BAF6C79" w14:textId="77777777" w:rsidR="00A6416C" w:rsidRDefault="00A6416C" w:rsidP="00D5267C">
            <w:pPr>
              <w:pStyle w:val="TableText"/>
            </w:pPr>
            <w:r>
              <w:t>Activated Prothrombin Complex Concentrate</w:t>
            </w:r>
          </w:p>
          <w:p w14:paraId="2C4928C6" w14:textId="43E150D2" w:rsidR="00A6416C" w:rsidRDefault="00A6416C" w:rsidP="00D5267C">
            <w:pPr>
              <w:pStyle w:val="TableText"/>
            </w:pPr>
            <w:r>
              <w:t>APCC) (plasma derived - imported)</w:t>
            </w:r>
          </w:p>
        </w:tc>
        <w:tc>
          <w:tcPr>
            <w:tcW w:w="731" w:type="pct"/>
          </w:tcPr>
          <w:p w14:paraId="51F83F8A" w14:textId="62348537" w:rsidR="00A6416C" w:rsidRDefault="00A6416C" w:rsidP="00D5267C">
            <w:pPr>
              <w:pStyle w:val="TableText"/>
            </w:pPr>
            <w:r>
              <w:t>500 U</w:t>
            </w:r>
          </w:p>
        </w:tc>
        <w:tc>
          <w:tcPr>
            <w:tcW w:w="1308" w:type="pct"/>
          </w:tcPr>
          <w:p w14:paraId="3FE675D6" w14:textId="4947B2DC" w:rsidR="00A6416C" w:rsidRDefault="00A6416C" w:rsidP="00D5267C">
            <w:pPr>
              <w:pStyle w:val="TableText"/>
            </w:pPr>
            <w:r>
              <w:t>$1,200.00</w:t>
            </w:r>
            <w:r w:rsidR="009B61A3">
              <w:t xml:space="preserve"> ($1,140.00)</w:t>
            </w:r>
          </w:p>
        </w:tc>
      </w:tr>
      <w:tr w:rsidR="00A6416C" w14:paraId="52AA03C4" w14:textId="77777777" w:rsidTr="00147524">
        <w:trPr>
          <w:cantSplit/>
        </w:trPr>
        <w:tc>
          <w:tcPr>
            <w:tcW w:w="1101" w:type="pct"/>
            <w:vMerge/>
          </w:tcPr>
          <w:p w14:paraId="03FF9B6F" w14:textId="5C016B3E" w:rsidR="00A6416C" w:rsidRDefault="00A6416C" w:rsidP="00D5267C">
            <w:pPr>
              <w:pStyle w:val="TableText"/>
            </w:pPr>
          </w:p>
        </w:tc>
        <w:tc>
          <w:tcPr>
            <w:tcW w:w="779" w:type="pct"/>
            <w:vMerge/>
          </w:tcPr>
          <w:p w14:paraId="53FC35E8" w14:textId="77777777" w:rsidR="00A6416C" w:rsidRDefault="00A6416C" w:rsidP="00D5267C">
            <w:pPr>
              <w:pStyle w:val="TableText"/>
            </w:pPr>
          </w:p>
        </w:tc>
        <w:tc>
          <w:tcPr>
            <w:tcW w:w="1081" w:type="pct"/>
            <w:vMerge/>
          </w:tcPr>
          <w:p w14:paraId="64AFE5A6" w14:textId="5547F22A" w:rsidR="00A6416C" w:rsidRDefault="00A6416C" w:rsidP="00D5267C">
            <w:pPr>
              <w:pStyle w:val="TableText"/>
            </w:pPr>
          </w:p>
        </w:tc>
        <w:tc>
          <w:tcPr>
            <w:tcW w:w="731" w:type="pct"/>
          </w:tcPr>
          <w:p w14:paraId="16CD81FD" w14:textId="13E770C4" w:rsidR="00A6416C" w:rsidRDefault="00A6416C" w:rsidP="00D5267C">
            <w:pPr>
              <w:pStyle w:val="TableText"/>
            </w:pPr>
            <w:r>
              <w:t>1000 U</w:t>
            </w:r>
          </w:p>
        </w:tc>
        <w:tc>
          <w:tcPr>
            <w:tcW w:w="1308" w:type="pct"/>
          </w:tcPr>
          <w:p w14:paraId="4013E887" w14:textId="035192B0" w:rsidR="00A6416C" w:rsidRDefault="00A6416C" w:rsidP="00D5267C">
            <w:pPr>
              <w:pStyle w:val="TableText"/>
            </w:pPr>
            <w:r>
              <w:t>$2,400.00</w:t>
            </w:r>
            <w:r w:rsidR="009B61A3">
              <w:t xml:space="preserve"> (NA)</w:t>
            </w:r>
          </w:p>
        </w:tc>
      </w:tr>
      <w:tr w:rsidR="00A6416C" w14:paraId="5706FD3A" w14:textId="77777777" w:rsidTr="00147524">
        <w:trPr>
          <w:cantSplit/>
        </w:trPr>
        <w:tc>
          <w:tcPr>
            <w:tcW w:w="1101" w:type="pct"/>
            <w:vMerge/>
          </w:tcPr>
          <w:p w14:paraId="501AC0EB" w14:textId="721DACAD" w:rsidR="00A6416C" w:rsidRDefault="00A6416C" w:rsidP="00D5267C">
            <w:pPr>
              <w:pStyle w:val="TableText"/>
            </w:pPr>
          </w:p>
        </w:tc>
        <w:tc>
          <w:tcPr>
            <w:tcW w:w="779" w:type="pct"/>
            <w:vMerge/>
          </w:tcPr>
          <w:p w14:paraId="3CD0103C" w14:textId="77777777" w:rsidR="00A6416C" w:rsidRDefault="00A6416C" w:rsidP="00D5267C">
            <w:pPr>
              <w:pStyle w:val="TableText"/>
            </w:pPr>
          </w:p>
        </w:tc>
        <w:tc>
          <w:tcPr>
            <w:tcW w:w="1081" w:type="pct"/>
            <w:vMerge/>
          </w:tcPr>
          <w:p w14:paraId="589704B4" w14:textId="7D171003" w:rsidR="00A6416C" w:rsidRDefault="00A6416C" w:rsidP="00D5267C">
            <w:pPr>
              <w:pStyle w:val="TableText"/>
            </w:pPr>
          </w:p>
        </w:tc>
        <w:tc>
          <w:tcPr>
            <w:tcW w:w="731" w:type="pct"/>
          </w:tcPr>
          <w:p w14:paraId="62018FFE" w14:textId="30DDC441" w:rsidR="00A6416C" w:rsidRDefault="00A6416C" w:rsidP="00D5267C">
            <w:pPr>
              <w:pStyle w:val="TableText"/>
            </w:pPr>
            <w:r>
              <w:t>2500 U</w:t>
            </w:r>
          </w:p>
        </w:tc>
        <w:tc>
          <w:tcPr>
            <w:tcW w:w="1308" w:type="pct"/>
          </w:tcPr>
          <w:p w14:paraId="76A177F7" w14:textId="43D5D5BA" w:rsidR="00A6416C" w:rsidRDefault="00A6416C" w:rsidP="00D5267C">
            <w:pPr>
              <w:pStyle w:val="TableText"/>
            </w:pPr>
            <w:r>
              <w:t>$6,000.00</w:t>
            </w:r>
            <w:r w:rsidR="009B61A3">
              <w:t xml:space="preserve"> ($5,700.00)</w:t>
            </w:r>
          </w:p>
        </w:tc>
      </w:tr>
    </w:tbl>
    <w:p w14:paraId="3E654E93" w14:textId="256BF0A0" w:rsidR="00EE4863" w:rsidRDefault="00EE4863" w:rsidP="00EE4863">
      <w:pPr>
        <w:pStyle w:val="TableFooter"/>
      </w:pPr>
      <w:r>
        <w:t xml:space="preserve">Source: Compiled </w:t>
      </w:r>
      <w:r w:rsidR="00D558DF">
        <w:t xml:space="preserve">1 July 2022 </w:t>
      </w:r>
      <w:r>
        <w:t xml:space="preserve">from </w:t>
      </w:r>
      <w:hyperlink r:id="rId12" w:history="1">
        <w:r w:rsidRPr="00C14947">
          <w:t>https://www.blood.gov.au/national-product-price-list</w:t>
        </w:r>
      </w:hyperlink>
    </w:p>
    <w:p w14:paraId="49C996FE" w14:textId="7D750A12" w:rsidR="009B61A3" w:rsidRPr="00374097" w:rsidRDefault="009B61A3" w:rsidP="00EE4863">
      <w:pPr>
        <w:pStyle w:val="TableFooter"/>
        <w:rPr>
          <w:rStyle w:val="Hyperlink"/>
          <w:color w:val="auto"/>
          <w:u w:val="none"/>
        </w:rPr>
      </w:pPr>
      <w:bookmarkStart w:id="20" w:name="_Int_XAWxgYvC"/>
      <w:proofErr w:type="spellStart"/>
      <w:proofErr w:type="gramStart"/>
      <w:r w:rsidRPr="0301EDCD">
        <w:rPr>
          <w:rStyle w:val="Hyperlink"/>
          <w:color w:val="auto"/>
          <w:u w:val="none"/>
          <w:vertAlign w:val="superscript"/>
        </w:rPr>
        <w:t>a</w:t>
      </w:r>
      <w:bookmarkEnd w:id="20"/>
      <w:proofErr w:type="spellEnd"/>
      <w:proofErr w:type="gramEnd"/>
      <w:r w:rsidRPr="0301EDCD">
        <w:rPr>
          <w:rStyle w:val="Hyperlink"/>
          <w:color w:val="auto"/>
          <w:u w:val="none"/>
        </w:rPr>
        <w:t xml:space="preserve"> Updated price of comparator product </w:t>
      </w:r>
      <w:bookmarkStart w:id="21" w:name="_Int_bvCLaADt"/>
      <w:r w:rsidRPr="0301EDCD">
        <w:rPr>
          <w:rStyle w:val="Hyperlink"/>
          <w:color w:val="auto"/>
          <w:u w:val="none"/>
        </w:rPr>
        <w:t>at</w:t>
      </w:r>
      <w:bookmarkEnd w:id="21"/>
      <w:r w:rsidRPr="0301EDCD">
        <w:rPr>
          <w:rStyle w:val="Hyperlink"/>
          <w:color w:val="auto"/>
          <w:u w:val="none"/>
        </w:rPr>
        <w:t xml:space="preserve"> 1 January 2023. Impact of updated prices has been tested in economic and financial analyses.</w:t>
      </w:r>
    </w:p>
    <w:p w14:paraId="0E105C03" w14:textId="2559231E" w:rsidR="009B61A3" w:rsidRPr="00374097" w:rsidRDefault="009B61A3" w:rsidP="00EE4863">
      <w:pPr>
        <w:pStyle w:val="TableFooter"/>
        <w:rPr>
          <w:rStyle w:val="Hyperlink"/>
          <w:color w:val="auto"/>
          <w:u w:val="none"/>
        </w:rPr>
      </w:pPr>
      <w:r w:rsidRPr="00374097">
        <w:rPr>
          <w:rStyle w:val="Hyperlink"/>
          <w:color w:val="auto"/>
          <w:u w:val="none"/>
        </w:rPr>
        <w:t>NA</w:t>
      </w:r>
      <w:r w:rsidR="00FC18B5" w:rsidRPr="00374097">
        <w:rPr>
          <w:rStyle w:val="Hyperlink"/>
          <w:color w:val="auto"/>
          <w:u w:val="none"/>
        </w:rPr>
        <w:t xml:space="preserve"> </w:t>
      </w:r>
      <w:r w:rsidR="00374097">
        <w:rPr>
          <w:rStyle w:val="Hyperlink"/>
          <w:color w:val="auto"/>
          <w:u w:val="none"/>
        </w:rPr>
        <w:t>=</w:t>
      </w:r>
      <w:r w:rsidR="00FC18B5" w:rsidRPr="00374097">
        <w:rPr>
          <w:rStyle w:val="Hyperlink"/>
          <w:color w:val="auto"/>
          <w:u w:val="none"/>
        </w:rPr>
        <w:t xml:space="preserve"> </w:t>
      </w:r>
      <w:r w:rsidR="005758A6" w:rsidRPr="00374097">
        <w:rPr>
          <w:rStyle w:val="Hyperlink"/>
          <w:color w:val="auto"/>
          <w:u w:val="none"/>
        </w:rPr>
        <w:t>product is not listed in the updated National Product Price List</w:t>
      </w:r>
    </w:p>
    <w:p w14:paraId="76BFC0E7" w14:textId="34F92ED6" w:rsidR="00CB7A4E" w:rsidRDefault="00C96931" w:rsidP="00CB7A4E">
      <w:r>
        <w:t xml:space="preserve">The MSAC </w:t>
      </w:r>
      <w:r w:rsidR="00543408">
        <w:t>E</w:t>
      </w:r>
      <w:r w:rsidR="00E13FBA">
        <w:t xml:space="preserve">xecutive </w:t>
      </w:r>
      <w:r>
        <w:t xml:space="preserve">advised </w:t>
      </w:r>
      <w:r w:rsidR="00C452BF">
        <w:t xml:space="preserve">at its April 2022 meeting considering the HTA pathway for Obizur, </w:t>
      </w:r>
      <w:r>
        <w:t xml:space="preserve">that the </w:t>
      </w:r>
      <w:r w:rsidR="0090014B">
        <w:t xml:space="preserve">ADAR </w:t>
      </w:r>
      <w:r>
        <w:t xml:space="preserve">should </w:t>
      </w:r>
      <w:r w:rsidR="00C452BF">
        <w:t xml:space="preserve">estimate the incremental cost-effectiveness of Obizur over no intervention as an </w:t>
      </w:r>
      <w:bookmarkStart w:id="22" w:name="_Int_qSx98Qvq"/>
      <w:proofErr w:type="gramStart"/>
      <w:r w:rsidR="00C452BF">
        <w:t>additional analyses</w:t>
      </w:r>
      <w:bookmarkEnd w:id="22"/>
      <w:proofErr w:type="gramEnd"/>
      <w:r w:rsidR="00C452BF">
        <w:t xml:space="preserve"> to Obizur versus BPAs</w:t>
      </w:r>
      <w:r>
        <w:t xml:space="preserve">. This was </w:t>
      </w:r>
      <w:r w:rsidR="00B2173E">
        <w:t xml:space="preserve">because the </w:t>
      </w:r>
      <w:r>
        <w:t xml:space="preserve">cost-effectiveness of BPAs </w:t>
      </w:r>
      <w:r w:rsidR="00B2173E">
        <w:t>listed on the NPPL for the treatment of bleed</w:t>
      </w:r>
      <w:r w:rsidR="0068320C">
        <w:t xml:space="preserve">s </w:t>
      </w:r>
      <w:r w:rsidR="00B2173E">
        <w:t>in patients with AHA has not been established</w:t>
      </w:r>
      <w:r w:rsidR="001B2FD0">
        <w:t xml:space="preserve"> (noting BPAs are used in other bleeding disorders)</w:t>
      </w:r>
      <w:r>
        <w:t xml:space="preserve">. This was acknowledged </w:t>
      </w:r>
      <w:r w:rsidR="004127AB">
        <w:t xml:space="preserve">in </w:t>
      </w:r>
      <w:r>
        <w:t xml:space="preserve">the </w:t>
      </w:r>
      <w:r w:rsidR="004127AB">
        <w:t>ADAR</w:t>
      </w:r>
      <w:r w:rsidR="001D4FFC">
        <w:t>;</w:t>
      </w:r>
      <w:r>
        <w:t xml:space="preserve"> </w:t>
      </w:r>
      <w:r w:rsidR="001D4FFC">
        <w:t>however,</w:t>
      </w:r>
      <w:r>
        <w:t xml:space="preserve"> analysis was only conducted for Obizur versus BPAs</w:t>
      </w:r>
      <w:r w:rsidR="00C452BF">
        <w:t xml:space="preserve">, the </w:t>
      </w:r>
      <w:r w:rsidR="004127AB">
        <w:t xml:space="preserve">ADAR </w:t>
      </w:r>
      <w:r w:rsidR="001D4E39">
        <w:t>stat</w:t>
      </w:r>
      <w:r w:rsidR="00C452BF">
        <w:t>ing</w:t>
      </w:r>
      <w:r w:rsidR="001D4E39">
        <w:t xml:space="preserve"> </w:t>
      </w:r>
      <w:r>
        <w:t xml:space="preserve">that </w:t>
      </w:r>
      <w:r w:rsidR="000617E9">
        <w:t>a comparison against no intervention</w:t>
      </w:r>
      <w:r w:rsidR="001D4E39">
        <w:t xml:space="preserve"> was impractical as </w:t>
      </w:r>
      <w:r>
        <w:t>BPAs were the established standard of care for first-line treatment of AHA</w:t>
      </w:r>
      <w:r w:rsidR="00E21558">
        <w:t xml:space="preserve"> and</w:t>
      </w:r>
      <w:r w:rsidR="001D4E39">
        <w:t xml:space="preserve"> there was </w:t>
      </w:r>
      <w:r w:rsidR="000B4E11">
        <w:t xml:space="preserve">considered </w:t>
      </w:r>
      <w:r w:rsidR="001D4E39">
        <w:t>no</w:t>
      </w:r>
      <w:r w:rsidR="00D5267C">
        <w:t xml:space="preserve"> equipoise</w:t>
      </w:r>
      <w:r w:rsidR="000B4E11">
        <w:t>,</w:t>
      </w:r>
      <w:r w:rsidR="00D5267C">
        <w:t xml:space="preserve"> or</w:t>
      </w:r>
      <w:r w:rsidR="001D4E39">
        <w:t xml:space="preserve"> clinical evidence </w:t>
      </w:r>
      <w:r w:rsidR="00573CC5">
        <w:t>available</w:t>
      </w:r>
      <w:r w:rsidR="000B4E11">
        <w:t>,</w:t>
      </w:r>
      <w:r w:rsidR="00573CC5">
        <w:t xml:space="preserve"> for </w:t>
      </w:r>
      <w:r w:rsidR="001D4E39">
        <w:t>no intervention</w:t>
      </w:r>
      <w:r w:rsidR="00AA12D3">
        <w:t xml:space="preserve"> as a comparator</w:t>
      </w:r>
      <w:r>
        <w:t>.</w:t>
      </w:r>
      <w:r w:rsidR="001D4E39">
        <w:t xml:space="preserve"> </w:t>
      </w:r>
    </w:p>
    <w:p w14:paraId="77514B50" w14:textId="42B31F06" w:rsidR="00DA49FC" w:rsidRDefault="001D4E39" w:rsidP="00147524">
      <w:r>
        <w:lastRenderedPageBreak/>
        <w:t>Th</w:t>
      </w:r>
      <w:r w:rsidR="008B7B8E">
        <w:t xml:space="preserve">e evaluator </w:t>
      </w:r>
      <w:r w:rsidR="00C452BF">
        <w:t>considered</w:t>
      </w:r>
      <w:r w:rsidR="008B7B8E">
        <w:t xml:space="preserve"> this</w:t>
      </w:r>
      <w:r>
        <w:t xml:space="preserve"> approach </w:t>
      </w:r>
      <w:r w:rsidR="00C452BF">
        <w:t xml:space="preserve">to be </w:t>
      </w:r>
      <w:r>
        <w:t>reasonable</w:t>
      </w:r>
      <w:r w:rsidR="00C452BF">
        <w:t>,</w:t>
      </w:r>
      <w:r w:rsidR="00265676">
        <w:t xml:space="preserve"> identif</w:t>
      </w:r>
      <w:r w:rsidR="00C452BF">
        <w:t>ying</w:t>
      </w:r>
      <w:r w:rsidR="00265676">
        <w:t xml:space="preserve"> a natural history study of </w:t>
      </w:r>
      <w:r w:rsidR="008910BC">
        <w:t xml:space="preserve">16 patients with </w:t>
      </w:r>
      <w:r w:rsidR="00265676">
        <w:t>AHA which reported a mortality rate of 12.5% due to haemorrhage over 31 months of follow-up</w:t>
      </w:r>
      <w:r w:rsidR="00BE1AD7">
        <w:rPr>
          <w:rStyle w:val="FootnoteReference"/>
        </w:rPr>
        <w:footnoteReference w:id="9"/>
      </w:r>
      <w:r w:rsidR="00265676">
        <w:t>.</w:t>
      </w:r>
      <w:r>
        <w:t xml:space="preserve"> </w:t>
      </w:r>
      <w:r w:rsidR="008B7B8E">
        <w:t>Issues with small sample size notwithstanding, t</w:t>
      </w:r>
      <w:r w:rsidR="00BE1AD7">
        <w:t xml:space="preserve">his </w:t>
      </w:r>
      <w:r w:rsidR="008B7B8E">
        <w:t>study is</w:t>
      </w:r>
      <w:r w:rsidR="00BE1AD7">
        <w:t xml:space="preserve"> not representative of current clinical practice</w:t>
      </w:r>
      <w:r w:rsidR="008B7B8E">
        <w:t>.</w:t>
      </w:r>
      <w:r w:rsidR="00BE1AD7">
        <w:t xml:space="preserve"> </w:t>
      </w:r>
      <w:r w:rsidR="00BE1AD7" w:rsidRPr="000617E9">
        <w:t>Collins et al. 201</w:t>
      </w:r>
      <w:r w:rsidR="00B17C32">
        <w:t>2</w:t>
      </w:r>
      <w:r w:rsidR="00BE1AD7" w:rsidRPr="000617E9">
        <w:rPr>
          <w:rStyle w:val="FootnoteReference"/>
        </w:rPr>
        <w:footnoteReference w:id="10"/>
      </w:r>
      <w:r w:rsidR="00BE1AD7" w:rsidRPr="000617E9">
        <w:t xml:space="preserve"> states that </w:t>
      </w:r>
      <w:r w:rsidR="00BE1AD7" w:rsidRPr="00C14947">
        <w:rPr>
          <w:rStyle w:val="IntenseEmphasis"/>
          <w:i w:val="0"/>
          <w:color w:val="auto"/>
        </w:rPr>
        <w:t>standard of care for acute bleeds in patients includes treatment with BPAs.</w:t>
      </w:r>
    </w:p>
    <w:p w14:paraId="1A25493C" w14:textId="2AE9AFF6" w:rsidR="00772829" w:rsidRPr="00CE28E3" w:rsidRDefault="00F72C82" w:rsidP="002A18BE">
      <w:pPr>
        <w:pStyle w:val="Heading2"/>
        <w:numPr>
          <w:ilvl w:val="1"/>
          <w:numId w:val="0"/>
        </w:numPr>
      </w:pPr>
      <w:bookmarkStart w:id="23" w:name="_Toc69491421"/>
      <w:r>
        <w:t>9</w:t>
      </w:r>
      <w:r w:rsidR="00C36633">
        <w:t>.</w:t>
      </w:r>
      <w:r>
        <w:tab/>
      </w:r>
      <w:r w:rsidR="00772829">
        <w:t xml:space="preserve">Summary of public consultation </w:t>
      </w:r>
      <w:r w:rsidR="0052575D">
        <w:t>input</w:t>
      </w:r>
      <w:bookmarkEnd w:id="23"/>
    </w:p>
    <w:p w14:paraId="06227E85" w14:textId="0DD9977D" w:rsidR="00ED2429" w:rsidRPr="00E54E7B" w:rsidRDefault="7B8C9BE3" w:rsidP="00E54E7B">
      <w:r w:rsidRPr="00E54E7B">
        <w:t xml:space="preserve">Consultation input was received from three organisations and one individual specialist. The organisations included one consumer organisation and two professional organisations: </w:t>
      </w:r>
    </w:p>
    <w:p w14:paraId="6061295E" w14:textId="023EA6F3" w:rsidR="00ED2429" w:rsidRPr="00E54E7B" w:rsidRDefault="7B8C9BE3" w:rsidP="00E54E7B">
      <w:pPr>
        <w:pStyle w:val="ListParagraph"/>
        <w:numPr>
          <w:ilvl w:val="0"/>
          <w:numId w:val="20"/>
        </w:numPr>
      </w:pPr>
      <w:r w:rsidRPr="00E54E7B">
        <w:t>Haematology Society of Australia and New Zealand (HSANZ)</w:t>
      </w:r>
    </w:p>
    <w:p w14:paraId="051180E6" w14:textId="6B20ECF0" w:rsidR="00ED2429" w:rsidRPr="00E54E7B" w:rsidRDefault="7B8C9BE3" w:rsidP="00E54E7B">
      <w:pPr>
        <w:pStyle w:val="ListParagraph"/>
        <w:numPr>
          <w:ilvl w:val="0"/>
          <w:numId w:val="20"/>
        </w:numPr>
      </w:pPr>
      <w:r w:rsidRPr="00E54E7B">
        <w:t xml:space="preserve">Australia Haemophilia Centre Directors’ Organisation (AHCDO) </w:t>
      </w:r>
    </w:p>
    <w:p w14:paraId="11FEF9CE" w14:textId="2FD821F1" w:rsidR="00ED2429" w:rsidRPr="00E54E7B" w:rsidRDefault="7B8C9BE3" w:rsidP="00E54E7B">
      <w:pPr>
        <w:pStyle w:val="ListParagraph"/>
        <w:numPr>
          <w:ilvl w:val="0"/>
          <w:numId w:val="20"/>
        </w:numPr>
      </w:pPr>
      <w:r w:rsidRPr="00E54E7B">
        <w:t xml:space="preserve">Haemophilia Foundation Australia (HFA) </w:t>
      </w:r>
    </w:p>
    <w:p w14:paraId="47C24EA8" w14:textId="54D487E1" w:rsidR="00ED2429" w:rsidRPr="00E54E7B" w:rsidRDefault="26AB261C" w:rsidP="00E54E7B">
      <w:r w:rsidRPr="00E54E7B">
        <w:t>All consultation input was supportive of public funding of Obizur. All input noted the benefits of Obizur is the ability to monitor FVIII levels to guide treatment. These patients often present with critical bleeding and having the ability to monitor the levels may offer patients more personalised therapy at a critical time where they are at high risk of mortality. HSANZ stated Obizur offers non-inferior haemostatic control compared with NovoSeven and FEIBA.</w:t>
      </w:r>
    </w:p>
    <w:p w14:paraId="5AC30114" w14:textId="43B03436" w:rsidR="00ED2429" w:rsidRPr="00E54E7B" w:rsidRDefault="7B8C9BE3" w:rsidP="00E54E7B">
      <w:r>
        <w:t xml:space="preserve">HFA considered that Obizur was an important advance in the treatments available to patients with AHA and that the ability for clinicians to titrate the dose to appropriately manage a </w:t>
      </w:r>
      <w:bookmarkStart w:id="24" w:name="_Int_XaxA00BE"/>
      <w:proofErr w:type="gramStart"/>
      <w:r>
        <w:t>patients</w:t>
      </w:r>
      <w:bookmarkEnd w:id="24"/>
      <w:proofErr w:type="gramEnd"/>
      <w:r>
        <w:t xml:space="preserve"> bleed was important in improving patient safety by lowering the risk of thrombosis. </w:t>
      </w:r>
    </w:p>
    <w:p w14:paraId="19955D11" w14:textId="1F4CE459" w:rsidR="00ED2429" w:rsidRPr="00E54E7B" w:rsidRDefault="7B8C9BE3" w:rsidP="00E54E7B">
      <w:r w:rsidRPr="00E54E7B">
        <w:t>HSANZ noted a disadvantage of Obizur is the additional blood test needed in the treatment process versus treatment with NovoSeven or FEIBA however, they considered this can be taken with other daily bloods so is unlikely to be significant to the patient. Another disadvantage that was noted by AHCDO and the individual specialist was the potential for Obizur to become ineffective in some patients due to the development of anti-</w:t>
      </w:r>
      <w:proofErr w:type="spellStart"/>
      <w:r w:rsidRPr="00E54E7B">
        <w:t>rpFVIII</w:t>
      </w:r>
      <w:proofErr w:type="spellEnd"/>
      <w:r w:rsidRPr="00E54E7B">
        <w:t xml:space="preserve"> antibodies, but BPAs could then be used.</w:t>
      </w:r>
    </w:p>
    <w:p w14:paraId="77973F84" w14:textId="2DE343F6" w:rsidR="00ED2429" w:rsidRPr="00E54E7B" w:rsidRDefault="7B8C9BE3" w:rsidP="00E54E7B">
      <w:r w:rsidRPr="00E54E7B">
        <w:t xml:space="preserve">Following ESC’s consideration, further input was sought from professional organisations to assist in informing decision making. HSANZ, AHCDO and the Thrombosis and Haemostasis Society of Australia and New Zealand (THSANZ) provided responses to these additional questions: </w:t>
      </w:r>
    </w:p>
    <w:p w14:paraId="299607D1" w14:textId="04F85D6D" w:rsidR="00ED2429" w:rsidRPr="00E54E7B" w:rsidRDefault="7B8C9BE3" w:rsidP="00E54E7B">
      <w:pPr>
        <w:pStyle w:val="ListParagraph"/>
        <w:numPr>
          <w:ilvl w:val="0"/>
          <w:numId w:val="21"/>
        </w:numPr>
        <w:rPr>
          <w:i/>
          <w:iCs/>
        </w:rPr>
      </w:pPr>
      <w:r w:rsidRPr="00E54E7B">
        <w:rPr>
          <w:i/>
          <w:iCs/>
        </w:rPr>
        <w:t>Can you provide advice on whether an initial dose of Obizur below 200U/kg (which is below the stated dose recommended in the PI currently but what is being proposed by the applicant) would be considered appropriate and standard practice in the clinical management of a patient’s spontaneous bleed?</w:t>
      </w:r>
    </w:p>
    <w:p w14:paraId="1F106407" w14:textId="58E93105" w:rsidR="00ED2429" w:rsidRPr="00E54E7B" w:rsidRDefault="7B8C9BE3" w:rsidP="0301EDCD">
      <w:pPr>
        <w:pStyle w:val="ListParagraph"/>
        <w:numPr>
          <w:ilvl w:val="0"/>
          <w:numId w:val="21"/>
        </w:numPr>
        <w:rPr>
          <w:i/>
          <w:iCs/>
        </w:rPr>
      </w:pPr>
      <w:r w:rsidRPr="0301EDCD">
        <w:rPr>
          <w:i/>
          <w:iCs/>
        </w:rPr>
        <w:t xml:space="preserve">Can you provide advice on what line in therapy Obizur would be considered in the management of a patient’s spontaneous bleed (relative to NovoSeven and FEIBA)? The application form (p16) claims that Obizur will be used instead of the comparators however, this has not </w:t>
      </w:r>
      <w:r w:rsidR="5E42BCA3" w:rsidRPr="0301EDCD">
        <w:rPr>
          <w:i/>
          <w:iCs/>
        </w:rPr>
        <w:t>been</w:t>
      </w:r>
      <w:r w:rsidRPr="0301EDCD">
        <w:rPr>
          <w:i/>
          <w:iCs/>
        </w:rPr>
        <w:t xml:space="preserve"> clearly repeated through the application process.</w:t>
      </w:r>
    </w:p>
    <w:p w14:paraId="224F1A1E" w14:textId="46DF6A22" w:rsidR="00ED2429" w:rsidRPr="00E54E7B" w:rsidRDefault="7B8C9BE3" w:rsidP="00E54E7B">
      <w:pPr>
        <w:pStyle w:val="ListParagraph"/>
        <w:numPr>
          <w:ilvl w:val="0"/>
          <w:numId w:val="21"/>
        </w:numPr>
        <w:rPr>
          <w:i/>
          <w:iCs/>
        </w:rPr>
      </w:pPr>
      <w:r w:rsidRPr="00E54E7B">
        <w:rPr>
          <w:i/>
          <w:iCs/>
        </w:rPr>
        <w:t>Can you provide advice on what proportion of bleeding events would be expected to be managed with (</w:t>
      </w:r>
      <w:proofErr w:type="spellStart"/>
      <w:r w:rsidRPr="00E54E7B">
        <w:rPr>
          <w:i/>
          <w:iCs/>
        </w:rPr>
        <w:t>i</w:t>
      </w:r>
      <w:proofErr w:type="spellEnd"/>
      <w:r w:rsidRPr="00E54E7B">
        <w:rPr>
          <w:i/>
          <w:iCs/>
        </w:rPr>
        <w:t>) Obizur alone, (ii) only FEIBA and NovoSeven, and (iii) combination of all three products?</w:t>
      </w:r>
    </w:p>
    <w:p w14:paraId="7FF0B2BC" w14:textId="5B5AAA3B" w:rsidR="00ED2429" w:rsidRPr="006C6939" w:rsidRDefault="7B8C9BE3" w:rsidP="006C6939">
      <w:r w:rsidRPr="006C6939">
        <w:lastRenderedPageBreak/>
        <w:t xml:space="preserve">All responses to question 1. considered it appropriate and common from evidence and experience to start Obizur at a dose between 100 Units/kg and 200 Units/kg and noted that Obizur, opposed to BPAs, can be monitored and the dose can always be increased as needed to the desired effect for a presenting patient. </w:t>
      </w:r>
    </w:p>
    <w:p w14:paraId="219CEADB" w14:textId="2E4A5775" w:rsidR="00ED2429" w:rsidRPr="006C6939" w:rsidRDefault="7B8C9BE3" w:rsidP="006C6939">
      <w:r w:rsidRPr="006C6939">
        <w:t>In response to question 2. all respondents unanimously agreed that Obizur would be utilised as the first line agent as monotherapy, in place of BPAs, to treat a patient for a spontaneous bleed.  The respondents all stated that if Obizur monotherapy does not arrest bleeding, Obizur would be ceased and treatment with FEIBA and/or NovoSeven would be initiated.</w:t>
      </w:r>
    </w:p>
    <w:p w14:paraId="4A6DC791" w14:textId="2AAAE46C" w:rsidR="00ED2429" w:rsidRPr="006C6939" w:rsidRDefault="7B8C9BE3" w:rsidP="006C6939">
      <w:r w:rsidRPr="006C6939">
        <w:t xml:space="preserve">All responses to question 3. Considered that Obizur alone would likely be the most common approach in treating patients for a spontaneous bleed, with a small number of instances where it may be clinically appropriate or needed to additionally administer BPAs if Obizur is ineffective in managing a bleed. THANZ considered this may occur in approximately 10% of patients based on published data. </w:t>
      </w:r>
    </w:p>
    <w:p w14:paraId="23774E1A" w14:textId="0B90C100" w:rsidR="00ED2429" w:rsidRPr="00C14947" w:rsidRDefault="7B8C9BE3">
      <w:r>
        <w:t xml:space="preserve">HSANZ also noted that some patients may present at regional sites which may only have NovoSeven on hand so patients may be treated initially with NovoSeven while they are transferred to a larger centre, and then given Obizur during the rest of the course of treatment. HSANZ considered that the use of FEIBA will be largely replaced by Obizur since FEIBA has a drug interaction with the use of </w:t>
      </w:r>
      <w:proofErr w:type="spellStart"/>
      <w:r>
        <w:t>emicizumab</w:t>
      </w:r>
      <w:proofErr w:type="spellEnd"/>
      <w:r>
        <w:t xml:space="preserve"> and therefore various </w:t>
      </w:r>
      <w:r w:rsidR="68E34C1B">
        <w:t>HTCs</w:t>
      </w:r>
      <w:r>
        <w:t xml:space="preserve"> are reducing the stock they hold of FEIBA from their inventories.</w:t>
      </w:r>
      <w:r w:rsidR="00CF1DD1">
        <w:t xml:space="preserve"> </w:t>
      </w:r>
    </w:p>
    <w:p w14:paraId="32FC03FA" w14:textId="5DEC8505" w:rsidR="00772829" w:rsidRPr="00CE28E3" w:rsidRDefault="00746AEC" w:rsidP="002A18BE">
      <w:pPr>
        <w:pStyle w:val="Heading2"/>
        <w:numPr>
          <w:ilvl w:val="0"/>
          <w:numId w:val="0"/>
        </w:numPr>
      </w:pPr>
      <w:bookmarkStart w:id="25" w:name="_Toc69491422"/>
      <w:r>
        <w:t>10</w:t>
      </w:r>
      <w:r w:rsidR="00C36633">
        <w:t>.</w:t>
      </w:r>
      <w:r w:rsidR="00C36633">
        <w:tab/>
      </w:r>
      <w:r w:rsidR="00772829" w:rsidRPr="00CE28E3">
        <w:t>Characteristics of the evidence base</w:t>
      </w:r>
      <w:bookmarkEnd w:id="25"/>
    </w:p>
    <w:p w14:paraId="74DA0B07" w14:textId="2D87015A" w:rsidR="00627B5C" w:rsidRDefault="00D15843" w:rsidP="00D15843">
      <w:r>
        <w:t>The body of evidence for Obizur</w:t>
      </w:r>
      <w:r w:rsidR="002F6713">
        <w:t xml:space="preserve"> (k= 5)</w:t>
      </w:r>
      <w:r>
        <w:t xml:space="preserve"> and the comparators (NovoSeven</w:t>
      </w:r>
      <w:r w:rsidR="002F6713">
        <w:t>, k= 8;</w:t>
      </w:r>
      <w:r>
        <w:t xml:space="preserve"> and FEIBA</w:t>
      </w:r>
      <w:r w:rsidR="002F6713">
        <w:t>, k=5</w:t>
      </w:r>
      <w:r>
        <w:t xml:space="preserve">) was </w:t>
      </w:r>
      <w:r w:rsidR="00DF0DEC">
        <w:t>limited</w:t>
      </w:r>
      <w:r w:rsidR="002F6713">
        <w:t xml:space="preserve">. There were 16 case series which were judged to have a “high” to “very high” degree of bias, as determined by the </w:t>
      </w:r>
      <w:r w:rsidR="002F6713" w:rsidRPr="002F6713">
        <w:t xml:space="preserve">NHLBI Quality Assessment Tool </w:t>
      </w:r>
      <w:bookmarkStart w:id="26" w:name="_Int_q72fM3tA"/>
      <w:proofErr w:type="gramStart"/>
      <w:r w:rsidR="002F6713" w:rsidRPr="002F6713">
        <w:t>For</w:t>
      </w:r>
      <w:bookmarkEnd w:id="26"/>
      <w:proofErr w:type="gramEnd"/>
      <w:r w:rsidR="002F6713" w:rsidRPr="002F6713">
        <w:t xml:space="preserve"> Case Series Studies</w:t>
      </w:r>
      <w:r w:rsidR="00887D66">
        <w:rPr>
          <w:rStyle w:val="FootnoteReference"/>
        </w:rPr>
        <w:footnoteReference w:id="11"/>
      </w:r>
      <w:r w:rsidR="002F6713">
        <w:t xml:space="preserve"> (</w:t>
      </w:r>
      <w:r w:rsidR="002F6713">
        <w:fldChar w:fldCharType="begin"/>
      </w:r>
      <w:r w:rsidR="002F6713">
        <w:instrText xml:space="preserve"> REF _Ref120530856 \h </w:instrText>
      </w:r>
      <w:r w:rsidR="002F6713">
        <w:fldChar w:fldCharType="separate"/>
      </w:r>
      <w:r w:rsidR="00C25EB0">
        <w:t xml:space="preserve">Table </w:t>
      </w:r>
      <w:r w:rsidR="00C25EB0">
        <w:rPr>
          <w:noProof/>
        </w:rPr>
        <w:t>4</w:t>
      </w:r>
      <w:r w:rsidR="002F6713">
        <w:fldChar w:fldCharType="end"/>
      </w:r>
      <w:r w:rsidR="002F6713">
        <w:t>). The key sources of bias across studies were absent or incomplete descriptions of baseline characteristics, and heterogeneous definitions of efficacy outcomes</w:t>
      </w:r>
      <w:r w:rsidR="00D73C80">
        <w:t>.</w:t>
      </w:r>
      <w:r w:rsidR="002F6713">
        <w:t xml:space="preserve"> There was one </w:t>
      </w:r>
      <w:r w:rsidR="00AB2A8E">
        <w:t xml:space="preserve">retrospective </w:t>
      </w:r>
      <w:r w:rsidR="002F6713">
        <w:t>co</w:t>
      </w:r>
      <w:r w:rsidR="00AB2A8E">
        <w:t>hort</w:t>
      </w:r>
      <w:r w:rsidR="002F6713">
        <w:t xml:space="preserve"> study (</w:t>
      </w:r>
      <w:r w:rsidR="00AB2A8E" w:rsidRPr="00AB2A8E">
        <w:t>Batt et al. (2022)</w:t>
      </w:r>
      <w:r w:rsidR="00D7004D">
        <w:rPr>
          <w:rStyle w:val="FootnoteReference"/>
        </w:rPr>
        <w:footnoteReference w:id="12"/>
      </w:r>
      <w:r w:rsidR="00BB40AC">
        <w:t>)</w:t>
      </w:r>
      <w:r w:rsidR="00AB2A8E">
        <w:t xml:space="preserve"> which was judged to have a </w:t>
      </w:r>
      <w:r w:rsidR="00BB40AC">
        <w:t>h</w:t>
      </w:r>
      <w:r w:rsidR="00AB2A8E">
        <w:t xml:space="preserve">igh risk of bias as determined by the </w:t>
      </w:r>
      <w:r w:rsidR="00AB2A8E" w:rsidRPr="00AB2A8E">
        <w:t>ROBINS</w:t>
      </w:r>
      <w:r w:rsidR="00BA2F4A">
        <w:t>-</w:t>
      </w:r>
      <w:r w:rsidR="00AB2A8E" w:rsidRPr="00AB2A8E">
        <w:t>I tool</w:t>
      </w:r>
      <w:r w:rsidR="00103C4E">
        <w:rPr>
          <w:rStyle w:val="FootnoteReference"/>
        </w:rPr>
        <w:footnoteReference w:id="13"/>
      </w:r>
      <w:r w:rsidR="00AB2A8E">
        <w:t xml:space="preserve">. Key sources of bias </w:t>
      </w:r>
      <w:r w:rsidR="00681A1E">
        <w:t>related to the</w:t>
      </w:r>
      <w:r w:rsidR="00AB2A8E">
        <w:t xml:space="preserve"> lack of details in the classification of </w:t>
      </w:r>
      <w:r w:rsidR="00681A1E">
        <w:t>treatment and diagnosis. This was due to the usage of data from the Medicare claims database, as opposed to patient medical records.</w:t>
      </w:r>
    </w:p>
    <w:p w14:paraId="09316112" w14:textId="206AD34C" w:rsidR="00164350" w:rsidRDefault="00115E2F" w:rsidP="00D15843">
      <w:r>
        <w:t xml:space="preserve">Overall, the evidence base </w:t>
      </w:r>
      <w:r w:rsidR="00D810C2">
        <w:t xml:space="preserve">presented in the </w:t>
      </w:r>
      <w:r w:rsidR="00DB5AE1">
        <w:t>ADAR was</w:t>
      </w:r>
      <w:r>
        <w:t xml:space="preserve"> small and non-comparative. </w:t>
      </w:r>
      <w:r w:rsidR="00FA3858">
        <w:t>Given the rarity of the disease, better quality evidence is unlikely to become available in the future</w:t>
      </w:r>
      <w:r w:rsidR="00F24D82">
        <w:t xml:space="preserve">. Additionally, there are serious issues </w:t>
      </w:r>
      <w:proofErr w:type="gramStart"/>
      <w:r w:rsidR="00F24D82">
        <w:t>with regard to</w:t>
      </w:r>
      <w:proofErr w:type="gramEnd"/>
      <w:r w:rsidR="00F24D82">
        <w:t xml:space="preserve"> differences in classification of efficacy outcomes</w:t>
      </w:r>
      <w:r w:rsidR="008250EB">
        <w:t xml:space="preserve"> </w:t>
      </w:r>
      <w:r w:rsidR="00DB5AE1">
        <w:t>that</w:t>
      </w:r>
      <w:r w:rsidR="008250EB">
        <w:t xml:space="preserve"> hampers comparison of health outcomes across studies</w:t>
      </w:r>
      <w:r w:rsidR="00F24D82">
        <w:t>. This is due to lack of standardised endpoints within the field of research.</w:t>
      </w:r>
      <w:r>
        <w:t xml:space="preserve"> </w:t>
      </w:r>
      <w:r w:rsidR="00FA3858">
        <w:t xml:space="preserve"> </w:t>
      </w:r>
    </w:p>
    <w:p w14:paraId="46659B72" w14:textId="05AA2A4F" w:rsidR="003E76DF" w:rsidRDefault="003E76DF" w:rsidP="00D15843">
      <w:r>
        <w:t xml:space="preserve">All </w:t>
      </w:r>
      <w:r w:rsidR="00DB5AE1">
        <w:t>17</w:t>
      </w:r>
      <w:r w:rsidR="00E6063A">
        <w:t xml:space="preserve"> </w:t>
      </w:r>
      <w:r w:rsidR="00DB5AE1">
        <w:t>studies</w:t>
      </w:r>
      <w:r w:rsidR="00887D66">
        <w:t xml:space="preserve"> presented</w:t>
      </w:r>
      <w:r w:rsidR="00DB5AE1">
        <w:t xml:space="preserve"> in the ADAR were restricted to patients</w:t>
      </w:r>
      <w:r w:rsidR="00B17C32">
        <w:t xml:space="preserve"> </w:t>
      </w:r>
      <w:r>
        <w:t>who had AHA and were being treated for a bleed</w:t>
      </w:r>
      <w:r w:rsidR="00710DD2">
        <w:t xml:space="preserve"> in a hospital setting</w:t>
      </w:r>
      <w:r>
        <w:t xml:space="preserve">. </w:t>
      </w:r>
      <w:proofErr w:type="gramStart"/>
      <w:r w:rsidR="00AA64E4">
        <w:t>The majority of</w:t>
      </w:r>
      <w:proofErr w:type="gramEnd"/>
      <w:r w:rsidR="00AA64E4">
        <w:t xml:space="preserve"> bleeds were largely due to </w:t>
      </w:r>
      <w:r w:rsidR="0006708B">
        <w:t>spontaneous</w:t>
      </w:r>
      <w:r w:rsidR="00AA64E4">
        <w:t xml:space="preserve">, traumatic or post-surgical causes, which fitted the </w:t>
      </w:r>
      <w:r w:rsidR="00F101AF">
        <w:t>proposed population.</w:t>
      </w:r>
      <w:r w:rsidR="00422F02">
        <w:t xml:space="preserve"> The population largely represented the elderly population, as opposed to gestational AHA.</w:t>
      </w:r>
      <w:r w:rsidR="00422F02" w:rsidDel="00422F02">
        <w:rPr>
          <w:rStyle w:val="CommentReference"/>
          <w:rFonts w:ascii="Calibri" w:eastAsia="Times New Roman" w:hAnsi="Calibri" w:cs="Times New Roman"/>
          <w:color w:val="000000"/>
          <w:lang w:eastAsia="en-AU"/>
        </w:rPr>
        <w:t xml:space="preserve"> </w:t>
      </w:r>
      <w:bookmarkStart w:id="27" w:name="_Hlk122515551"/>
      <w:r w:rsidR="001E2B6E">
        <w:t xml:space="preserve">Median age range for Obizur studies ranged from 68–77 years; 59–80 </w:t>
      </w:r>
      <w:r w:rsidR="00380322">
        <w:t xml:space="preserve">years </w:t>
      </w:r>
      <w:r w:rsidR="001E2B6E">
        <w:t xml:space="preserve">for NovoSeven; and 57.5–83 </w:t>
      </w:r>
      <w:r w:rsidR="00380322">
        <w:t xml:space="preserve">years </w:t>
      </w:r>
      <w:r w:rsidR="001E2B6E">
        <w:t>for FEIBA</w:t>
      </w:r>
      <w:bookmarkEnd w:id="27"/>
      <w:r w:rsidR="00422F02">
        <w:t>,</w:t>
      </w:r>
    </w:p>
    <w:p w14:paraId="43094F30" w14:textId="406E7DE4" w:rsidR="00AA64E4" w:rsidRDefault="00AA64E4" w:rsidP="00D15843">
      <w:r>
        <w:lastRenderedPageBreak/>
        <w:t>Anti-</w:t>
      </w:r>
      <w:proofErr w:type="spellStart"/>
      <w:r>
        <w:t>pFVIII</w:t>
      </w:r>
      <w:proofErr w:type="spellEnd"/>
      <w:r>
        <w:t xml:space="preserve"> levels were reported in </w:t>
      </w:r>
      <w:r w:rsidR="001424F6">
        <w:t>all</w:t>
      </w:r>
      <w:r>
        <w:t xml:space="preserve"> studies of Obizur, </w:t>
      </w:r>
      <w:r w:rsidR="001424F6">
        <w:t xml:space="preserve">one study of NovoSeven (NovoSeven CUP) </w:t>
      </w:r>
      <w:r>
        <w:t>and in one study of FEIBA (</w:t>
      </w:r>
      <w:proofErr w:type="spellStart"/>
      <w:r>
        <w:t>Sallah</w:t>
      </w:r>
      <w:proofErr w:type="spellEnd"/>
      <w:r>
        <w:t xml:space="preserve"> et al. (</w:t>
      </w:r>
      <w:bookmarkStart w:id="28" w:name="_Int_ROoyJ1TJ"/>
      <w:r>
        <w:t>2004)</w:t>
      </w:r>
      <w:r w:rsidR="00A749A2">
        <w:rPr>
          <w:rStyle w:val="FootnoteReference"/>
        </w:rPr>
        <w:footnoteReference w:id="14"/>
      </w:r>
      <w:bookmarkEnd w:id="28"/>
      <w:r>
        <w:t>).</w:t>
      </w:r>
      <w:r w:rsidR="00D10C40">
        <w:t xml:space="preserve"> </w:t>
      </w:r>
      <w:r w:rsidR="00F101AF">
        <w:t>It is unknown how many patients in the other studies are suited to the proposed population in terms of having anti-</w:t>
      </w:r>
      <w:proofErr w:type="spellStart"/>
      <w:r w:rsidR="00F101AF">
        <w:t>pFVIII</w:t>
      </w:r>
      <w:proofErr w:type="spellEnd"/>
      <w:r w:rsidR="00F101AF">
        <w:t xml:space="preserve"> lower than 20 BU.</w:t>
      </w:r>
      <w:r w:rsidR="00B83B48">
        <w:t xml:space="preserve"> This increases the uncertainty in the transitivity of the populations of the comparator studies to patients from</w:t>
      </w:r>
      <w:r w:rsidR="00EE12A7">
        <w:t xml:space="preserve"> that of Obizur.</w:t>
      </w:r>
    </w:p>
    <w:p w14:paraId="572FB80E" w14:textId="24AFDD34" w:rsidR="00956ACE" w:rsidRPr="00330A0A" w:rsidRDefault="00154338" w:rsidP="003E76DF">
      <w:pPr>
        <w:pStyle w:val="Caption"/>
        <w:rPr>
          <w:color w:val="538135" w:themeColor="accent6" w:themeShade="BF"/>
          <w:sz w:val="16"/>
          <w:szCs w:val="16"/>
        </w:rPr>
      </w:pPr>
      <w:bookmarkStart w:id="29" w:name="_Ref120530856"/>
      <w:r>
        <w:t xml:space="preserve">Table </w:t>
      </w:r>
      <w:r>
        <w:fldChar w:fldCharType="begin"/>
      </w:r>
      <w:r>
        <w:instrText>SEQ Table \* ARABIC</w:instrText>
      </w:r>
      <w:r>
        <w:fldChar w:fldCharType="separate"/>
      </w:r>
      <w:r w:rsidR="00C25EB0">
        <w:rPr>
          <w:noProof/>
        </w:rPr>
        <w:t>4</w:t>
      </w:r>
      <w:r>
        <w:fldChar w:fldCharType="end"/>
      </w:r>
      <w:bookmarkEnd w:id="29"/>
      <w:r>
        <w:t xml:space="preserve"> </w:t>
      </w:r>
      <w:r w:rsidRPr="0001461F">
        <w:t>Key features of the included evidence</w:t>
      </w:r>
    </w:p>
    <w:tbl>
      <w:tblPr>
        <w:tblStyle w:val="TableGrid1"/>
        <w:tblW w:w="5000" w:type="pct"/>
        <w:tblCellMar>
          <w:left w:w="28" w:type="dxa"/>
          <w:right w:w="28" w:type="dxa"/>
        </w:tblCellMar>
        <w:tblLook w:val="04A0" w:firstRow="1" w:lastRow="0" w:firstColumn="1" w:lastColumn="0" w:noHBand="0" w:noVBand="1"/>
        <w:tblCaption w:val="Key features of the included evidence"/>
      </w:tblPr>
      <w:tblGrid>
        <w:gridCol w:w="1211"/>
        <w:gridCol w:w="765"/>
        <w:gridCol w:w="1306"/>
        <w:gridCol w:w="826"/>
        <w:gridCol w:w="1275"/>
        <w:gridCol w:w="2270"/>
        <w:gridCol w:w="1363"/>
      </w:tblGrid>
      <w:tr w:rsidR="00E72022" w:rsidRPr="00CE28E3" w14:paraId="53743FBF" w14:textId="77777777" w:rsidTr="006A3793">
        <w:trPr>
          <w:cnfStyle w:val="100000000000" w:firstRow="1" w:lastRow="0" w:firstColumn="0" w:lastColumn="0" w:oddVBand="0" w:evenVBand="0" w:oddHBand="0" w:evenHBand="0" w:firstRowFirstColumn="0" w:firstRowLastColumn="0" w:lastRowFirstColumn="0" w:lastRowLastColumn="0"/>
          <w:cantSplit/>
          <w:tblHeader/>
        </w:trPr>
        <w:tc>
          <w:tcPr>
            <w:tcW w:w="672" w:type="pct"/>
            <w:shd w:val="clear" w:color="auto" w:fill="auto"/>
            <w:vAlign w:val="center"/>
          </w:tcPr>
          <w:p w14:paraId="5CB4E633" w14:textId="77777777" w:rsidR="00956ACE" w:rsidRPr="00CE28E3" w:rsidRDefault="00956ACE" w:rsidP="003E76DF">
            <w:pPr>
              <w:pStyle w:val="In-tableHeading"/>
              <w:jc w:val="center"/>
            </w:pPr>
            <w:bookmarkStart w:id="30" w:name="ColumnTitle_Table3"/>
            <w:bookmarkStart w:id="31" w:name="_Hlk68276112"/>
            <w:bookmarkEnd w:id="30"/>
            <w:r w:rsidRPr="00CE28E3">
              <w:t>References</w:t>
            </w:r>
          </w:p>
        </w:tc>
        <w:tc>
          <w:tcPr>
            <w:tcW w:w="424" w:type="pct"/>
            <w:shd w:val="clear" w:color="auto" w:fill="auto"/>
            <w:vAlign w:val="center"/>
          </w:tcPr>
          <w:p w14:paraId="22F008B2" w14:textId="77777777" w:rsidR="00956ACE" w:rsidRPr="00CE28E3" w:rsidRDefault="00956ACE" w:rsidP="003E76DF">
            <w:pPr>
              <w:pStyle w:val="In-tableHeading"/>
              <w:jc w:val="center"/>
            </w:pPr>
            <w:r w:rsidRPr="00CE28E3">
              <w:t>N</w:t>
            </w:r>
          </w:p>
        </w:tc>
        <w:tc>
          <w:tcPr>
            <w:tcW w:w="724" w:type="pct"/>
            <w:shd w:val="clear" w:color="auto" w:fill="auto"/>
            <w:vAlign w:val="center"/>
          </w:tcPr>
          <w:p w14:paraId="6D8A6A28" w14:textId="77777777" w:rsidR="00956ACE" w:rsidRPr="00CE28E3" w:rsidRDefault="00956ACE" w:rsidP="003E76DF">
            <w:pPr>
              <w:pStyle w:val="In-tableHeading"/>
              <w:jc w:val="center"/>
            </w:pPr>
            <w:r w:rsidRPr="00CE28E3">
              <w:t>Design/duration</w:t>
            </w:r>
          </w:p>
        </w:tc>
        <w:tc>
          <w:tcPr>
            <w:tcW w:w="458" w:type="pct"/>
            <w:shd w:val="clear" w:color="auto" w:fill="auto"/>
            <w:vAlign w:val="center"/>
          </w:tcPr>
          <w:p w14:paraId="72176409" w14:textId="77777777" w:rsidR="00956ACE" w:rsidRPr="00CE28E3" w:rsidRDefault="00956ACE" w:rsidP="003E76DF">
            <w:pPr>
              <w:pStyle w:val="In-tableHeading"/>
              <w:jc w:val="center"/>
            </w:pPr>
            <w:r w:rsidRPr="00CE28E3">
              <w:t>Risk of bias</w:t>
            </w:r>
          </w:p>
        </w:tc>
        <w:tc>
          <w:tcPr>
            <w:tcW w:w="707" w:type="pct"/>
            <w:shd w:val="clear" w:color="auto" w:fill="auto"/>
            <w:vAlign w:val="center"/>
          </w:tcPr>
          <w:p w14:paraId="06658F81" w14:textId="77777777" w:rsidR="00956ACE" w:rsidRPr="00CE28E3" w:rsidRDefault="00956ACE" w:rsidP="003E76DF">
            <w:pPr>
              <w:pStyle w:val="In-tableHeading"/>
              <w:jc w:val="center"/>
            </w:pPr>
            <w:r w:rsidRPr="00CE28E3">
              <w:t>Patient population</w:t>
            </w:r>
          </w:p>
        </w:tc>
        <w:tc>
          <w:tcPr>
            <w:tcW w:w="1259" w:type="pct"/>
            <w:shd w:val="clear" w:color="auto" w:fill="auto"/>
            <w:vAlign w:val="center"/>
          </w:tcPr>
          <w:p w14:paraId="013F0070" w14:textId="77777777" w:rsidR="00956ACE" w:rsidRPr="00CE28E3" w:rsidRDefault="00956ACE" w:rsidP="003E76DF">
            <w:pPr>
              <w:pStyle w:val="In-tableHeading"/>
              <w:jc w:val="center"/>
            </w:pPr>
            <w:r w:rsidRPr="00CE28E3">
              <w:t>Outcome(s)</w:t>
            </w:r>
          </w:p>
        </w:tc>
        <w:tc>
          <w:tcPr>
            <w:tcW w:w="756" w:type="pct"/>
            <w:shd w:val="clear" w:color="auto" w:fill="auto"/>
            <w:vAlign w:val="center"/>
          </w:tcPr>
          <w:p w14:paraId="6900817B" w14:textId="77777777" w:rsidR="00956ACE" w:rsidRPr="00CE28E3" w:rsidRDefault="00956ACE" w:rsidP="003E76DF">
            <w:pPr>
              <w:pStyle w:val="In-tableHeading"/>
              <w:jc w:val="center"/>
            </w:pPr>
            <w:r w:rsidRPr="00CE28E3">
              <w:t>Use in modelled evaluation</w:t>
            </w:r>
          </w:p>
        </w:tc>
      </w:tr>
      <w:tr w:rsidR="00956ACE" w:rsidRPr="00CE28E3" w14:paraId="7EB08307" w14:textId="77777777" w:rsidTr="003E76DF">
        <w:trPr>
          <w:cantSplit/>
          <w:trHeight w:val="265"/>
        </w:trPr>
        <w:tc>
          <w:tcPr>
            <w:tcW w:w="5000" w:type="pct"/>
            <w:gridSpan w:val="7"/>
            <w:shd w:val="clear" w:color="auto" w:fill="auto"/>
            <w:vAlign w:val="center"/>
          </w:tcPr>
          <w:p w14:paraId="2DBE758E" w14:textId="77777777" w:rsidR="00956ACE" w:rsidRPr="00CE28E3" w:rsidRDefault="002C6A52" w:rsidP="003E76DF">
            <w:pPr>
              <w:pStyle w:val="In-tableHeading"/>
              <w:jc w:val="center"/>
            </w:pPr>
            <w:r>
              <w:t>Obizur</w:t>
            </w:r>
          </w:p>
        </w:tc>
      </w:tr>
      <w:tr w:rsidR="00E72022" w:rsidRPr="00CE28E3" w14:paraId="4B99E8F8" w14:textId="77777777" w:rsidTr="006A3793">
        <w:trPr>
          <w:cantSplit/>
        </w:trPr>
        <w:tc>
          <w:tcPr>
            <w:tcW w:w="672" w:type="pct"/>
            <w:shd w:val="clear" w:color="auto" w:fill="auto"/>
            <w:vAlign w:val="center"/>
          </w:tcPr>
          <w:p w14:paraId="549F9775" w14:textId="77777777" w:rsidR="00956ACE" w:rsidRPr="00CE28E3" w:rsidRDefault="002C6A52" w:rsidP="003E76DF">
            <w:pPr>
              <w:pStyle w:val="TableText"/>
              <w:jc w:val="center"/>
              <w:rPr>
                <w:lang w:val="en-US"/>
              </w:rPr>
            </w:pPr>
            <w:r>
              <w:rPr>
                <w:lang w:val="en-US"/>
              </w:rPr>
              <w:t>OBI-1-301</w:t>
            </w:r>
          </w:p>
        </w:tc>
        <w:tc>
          <w:tcPr>
            <w:tcW w:w="424" w:type="pct"/>
            <w:shd w:val="clear" w:color="auto" w:fill="auto"/>
            <w:vAlign w:val="center"/>
          </w:tcPr>
          <w:p w14:paraId="09823D59" w14:textId="77777777" w:rsidR="00956ACE" w:rsidRPr="00CE28E3" w:rsidRDefault="002C6A52" w:rsidP="003E76DF">
            <w:pPr>
              <w:pStyle w:val="TableText"/>
              <w:jc w:val="center"/>
              <w:rPr>
                <w:lang w:val="en-US"/>
              </w:rPr>
            </w:pPr>
            <w:r>
              <w:rPr>
                <w:lang w:val="en-US"/>
              </w:rPr>
              <w:t>29</w:t>
            </w:r>
          </w:p>
        </w:tc>
        <w:tc>
          <w:tcPr>
            <w:tcW w:w="724" w:type="pct"/>
            <w:shd w:val="clear" w:color="auto" w:fill="auto"/>
            <w:vAlign w:val="center"/>
          </w:tcPr>
          <w:p w14:paraId="64782AA4" w14:textId="77777777" w:rsidR="00956ACE" w:rsidRPr="00CE28E3" w:rsidRDefault="002C6A52" w:rsidP="003E76DF">
            <w:pPr>
              <w:pStyle w:val="TableText"/>
              <w:jc w:val="center"/>
              <w:rPr>
                <w:lang w:val="en-US"/>
              </w:rPr>
            </w:pPr>
            <w:r>
              <w:rPr>
                <w:lang w:val="en-US"/>
              </w:rPr>
              <w:t>Case series</w:t>
            </w:r>
          </w:p>
        </w:tc>
        <w:tc>
          <w:tcPr>
            <w:tcW w:w="458" w:type="pct"/>
            <w:shd w:val="clear" w:color="auto" w:fill="auto"/>
            <w:vAlign w:val="center"/>
          </w:tcPr>
          <w:p w14:paraId="7108AEF7" w14:textId="77777777" w:rsidR="00956ACE" w:rsidRPr="00CE28E3" w:rsidRDefault="0022367B" w:rsidP="003E76DF">
            <w:pPr>
              <w:pStyle w:val="TableText"/>
              <w:jc w:val="center"/>
              <w:rPr>
                <w:i/>
                <w:lang w:val="en-US"/>
              </w:rPr>
            </w:pPr>
            <w:r>
              <w:rPr>
                <w:i/>
                <w:lang w:val="en-US"/>
              </w:rPr>
              <w:t>H</w:t>
            </w:r>
            <w:r w:rsidR="002C6A52">
              <w:rPr>
                <w:i/>
                <w:lang w:val="en-US"/>
              </w:rPr>
              <w:t>igh</w:t>
            </w:r>
          </w:p>
        </w:tc>
        <w:tc>
          <w:tcPr>
            <w:tcW w:w="707" w:type="pct"/>
            <w:shd w:val="clear" w:color="auto" w:fill="auto"/>
            <w:vAlign w:val="center"/>
          </w:tcPr>
          <w:p w14:paraId="752D2E51" w14:textId="77777777" w:rsidR="00956ACE" w:rsidRPr="00CE28E3" w:rsidRDefault="002C6A52" w:rsidP="003E76DF">
            <w:pPr>
              <w:pStyle w:val="TableText"/>
              <w:jc w:val="center"/>
              <w:rPr>
                <w:lang w:val="en-US"/>
              </w:rPr>
            </w:pPr>
            <w:r>
              <w:rPr>
                <w:lang w:val="en-US"/>
              </w:rPr>
              <w:t>Patients with AHA</w:t>
            </w:r>
            <w:r w:rsidR="0022367B">
              <w:rPr>
                <w:lang w:val="en-US"/>
              </w:rPr>
              <w:t xml:space="preserve"> aged ≥ 18 years suffering from a serious bleed</w:t>
            </w:r>
          </w:p>
        </w:tc>
        <w:tc>
          <w:tcPr>
            <w:tcW w:w="1259" w:type="pct"/>
            <w:shd w:val="clear" w:color="auto" w:fill="auto"/>
            <w:vAlign w:val="center"/>
          </w:tcPr>
          <w:p w14:paraId="6156CB8A" w14:textId="77777777" w:rsidR="00956ACE" w:rsidRDefault="0022367B" w:rsidP="003E76DF">
            <w:pPr>
              <w:pStyle w:val="TableText"/>
              <w:jc w:val="center"/>
            </w:pPr>
            <w:r w:rsidRPr="0017612C">
              <w:t>Positive response rate (effective or partially effective control of bleeding) at 24</w:t>
            </w:r>
            <w:r w:rsidR="00D15843">
              <w:t xml:space="preserve"> hr</w:t>
            </w:r>
          </w:p>
          <w:p w14:paraId="59CB5F8C" w14:textId="77777777" w:rsidR="0022367B" w:rsidRDefault="0022367B" w:rsidP="003E76DF">
            <w:pPr>
              <w:pStyle w:val="TableText"/>
              <w:jc w:val="center"/>
            </w:pPr>
            <w:r w:rsidRPr="0017612C">
              <w:t>Bleeding episodes successfully controlled, as assessed by the investigator</w:t>
            </w:r>
          </w:p>
          <w:p w14:paraId="6A1D65B5" w14:textId="77777777" w:rsidR="0022367B" w:rsidRPr="00CE28E3" w:rsidRDefault="0022367B" w:rsidP="003E76DF">
            <w:pPr>
              <w:pStyle w:val="TableText"/>
              <w:jc w:val="center"/>
              <w:rPr>
                <w:lang w:val="en-US"/>
              </w:rPr>
            </w:pPr>
            <w:r>
              <w:rPr>
                <w:lang w:val="en-US"/>
              </w:rPr>
              <w:t>Serious Adverse Events</w:t>
            </w:r>
          </w:p>
        </w:tc>
        <w:tc>
          <w:tcPr>
            <w:tcW w:w="756" w:type="pct"/>
            <w:shd w:val="clear" w:color="auto" w:fill="auto"/>
            <w:vAlign w:val="center"/>
          </w:tcPr>
          <w:p w14:paraId="04D3C785" w14:textId="77777777" w:rsidR="00956ACE" w:rsidRPr="00CE28E3" w:rsidRDefault="0022367B" w:rsidP="003E76DF">
            <w:pPr>
              <w:pStyle w:val="TableText"/>
              <w:jc w:val="center"/>
              <w:rPr>
                <w:lang w:val="en-US"/>
              </w:rPr>
            </w:pPr>
            <w:r>
              <w:rPr>
                <w:lang w:val="en-US"/>
              </w:rPr>
              <w:t>Yes</w:t>
            </w:r>
          </w:p>
        </w:tc>
      </w:tr>
      <w:tr w:rsidR="00E72022" w:rsidRPr="00CE28E3" w14:paraId="06BB6C5A" w14:textId="77777777" w:rsidTr="006A3793">
        <w:trPr>
          <w:cantSplit/>
        </w:trPr>
        <w:tc>
          <w:tcPr>
            <w:tcW w:w="672" w:type="pct"/>
            <w:shd w:val="clear" w:color="auto" w:fill="auto"/>
            <w:vAlign w:val="center"/>
          </w:tcPr>
          <w:p w14:paraId="6A8B6003" w14:textId="77777777" w:rsidR="007476F1" w:rsidRPr="00CE28E3" w:rsidRDefault="007476F1" w:rsidP="003E76DF">
            <w:pPr>
              <w:pStyle w:val="TableText"/>
              <w:jc w:val="center"/>
              <w:rPr>
                <w:lang w:val="en-US"/>
              </w:rPr>
            </w:pPr>
            <w:r>
              <w:rPr>
                <w:lang w:val="en-US"/>
              </w:rPr>
              <w:t>Study 241302</w:t>
            </w:r>
          </w:p>
        </w:tc>
        <w:tc>
          <w:tcPr>
            <w:tcW w:w="424" w:type="pct"/>
            <w:shd w:val="clear" w:color="auto" w:fill="auto"/>
            <w:vAlign w:val="center"/>
          </w:tcPr>
          <w:p w14:paraId="7FEF3ED5" w14:textId="77777777" w:rsidR="007476F1" w:rsidRPr="00CE28E3" w:rsidRDefault="007476F1" w:rsidP="003E76DF">
            <w:pPr>
              <w:pStyle w:val="TableText"/>
              <w:jc w:val="center"/>
              <w:rPr>
                <w:lang w:val="en-US"/>
              </w:rPr>
            </w:pPr>
            <w:r>
              <w:rPr>
                <w:lang w:val="en-US"/>
              </w:rPr>
              <w:t>53</w:t>
            </w:r>
          </w:p>
        </w:tc>
        <w:tc>
          <w:tcPr>
            <w:tcW w:w="724" w:type="pct"/>
            <w:shd w:val="clear" w:color="auto" w:fill="auto"/>
            <w:vAlign w:val="center"/>
          </w:tcPr>
          <w:p w14:paraId="184A793A" w14:textId="77777777" w:rsidR="007476F1" w:rsidRPr="00CE28E3" w:rsidRDefault="007476F1" w:rsidP="003E76DF">
            <w:pPr>
              <w:pStyle w:val="TableText"/>
              <w:jc w:val="center"/>
              <w:rPr>
                <w:lang w:val="en-US"/>
              </w:rPr>
            </w:pPr>
            <w:r>
              <w:rPr>
                <w:lang w:val="en-US"/>
              </w:rPr>
              <w:t>Case series</w:t>
            </w:r>
          </w:p>
        </w:tc>
        <w:tc>
          <w:tcPr>
            <w:tcW w:w="458" w:type="pct"/>
            <w:shd w:val="clear" w:color="auto" w:fill="auto"/>
            <w:vAlign w:val="center"/>
          </w:tcPr>
          <w:p w14:paraId="7C1965AE" w14:textId="77777777" w:rsidR="007476F1" w:rsidRPr="00CE28E3" w:rsidRDefault="007476F1" w:rsidP="003E76DF">
            <w:pPr>
              <w:pStyle w:val="TableText"/>
              <w:jc w:val="center"/>
              <w:rPr>
                <w:i/>
                <w:lang w:val="en-US"/>
              </w:rPr>
            </w:pPr>
            <w:r>
              <w:rPr>
                <w:i/>
                <w:lang w:val="en-US"/>
              </w:rPr>
              <w:t>Very high</w:t>
            </w:r>
          </w:p>
        </w:tc>
        <w:tc>
          <w:tcPr>
            <w:tcW w:w="707" w:type="pct"/>
            <w:shd w:val="clear" w:color="auto" w:fill="auto"/>
            <w:vAlign w:val="center"/>
          </w:tcPr>
          <w:p w14:paraId="6A649382" w14:textId="77777777" w:rsidR="00C2720D" w:rsidRDefault="00C2720D" w:rsidP="003E76DF">
            <w:pPr>
              <w:pStyle w:val="TableText"/>
              <w:jc w:val="center"/>
              <w:rPr>
                <w:lang w:val="en-US"/>
              </w:rPr>
            </w:pPr>
          </w:p>
          <w:p w14:paraId="4EE98690" w14:textId="6FDC1D7F" w:rsidR="007476F1" w:rsidRDefault="007476F1" w:rsidP="003E76DF">
            <w:pPr>
              <w:pStyle w:val="TableText"/>
              <w:jc w:val="center"/>
              <w:rPr>
                <w:lang w:val="en-US"/>
              </w:rPr>
            </w:pPr>
            <w:r w:rsidRPr="00CD61C6">
              <w:rPr>
                <w:lang w:val="en-US"/>
              </w:rPr>
              <w:t>Patients with AHA</w:t>
            </w:r>
            <w:r w:rsidR="0022367B">
              <w:rPr>
                <w:lang w:val="en-US"/>
              </w:rPr>
              <w:t xml:space="preserve"> </w:t>
            </w:r>
            <w:r w:rsidR="0022367B" w:rsidRPr="0022367B">
              <w:rPr>
                <w:lang w:val="en-US"/>
              </w:rPr>
              <w:t>aged ≥ 18 years</w:t>
            </w:r>
            <w:r w:rsidR="0022367B">
              <w:rPr>
                <w:lang w:val="en-US"/>
              </w:rPr>
              <w:t xml:space="preserve"> treated in a hospital setting</w:t>
            </w:r>
          </w:p>
          <w:p w14:paraId="755ECC94" w14:textId="5EB4889B" w:rsidR="00C2720D" w:rsidRPr="00CE28E3" w:rsidRDefault="00C2720D" w:rsidP="003E76DF">
            <w:pPr>
              <w:pStyle w:val="TableText"/>
              <w:jc w:val="center"/>
              <w:rPr>
                <w:lang w:val="en-US"/>
              </w:rPr>
            </w:pPr>
          </w:p>
        </w:tc>
        <w:tc>
          <w:tcPr>
            <w:tcW w:w="1259" w:type="pct"/>
            <w:shd w:val="clear" w:color="auto" w:fill="auto"/>
            <w:vAlign w:val="center"/>
          </w:tcPr>
          <w:p w14:paraId="50DB3A15" w14:textId="77777777" w:rsidR="0022367B" w:rsidRDefault="0022367B" w:rsidP="003E76DF">
            <w:pPr>
              <w:pStyle w:val="TableText"/>
              <w:jc w:val="center"/>
              <w:rPr>
                <w:lang w:val="en-US"/>
              </w:rPr>
            </w:pPr>
            <w:r w:rsidRPr="0022367B">
              <w:rPr>
                <w:lang w:val="en-US"/>
              </w:rPr>
              <w:t>Incidence of treatment-related SAEs</w:t>
            </w:r>
          </w:p>
          <w:p w14:paraId="05501C43" w14:textId="77777777" w:rsidR="007476F1" w:rsidRPr="00CE28E3" w:rsidRDefault="0022367B" w:rsidP="003E76DF">
            <w:pPr>
              <w:pStyle w:val="TableText"/>
              <w:jc w:val="center"/>
              <w:rPr>
                <w:lang w:val="en-US"/>
              </w:rPr>
            </w:pPr>
            <w:proofErr w:type="spellStart"/>
            <w:r w:rsidRPr="0022367B">
              <w:rPr>
                <w:lang w:val="en-US"/>
              </w:rPr>
              <w:t>Haemostatic</w:t>
            </w:r>
            <w:proofErr w:type="spellEnd"/>
            <w:r w:rsidRPr="0022367B">
              <w:rPr>
                <w:lang w:val="en-US"/>
              </w:rPr>
              <w:t xml:space="preserve"> effectiveness of Obizur in the treatment of bleeding episodes</w:t>
            </w:r>
          </w:p>
        </w:tc>
        <w:tc>
          <w:tcPr>
            <w:tcW w:w="756" w:type="pct"/>
            <w:shd w:val="clear" w:color="auto" w:fill="auto"/>
            <w:vAlign w:val="center"/>
          </w:tcPr>
          <w:p w14:paraId="6D58E7A4" w14:textId="77777777" w:rsidR="0022367B" w:rsidRPr="00CE28E3" w:rsidRDefault="0022367B" w:rsidP="003E76DF">
            <w:pPr>
              <w:pStyle w:val="TableText"/>
              <w:jc w:val="center"/>
              <w:rPr>
                <w:lang w:val="en-US"/>
              </w:rPr>
            </w:pPr>
            <w:r>
              <w:rPr>
                <w:lang w:val="en-US"/>
              </w:rPr>
              <w:t>Yes</w:t>
            </w:r>
          </w:p>
        </w:tc>
      </w:tr>
      <w:tr w:rsidR="00E72022" w:rsidRPr="00CE28E3" w14:paraId="0A411AF1" w14:textId="77777777" w:rsidTr="006A3793">
        <w:trPr>
          <w:cantSplit/>
        </w:trPr>
        <w:tc>
          <w:tcPr>
            <w:tcW w:w="672" w:type="pct"/>
            <w:shd w:val="clear" w:color="auto" w:fill="auto"/>
            <w:vAlign w:val="center"/>
          </w:tcPr>
          <w:p w14:paraId="5F387037" w14:textId="77777777" w:rsidR="0022367B" w:rsidRPr="00CE28E3" w:rsidRDefault="0022367B" w:rsidP="003E76DF">
            <w:pPr>
              <w:pStyle w:val="TableText"/>
              <w:jc w:val="center"/>
              <w:rPr>
                <w:lang w:val="en-US"/>
              </w:rPr>
            </w:pPr>
            <w:r>
              <w:rPr>
                <w:lang w:val="en-US"/>
              </w:rPr>
              <w:t>Ellsworth et al. (2020)</w:t>
            </w:r>
          </w:p>
        </w:tc>
        <w:tc>
          <w:tcPr>
            <w:tcW w:w="424" w:type="pct"/>
            <w:shd w:val="clear" w:color="auto" w:fill="auto"/>
            <w:vAlign w:val="center"/>
          </w:tcPr>
          <w:p w14:paraId="1335DEAD" w14:textId="77777777" w:rsidR="0022367B" w:rsidRPr="00CE28E3" w:rsidRDefault="0022367B" w:rsidP="003E76DF">
            <w:pPr>
              <w:pStyle w:val="TableText"/>
              <w:jc w:val="center"/>
              <w:rPr>
                <w:lang w:val="en-US"/>
              </w:rPr>
            </w:pPr>
            <w:r>
              <w:rPr>
                <w:lang w:val="en-US"/>
              </w:rPr>
              <w:t>18</w:t>
            </w:r>
          </w:p>
        </w:tc>
        <w:tc>
          <w:tcPr>
            <w:tcW w:w="724" w:type="pct"/>
            <w:shd w:val="clear" w:color="auto" w:fill="auto"/>
            <w:vAlign w:val="center"/>
          </w:tcPr>
          <w:p w14:paraId="14AC4D85" w14:textId="77777777" w:rsidR="0022367B" w:rsidRPr="00CE28E3" w:rsidRDefault="0022367B" w:rsidP="003E76DF">
            <w:pPr>
              <w:pStyle w:val="TableText"/>
              <w:jc w:val="center"/>
              <w:rPr>
                <w:lang w:val="en-US"/>
              </w:rPr>
            </w:pPr>
            <w:r>
              <w:rPr>
                <w:lang w:val="en-US"/>
              </w:rPr>
              <w:t>Case series</w:t>
            </w:r>
          </w:p>
        </w:tc>
        <w:tc>
          <w:tcPr>
            <w:tcW w:w="458" w:type="pct"/>
            <w:shd w:val="clear" w:color="auto" w:fill="auto"/>
            <w:vAlign w:val="center"/>
          </w:tcPr>
          <w:p w14:paraId="3126A369" w14:textId="77777777" w:rsidR="0022367B" w:rsidRPr="00CE28E3" w:rsidRDefault="0022367B" w:rsidP="003E76DF">
            <w:pPr>
              <w:pStyle w:val="TableText"/>
              <w:jc w:val="center"/>
              <w:rPr>
                <w:i/>
                <w:lang w:val="en-US"/>
              </w:rPr>
            </w:pPr>
            <w:r>
              <w:rPr>
                <w:i/>
                <w:lang w:val="en-US"/>
              </w:rPr>
              <w:t>Very high</w:t>
            </w:r>
          </w:p>
        </w:tc>
        <w:tc>
          <w:tcPr>
            <w:tcW w:w="707" w:type="pct"/>
            <w:shd w:val="clear" w:color="auto" w:fill="auto"/>
            <w:vAlign w:val="center"/>
          </w:tcPr>
          <w:p w14:paraId="5557DC7A" w14:textId="77777777" w:rsidR="00C2720D" w:rsidRDefault="00C2720D" w:rsidP="003E76DF">
            <w:pPr>
              <w:pStyle w:val="TableText"/>
              <w:jc w:val="center"/>
              <w:rPr>
                <w:lang w:val="en-US"/>
              </w:rPr>
            </w:pPr>
          </w:p>
          <w:p w14:paraId="1AEF68E0" w14:textId="77777777" w:rsidR="0022367B" w:rsidRDefault="0022367B" w:rsidP="003E76DF">
            <w:pPr>
              <w:pStyle w:val="TableText"/>
              <w:jc w:val="center"/>
              <w:rPr>
                <w:lang w:val="en-US"/>
              </w:rPr>
            </w:pPr>
            <w:r w:rsidRPr="00CD61C6">
              <w:rPr>
                <w:lang w:val="en-US"/>
              </w:rPr>
              <w:t>Patients with AHA</w:t>
            </w:r>
          </w:p>
          <w:p w14:paraId="3257C08C" w14:textId="26B222D7" w:rsidR="00C2720D" w:rsidRPr="00CE28E3" w:rsidRDefault="00C2720D" w:rsidP="003E76DF">
            <w:pPr>
              <w:pStyle w:val="TableText"/>
              <w:jc w:val="center"/>
              <w:rPr>
                <w:lang w:val="en-US"/>
              </w:rPr>
            </w:pPr>
          </w:p>
        </w:tc>
        <w:tc>
          <w:tcPr>
            <w:tcW w:w="1259" w:type="pct"/>
            <w:shd w:val="clear" w:color="auto" w:fill="auto"/>
            <w:vAlign w:val="center"/>
          </w:tcPr>
          <w:p w14:paraId="6B8286AF" w14:textId="77777777" w:rsidR="0022367B" w:rsidRPr="00CE28E3" w:rsidRDefault="0022367B" w:rsidP="003E76DF">
            <w:pPr>
              <w:pStyle w:val="TableText"/>
              <w:jc w:val="center"/>
              <w:rPr>
                <w:lang w:val="en-US"/>
              </w:rPr>
            </w:pPr>
            <w:r w:rsidRPr="0017612C">
              <w:t>Resolution of bleeding episode</w:t>
            </w:r>
          </w:p>
        </w:tc>
        <w:tc>
          <w:tcPr>
            <w:tcW w:w="756" w:type="pct"/>
            <w:shd w:val="clear" w:color="auto" w:fill="auto"/>
            <w:vAlign w:val="center"/>
          </w:tcPr>
          <w:p w14:paraId="0975E0E3" w14:textId="77777777" w:rsidR="0022367B" w:rsidRPr="00CE28E3" w:rsidRDefault="0022367B" w:rsidP="003E76DF">
            <w:pPr>
              <w:pStyle w:val="TableText"/>
              <w:jc w:val="center"/>
              <w:rPr>
                <w:lang w:val="en-US"/>
              </w:rPr>
            </w:pPr>
            <w:r>
              <w:rPr>
                <w:lang w:val="en-US"/>
              </w:rPr>
              <w:t>Yes</w:t>
            </w:r>
          </w:p>
        </w:tc>
      </w:tr>
      <w:tr w:rsidR="00E72022" w:rsidRPr="00CE28E3" w14:paraId="443D74DA" w14:textId="77777777" w:rsidTr="006A3793">
        <w:trPr>
          <w:cantSplit/>
        </w:trPr>
        <w:tc>
          <w:tcPr>
            <w:tcW w:w="672" w:type="pct"/>
            <w:shd w:val="clear" w:color="auto" w:fill="auto"/>
            <w:vAlign w:val="center"/>
          </w:tcPr>
          <w:p w14:paraId="7EB3450C" w14:textId="77777777" w:rsidR="0022367B" w:rsidRPr="00CE28E3" w:rsidRDefault="0022367B" w:rsidP="003E76DF">
            <w:pPr>
              <w:pStyle w:val="TableText"/>
              <w:jc w:val="center"/>
              <w:rPr>
                <w:lang w:val="en-US"/>
              </w:rPr>
            </w:pPr>
            <w:r>
              <w:rPr>
                <w:lang w:val="en-US"/>
              </w:rPr>
              <w:t>Study 241501</w:t>
            </w:r>
          </w:p>
        </w:tc>
        <w:tc>
          <w:tcPr>
            <w:tcW w:w="424" w:type="pct"/>
            <w:shd w:val="clear" w:color="auto" w:fill="auto"/>
            <w:vAlign w:val="center"/>
          </w:tcPr>
          <w:p w14:paraId="3E6CD1B9" w14:textId="77777777" w:rsidR="0022367B" w:rsidRPr="00CE28E3" w:rsidRDefault="0022367B" w:rsidP="003E76DF">
            <w:pPr>
              <w:pStyle w:val="TableText"/>
              <w:jc w:val="center"/>
              <w:rPr>
                <w:lang w:val="en-US"/>
              </w:rPr>
            </w:pPr>
            <w:r>
              <w:rPr>
                <w:lang w:val="en-US"/>
              </w:rPr>
              <w:t>50</w:t>
            </w:r>
          </w:p>
        </w:tc>
        <w:tc>
          <w:tcPr>
            <w:tcW w:w="724" w:type="pct"/>
            <w:shd w:val="clear" w:color="auto" w:fill="auto"/>
            <w:vAlign w:val="center"/>
          </w:tcPr>
          <w:p w14:paraId="6FB6837D" w14:textId="77777777" w:rsidR="0022367B" w:rsidRPr="00CE28E3" w:rsidRDefault="0022367B" w:rsidP="003E76DF">
            <w:pPr>
              <w:pStyle w:val="TableText"/>
              <w:jc w:val="center"/>
              <w:rPr>
                <w:lang w:val="en-US"/>
              </w:rPr>
            </w:pPr>
            <w:r>
              <w:rPr>
                <w:lang w:val="en-US"/>
              </w:rPr>
              <w:t>Case series</w:t>
            </w:r>
          </w:p>
        </w:tc>
        <w:tc>
          <w:tcPr>
            <w:tcW w:w="458" w:type="pct"/>
            <w:shd w:val="clear" w:color="auto" w:fill="auto"/>
            <w:vAlign w:val="center"/>
          </w:tcPr>
          <w:p w14:paraId="47DF5815" w14:textId="77777777" w:rsidR="0022367B" w:rsidRPr="00CE28E3" w:rsidRDefault="0022367B" w:rsidP="003E76DF">
            <w:pPr>
              <w:pStyle w:val="TableText"/>
              <w:jc w:val="center"/>
              <w:rPr>
                <w:lang w:val="en-US"/>
              </w:rPr>
            </w:pPr>
            <w:r>
              <w:rPr>
                <w:i/>
                <w:lang w:val="en-US"/>
              </w:rPr>
              <w:t>Very high</w:t>
            </w:r>
          </w:p>
        </w:tc>
        <w:tc>
          <w:tcPr>
            <w:tcW w:w="707" w:type="pct"/>
            <w:shd w:val="clear" w:color="auto" w:fill="auto"/>
            <w:vAlign w:val="center"/>
          </w:tcPr>
          <w:p w14:paraId="72244374" w14:textId="77777777" w:rsidR="00C2720D" w:rsidRDefault="00C2720D" w:rsidP="003E76DF">
            <w:pPr>
              <w:pStyle w:val="TableText"/>
              <w:jc w:val="center"/>
              <w:rPr>
                <w:lang w:val="en-US"/>
              </w:rPr>
            </w:pPr>
          </w:p>
          <w:p w14:paraId="795584AD" w14:textId="7A783F60" w:rsidR="0022367B" w:rsidRDefault="0022367B" w:rsidP="003E76DF">
            <w:pPr>
              <w:pStyle w:val="TableText"/>
              <w:jc w:val="center"/>
              <w:rPr>
                <w:lang w:val="en-US"/>
              </w:rPr>
            </w:pPr>
            <w:r w:rsidRPr="00CD61C6">
              <w:rPr>
                <w:lang w:val="en-US"/>
              </w:rPr>
              <w:t>Patients with AHA</w:t>
            </w:r>
            <w:r>
              <w:rPr>
                <w:lang w:val="en-US"/>
              </w:rPr>
              <w:t xml:space="preserve"> aged ≥ 18 years treated in routine clinical practice (not specified)</w:t>
            </w:r>
          </w:p>
          <w:p w14:paraId="5E42F944" w14:textId="356FF735" w:rsidR="00C2720D" w:rsidRPr="00CE28E3" w:rsidRDefault="00C2720D" w:rsidP="003E76DF">
            <w:pPr>
              <w:pStyle w:val="TableText"/>
              <w:jc w:val="center"/>
              <w:rPr>
                <w:lang w:val="en-US"/>
              </w:rPr>
            </w:pPr>
          </w:p>
        </w:tc>
        <w:tc>
          <w:tcPr>
            <w:tcW w:w="1259" w:type="pct"/>
            <w:shd w:val="clear" w:color="auto" w:fill="auto"/>
            <w:vAlign w:val="center"/>
          </w:tcPr>
          <w:p w14:paraId="4A618529" w14:textId="77777777" w:rsidR="0022367B" w:rsidRPr="0022367B" w:rsidRDefault="0022367B" w:rsidP="003E76DF">
            <w:pPr>
              <w:pStyle w:val="TableText"/>
              <w:jc w:val="center"/>
              <w:rPr>
                <w:lang w:val="en-US"/>
              </w:rPr>
            </w:pPr>
            <w:r w:rsidRPr="0022367B">
              <w:rPr>
                <w:lang w:val="en-US"/>
              </w:rPr>
              <w:t>Incidence of thromboembolic events</w:t>
            </w:r>
          </w:p>
          <w:p w14:paraId="1A3E5F79" w14:textId="77777777" w:rsidR="0022367B" w:rsidRDefault="0022367B" w:rsidP="003E76DF">
            <w:pPr>
              <w:pStyle w:val="TableText"/>
              <w:jc w:val="center"/>
              <w:rPr>
                <w:lang w:val="en-US"/>
              </w:rPr>
            </w:pPr>
            <w:proofErr w:type="spellStart"/>
            <w:r w:rsidRPr="0022367B">
              <w:rPr>
                <w:lang w:val="en-US"/>
              </w:rPr>
              <w:t>Haemostatic</w:t>
            </w:r>
            <w:proofErr w:type="spellEnd"/>
            <w:r w:rsidRPr="0022367B">
              <w:rPr>
                <w:lang w:val="en-US"/>
              </w:rPr>
              <w:t xml:space="preserve"> effectiveness of Obizur in the treatment of bleeding episodes</w:t>
            </w:r>
          </w:p>
          <w:p w14:paraId="65E155CF" w14:textId="77777777" w:rsidR="0022367B" w:rsidRPr="00CE28E3" w:rsidRDefault="0022367B" w:rsidP="003E76DF">
            <w:pPr>
              <w:pStyle w:val="TableText"/>
              <w:jc w:val="center"/>
              <w:rPr>
                <w:lang w:val="en-US"/>
              </w:rPr>
            </w:pPr>
            <w:r w:rsidRPr="0022367B">
              <w:rPr>
                <w:lang w:val="en-US"/>
              </w:rPr>
              <w:t>Safety</w:t>
            </w:r>
          </w:p>
        </w:tc>
        <w:tc>
          <w:tcPr>
            <w:tcW w:w="756" w:type="pct"/>
            <w:shd w:val="clear" w:color="auto" w:fill="auto"/>
            <w:vAlign w:val="center"/>
          </w:tcPr>
          <w:p w14:paraId="10A5D087" w14:textId="77777777" w:rsidR="0022367B" w:rsidRPr="00CE28E3" w:rsidRDefault="0022367B" w:rsidP="003E76DF">
            <w:pPr>
              <w:pStyle w:val="TableText"/>
              <w:jc w:val="center"/>
              <w:rPr>
                <w:lang w:val="en-US"/>
              </w:rPr>
            </w:pPr>
            <w:r>
              <w:rPr>
                <w:lang w:val="en-US"/>
              </w:rPr>
              <w:t>Yes</w:t>
            </w:r>
          </w:p>
        </w:tc>
      </w:tr>
      <w:tr w:rsidR="00C42BF8" w:rsidRPr="00CE28E3" w14:paraId="3D44B868" w14:textId="77777777" w:rsidTr="003E76DF">
        <w:trPr>
          <w:cantSplit/>
        </w:trPr>
        <w:tc>
          <w:tcPr>
            <w:tcW w:w="5000" w:type="pct"/>
            <w:gridSpan w:val="7"/>
            <w:shd w:val="clear" w:color="auto" w:fill="auto"/>
            <w:vAlign w:val="center"/>
          </w:tcPr>
          <w:p w14:paraId="04B8B6AD" w14:textId="77777777" w:rsidR="00C42BF8" w:rsidRPr="00C42BF8" w:rsidRDefault="00C42BF8" w:rsidP="003E76DF">
            <w:pPr>
              <w:pStyle w:val="TableText"/>
              <w:jc w:val="center"/>
              <w:rPr>
                <w:b/>
                <w:lang w:val="en-US"/>
              </w:rPr>
            </w:pPr>
            <w:r w:rsidRPr="00C42BF8">
              <w:rPr>
                <w:b/>
                <w:lang w:val="en-US"/>
              </w:rPr>
              <w:t>Obizur vs NovoSeven</w:t>
            </w:r>
          </w:p>
        </w:tc>
      </w:tr>
      <w:tr w:rsidR="00E72022" w:rsidRPr="00CE28E3" w14:paraId="1852FE7D" w14:textId="77777777" w:rsidTr="006A3793">
        <w:trPr>
          <w:cantSplit/>
        </w:trPr>
        <w:tc>
          <w:tcPr>
            <w:tcW w:w="672" w:type="pct"/>
            <w:shd w:val="clear" w:color="auto" w:fill="auto"/>
            <w:vAlign w:val="center"/>
          </w:tcPr>
          <w:p w14:paraId="1063320B" w14:textId="77777777" w:rsidR="007476F1" w:rsidRDefault="007476F1" w:rsidP="003E76DF">
            <w:pPr>
              <w:pStyle w:val="TableText"/>
              <w:jc w:val="center"/>
              <w:rPr>
                <w:lang w:val="en-US"/>
              </w:rPr>
            </w:pPr>
            <w:r>
              <w:rPr>
                <w:lang w:val="en-US"/>
              </w:rPr>
              <w:t>Batt et al. (202</w:t>
            </w:r>
            <w:r w:rsidR="00C52DF5">
              <w:rPr>
                <w:lang w:val="en-US"/>
              </w:rPr>
              <w:t>2</w:t>
            </w:r>
            <w:r>
              <w:rPr>
                <w:lang w:val="en-US"/>
              </w:rPr>
              <w:t>)</w:t>
            </w:r>
          </w:p>
        </w:tc>
        <w:tc>
          <w:tcPr>
            <w:tcW w:w="424" w:type="pct"/>
            <w:shd w:val="clear" w:color="auto" w:fill="auto"/>
            <w:vAlign w:val="center"/>
          </w:tcPr>
          <w:p w14:paraId="488395AE" w14:textId="77777777" w:rsidR="007476F1" w:rsidRDefault="00C42BF8" w:rsidP="003E76DF">
            <w:pPr>
              <w:pStyle w:val="TableText"/>
              <w:jc w:val="center"/>
              <w:rPr>
                <w:lang w:val="en-US"/>
              </w:rPr>
            </w:pPr>
            <w:r>
              <w:rPr>
                <w:lang w:val="en-US"/>
              </w:rPr>
              <w:t>166</w:t>
            </w:r>
          </w:p>
        </w:tc>
        <w:tc>
          <w:tcPr>
            <w:tcW w:w="724" w:type="pct"/>
            <w:shd w:val="clear" w:color="auto" w:fill="auto"/>
            <w:vAlign w:val="center"/>
          </w:tcPr>
          <w:p w14:paraId="7B120B33" w14:textId="4BA6A3A6" w:rsidR="007476F1" w:rsidRDefault="00917023" w:rsidP="003E76DF">
            <w:pPr>
              <w:pStyle w:val="TableText"/>
              <w:jc w:val="center"/>
              <w:rPr>
                <w:lang w:val="en-US"/>
              </w:rPr>
            </w:pPr>
            <w:r>
              <w:rPr>
                <w:lang w:val="en-US"/>
              </w:rPr>
              <w:t>Retrospective cohort study</w:t>
            </w:r>
          </w:p>
        </w:tc>
        <w:tc>
          <w:tcPr>
            <w:tcW w:w="458" w:type="pct"/>
            <w:shd w:val="clear" w:color="auto" w:fill="auto"/>
            <w:vAlign w:val="center"/>
          </w:tcPr>
          <w:p w14:paraId="7E449F4E" w14:textId="77777777" w:rsidR="007476F1" w:rsidRDefault="00CF0038" w:rsidP="003E76DF">
            <w:pPr>
              <w:pStyle w:val="TableText"/>
              <w:jc w:val="center"/>
              <w:rPr>
                <w:i/>
                <w:lang w:val="en-US"/>
              </w:rPr>
            </w:pPr>
            <w:r>
              <w:rPr>
                <w:i/>
                <w:lang w:val="en-US"/>
              </w:rPr>
              <w:t>Very high</w:t>
            </w:r>
          </w:p>
        </w:tc>
        <w:tc>
          <w:tcPr>
            <w:tcW w:w="707" w:type="pct"/>
            <w:shd w:val="clear" w:color="auto" w:fill="auto"/>
            <w:vAlign w:val="center"/>
          </w:tcPr>
          <w:p w14:paraId="13F4AC58" w14:textId="77777777" w:rsidR="00BB40AC" w:rsidRDefault="00BB40AC" w:rsidP="003E76DF">
            <w:pPr>
              <w:pStyle w:val="TableText"/>
              <w:jc w:val="center"/>
              <w:rPr>
                <w:lang w:val="en-US"/>
              </w:rPr>
            </w:pPr>
          </w:p>
          <w:p w14:paraId="3CCEF0A3" w14:textId="6DDEB5E3" w:rsidR="007476F1" w:rsidRDefault="007476F1" w:rsidP="003E76DF">
            <w:pPr>
              <w:pStyle w:val="TableText"/>
              <w:jc w:val="center"/>
              <w:rPr>
                <w:lang w:val="en-US"/>
              </w:rPr>
            </w:pPr>
            <w:r w:rsidRPr="00CD61C6">
              <w:rPr>
                <w:lang w:val="en-US"/>
              </w:rPr>
              <w:t>Patients with AHA</w:t>
            </w:r>
            <w:r w:rsidR="00C52DF5">
              <w:rPr>
                <w:lang w:val="en-US"/>
              </w:rPr>
              <w:t xml:space="preserve"> aged ≥65 years treated with Obizur and/or NovoSeven</w:t>
            </w:r>
          </w:p>
          <w:p w14:paraId="29A0763D" w14:textId="7B7118BC" w:rsidR="00BB40AC" w:rsidRPr="00CE28E3" w:rsidRDefault="00BB40AC" w:rsidP="003E76DF">
            <w:pPr>
              <w:pStyle w:val="TableText"/>
              <w:jc w:val="center"/>
              <w:rPr>
                <w:lang w:val="en-US"/>
              </w:rPr>
            </w:pPr>
          </w:p>
        </w:tc>
        <w:tc>
          <w:tcPr>
            <w:tcW w:w="1259" w:type="pct"/>
            <w:shd w:val="clear" w:color="auto" w:fill="auto"/>
            <w:vAlign w:val="center"/>
          </w:tcPr>
          <w:p w14:paraId="0BE4C23A" w14:textId="77777777" w:rsidR="007476F1" w:rsidRPr="00CE28E3" w:rsidRDefault="00C42BF8" w:rsidP="003E76DF">
            <w:pPr>
              <w:pStyle w:val="TableText"/>
              <w:jc w:val="center"/>
              <w:rPr>
                <w:lang w:val="en-US"/>
              </w:rPr>
            </w:pPr>
            <w:r>
              <w:rPr>
                <w:lang w:val="en-US"/>
              </w:rPr>
              <w:t>Probability of death</w:t>
            </w:r>
          </w:p>
        </w:tc>
        <w:tc>
          <w:tcPr>
            <w:tcW w:w="756" w:type="pct"/>
            <w:shd w:val="clear" w:color="auto" w:fill="auto"/>
            <w:vAlign w:val="center"/>
          </w:tcPr>
          <w:p w14:paraId="61FBEA28" w14:textId="77777777" w:rsidR="007476F1" w:rsidRPr="00CE28E3" w:rsidRDefault="003E76DF" w:rsidP="003E76DF">
            <w:pPr>
              <w:pStyle w:val="TableText"/>
              <w:jc w:val="center"/>
              <w:rPr>
                <w:lang w:val="en-US"/>
              </w:rPr>
            </w:pPr>
            <w:r>
              <w:rPr>
                <w:lang w:val="en-US"/>
              </w:rPr>
              <w:t>Yes</w:t>
            </w:r>
          </w:p>
        </w:tc>
      </w:tr>
      <w:tr w:rsidR="002C6A52" w:rsidRPr="005D4EBD" w14:paraId="028E83C4" w14:textId="77777777" w:rsidTr="003E76DF">
        <w:trPr>
          <w:cantSplit/>
        </w:trPr>
        <w:tc>
          <w:tcPr>
            <w:tcW w:w="5000" w:type="pct"/>
            <w:gridSpan w:val="7"/>
            <w:shd w:val="clear" w:color="auto" w:fill="auto"/>
            <w:vAlign w:val="center"/>
          </w:tcPr>
          <w:p w14:paraId="42F9C1D9" w14:textId="77777777" w:rsidR="002C6A52" w:rsidRPr="005D4EBD" w:rsidRDefault="002C6A52" w:rsidP="003E76DF">
            <w:pPr>
              <w:pStyle w:val="TableText"/>
              <w:jc w:val="center"/>
              <w:rPr>
                <w:b/>
                <w:lang w:val="en-US"/>
              </w:rPr>
            </w:pPr>
            <w:r w:rsidRPr="005D4EBD">
              <w:rPr>
                <w:b/>
                <w:lang w:val="en-US"/>
              </w:rPr>
              <w:t>NovoSeven</w:t>
            </w:r>
          </w:p>
        </w:tc>
      </w:tr>
      <w:tr w:rsidR="00E72022" w:rsidRPr="00CE28E3" w14:paraId="1F1F8A6D" w14:textId="77777777" w:rsidTr="006A3793">
        <w:trPr>
          <w:cantSplit/>
        </w:trPr>
        <w:tc>
          <w:tcPr>
            <w:tcW w:w="672" w:type="pct"/>
            <w:shd w:val="clear" w:color="auto" w:fill="auto"/>
            <w:vAlign w:val="center"/>
          </w:tcPr>
          <w:p w14:paraId="3061B931" w14:textId="77777777" w:rsidR="007476F1" w:rsidRPr="00CE28E3" w:rsidRDefault="007476F1" w:rsidP="003E76DF">
            <w:pPr>
              <w:pStyle w:val="TableText"/>
              <w:jc w:val="center"/>
              <w:rPr>
                <w:lang w:val="en-US"/>
              </w:rPr>
            </w:pPr>
            <w:r>
              <w:rPr>
                <w:lang w:val="en-US"/>
              </w:rPr>
              <w:t>EACH2</w:t>
            </w:r>
          </w:p>
        </w:tc>
        <w:tc>
          <w:tcPr>
            <w:tcW w:w="424" w:type="pct"/>
            <w:shd w:val="clear" w:color="auto" w:fill="auto"/>
            <w:vAlign w:val="center"/>
          </w:tcPr>
          <w:p w14:paraId="300A4F1E" w14:textId="77777777" w:rsidR="007476F1" w:rsidRPr="00CE28E3" w:rsidRDefault="0022367B" w:rsidP="003E76DF">
            <w:pPr>
              <w:pStyle w:val="TableText"/>
              <w:jc w:val="center"/>
              <w:rPr>
                <w:lang w:val="en-US"/>
              </w:rPr>
            </w:pPr>
            <w:r>
              <w:rPr>
                <w:lang w:val="en-US"/>
              </w:rPr>
              <w:t>159</w:t>
            </w:r>
          </w:p>
        </w:tc>
        <w:tc>
          <w:tcPr>
            <w:tcW w:w="724" w:type="pct"/>
            <w:shd w:val="clear" w:color="auto" w:fill="auto"/>
            <w:vAlign w:val="center"/>
          </w:tcPr>
          <w:p w14:paraId="1689F2DD" w14:textId="77777777" w:rsidR="007476F1" w:rsidRPr="00CE28E3" w:rsidRDefault="007476F1" w:rsidP="003E76DF">
            <w:pPr>
              <w:pStyle w:val="TableText"/>
              <w:jc w:val="center"/>
              <w:rPr>
                <w:lang w:val="en-US"/>
              </w:rPr>
            </w:pPr>
            <w:r>
              <w:rPr>
                <w:lang w:val="en-US"/>
              </w:rPr>
              <w:t>Case series</w:t>
            </w:r>
          </w:p>
        </w:tc>
        <w:tc>
          <w:tcPr>
            <w:tcW w:w="458" w:type="pct"/>
            <w:shd w:val="clear" w:color="auto" w:fill="auto"/>
            <w:vAlign w:val="center"/>
          </w:tcPr>
          <w:p w14:paraId="4536CE45" w14:textId="77777777" w:rsidR="007476F1" w:rsidRPr="00CE28E3" w:rsidRDefault="007476F1" w:rsidP="003E76DF">
            <w:pPr>
              <w:pStyle w:val="TableText"/>
              <w:jc w:val="center"/>
              <w:rPr>
                <w:lang w:val="en-US"/>
              </w:rPr>
            </w:pPr>
            <w:r>
              <w:rPr>
                <w:i/>
                <w:lang w:val="en-US"/>
              </w:rPr>
              <w:t>Very high</w:t>
            </w:r>
          </w:p>
        </w:tc>
        <w:tc>
          <w:tcPr>
            <w:tcW w:w="707" w:type="pct"/>
            <w:shd w:val="clear" w:color="auto" w:fill="auto"/>
            <w:vAlign w:val="center"/>
          </w:tcPr>
          <w:p w14:paraId="6293F991" w14:textId="77777777" w:rsidR="007476F1" w:rsidRPr="00CE28E3" w:rsidRDefault="007476F1" w:rsidP="003E76DF">
            <w:pPr>
              <w:pStyle w:val="TableText"/>
              <w:jc w:val="center"/>
              <w:rPr>
                <w:lang w:val="en-US"/>
              </w:rPr>
            </w:pPr>
            <w:r w:rsidRPr="0009306A">
              <w:rPr>
                <w:lang w:val="en-US"/>
              </w:rPr>
              <w:t>Patients with AHA</w:t>
            </w:r>
          </w:p>
        </w:tc>
        <w:tc>
          <w:tcPr>
            <w:tcW w:w="1259" w:type="pct"/>
            <w:shd w:val="clear" w:color="auto" w:fill="auto"/>
            <w:vAlign w:val="center"/>
          </w:tcPr>
          <w:p w14:paraId="61DA1AF9" w14:textId="77777777" w:rsidR="00A26020" w:rsidRPr="00A26020" w:rsidRDefault="00A26020" w:rsidP="003E76DF">
            <w:pPr>
              <w:pStyle w:val="TableText"/>
              <w:jc w:val="center"/>
              <w:rPr>
                <w:lang w:val="en-US"/>
              </w:rPr>
            </w:pPr>
            <w:r w:rsidRPr="00A26020">
              <w:rPr>
                <w:lang w:val="en-US"/>
              </w:rPr>
              <w:t>Control of the primary bleeding episode</w:t>
            </w:r>
          </w:p>
          <w:p w14:paraId="0749A07F" w14:textId="77777777" w:rsidR="007476F1" w:rsidRPr="00CE28E3" w:rsidRDefault="00A26020" w:rsidP="003E76DF">
            <w:pPr>
              <w:pStyle w:val="TableText"/>
              <w:jc w:val="center"/>
              <w:rPr>
                <w:lang w:val="en-US"/>
              </w:rPr>
            </w:pPr>
            <w:r w:rsidRPr="00A26020">
              <w:rPr>
                <w:lang w:val="en-US"/>
              </w:rPr>
              <w:t>Safety</w:t>
            </w:r>
          </w:p>
        </w:tc>
        <w:tc>
          <w:tcPr>
            <w:tcW w:w="756" w:type="pct"/>
            <w:shd w:val="clear" w:color="auto" w:fill="auto"/>
            <w:vAlign w:val="center"/>
          </w:tcPr>
          <w:p w14:paraId="2E9EDA0A" w14:textId="77777777" w:rsidR="007476F1" w:rsidRPr="00CE28E3" w:rsidRDefault="00AD4A23" w:rsidP="003E76DF">
            <w:pPr>
              <w:pStyle w:val="TableText"/>
              <w:jc w:val="center"/>
              <w:rPr>
                <w:lang w:val="en-US"/>
              </w:rPr>
            </w:pPr>
            <w:r>
              <w:rPr>
                <w:lang w:val="en-US"/>
              </w:rPr>
              <w:t>Yes</w:t>
            </w:r>
          </w:p>
        </w:tc>
      </w:tr>
      <w:tr w:rsidR="00E72022" w:rsidRPr="00CE28E3" w14:paraId="400F9DEA" w14:textId="77777777" w:rsidTr="006A3793">
        <w:trPr>
          <w:cantSplit/>
        </w:trPr>
        <w:tc>
          <w:tcPr>
            <w:tcW w:w="672" w:type="pct"/>
            <w:shd w:val="clear" w:color="auto" w:fill="auto"/>
            <w:vAlign w:val="center"/>
          </w:tcPr>
          <w:p w14:paraId="180E3471" w14:textId="77777777" w:rsidR="007476F1" w:rsidRPr="00CE28E3" w:rsidRDefault="007476F1" w:rsidP="003E76DF">
            <w:pPr>
              <w:pStyle w:val="TableText"/>
              <w:jc w:val="center"/>
              <w:rPr>
                <w:lang w:val="en-US"/>
              </w:rPr>
            </w:pPr>
            <w:r>
              <w:rPr>
                <w:lang w:val="en-US"/>
              </w:rPr>
              <w:lastRenderedPageBreak/>
              <w:t>Amano et al. (2017)</w:t>
            </w:r>
          </w:p>
        </w:tc>
        <w:tc>
          <w:tcPr>
            <w:tcW w:w="424" w:type="pct"/>
            <w:shd w:val="clear" w:color="auto" w:fill="auto"/>
            <w:vAlign w:val="center"/>
          </w:tcPr>
          <w:p w14:paraId="73FE9968" w14:textId="77777777" w:rsidR="007476F1" w:rsidRPr="00CE28E3" w:rsidRDefault="00AD4A23" w:rsidP="003E76DF">
            <w:pPr>
              <w:pStyle w:val="TableText"/>
              <w:jc w:val="center"/>
              <w:rPr>
                <w:lang w:val="en-US"/>
              </w:rPr>
            </w:pPr>
            <w:r>
              <w:rPr>
                <w:lang w:val="en-US"/>
              </w:rPr>
              <w:t>132</w:t>
            </w:r>
          </w:p>
        </w:tc>
        <w:tc>
          <w:tcPr>
            <w:tcW w:w="724" w:type="pct"/>
            <w:shd w:val="clear" w:color="auto" w:fill="auto"/>
            <w:vAlign w:val="center"/>
          </w:tcPr>
          <w:p w14:paraId="09501A21" w14:textId="77777777" w:rsidR="007476F1" w:rsidRDefault="007476F1" w:rsidP="003E76DF">
            <w:pPr>
              <w:pStyle w:val="TableText"/>
              <w:jc w:val="center"/>
              <w:rPr>
                <w:lang w:val="en-US"/>
              </w:rPr>
            </w:pPr>
            <w:r>
              <w:rPr>
                <w:lang w:val="en-US"/>
              </w:rPr>
              <w:t>Case series</w:t>
            </w:r>
          </w:p>
        </w:tc>
        <w:tc>
          <w:tcPr>
            <w:tcW w:w="458" w:type="pct"/>
            <w:shd w:val="clear" w:color="auto" w:fill="auto"/>
            <w:vAlign w:val="center"/>
          </w:tcPr>
          <w:p w14:paraId="61071477" w14:textId="77777777" w:rsidR="007476F1" w:rsidRDefault="007476F1" w:rsidP="003E76DF">
            <w:pPr>
              <w:pStyle w:val="TableText"/>
              <w:jc w:val="center"/>
              <w:rPr>
                <w:i/>
                <w:lang w:val="en-US"/>
              </w:rPr>
            </w:pPr>
            <w:r>
              <w:rPr>
                <w:i/>
                <w:lang w:val="en-US"/>
              </w:rPr>
              <w:t>Very high</w:t>
            </w:r>
          </w:p>
        </w:tc>
        <w:tc>
          <w:tcPr>
            <w:tcW w:w="707" w:type="pct"/>
            <w:shd w:val="clear" w:color="auto" w:fill="auto"/>
            <w:vAlign w:val="center"/>
          </w:tcPr>
          <w:p w14:paraId="67A90713" w14:textId="77777777" w:rsidR="007476F1" w:rsidRPr="00CE28E3" w:rsidRDefault="007476F1" w:rsidP="003E76DF">
            <w:pPr>
              <w:pStyle w:val="TableText"/>
              <w:jc w:val="center"/>
              <w:rPr>
                <w:lang w:val="en-US"/>
              </w:rPr>
            </w:pPr>
            <w:r w:rsidRPr="0009306A">
              <w:rPr>
                <w:lang w:val="en-US"/>
              </w:rPr>
              <w:t>Patients with AHA</w:t>
            </w:r>
          </w:p>
        </w:tc>
        <w:tc>
          <w:tcPr>
            <w:tcW w:w="1259" w:type="pct"/>
            <w:shd w:val="clear" w:color="auto" w:fill="auto"/>
            <w:vAlign w:val="center"/>
          </w:tcPr>
          <w:p w14:paraId="5A8148AE" w14:textId="77777777" w:rsidR="007476F1" w:rsidRDefault="00AD4A23" w:rsidP="003E76DF">
            <w:pPr>
              <w:pStyle w:val="TableText"/>
              <w:jc w:val="center"/>
            </w:pPr>
            <w:r w:rsidRPr="0017612C">
              <w:t>Clinical response rate defined as patients with a markedly effective or effective haemostatic response</w:t>
            </w:r>
          </w:p>
          <w:p w14:paraId="2CCE20D1" w14:textId="77777777" w:rsidR="00AD4A23" w:rsidRPr="00CE28E3" w:rsidRDefault="00AD4A23" w:rsidP="003E76DF">
            <w:pPr>
              <w:pStyle w:val="TableText"/>
              <w:jc w:val="center"/>
              <w:rPr>
                <w:lang w:val="en-US"/>
              </w:rPr>
            </w:pPr>
            <w:r>
              <w:rPr>
                <w:lang w:val="en-US"/>
              </w:rPr>
              <w:t>Safety</w:t>
            </w:r>
          </w:p>
        </w:tc>
        <w:tc>
          <w:tcPr>
            <w:tcW w:w="756" w:type="pct"/>
            <w:shd w:val="clear" w:color="auto" w:fill="auto"/>
            <w:vAlign w:val="center"/>
          </w:tcPr>
          <w:p w14:paraId="7ACDB116" w14:textId="77777777" w:rsidR="007476F1" w:rsidRPr="00CE28E3" w:rsidRDefault="00AD4A23" w:rsidP="003E76DF">
            <w:pPr>
              <w:pStyle w:val="TableText"/>
              <w:jc w:val="center"/>
              <w:rPr>
                <w:lang w:val="en-US"/>
              </w:rPr>
            </w:pPr>
            <w:r>
              <w:rPr>
                <w:lang w:val="en-US"/>
              </w:rPr>
              <w:t>Yes</w:t>
            </w:r>
          </w:p>
        </w:tc>
      </w:tr>
      <w:tr w:rsidR="00E72022" w:rsidRPr="00CE28E3" w14:paraId="5928EFA3" w14:textId="77777777" w:rsidTr="006A3793">
        <w:trPr>
          <w:cantSplit/>
        </w:trPr>
        <w:tc>
          <w:tcPr>
            <w:tcW w:w="672" w:type="pct"/>
            <w:shd w:val="clear" w:color="auto" w:fill="auto"/>
            <w:vAlign w:val="center"/>
          </w:tcPr>
          <w:p w14:paraId="3229FCD7" w14:textId="77777777" w:rsidR="007476F1" w:rsidRPr="00CE28E3" w:rsidRDefault="007476F1" w:rsidP="003E76DF">
            <w:pPr>
              <w:pStyle w:val="TableText"/>
              <w:jc w:val="center"/>
              <w:rPr>
                <w:lang w:val="en-US"/>
              </w:rPr>
            </w:pPr>
            <w:r>
              <w:rPr>
                <w:lang w:val="en-US"/>
              </w:rPr>
              <w:t>ACQUI-7</w:t>
            </w:r>
          </w:p>
        </w:tc>
        <w:tc>
          <w:tcPr>
            <w:tcW w:w="424" w:type="pct"/>
            <w:shd w:val="clear" w:color="auto" w:fill="auto"/>
            <w:vAlign w:val="center"/>
          </w:tcPr>
          <w:p w14:paraId="0FD58DFD" w14:textId="77777777" w:rsidR="007476F1" w:rsidRPr="00CE28E3" w:rsidRDefault="0022367B" w:rsidP="003E76DF">
            <w:pPr>
              <w:pStyle w:val="TableText"/>
              <w:jc w:val="center"/>
              <w:rPr>
                <w:lang w:val="en-US"/>
              </w:rPr>
            </w:pPr>
            <w:r>
              <w:rPr>
                <w:lang w:val="en-US"/>
              </w:rPr>
              <w:t>27</w:t>
            </w:r>
          </w:p>
        </w:tc>
        <w:tc>
          <w:tcPr>
            <w:tcW w:w="724" w:type="pct"/>
            <w:shd w:val="clear" w:color="auto" w:fill="auto"/>
            <w:vAlign w:val="center"/>
          </w:tcPr>
          <w:p w14:paraId="0EB4DA23" w14:textId="77777777" w:rsidR="007476F1" w:rsidRDefault="007476F1" w:rsidP="003E76DF">
            <w:pPr>
              <w:pStyle w:val="TableText"/>
              <w:jc w:val="center"/>
              <w:rPr>
                <w:lang w:val="en-US"/>
              </w:rPr>
            </w:pPr>
            <w:r>
              <w:rPr>
                <w:lang w:val="en-US"/>
              </w:rPr>
              <w:t>Case series</w:t>
            </w:r>
          </w:p>
        </w:tc>
        <w:tc>
          <w:tcPr>
            <w:tcW w:w="458" w:type="pct"/>
            <w:shd w:val="clear" w:color="auto" w:fill="auto"/>
            <w:vAlign w:val="center"/>
          </w:tcPr>
          <w:p w14:paraId="4B211F2C" w14:textId="77777777" w:rsidR="007476F1" w:rsidRDefault="007476F1" w:rsidP="003E76DF">
            <w:pPr>
              <w:pStyle w:val="TableText"/>
              <w:jc w:val="center"/>
              <w:rPr>
                <w:i/>
                <w:lang w:val="en-US"/>
              </w:rPr>
            </w:pPr>
            <w:r>
              <w:rPr>
                <w:i/>
                <w:lang w:val="en-US"/>
              </w:rPr>
              <w:t>Very high</w:t>
            </w:r>
          </w:p>
        </w:tc>
        <w:tc>
          <w:tcPr>
            <w:tcW w:w="707" w:type="pct"/>
            <w:shd w:val="clear" w:color="auto" w:fill="auto"/>
            <w:vAlign w:val="center"/>
          </w:tcPr>
          <w:p w14:paraId="50B5A623" w14:textId="77777777" w:rsidR="007476F1" w:rsidRPr="00CE28E3" w:rsidRDefault="007476F1" w:rsidP="003E76DF">
            <w:pPr>
              <w:pStyle w:val="TableText"/>
              <w:jc w:val="center"/>
              <w:rPr>
                <w:lang w:val="en-US"/>
              </w:rPr>
            </w:pPr>
            <w:r w:rsidRPr="0009306A">
              <w:rPr>
                <w:lang w:val="en-US"/>
              </w:rPr>
              <w:t>Patients with AHA</w:t>
            </w:r>
          </w:p>
        </w:tc>
        <w:tc>
          <w:tcPr>
            <w:tcW w:w="1259" w:type="pct"/>
            <w:shd w:val="clear" w:color="auto" w:fill="auto"/>
            <w:vAlign w:val="center"/>
          </w:tcPr>
          <w:p w14:paraId="63B36DAC" w14:textId="77777777" w:rsidR="007476F1" w:rsidRDefault="00E72022" w:rsidP="003E76DF">
            <w:pPr>
              <w:pStyle w:val="TableText"/>
              <w:jc w:val="center"/>
              <w:rPr>
                <w:lang w:val="en-US"/>
              </w:rPr>
            </w:pPr>
            <w:r w:rsidRPr="00E72022">
              <w:rPr>
                <w:lang w:val="en-US"/>
              </w:rPr>
              <w:t>Resolution of the primary bleed based on symptoms, pain and Hb levels</w:t>
            </w:r>
          </w:p>
          <w:p w14:paraId="75833AF8" w14:textId="77777777" w:rsidR="00E72022" w:rsidRPr="00CE28E3" w:rsidRDefault="00E72022" w:rsidP="003E76DF">
            <w:pPr>
              <w:pStyle w:val="TableText"/>
              <w:jc w:val="center"/>
              <w:rPr>
                <w:lang w:val="en-US"/>
              </w:rPr>
            </w:pPr>
            <w:r>
              <w:rPr>
                <w:lang w:val="en-US"/>
              </w:rPr>
              <w:t>Safety</w:t>
            </w:r>
          </w:p>
        </w:tc>
        <w:tc>
          <w:tcPr>
            <w:tcW w:w="756" w:type="pct"/>
            <w:shd w:val="clear" w:color="auto" w:fill="auto"/>
            <w:vAlign w:val="center"/>
          </w:tcPr>
          <w:p w14:paraId="467A33FB" w14:textId="77777777" w:rsidR="007476F1" w:rsidRPr="00CE28E3" w:rsidRDefault="00AD4A23" w:rsidP="003E76DF">
            <w:pPr>
              <w:pStyle w:val="TableText"/>
              <w:jc w:val="center"/>
              <w:rPr>
                <w:lang w:val="en-US"/>
              </w:rPr>
            </w:pPr>
            <w:r>
              <w:rPr>
                <w:lang w:val="en-US"/>
              </w:rPr>
              <w:t>Yes</w:t>
            </w:r>
          </w:p>
        </w:tc>
      </w:tr>
      <w:tr w:rsidR="00E72022" w:rsidRPr="00CE28E3" w14:paraId="6DDE9266" w14:textId="77777777" w:rsidTr="006A3793">
        <w:trPr>
          <w:cantSplit/>
        </w:trPr>
        <w:tc>
          <w:tcPr>
            <w:tcW w:w="672" w:type="pct"/>
            <w:shd w:val="clear" w:color="auto" w:fill="auto"/>
            <w:vAlign w:val="center"/>
          </w:tcPr>
          <w:p w14:paraId="127E16AF" w14:textId="77777777" w:rsidR="007476F1" w:rsidRPr="00CE28E3" w:rsidRDefault="007476F1" w:rsidP="003E76DF">
            <w:pPr>
              <w:pStyle w:val="TableText"/>
              <w:jc w:val="center"/>
              <w:rPr>
                <w:lang w:val="en-US"/>
              </w:rPr>
            </w:pPr>
            <w:r>
              <w:rPr>
                <w:lang w:val="en-US"/>
              </w:rPr>
              <w:t>HTRS Registry</w:t>
            </w:r>
          </w:p>
        </w:tc>
        <w:tc>
          <w:tcPr>
            <w:tcW w:w="424" w:type="pct"/>
            <w:shd w:val="clear" w:color="auto" w:fill="auto"/>
            <w:vAlign w:val="center"/>
          </w:tcPr>
          <w:p w14:paraId="0A390295" w14:textId="77777777" w:rsidR="007476F1" w:rsidRPr="00CE28E3" w:rsidRDefault="0022367B" w:rsidP="003E76DF">
            <w:pPr>
              <w:pStyle w:val="TableText"/>
              <w:jc w:val="center"/>
              <w:rPr>
                <w:lang w:val="en-US"/>
              </w:rPr>
            </w:pPr>
            <w:r>
              <w:rPr>
                <w:lang w:val="en-US"/>
              </w:rPr>
              <w:t>68</w:t>
            </w:r>
          </w:p>
        </w:tc>
        <w:tc>
          <w:tcPr>
            <w:tcW w:w="724" w:type="pct"/>
            <w:shd w:val="clear" w:color="auto" w:fill="auto"/>
            <w:vAlign w:val="center"/>
          </w:tcPr>
          <w:p w14:paraId="4824BAC9" w14:textId="77777777" w:rsidR="007476F1" w:rsidRDefault="007476F1" w:rsidP="003E76DF">
            <w:pPr>
              <w:pStyle w:val="TableText"/>
              <w:jc w:val="center"/>
              <w:rPr>
                <w:lang w:val="en-US"/>
              </w:rPr>
            </w:pPr>
            <w:r>
              <w:rPr>
                <w:lang w:val="en-US"/>
              </w:rPr>
              <w:t>Case series</w:t>
            </w:r>
          </w:p>
        </w:tc>
        <w:tc>
          <w:tcPr>
            <w:tcW w:w="458" w:type="pct"/>
            <w:shd w:val="clear" w:color="auto" w:fill="auto"/>
            <w:vAlign w:val="center"/>
          </w:tcPr>
          <w:p w14:paraId="441E94C0" w14:textId="77777777" w:rsidR="007476F1" w:rsidRDefault="007476F1" w:rsidP="003E76DF">
            <w:pPr>
              <w:pStyle w:val="TableText"/>
              <w:jc w:val="center"/>
              <w:rPr>
                <w:i/>
                <w:lang w:val="en-US"/>
              </w:rPr>
            </w:pPr>
            <w:r>
              <w:rPr>
                <w:i/>
                <w:lang w:val="en-US"/>
              </w:rPr>
              <w:t>Very high</w:t>
            </w:r>
          </w:p>
        </w:tc>
        <w:tc>
          <w:tcPr>
            <w:tcW w:w="707" w:type="pct"/>
            <w:shd w:val="clear" w:color="auto" w:fill="auto"/>
            <w:vAlign w:val="center"/>
          </w:tcPr>
          <w:p w14:paraId="643D5A85" w14:textId="77777777" w:rsidR="007476F1" w:rsidRPr="00CE28E3" w:rsidRDefault="007476F1" w:rsidP="003E76DF">
            <w:pPr>
              <w:pStyle w:val="TableText"/>
              <w:jc w:val="center"/>
              <w:rPr>
                <w:lang w:val="en-US"/>
              </w:rPr>
            </w:pPr>
            <w:r w:rsidRPr="0009306A">
              <w:rPr>
                <w:lang w:val="en-US"/>
              </w:rPr>
              <w:t>Patients with AHA</w:t>
            </w:r>
          </w:p>
        </w:tc>
        <w:tc>
          <w:tcPr>
            <w:tcW w:w="1259" w:type="pct"/>
            <w:shd w:val="clear" w:color="auto" w:fill="auto"/>
            <w:vAlign w:val="center"/>
          </w:tcPr>
          <w:p w14:paraId="20C6992E" w14:textId="77777777" w:rsidR="007476F1" w:rsidRDefault="00E72022" w:rsidP="003E76DF">
            <w:pPr>
              <w:pStyle w:val="TableText"/>
              <w:jc w:val="center"/>
              <w:rPr>
                <w:lang w:val="en-US"/>
              </w:rPr>
            </w:pPr>
            <w:r>
              <w:rPr>
                <w:lang w:val="en-US"/>
              </w:rPr>
              <w:t>Resolution of bleeding episodes</w:t>
            </w:r>
          </w:p>
          <w:p w14:paraId="7DEF2CA9" w14:textId="77777777" w:rsidR="00E72022" w:rsidRPr="00CE28E3" w:rsidRDefault="00E72022" w:rsidP="003E76DF">
            <w:pPr>
              <w:pStyle w:val="TableText"/>
              <w:jc w:val="center"/>
              <w:rPr>
                <w:lang w:val="en-US"/>
              </w:rPr>
            </w:pPr>
            <w:r>
              <w:rPr>
                <w:lang w:val="en-US"/>
              </w:rPr>
              <w:t>Safety</w:t>
            </w:r>
          </w:p>
        </w:tc>
        <w:tc>
          <w:tcPr>
            <w:tcW w:w="756" w:type="pct"/>
            <w:shd w:val="clear" w:color="auto" w:fill="auto"/>
            <w:vAlign w:val="center"/>
          </w:tcPr>
          <w:p w14:paraId="5B913D03" w14:textId="77777777" w:rsidR="007476F1" w:rsidRPr="00CE28E3" w:rsidRDefault="00AD4A23" w:rsidP="003E76DF">
            <w:pPr>
              <w:pStyle w:val="TableText"/>
              <w:jc w:val="center"/>
              <w:rPr>
                <w:lang w:val="en-US"/>
              </w:rPr>
            </w:pPr>
            <w:r>
              <w:rPr>
                <w:lang w:val="en-US"/>
              </w:rPr>
              <w:t>Yes</w:t>
            </w:r>
          </w:p>
        </w:tc>
      </w:tr>
      <w:tr w:rsidR="00E72022" w:rsidRPr="00CE28E3" w14:paraId="3BE01864" w14:textId="77777777" w:rsidTr="006A3793">
        <w:trPr>
          <w:cantSplit/>
        </w:trPr>
        <w:tc>
          <w:tcPr>
            <w:tcW w:w="672" w:type="pct"/>
            <w:shd w:val="clear" w:color="auto" w:fill="auto"/>
            <w:vAlign w:val="center"/>
          </w:tcPr>
          <w:p w14:paraId="0EA34BFE" w14:textId="77777777" w:rsidR="007476F1" w:rsidRPr="00CE28E3" w:rsidRDefault="007476F1" w:rsidP="003E76DF">
            <w:pPr>
              <w:pStyle w:val="TableText"/>
              <w:jc w:val="center"/>
              <w:rPr>
                <w:lang w:val="en-US"/>
              </w:rPr>
            </w:pPr>
            <w:r>
              <w:rPr>
                <w:lang w:val="en-US"/>
              </w:rPr>
              <w:t>NovoSeven CUP</w:t>
            </w:r>
          </w:p>
        </w:tc>
        <w:tc>
          <w:tcPr>
            <w:tcW w:w="424" w:type="pct"/>
            <w:shd w:val="clear" w:color="auto" w:fill="auto"/>
            <w:vAlign w:val="center"/>
          </w:tcPr>
          <w:p w14:paraId="29A70958" w14:textId="77777777" w:rsidR="007476F1" w:rsidRPr="00CE28E3" w:rsidRDefault="0022367B" w:rsidP="003E76DF">
            <w:pPr>
              <w:pStyle w:val="TableText"/>
              <w:jc w:val="center"/>
              <w:rPr>
                <w:lang w:val="en-US"/>
              </w:rPr>
            </w:pPr>
            <w:r>
              <w:rPr>
                <w:lang w:val="en-US"/>
              </w:rPr>
              <w:t>38</w:t>
            </w:r>
          </w:p>
        </w:tc>
        <w:tc>
          <w:tcPr>
            <w:tcW w:w="724" w:type="pct"/>
            <w:shd w:val="clear" w:color="auto" w:fill="auto"/>
            <w:vAlign w:val="center"/>
          </w:tcPr>
          <w:p w14:paraId="081E460B" w14:textId="77777777" w:rsidR="007476F1" w:rsidRDefault="007476F1" w:rsidP="003E76DF">
            <w:pPr>
              <w:pStyle w:val="TableText"/>
              <w:jc w:val="center"/>
              <w:rPr>
                <w:lang w:val="en-US"/>
              </w:rPr>
            </w:pPr>
            <w:r>
              <w:rPr>
                <w:lang w:val="en-US"/>
              </w:rPr>
              <w:t>Case series</w:t>
            </w:r>
          </w:p>
        </w:tc>
        <w:tc>
          <w:tcPr>
            <w:tcW w:w="458" w:type="pct"/>
            <w:shd w:val="clear" w:color="auto" w:fill="auto"/>
            <w:vAlign w:val="center"/>
          </w:tcPr>
          <w:p w14:paraId="0C71DC01" w14:textId="77777777" w:rsidR="007476F1" w:rsidRDefault="007476F1" w:rsidP="003E76DF">
            <w:pPr>
              <w:pStyle w:val="TableText"/>
              <w:jc w:val="center"/>
              <w:rPr>
                <w:i/>
                <w:lang w:val="en-US"/>
              </w:rPr>
            </w:pPr>
            <w:r>
              <w:rPr>
                <w:i/>
                <w:lang w:val="en-US"/>
              </w:rPr>
              <w:t>Very high</w:t>
            </w:r>
          </w:p>
        </w:tc>
        <w:tc>
          <w:tcPr>
            <w:tcW w:w="707" w:type="pct"/>
            <w:shd w:val="clear" w:color="auto" w:fill="auto"/>
            <w:vAlign w:val="center"/>
          </w:tcPr>
          <w:p w14:paraId="0711DB33" w14:textId="77777777" w:rsidR="007476F1" w:rsidRPr="00CE28E3" w:rsidRDefault="007476F1" w:rsidP="003E76DF">
            <w:pPr>
              <w:pStyle w:val="TableText"/>
              <w:jc w:val="center"/>
              <w:rPr>
                <w:lang w:val="en-US"/>
              </w:rPr>
            </w:pPr>
            <w:r w:rsidRPr="0009306A">
              <w:rPr>
                <w:lang w:val="en-US"/>
              </w:rPr>
              <w:t>Patients with AHA</w:t>
            </w:r>
            <w:r w:rsidR="0022367B">
              <w:rPr>
                <w:lang w:val="en-US"/>
              </w:rPr>
              <w:t xml:space="preserve"> suffering from a severe bleed</w:t>
            </w:r>
          </w:p>
        </w:tc>
        <w:tc>
          <w:tcPr>
            <w:tcW w:w="1259" w:type="pct"/>
            <w:shd w:val="clear" w:color="auto" w:fill="auto"/>
            <w:vAlign w:val="center"/>
          </w:tcPr>
          <w:p w14:paraId="5312D5EB" w14:textId="77777777" w:rsidR="007476F1" w:rsidRDefault="00E72022" w:rsidP="003E76DF">
            <w:pPr>
              <w:pStyle w:val="TableText"/>
              <w:jc w:val="center"/>
              <w:rPr>
                <w:lang w:val="en-US"/>
              </w:rPr>
            </w:pPr>
            <w:proofErr w:type="spellStart"/>
            <w:r w:rsidRPr="00E72022">
              <w:rPr>
                <w:lang w:val="en-US"/>
              </w:rPr>
              <w:t>Haemostatic</w:t>
            </w:r>
            <w:proofErr w:type="spellEnd"/>
            <w:r w:rsidRPr="00E72022">
              <w:rPr>
                <w:lang w:val="en-US"/>
              </w:rPr>
              <w:t xml:space="preserve"> response rate defined as either effective, partially </w:t>
            </w:r>
            <w:proofErr w:type="gramStart"/>
            <w:r w:rsidRPr="00E72022">
              <w:rPr>
                <w:lang w:val="en-US"/>
              </w:rPr>
              <w:t>effective</w:t>
            </w:r>
            <w:proofErr w:type="gramEnd"/>
            <w:r w:rsidRPr="00E72022">
              <w:rPr>
                <w:lang w:val="en-US"/>
              </w:rPr>
              <w:t xml:space="preserve"> or ineffective at 24 h and end of treatment</w:t>
            </w:r>
          </w:p>
          <w:p w14:paraId="14A58086" w14:textId="77777777" w:rsidR="00E72022" w:rsidRPr="00CE28E3" w:rsidRDefault="00E72022" w:rsidP="003E76DF">
            <w:pPr>
              <w:pStyle w:val="TableText"/>
              <w:jc w:val="center"/>
              <w:rPr>
                <w:lang w:val="en-US"/>
              </w:rPr>
            </w:pPr>
            <w:r>
              <w:rPr>
                <w:lang w:val="en-US"/>
              </w:rPr>
              <w:t>Safety</w:t>
            </w:r>
          </w:p>
        </w:tc>
        <w:tc>
          <w:tcPr>
            <w:tcW w:w="756" w:type="pct"/>
            <w:shd w:val="clear" w:color="auto" w:fill="auto"/>
            <w:vAlign w:val="center"/>
          </w:tcPr>
          <w:p w14:paraId="2C405A97" w14:textId="77777777" w:rsidR="007476F1" w:rsidRPr="00CE28E3" w:rsidRDefault="00AD4A23" w:rsidP="003E76DF">
            <w:pPr>
              <w:pStyle w:val="TableText"/>
              <w:jc w:val="center"/>
              <w:rPr>
                <w:lang w:val="en-US"/>
              </w:rPr>
            </w:pPr>
            <w:r>
              <w:rPr>
                <w:lang w:val="en-US"/>
              </w:rPr>
              <w:t>Yes</w:t>
            </w:r>
          </w:p>
        </w:tc>
      </w:tr>
      <w:tr w:rsidR="00E72022" w:rsidRPr="00CE28E3" w14:paraId="6AFCA5A8" w14:textId="77777777" w:rsidTr="006A3793">
        <w:trPr>
          <w:cantSplit/>
        </w:trPr>
        <w:tc>
          <w:tcPr>
            <w:tcW w:w="672" w:type="pct"/>
            <w:shd w:val="clear" w:color="auto" w:fill="auto"/>
            <w:vAlign w:val="center"/>
          </w:tcPr>
          <w:p w14:paraId="1F147D63" w14:textId="77777777" w:rsidR="007476F1" w:rsidRPr="00CE28E3" w:rsidRDefault="007476F1" w:rsidP="003E76DF">
            <w:pPr>
              <w:pStyle w:val="TableText"/>
              <w:jc w:val="center"/>
              <w:rPr>
                <w:lang w:val="en-US"/>
              </w:rPr>
            </w:pPr>
            <w:r>
              <w:rPr>
                <w:lang w:val="en-US"/>
              </w:rPr>
              <w:t>AHS Project</w:t>
            </w:r>
          </w:p>
        </w:tc>
        <w:tc>
          <w:tcPr>
            <w:tcW w:w="424" w:type="pct"/>
            <w:shd w:val="clear" w:color="auto" w:fill="auto"/>
            <w:vAlign w:val="center"/>
          </w:tcPr>
          <w:p w14:paraId="701AF642" w14:textId="77777777" w:rsidR="007476F1" w:rsidRPr="00CE28E3" w:rsidRDefault="0022367B" w:rsidP="003E76DF">
            <w:pPr>
              <w:pStyle w:val="TableText"/>
              <w:jc w:val="center"/>
              <w:rPr>
                <w:lang w:val="en-US"/>
              </w:rPr>
            </w:pPr>
            <w:r>
              <w:rPr>
                <w:lang w:val="en-US"/>
              </w:rPr>
              <w:t>65</w:t>
            </w:r>
          </w:p>
        </w:tc>
        <w:tc>
          <w:tcPr>
            <w:tcW w:w="724" w:type="pct"/>
            <w:shd w:val="clear" w:color="auto" w:fill="auto"/>
            <w:vAlign w:val="center"/>
          </w:tcPr>
          <w:p w14:paraId="55664420" w14:textId="77777777" w:rsidR="007476F1" w:rsidRDefault="007476F1" w:rsidP="003E76DF">
            <w:pPr>
              <w:pStyle w:val="TableText"/>
              <w:jc w:val="center"/>
              <w:rPr>
                <w:lang w:val="en-US"/>
              </w:rPr>
            </w:pPr>
            <w:r>
              <w:rPr>
                <w:lang w:val="en-US"/>
              </w:rPr>
              <w:t>Case series</w:t>
            </w:r>
          </w:p>
        </w:tc>
        <w:tc>
          <w:tcPr>
            <w:tcW w:w="458" w:type="pct"/>
            <w:shd w:val="clear" w:color="auto" w:fill="auto"/>
            <w:vAlign w:val="center"/>
          </w:tcPr>
          <w:p w14:paraId="4F506D18" w14:textId="77777777" w:rsidR="007476F1" w:rsidRDefault="007476F1" w:rsidP="003E76DF">
            <w:pPr>
              <w:pStyle w:val="TableText"/>
              <w:jc w:val="center"/>
              <w:rPr>
                <w:i/>
                <w:lang w:val="en-US"/>
              </w:rPr>
            </w:pPr>
            <w:r>
              <w:rPr>
                <w:i/>
                <w:lang w:val="en-US"/>
              </w:rPr>
              <w:t>Very high</w:t>
            </w:r>
          </w:p>
        </w:tc>
        <w:tc>
          <w:tcPr>
            <w:tcW w:w="707" w:type="pct"/>
            <w:shd w:val="clear" w:color="auto" w:fill="auto"/>
            <w:vAlign w:val="center"/>
          </w:tcPr>
          <w:p w14:paraId="5B761A05" w14:textId="77777777" w:rsidR="007476F1" w:rsidRPr="00CE28E3" w:rsidRDefault="007476F1" w:rsidP="003E76DF">
            <w:pPr>
              <w:pStyle w:val="TableText"/>
              <w:jc w:val="center"/>
              <w:rPr>
                <w:lang w:val="en-US"/>
              </w:rPr>
            </w:pPr>
            <w:r w:rsidRPr="0009306A">
              <w:rPr>
                <w:lang w:val="en-US"/>
              </w:rPr>
              <w:t>Patients with AHA</w:t>
            </w:r>
          </w:p>
        </w:tc>
        <w:tc>
          <w:tcPr>
            <w:tcW w:w="1259" w:type="pct"/>
            <w:shd w:val="clear" w:color="auto" w:fill="auto"/>
            <w:vAlign w:val="center"/>
          </w:tcPr>
          <w:p w14:paraId="5CD105A9" w14:textId="77777777" w:rsidR="007476F1" w:rsidRDefault="00E72022" w:rsidP="003E76DF">
            <w:pPr>
              <w:pStyle w:val="TableText"/>
              <w:jc w:val="center"/>
              <w:rPr>
                <w:lang w:val="en-US"/>
              </w:rPr>
            </w:pPr>
            <w:r>
              <w:rPr>
                <w:lang w:val="en-US"/>
              </w:rPr>
              <w:t>Incidence of AEs</w:t>
            </w:r>
          </w:p>
          <w:p w14:paraId="59D3080C" w14:textId="77777777" w:rsidR="00E72022" w:rsidRPr="00CE28E3" w:rsidRDefault="00E72022" w:rsidP="003E76DF">
            <w:pPr>
              <w:pStyle w:val="TableText"/>
              <w:jc w:val="center"/>
              <w:rPr>
                <w:lang w:val="en-US"/>
              </w:rPr>
            </w:pPr>
            <w:r w:rsidRPr="0017612C">
              <w:t>Haemostatic response rate at 24 h and 72 h, defined as an excellent/good or fair/partially effective response</w:t>
            </w:r>
          </w:p>
        </w:tc>
        <w:tc>
          <w:tcPr>
            <w:tcW w:w="756" w:type="pct"/>
            <w:shd w:val="clear" w:color="auto" w:fill="auto"/>
            <w:vAlign w:val="center"/>
          </w:tcPr>
          <w:p w14:paraId="0FE8A488" w14:textId="40429177" w:rsidR="007476F1" w:rsidRPr="00CE28E3" w:rsidRDefault="000D1A7D" w:rsidP="003E76DF">
            <w:pPr>
              <w:pStyle w:val="TableText"/>
              <w:jc w:val="center"/>
              <w:rPr>
                <w:lang w:val="en-US"/>
              </w:rPr>
            </w:pPr>
            <w:r>
              <w:rPr>
                <w:lang w:val="en-US"/>
              </w:rPr>
              <w:t>No</w:t>
            </w:r>
          </w:p>
        </w:tc>
      </w:tr>
      <w:tr w:rsidR="00E72022" w:rsidRPr="00CE28E3" w14:paraId="6D320FCF" w14:textId="77777777" w:rsidTr="006A3793">
        <w:trPr>
          <w:cantSplit/>
        </w:trPr>
        <w:tc>
          <w:tcPr>
            <w:tcW w:w="672" w:type="pct"/>
            <w:shd w:val="clear" w:color="auto" w:fill="auto"/>
            <w:vAlign w:val="center"/>
          </w:tcPr>
          <w:p w14:paraId="796C1D55" w14:textId="77777777" w:rsidR="007476F1" w:rsidRPr="00CE28E3" w:rsidRDefault="007476F1" w:rsidP="003E76DF">
            <w:pPr>
              <w:pStyle w:val="TableText"/>
              <w:jc w:val="center"/>
              <w:rPr>
                <w:lang w:val="en-US"/>
              </w:rPr>
            </w:pPr>
            <w:proofErr w:type="spellStart"/>
            <w:r w:rsidRPr="005D4EBD">
              <w:rPr>
                <w:lang w:val="en-US"/>
              </w:rPr>
              <w:t>Porrazzo</w:t>
            </w:r>
            <w:proofErr w:type="spellEnd"/>
            <w:r w:rsidRPr="005D4EBD">
              <w:rPr>
                <w:lang w:val="en-US"/>
              </w:rPr>
              <w:t xml:space="preserve"> et al. (2021)</w:t>
            </w:r>
          </w:p>
        </w:tc>
        <w:tc>
          <w:tcPr>
            <w:tcW w:w="424" w:type="pct"/>
            <w:shd w:val="clear" w:color="auto" w:fill="auto"/>
            <w:vAlign w:val="center"/>
          </w:tcPr>
          <w:p w14:paraId="43AE3718" w14:textId="77777777" w:rsidR="007476F1" w:rsidRPr="00CE28E3" w:rsidRDefault="00AD4A23" w:rsidP="003E76DF">
            <w:pPr>
              <w:pStyle w:val="TableText"/>
              <w:jc w:val="center"/>
              <w:rPr>
                <w:lang w:val="en-US"/>
              </w:rPr>
            </w:pPr>
            <w:r>
              <w:rPr>
                <w:lang w:val="en-US"/>
              </w:rPr>
              <w:t>26</w:t>
            </w:r>
          </w:p>
        </w:tc>
        <w:tc>
          <w:tcPr>
            <w:tcW w:w="724" w:type="pct"/>
            <w:shd w:val="clear" w:color="auto" w:fill="auto"/>
            <w:vAlign w:val="center"/>
          </w:tcPr>
          <w:p w14:paraId="0D847F3F" w14:textId="77777777" w:rsidR="007476F1" w:rsidRDefault="007476F1" w:rsidP="003E76DF">
            <w:pPr>
              <w:pStyle w:val="TableText"/>
              <w:jc w:val="center"/>
              <w:rPr>
                <w:lang w:val="en-US"/>
              </w:rPr>
            </w:pPr>
            <w:r>
              <w:rPr>
                <w:lang w:val="en-US"/>
              </w:rPr>
              <w:t>Case series</w:t>
            </w:r>
          </w:p>
        </w:tc>
        <w:tc>
          <w:tcPr>
            <w:tcW w:w="458" w:type="pct"/>
            <w:shd w:val="clear" w:color="auto" w:fill="auto"/>
            <w:vAlign w:val="center"/>
          </w:tcPr>
          <w:p w14:paraId="2F123A1A" w14:textId="77777777" w:rsidR="007476F1" w:rsidRDefault="007476F1" w:rsidP="003E76DF">
            <w:pPr>
              <w:pStyle w:val="TableText"/>
              <w:jc w:val="center"/>
              <w:rPr>
                <w:i/>
                <w:lang w:val="en-US"/>
              </w:rPr>
            </w:pPr>
            <w:r>
              <w:rPr>
                <w:i/>
                <w:lang w:val="en-US"/>
              </w:rPr>
              <w:t>Very high</w:t>
            </w:r>
          </w:p>
        </w:tc>
        <w:tc>
          <w:tcPr>
            <w:tcW w:w="707" w:type="pct"/>
            <w:shd w:val="clear" w:color="auto" w:fill="auto"/>
            <w:vAlign w:val="center"/>
          </w:tcPr>
          <w:p w14:paraId="694BC358" w14:textId="77777777" w:rsidR="007476F1" w:rsidRPr="00CE28E3" w:rsidRDefault="007476F1" w:rsidP="003E76DF">
            <w:pPr>
              <w:pStyle w:val="TableText"/>
              <w:jc w:val="center"/>
              <w:rPr>
                <w:lang w:val="en-US"/>
              </w:rPr>
            </w:pPr>
            <w:r w:rsidRPr="0009306A">
              <w:rPr>
                <w:lang w:val="en-US"/>
              </w:rPr>
              <w:t>Patients with AHA</w:t>
            </w:r>
          </w:p>
        </w:tc>
        <w:tc>
          <w:tcPr>
            <w:tcW w:w="1259" w:type="pct"/>
            <w:shd w:val="clear" w:color="auto" w:fill="auto"/>
            <w:vAlign w:val="center"/>
          </w:tcPr>
          <w:p w14:paraId="1A920740" w14:textId="77777777" w:rsidR="00E72022" w:rsidRPr="00E72022" w:rsidRDefault="00E72022" w:rsidP="003E76DF">
            <w:pPr>
              <w:pStyle w:val="TableText"/>
              <w:jc w:val="center"/>
              <w:rPr>
                <w:lang w:val="en-US"/>
              </w:rPr>
            </w:pPr>
            <w:proofErr w:type="spellStart"/>
            <w:r w:rsidRPr="00E72022">
              <w:rPr>
                <w:lang w:val="en-US"/>
              </w:rPr>
              <w:t>Haemostatic</w:t>
            </w:r>
            <w:proofErr w:type="spellEnd"/>
            <w:r w:rsidRPr="00E72022">
              <w:rPr>
                <w:lang w:val="en-US"/>
              </w:rPr>
              <w:t xml:space="preserve"> response rate based on Hb levels and/or resolution of bleeds</w:t>
            </w:r>
          </w:p>
          <w:p w14:paraId="6F2CD486" w14:textId="77777777" w:rsidR="007476F1" w:rsidRPr="00CE28E3" w:rsidRDefault="00E72022" w:rsidP="003E76DF">
            <w:pPr>
              <w:pStyle w:val="TableText"/>
              <w:jc w:val="center"/>
              <w:rPr>
                <w:lang w:val="en-US"/>
              </w:rPr>
            </w:pPr>
            <w:r w:rsidRPr="00E72022">
              <w:rPr>
                <w:lang w:val="en-US"/>
              </w:rPr>
              <w:t>Thromboembolic events</w:t>
            </w:r>
          </w:p>
        </w:tc>
        <w:tc>
          <w:tcPr>
            <w:tcW w:w="756" w:type="pct"/>
            <w:shd w:val="clear" w:color="auto" w:fill="auto"/>
            <w:vAlign w:val="center"/>
          </w:tcPr>
          <w:p w14:paraId="25E21450" w14:textId="62798E6A" w:rsidR="007476F1" w:rsidRPr="00CE28E3" w:rsidRDefault="000D1A7D" w:rsidP="003E76DF">
            <w:pPr>
              <w:pStyle w:val="TableText"/>
              <w:jc w:val="center"/>
              <w:rPr>
                <w:lang w:val="en-US"/>
              </w:rPr>
            </w:pPr>
            <w:r>
              <w:rPr>
                <w:lang w:val="en-US"/>
              </w:rPr>
              <w:t>No</w:t>
            </w:r>
          </w:p>
        </w:tc>
      </w:tr>
      <w:tr w:rsidR="006C0022" w:rsidRPr="005D4EBD" w14:paraId="64ABFF93" w14:textId="77777777" w:rsidTr="003E76DF">
        <w:trPr>
          <w:cantSplit/>
        </w:trPr>
        <w:tc>
          <w:tcPr>
            <w:tcW w:w="5000" w:type="pct"/>
            <w:gridSpan w:val="7"/>
            <w:shd w:val="clear" w:color="auto" w:fill="auto"/>
            <w:vAlign w:val="center"/>
          </w:tcPr>
          <w:p w14:paraId="349574BB" w14:textId="77777777" w:rsidR="006C0022" w:rsidRPr="005D4EBD" w:rsidRDefault="006C0022" w:rsidP="003E76DF">
            <w:pPr>
              <w:pStyle w:val="TableText"/>
              <w:jc w:val="center"/>
              <w:rPr>
                <w:b/>
                <w:lang w:val="en-US"/>
              </w:rPr>
            </w:pPr>
            <w:r w:rsidRPr="005D4EBD">
              <w:rPr>
                <w:b/>
                <w:lang w:val="en-US"/>
              </w:rPr>
              <w:t>FEIBA</w:t>
            </w:r>
          </w:p>
        </w:tc>
      </w:tr>
      <w:tr w:rsidR="00123BA7" w:rsidRPr="00CE28E3" w14:paraId="3ADFA224" w14:textId="77777777" w:rsidTr="006A3793">
        <w:trPr>
          <w:cantSplit/>
        </w:trPr>
        <w:tc>
          <w:tcPr>
            <w:tcW w:w="672" w:type="pct"/>
            <w:shd w:val="clear" w:color="auto" w:fill="auto"/>
            <w:vAlign w:val="center"/>
          </w:tcPr>
          <w:p w14:paraId="35789BD8" w14:textId="77777777" w:rsidR="00123BA7" w:rsidRPr="00CE28E3" w:rsidRDefault="00123BA7" w:rsidP="003E76DF">
            <w:pPr>
              <w:pStyle w:val="TableText"/>
              <w:jc w:val="center"/>
              <w:rPr>
                <w:lang w:val="en-US"/>
              </w:rPr>
            </w:pPr>
            <w:r>
              <w:rPr>
                <w:lang w:val="en-US"/>
              </w:rPr>
              <w:t>EACH2</w:t>
            </w:r>
          </w:p>
        </w:tc>
        <w:tc>
          <w:tcPr>
            <w:tcW w:w="424" w:type="pct"/>
            <w:shd w:val="clear" w:color="auto" w:fill="auto"/>
            <w:vAlign w:val="center"/>
          </w:tcPr>
          <w:p w14:paraId="6EFF8775" w14:textId="77777777" w:rsidR="00123BA7" w:rsidRPr="00CE28E3" w:rsidRDefault="00123BA7" w:rsidP="003E76DF">
            <w:pPr>
              <w:pStyle w:val="TableText"/>
              <w:jc w:val="center"/>
              <w:rPr>
                <w:lang w:val="en-US"/>
              </w:rPr>
            </w:pPr>
            <w:r>
              <w:rPr>
                <w:lang w:val="en-US"/>
              </w:rPr>
              <w:t>63</w:t>
            </w:r>
          </w:p>
        </w:tc>
        <w:tc>
          <w:tcPr>
            <w:tcW w:w="724" w:type="pct"/>
            <w:shd w:val="clear" w:color="auto" w:fill="auto"/>
            <w:vAlign w:val="center"/>
          </w:tcPr>
          <w:p w14:paraId="5BFC731C" w14:textId="77777777" w:rsidR="00123BA7" w:rsidRDefault="00123BA7" w:rsidP="003E76DF">
            <w:pPr>
              <w:pStyle w:val="TableText"/>
              <w:jc w:val="center"/>
              <w:rPr>
                <w:lang w:val="en-US"/>
              </w:rPr>
            </w:pPr>
            <w:r>
              <w:rPr>
                <w:lang w:val="en-US"/>
              </w:rPr>
              <w:t>Case series</w:t>
            </w:r>
          </w:p>
        </w:tc>
        <w:tc>
          <w:tcPr>
            <w:tcW w:w="458" w:type="pct"/>
            <w:shd w:val="clear" w:color="auto" w:fill="auto"/>
            <w:vAlign w:val="center"/>
          </w:tcPr>
          <w:p w14:paraId="7ED8F0AE" w14:textId="77777777" w:rsidR="00123BA7" w:rsidRDefault="00123BA7" w:rsidP="003E76DF">
            <w:pPr>
              <w:pStyle w:val="TableText"/>
              <w:jc w:val="center"/>
              <w:rPr>
                <w:i/>
                <w:lang w:val="en-US"/>
              </w:rPr>
            </w:pPr>
            <w:r>
              <w:rPr>
                <w:i/>
                <w:lang w:val="en-US"/>
              </w:rPr>
              <w:t>Very high</w:t>
            </w:r>
          </w:p>
        </w:tc>
        <w:tc>
          <w:tcPr>
            <w:tcW w:w="707" w:type="pct"/>
            <w:shd w:val="clear" w:color="auto" w:fill="auto"/>
            <w:vAlign w:val="center"/>
          </w:tcPr>
          <w:p w14:paraId="6396388C" w14:textId="77777777" w:rsidR="00123BA7" w:rsidRPr="00CE28E3" w:rsidRDefault="00123BA7" w:rsidP="003E76DF">
            <w:pPr>
              <w:pStyle w:val="TableText"/>
              <w:jc w:val="center"/>
              <w:rPr>
                <w:lang w:val="en-US"/>
              </w:rPr>
            </w:pPr>
            <w:r w:rsidRPr="007E247E">
              <w:rPr>
                <w:lang w:val="en-US"/>
              </w:rPr>
              <w:t>Patients with AHA</w:t>
            </w:r>
          </w:p>
        </w:tc>
        <w:tc>
          <w:tcPr>
            <w:tcW w:w="1259" w:type="pct"/>
            <w:shd w:val="clear" w:color="auto" w:fill="auto"/>
            <w:vAlign w:val="center"/>
          </w:tcPr>
          <w:p w14:paraId="15043E16" w14:textId="77777777" w:rsidR="00123BA7" w:rsidRDefault="008731D3" w:rsidP="003E76DF">
            <w:pPr>
              <w:pStyle w:val="TableText"/>
              <w:jc w:val="center"/>
              <w:rPr>
                <w:lang w:val="en-US"/>
              </w:rPr>
            </w:pPr>
            <w:r w:rsidRPr="008731D3">
              <w:rPr>
                <w:lang w:val="en-US"/>
              </w:rPr>
              <w:t>Control of the primary bleeding episode</w:t>
            </w:r>
          </w:p>
          <w:p w14:paraId="5ECE82B2" w14:textId="77777777" w:rsidR="008731D3" w:rsidRPr="00CE28E3" w:rsidRDefault="008731D3" w:rsidP="003E76DF">
            <w:pPr>
              <w:pStyle w:val="TableText"/>
              <w:jc w:val="center"/>
              <w:rPr>
                <w:lang w:val="en-US"/>
              </w:rPr>
            </w:pPr>
            <w:r>
              <w:rPr>
                <w:lang w:val="en-US"/>
              </w:rPr>
              <w:t>Safety</w:t>
            </w:r>
          </w:p>
        </w:tc>
        <w:tc>
          <w:tcPr>
            <w:tcW w:w="756" w:type="pct"/>
            <w:shd w:val="clear" w:color="auto" w:fill="auto"/>
            <w:vAlign w:val="center"/>
          </w:tcPr>
          <w:p w14:paraId="3378C30D" w14:textId="77777777" w:rsidR="00123BA7" w:rsidRPr="00CE28E3" w:rsidRDefault="00123BA7" w:rsidP="003E76DF">
            <w:pPr>
              <w:pStyle w:val="TableText"/>
              <w:jc w:val="center"/>
              <w:rPr>
                <w:lang w:val="en-US"/>
              </w:rPr>
            </w:pPr>
            <w:r w:rsidRPr="00BB7865">
              <w:rPr>
                <w:lang w:val="en-US"/>
              </w:rPr>
              <w:t>Yes</w:t>
            </w:r>
          </w:p>
        </w:tc>
      </w:tr>
      <w:tr w:rsidR="00123BA7" w:rsidRPr="00CE28E3" w14:paraId="2CDB58E3" w14:textId="77777777" w:rsidTr="006A3793">
        <w:trPr>
          <w:cantSplit/>
        </w:trPr>
        <w:tc>
          <w:tcPr>
            <w:tcW w:w="672" w:type="pct"/>
            <w:shd w:val="clear" w:color="auto" w:fill="auto"/>
            <w:vAlign w:val="center"/>
          </w:tcPr>
          <w:p w14:paraId="305BFF71" w14:textId="77777777" w:rsidR="00123BA7" w:rsidRPr="00CE28E3" w:rsidRDefault="00123BA7" w:rsidP="003E76DF">
            <w:pPr>
              <w:pStyle w:val="TableText"/>
              <w:jc w:val="center"/>
              <w:rPr>
                <w:lang w:val="en-US"/>
              </w:rPr>
            </w:pPr>
            <w:proofErr w:type="spellStart"/>
            <w:r w:rsidRPr="005D4EBD">
              <w:rPr>
                <w:lang w:val="en-US"/>
              </w:rPr>
              <w:t>Porrazzo</w:t>
            </w:r>
            <w:proofErr w:type="spellEnd"/>
            <w:r w:rsidRPr="005D4EBD">
              <w:rPr>
                <w:lang w:val="en-US"/>
              </w:rPr>
              <w:t xml:space="preserve"> et al. (2021)</w:t>
            </w:r>
          </w:p>
        </w:tc>
        <w:tc>
          <w:tcPr>
            <w:tcW w:w="424" w:type="pct"/>
            <w:shd w:val="clear" w:color="auto" w:fill="auto"/>
            <w:vAlign w:val="center"/>
          </w:tcPr>
          <w:p w14:paraId="54636D03" w14:textId="77777777" w:rsidR="00123BA7" w:rsidRPr="00CE28E3" w:rsidRDefault="00123BA7" w:rsidP="003E76DF">
            <w:pPr>
              <w:pStyle w:val="TableText"/>
              <w:jc w:val="center"/>
              <w:rPr>
                <w:lang w:val="en-US"/>
              </w:rPr>
            </w:pPr>
            <w:r>
              <w:rPr>
                <w:lang w:val="en-US"/>
              </w:rPr>
              <w:t>19</w:t>
            </w:r>
          </w:p>
        </w:tc>
        <w:tc>
          <w:tcPr>
            <w:tcW w:w="724" w:type="pct"/>
            <w:shd w:val="clear" w:color="auto" w:fill="auto"/>
            <w:vAlign w:val="center"/>
          </w:tcPr>
          <w:p w14:paraId="0559F990" w14:textId="77777777" w:rsidR="00123BA7" w:rsidRDefault="00123BA7" w:rsidP="003E76DF">
            <w:pPr>
              <w:pStyle w:val="TableText"/>
              <w:jc w:val="center"/>
              <w:rPr>
                <w:lang w:val="en-US"/>
              </w:rPr>
            </w:pPr>
            <w:r>
              <w:rPr>
                <w:lang w:val="en-US"/>
              </w:rPr>
              <w:t>Case series</w:t>
            </w:r>
          </w:p>
        </w:tc>
        <w:tc>
          <w:tcPr>
            <w:tcW w:w="458" w:type="pct"/>
            <w:shd w:val="clear" w:color="auto" w:fill="auto"/>
            <w:vAlign w:val="center"/>
          </w:tcPr>
          <w:p w14:paraId="67C7CB3F" w14:textId="77777777" w:rsidR="00123BA7" w:rsidRDefault="00123BA7" w:rsidP="003E76DF">
            <w:pPr>
              <w:pStyle w:val="TableText"/>
              <w:jc w:val="center"/>
              <w:rPr>
                <w:i/>
                <w:lang w:val="en-US"/>
              </w:rPr>
            </w:pPr>
            <w:r>
              <w:rPr>
                <w:i/>
                <w:lang w:val="en-US"/>
              </w:rPr>
              <w:t>Very high</w:t>
            </w:r>
          </w:p>
        </w:tc>
        <w:tc>
          <w:tcPr>
            <w:tcW w:w="707" w:type="pct"/>
            <w:shd w:val="clear" w:color="auto" w:fill="auto"/>
            <w:vAlign w:val="center"/>
          </w:tcPr>
          <w:p w14:paraId="76CD2A17" w14:textId="77777777" w:rsidR="00123BA7" w:rsidRPr="00CE28E3" w:rsidRDefault="00123BA7" w:rsidP="003E76DF">
            <w:pPr>
              <w:pStyle w:val="TableText"/>
              <w:jc w:val="center"/>
              <w:rPr>
                <w:lang w:val="en-US"/>
              </w:rPr>
            </w:pPr>
            <w:r w:rsidRPr="007E247E">
              <w:rPr>
                <w:lang w:val="en-US"/>
              </w:rPr>
              <w:t>Patients with AHA</w:t>
            </w:r>
          </w:p>
        </w:tc>
        <w:tc>
          <w:tcPr>
            <w:tcW w:w="1259" w:type="pct"/>
            <w:shd w:val="clear" w:color="auto" w:fill="auto"/>
            <w:vAlign w:val="center"/>
          </w:tcPr>
          <w:p w14:paraId="37D4BE60" w14:textId="77777777" w:rsidR="00123BA7" w:rsidRDefault="008731D3" w:rsidP="003E76DF">
            <w:pPr>
              <w:pStyle w:val="TableText"/>
              <w:jc w:val="center"/>
              <w:rPr>
                <w:lang w:val="en-US"/>
              </w:rPr>
            </w:pPr>
            <w:proofErr w:type="spellStart"/>
            <w:r w:rsidRPr="008731D3">
              <w:rPr>
                <w:lang w:val="en-US"/>
              </w:rPr>
              <w:t>Haemostatic</w:t>
            </w:r>
            <w:proofErr w:type="spellEnd"/>
            <w:r w:rsidRPr="008731D3">
              <w:rPr>
                <w:lang w:val="en-US"/>
              </w:rPr>
              <w:t xml:space="preserve"> response rate based on Hb levels and/or resolution of bleeds</w:t>
            </w:r>
          </w:p>
          <w:p w14:paraId="779832D3" w14:textId="77777777" w:rsidR="008731D3" w:rsidRPr="00CE28E3" w:rsidRDefault="008731D3" w:rsidP="003E76DF">
            <w:pPr>
              <w:pStyle w:val="TableText"/>
              <w:jc w:val="center"/>
              <w:rPr>
                <w:lang w:val="en-US"/>
              </w:rPr>
            </w:pPr>
            <w:r>
              <w:rPr>
                <w:lang w:val="en-US"/>
              </w:rPr>
              <w:t>Safety</w:t>
            </w:r>
          </w:p>
        </w:tc>
        <w:tc>
          <w:tcPr>
            <w:tcW w:w="756" w:type="pct"/>
            <w:shd w:val="clear" w:color="auto" w:fill="auto"/>
            <w:vAlign w:val="center"/>
          </w:tcPr>
          <w:p w14:paraId="24E2D392" w14:textId="5008634F" w:rsidR="00123BA7" w:rsidRPr="00CE28E3" w:rsidRDefault="00350146" w:rsidP="003E76DF">
            <w:pPr>
              <w:pStyle w:val="TableText"/>
              <w:jc w:val="center"/>
              <w:rPr>
                <w:lang w:val="en-US"/>
              </w:rPr>
            </w:pPr>
            <w:r>
              <w:rPr>
                <w:lang w:val="en-US"/>
              </w:rPr>
              <w:t>No</w:t>
            </w:r>
          </w:p>
        </w:tc>
      </w:tr>
      <w:tr w:rsidR="00123BA7" w:rsidRPr="00CE28E3" w14:paraId="39D29EA5" w14:textId="77777777" w:rsidTr="006A3793">
        <w:trPr>
          <w:cantSplit/>
        </w:trPr>
        <w:tc>
          <w:tcPr>
            <w:tcW w:w="672" w:type="pct"/>
            <w:shd w:val="clear" w:color="auto" w:fill="auto"/>
            <w:vAlign w:val="center"/>
          </w:tcPr>
          <w:p w14:paraId="75EDD5ED" w14:textId="77777777" w:rsidR="00123BA7" w:rsidRPr="00CE28E3" w:rsidRDefault="00123BA7" w:rsidP="003E76DF">
            <w:pPr>
              <w:pStyle w:val="TableText"/>
              <w:jc w:val="center"/>
              <w:rPr>
                <w:lang w:val="en-US"/>
              </w:rPr>
            </w:pPr>
            <w:r>
              <w:rPr>
                <w:lang w:val="en-US"/>
              </w:rPr>
              <w:t>FAIR Registry</w:t>
            </w:r>
          </w:p>
        </w:tc>
        <w:tc>
          <w:tcPr>
            <w:tcW w:w="424" w:type="pct"/>
            <w:shd w:val="clear" w:color="auto" w:fill="auto"/>
            <w:vAlign w:val="center"/>
          </w:tcPr>
          <w:p w14:paraId="4034E0A8" w14:textId="77777777" w:rsidR="00123BA7" w:rsidRPr="00CE28E3" w:rsidRDefault="00123BA7" w:rsidP="003E76DF">
            <w:pPr>
              <w:pStyle w:val="TableText"/>
              <w:jc w:val="center"/>
              <w:rPr>
                <w:lang w:val="en-US"/>
              </w:rPr>
            </w:pPr>
            <w:r>
              <w:rPr>
                <w:lang w:val="en-US"/>
              </w:rPr>
              <w:t>56</w:t>
            </w:r>
          </w:p>
        </w:tc>
        <w:tc>
          <w:tcPr>
            <w:tcW w:w="724" w:type="pct"/>
            <w:shd w:val="clear" w:color="auto" w:fill="auto"/>
            <w:vAlign w:val="center"/>
          </w:tcPr>
          <w:p w14:paraId="479B54BD" w14:textId="77777777" w:rsidR="00123BA7" w:rsidRDefault="00123BA7" w:rsidP="003E76DF">
            <w:pPr>
              <w:pStyle w:val="TableText"/>
              <w:jc w:val="center"/>
              <w:rPr>
                <w:lang w:val="en-US"/>
              </w:rPr>
            </w:pPr>
            <w:r>
              <w:rPr>
                <w:lang w:val="en-US"/>
              </w:rPr>
              <w:t>Case series</w:t>
            </w:r>
          </w:p>
        </w:tc>
        <w:tc>
          <w:tcPr>
            <w:tcW w:w="458" w:type="pct"/>
            <w:shd w:val="clear" w:color="auto" w:fill="auto"/>
            <w:vAlign w:val="center"/>
          </w:tcPr>
          <w:p w14:paraId="2D0EA9FB" w14:textId="77777777" w:rsidR="00123BA7" w:rsidRDefault="00123BA7" w:rsidP="003E76DF">
            <w:pPr>
              <w:pStyle w:val="TableText"/>
              <w:jc w:val="center"/>
              <w:rPr>
                <w:i/>
                <w:lang w:val="en-US"/>
              </w:rPr>
            </w:pPr>
            <w:r>
              <w:rPr>
                <w:i/>
                <w:lang w:val="en-US"/>
              </w:rPr>
              <w:t>Very high</w:t>
            </w:r>
          </w:p>
        </w:tc>
        <w:tc>
          <w:tcPr>
            <w:tcW w:w="707" w:type="pct"/>
            <w:shd w:val="clear" w:color="auto" w:fill="auto"/>
            <w:vAlign w:val="center"/>
          </w:tcPr>
          <w:p w14:paraId="269BDB6D" w14:textId="77777777" w:rsidR="00123BA7" w:rsidRPr="00CE28E3" w:rsidRDefault="00123BA7" w:rsidP="003E76DF">
            <w:pPr>
              <w:pStyle w:val="TableText"/>
              <w:jc w:val="center"/>
              <w:rPr>
                <w:lang w:val="en-US"/>
              </w:rPr>
            </w:pPr>
            <w:r w:rsidRPr="007E247E">
              <w:rPr>
                <w:lang w:val="en-US"/>
              </w:rPr>
              <w:t>Patients with AHA</w:t>
            </w:r>
          </w:p>
        </w:tc>
        <w:tc>
          <w:tcPr>
            <w:tcW w:w="1259" w:type="pct"/>
            <w:shd w:val="clear" w:color="auto" w:fill="auto"/>
            <w:vAlign w:val="center"/>
          </w:tcPr>
          <w:p w14:paraId="443DA4E3" w14:textId="77777777" w:rsidR="00123BA7" w:rsidRDefault="008731D3" w:rsidP="003E76DF">
            <w:pPr>
              <w:pStyle w:val="TableText"/>
              <w:jc w:val="center"/>
            </w:pPr>
            <w:r w:rsidRPr="0017612C">
              <w:t xml:space="preserve">Dosage, duration of treatment, </w:t>
            </w:r>
            <w:r>
              <w:t xml:space="preserve">and </w:t>
            </w:r>
            <w:r w:rsidRPr="0017612C">
              <w:t>efficacy</w:t>
            </w:r>
          </w:p>
          <w:p w14:paraId="0BEB6C77" w14:textId="77777777" w:rsidR="008731D3" w:rsidRPr="00CE28E3" w:rsidRDefault="008731D3" w:rsidP="003E76DF">
            <w:pPr>
              <w:pStyle w:val="TableText"/>
              <w:jc w:val="center"/>
              <w:rPr>
                <w:lang w:val="en-US"/>
              </w:rPr>
            </w:pPr>
            <w:r>
              <w:rPr>
                <w:lang w:val="en-US"/>
              </w:rPr>
              <w:t>Safety</w:t>
            </w:r>
          </w:p>
        </w:tc>
        <w:tc>
          <w:tcPr>
            <w:tcW w:w="756" w:type="pct"/>
            <w:shd w:val="clear" w:color="auto" w:fill="auto"/>
            <w:vAlign w:val="center"/>
          </w:tcPr>
          <w:p w14:paraId="61ACB618" w14:textId="77777777" w:rsidR="00123BA7" w:rsidRPr="00CE28E3" w:rsidRDefault="00123BA7" w:rsidP="003E76DF">
            <w:pPr>
              <w:pStyle w:val="TableText"/>
              <w:jc w:val="center"/>
              <w:rPr>
                <w:lang w:val="en-US"/>
              </w:rPr>
            </w:pPr>
            <w:r w:rsidRPr="00BB7865">
              <w:rPr>
                <w:lang w:val="en-US"/>
              </w:rPr>
              <w:t>Yes</w:t>
            </w:r>
          </w:p>
        </w:tc>
      </w:tr>
      <w:tr w:rsidR="00123BA7" w:rsidRPr="00CE28E3" w14:paraId="3D92FBE1" w14:textId="77777777" w:rsidTr="006A3793">
        <w:trPr>
          <w:cantSplit/>
        </w:trPr>
        <w:tc>
          <w:tcPr>
            <w:tcW w:w="672" w:type="pct"/>
            <w:shd w:val="clear" w:color="auto" w:fill="auto"/>
            <w:vAlign w:val="center"/>
          </w:tcPr>
          <w:p w14:paraId="601CF74E" w14:textId="77777777" w:rsidR="00123BA7" w:rsidRPr="00CE28E3" w:rsidRDefault="00123BA7" w:rsidP="003E76DF">
            <w:pPr>
              <w:pStyle w:val="TableText"/>
              <w:jc w:val="center"/>
              <w:rPr>
                <w:lang w:val="en-US"/>
              </w:rPr>
            </w:pPr>
            <w:r>
              <w:rPr>
                <w:lang w:val="en-US"/>
              </w:rPr>
              <w:t xml:space="preserve">FEIBHAC </w:t>
            </w:r>
            <w:proofErr w:type="spellStart"/>
            <w:r>
              <w:rPr>
                <w:lang w:val="en-US"/>
              </w:rPr>
              <w:t>Regsitry</w:t>
            </w:r>
            <w:proofErr w:type="spellEnd"/>
          </w:p>
        </w:tc>
        <w:tc>
          <w:tcPr>
            <w:tcW w:w="424" w:type="pct"/>
            <w:shd w:val="clear" w:color="auto" w:fill="auto"/>
            <w:vAlign w:val="center"/>
          </w:tcPr>
          <w:p w14:paraId="52486398" w14:textId="77777777" w:rsidR="00123BA7" w:rsidRPr="00CE28E3" w:rsidRDefault="00123BA7" w:rsidP="003E76DF">
            <w:pPr>
              <w:pStyle w:val="TableText"/>
              <w:jc w:val="center"/>
              <w:rPr>
                <w:lang w:val="en-US"/>
              </w:rPr>
            </w:pPr>
            <w:r>
              <w:rPr>
                <w:lang w:val="en-US"/>
              </w:rPr>
              <w:t>34</w:t>
            </w:r>
          </w:p>
        </w:tc>
        <w:tc>
          <w:tcPr>
            <w:tcW w:w="724" w:type="pct"/>
            <w:shd w:val="clear" w:color="auto" w:fill="auto"/>
            <w:vAlign w:val="center"/>
          </w:tcPr>
          <w:p w14:paraId="3E21AC83" w14:textId="77777777" w:rsidR="00123BA7" w:rsidRDefault="00123BA7" w:rsidP="003E76DF">
            <w:pPr>
              <w:pStyle w:val="TableText"/>
              <w:jc w:val="center"/>
              <w:rPr>
                <w:lang w:val="en-US"/>
              </w:rPr>
            </w:pPr>
            <w:r>
              <w:rPr>
                <w:lang w:val="en-US"/>
              </w:rPr>
              <w:t>Case series</w:t>
            </w:r>
          </w:p>
        </w:tc>
        <w:tc>
          <w:tcPr>
            <w:tcW w:w="458" w:type="pct"/>
            <w:shd w:val="clear" w:color="auto" w:fill="auto"/>
            <w:vAlign w:val="center"/>
          </w:tcPr>
          <w:p w14:paraId="2CE405D1" w14:textId="77777777" w:rsidR="00123BA7" w:rsidRDefault="00123BA7" w:rsidP="003E76DF">
            <w:pPr>
              <w:pStyle w:val="TableText"/>
              <w:jc w:val="center"/>
              <w:rPr>
                <w:i/>
                <w:lang w:val="en-US"/>
              </w:rPr>
            </w:pPr>
            <w:r>
              <w:rPr>
                <w:i/>
                <w:lang w:val="en-US"/>
              </w:rPr>
              <w:t>Very high</w:t>
            </w:r>
          </w:p>
        </w:tc>
        <w:tc>
          <w:tcPr>
            <w:tcW w:w="707" w:type="pct"/>
            <w:shd w:val="clear" w:color="auto" w:fill="auto"/>
            <w:vAlign w:val="center"/>
          </w:tcPr>
          <w:p w14:paraId="42BFEFCD" w14:textId="77777777" w:rsidR="00123BA7" w:rsidRPr="00CE28E3" w:rsidRDefault="00123BA7" w:rsidP="003E76DF">
            <w:pPr>
              <w:pStyle w:val="TableText"/>
              <w:jc w:val="center"/>
              <w:rPr>
                <w:lang w:val="en-US"/>
              </w:rPr>
            </w:pPr>
            <w:r w:rsidRPr="007E247E">
              <w:rPr>
                <w:lang w:val="en-US"/>
              </w:rPr>
              <w:t>Patients with AHA</w:t>
            </w:r>
            <w:r>
              <w:rPr>
                <w:lang w:val="en-US"/>
              </w:rPr>
              <w:t xml:space="preserve"> aged &gt; 18 years with an initial or recurrent bleed </w:t>
            </w:r>
            <w:r w:rsidR="008731D3" w:rsidRPr="0017612C">
              <w:t>and/or invasive procedure such as surgery</w:t>
            </w:r>
          </w:p>
        </w:tc>
        <w:tc>
          <w:tcPr>
            <w:tcW w:w="1259" w:type="pct"/>
            <w:shd w:val="clear" w:color="auto" w:fill="auto"/>
            <w:vAlign w:val="center"/>
          </w:tcPr>
          <w:p w14:paraId="585F733F" w14:textId="77777777" w:rsidR="00123BA7" w:rsidRDefault="008731D3" w:rsidP="003E76DF">
            <w:pPr>
              <w:pStyle w:val="TableText"/>
              <w:jc w:val="center"/>
              <w:rPr>
                <w:lang w:val="en-US"/>
              </w:rPr>
            </w:pPr>
            <w:r w:rsidRPr="008731D3">
              <w:rPr>
                <w:lang w:val="en-US"/>
              </w:rPr>
              <w:t xml:space="preserve">Overall assessment of </w:t>
            </w:r>
            <w:proofErr w:type="spellStart"/>
            <w:r w:rsidRPr="008731D3">
              <w:rPr>
                <w:lang w:val="en-US"/>
              </w:rPr>
              <w:t>haemostatic</w:t>
            </w:r>
            <w:proofErr w:type="spellEnd"/>
            <w:r w:rsidRPr="008731D3">
              <w:rPr>
                <w:lang w:val="en-US"/>
              </w:rPr>
              <w:t xml:space="preserve"> efficacy</w:t>
            </w:r>
          </w:p>
          <w:p w14:paraId="60D527AE" w14:textId="77777777" w:rsidR="008731D3" w:rsidRPr="00CE28E3" w:rsidRDefault="008731D3" w:rsidP="003E76DF">
            <w:pPr>
              <w:pStyle w:val="TableText"/>
              <w:jc w:val="center"/>
              <w:rPr>
                <w:lang w:val="en-US"/>
              </w:rPr>
            </w:pPr>
            <w:r>
              <w:rPr>
                <w:lang w:val="en-US"/>
              </w:rPr>
              <w:t>Safety</w:t>
            </w:r>
          </w:p>
        </w:tc>
        <w:tc>
          <w:tcPr>
            <w:tcW w:w="756" w:type="pct"/>
            <w:shd w:val="clear" w:color="auto" w:fill="auto"/>
            <w:vAlign w:val="center"/>
          </w:tcPr>
          <w:p w14:paraId="6C601859" w14:textId="77777777" w:rsidR="00123BA7" w:rsidRPr="00CE28E3" w:rsidRDefault="00123BA7" w:rsidP="003E76DF">
            <w:pPr>
              <w:pStyle w:val="TableText"/>
              <w:jc w:val="center"/>
              <w:rPr>
                <w:lang w:val="en-US"/>
              </w:rPr>
            </w:pPr>
            <w:r w:rsidRPr="00BB7865">
              <w:rPr>
                <w:lang w:val="en-US"/>
              </w:rPr>
              <w:t>Yes</w:t>
            </w:r>
          </w:p>
        </w:tc>
      </w:tr>
      <w:tr w:rsidR="00123BA7" w:rsidRPr="00CE28E3" w14:paraId="60A3CC70" w14:textId="77777777" w:rsidTr="006A3793">
        <w:trPr>
          <w:cantSplit/>
        </w:trPr>
        <w:tc>
          <w:tcPr>
            <w:tcW w:w="672" w:type="pct"/>
            <w:shd w:val="clear" w:color="auto" w:fill="auto"/>
            <w:vAlign w:val="center"/>
          </w:tcPr>
          <w:p w14:paraId="4AD5AFCB" w14:textId="77777777" w:rsidR="00123BA7" w:rsidRPr="00CE28E3" w:rsidRDefault="00123BA7" w:rsidP="003E76DF">
            <w:pPr>
              <w:pStyle w:val="TableText"/>
              <w:jc w:val="center"/>
              <w:rPr>
                <w:lang w:val="en-US"/>
              </w:rPr>
            </w:pPr>
            <w:proofErr w:type="spellStart"/>
            <w:r>
              <w:rPr>
                <w:lang w:val="en-US"/>
              </w:rPr>
              <w:t>Sallah</w:t>
            </w:r>
            <w:proofErr w:type="spellEnd"/>
            <w:r>
              <w:rPr>
                <w:lang w:val="en-US"/>
              </w:rPr>
              <w:t xml:space="preserve"> et al. (2004)</w:t>
            </w:r>
          </w:p>
        </w:tc>
        <w:tc>
          <w:tcPr>
            <w:tcW w:w="424" w:type="pct"/>
            <w:shd w:val="clear" w:color="auto" w:fill="auto"/>
            <w:vAlign w:val="center"/>
          </w:tcPr>
          <w:p w14:paraId="02C5DC69" w14:textId="77777777" w:rsidR="00123BA7" w:rsidRPr="00CE28E3" w:rsidRDefault="00123BA7" w:rsidP="003E76DF">
            <w:pPr>
              <w:pStyle w:val="TableText"/>
              <w:jc w:val="center"/>
              <w:rPr>
                <w:lang w:val="en-US"/>
              </w:rPr>
            </w:pPr>
            <w:r>
              <w:rPr>
                <w:lang w:val="en-US"/>
              </w:rPr>
              <w:t>34</w:t>
            </w:r>
          </w:p>
        </w:tc>
        <w:tc>
          <w:tcPr>
            <w:tcW w:w="724" w:type="pct"/>
            <w:shd w:val="clear" w:color="auto" w:fill="auto"/>
            <w:vAlign w:val="center"/>
          </w:tcPr>
          <w:p w14:paraId="7BA55D91" w14:textId="77777777" w:rsidR="00123BA7" w:rsidRDefault="00123BA7" w:rsidP="003E76DF">
            <w:pPr>
              <w:pStyle w:val="TableText"/>
              <w:jc w:val="center"/>
              <w:rPr>
                <w:lang w:val="en-US"/>
              </w:rPr>
            </w:pPr>
            <w:r>
              <w:rPr>
                <w:lang w:val="en-US"/>
              </w:rPr>
              <w:t>Case series</w:t>
            </w:r>
          </w:p>
        </w:tc>
        <w:tc>
          <w:tcPr>
            <w:tcW w:w="458" w:type="pct"/>
            <w:shd w:val="clear" w:color="auto" w:fill="auto"/>
            <w:vAlign w:val="center"/>
          </w:tcPr>
          <w:p w14:paraId="12037114" w14:textId="77777777" w:rsidR="00123BA7" w:rsidRDefault="00123BA7" w:rsidP="003E76DF">
            <w:pPr>
              <w:pStyle w:val="TableText"/>
              <w:jc w:val="center"/>
              <w:rPr>
                <w:i/>
                <w:lang w:val="en-US"/>
              </w:rPr>
            </w:pPr>
            <w:r>
              <w:rPr>
                <w:i/>
                <w:lang w:val="en-US"/>
              </w:rPr>
              <w:t>Very high</w:t>
            </w:r>
          </w:p>
        </w:tc>
        <w:tc>
          <w:tcPr>
            <w:tcW w:w="707" w:type="pct"/>
            <w:shd w:val="clear" w:color="auto" w:fill="auto"/>
            <w:vAlign w:val="center"/>
          </w:tcPr>
          <w:p w14:paraId="2915B7F3" w14:textId="77777777" w:rsidR="00123BA7" w:rsidRPr="00CE28E3" w:rsidRDefault="00123BA7" w:rsidP="003E76DF">
            <w:pPr>
              <w:pStyle w:val="TableText"/>
              <w:jc w:val="center"/>
              <w:rPr>
                <w:lang w:val="en-US"/>
              </w:rPr>
            </w:pPr>
            <w:r w:rsidRPr="007E247E">
              <w:rPr>
                <w:lang w:val="en-US"/>
              </w:rPr>
              <w:t>Patients with AHA</w:t>
            </w:r>
            <w:r w:rsidR="008731D3">
              <w:rPr>
                <w:lang w:val="en-US"/>
              </w:rPr>
              <w:t xml:space="preserve"> who were treated with FEIBA as first-line therapy</w:t>
            </w:r>
          </w:p>
        </w:tc>
        <w:tc>
          <w:tcPr>
            <w:tcW w:w="1259" w:type="pct"/>
            <w:shd w:val="clear" w:color="auto" w:fill="auto"/>
            <w:vAlign w:val="center"/>
          </w:tcPr>
          <w:p w14:paraId="413EBB25" w14:textId="77777777" w:rsidR="00123BA7" w:rsidRDefault="008731D3" w:rsidP="003E76DF">
            <w:pPr>
              <w:pStyle w:val="TableText"/>
              <w:jc w:val="center"/>
            </w:pPr>
            <w:r w:rsidRPr="0017612C">
              <w:t>Major response to FEIBA defined as complete control or substantial reduction of bleeding</w:t>
            </w:r>
          </w:p>
          <w:p w14:paraId="1E9E5A6D" w14:textId="77777777" w:rsidR="008731D3" w:rsidRPr="00CE28E3" w:rsidRDefault="008731D3" w:rsidP="003E76DF">
            <w:pPr>
              <w:pStyle w:val="TableText"/>
              <w:jc w:val="center"/>
              <w:rPr>
                <w:lang w:val="en-US"/>
              </w:rPr>
            </w:pPr>
            <w:r>
              <w:rPr>
                <w:lang w:val="en-US"/>
              </w:rPr>
              <w:t>Safety</w:t>
            </w:r>
          </w:p>
        </w:tc>
        <w:tc>
          <w:tcPr>
            <w:tcW w:w="756" w:type="pct"/>
            <w:shd w:val="clear" w:color="auto" w:fill="auto"/>
            <w:vAlign w:val="center"/>
          </w:tcPr>
          <w:p w14:paraId="3BFFD539" w14:textId="77777777" w:rsidR="00123BA7" w:rsidRPr="00CE28E3" w:rsidRDefault="00123BA7" w:rsidP="003E76DF">
            <w:pPr>
              <w:pStyle w:val="TableText"/>
              <w:jc w:val="center"/>
              <w:rPr>
                <w:lang w:val="en-US"/>
              </w:rPr>
            </w:pPr>
            <w:r w:rsidRPr="00BB7865">
              <w:rPr>
                <w:lang w:val="en-US"/>
              </w:rPr>
              <w:t>Yes</w:t>
            </w:r>
          </w:p>
        </w:tc>
      </w:tr>
    </w:tbl>
    <w:p w14:paraId="06E6D1A3" w14:textId="77777777" w:rsidR="00956ACE" w:rsidRPr="00CE28E3" w:rsidRDefault="00520A1C" w:rsidP="00E76AE0">
      <w:pPr>
        <w:pStyle w:val="TableFigureFooter"/>
        <w:rPr>
          <w:sz w:val="20"/>
        </w:rPr>
      </w:pPr>
      <w:bookmarkStart w:id="32" w:name="_Hlk68276176"/>
      <w:bookmarkEnd w:id="31"/>
      <w:r>
        <w:t xml:space="preserve">AE = Adverse Events; </w:t>
      </w:r>
      <w:r w:rsidR="002C6A52">
        <w:t>AHA = Acquired Haemophilia</w:t>
      </w:r>
      <w:r w:rsidR="00FA3858">
        <w:t xml:space="preserve"> A</w:t>
      </w:r>
      <w:r w:rsidR="002C6A52">
        <w:t xml:space="preserve">; </w:t>
      </w:r>
      <w:r w:rsidR="00D15843">
        <w:t xml:space="preserve">Hb = Haemoglobin; </w:t>
      </w:r>
      <w:r>
        <w:t>SAE = Serious Adverse Events</w:t>
      </w:r>
      <w:r w:rsidR="00956ACE" w:rsidRPr="00CE28E3">
        <w:t>.</w:t>
      </w:r>
      <w:r w:rsidR="0092470E">
        <w:t xml:space="preserve"> </w:t>
      </w:r>
    </w:p>
    <w:p w14:paraId="600511BC" w14:textId="28B5FB6F" w:rsidR="00772829" w:rsidRPr="00CE28E3" w:rsidRDefault="00746AEC" w:rsidP="002A18BE">
      <w:pPr>
        <w:pStyle w:val="Heading2"/>
        <w:numPr>
          <w:ilvl w:val="0"/>
          <w:numId w:val="0"/>
        </w:numPr>
      </w:pPr>
      <w:bookmarkStart w:id="33" w:name="_Toc69491423"/>
      <w:bookmarkEnd w:id="32"/>
      <w:r>
        <w:lastRenderedPageBreak/>
        <w:t>11</w:t>
      </w:r>
      <w:r w:rsidR="00C36633">
        <w:t>.</w:t>
      </w:r>
      <w:r w:rsidR="00C36633">
        <w:tab/>
      </w:r>
      <w:r w:rsidR="00772829" w:rsidRPr="00CE28E3">
        <w:t>Comparative safety</w:t>
      </w:r>
      <w:bookmarkEnd w:id="33"/>
    </w:p>
    <w:p w14:paraId="3D8649FD" w14:textId="31D21DE9" w:rsidR="0006708B" w:rsidRDefault="0006708B" w:rsidP="0006708B">
      <w:r w:rsidRPr="0006708B">
        <w:t xml:space="preserve">The </w:t>
      </w:r>
      <w:r w:rsidR="00444128">
        <w:t>ADAR</w:t>
      </w:r>
      <w:r w:rsidR="00444128" w:rsidRPr="0006708B">
        <w:t xml:space="preserve"> </w:t>
      </w:r>
      <w:r w:rsidRPr="0006708B">
        <w:t xml:space="preserve">calculated the </w:t>
      </w:r>
      <w:r w:rsidR="00DA2EE0">
        <w:t>r</w:t>
      </w:r>
      <w:r w:rsidR="00DA2EE0" w:rsidRPr="0006708B">
        <w:t xml:space="preserve">isk </w:t>
      </w:r>
      <w:r w:rsidRPr="0006708B">
        <w:t xml:space="preserve">difference and </w:t>
      </w:r>
      <w:r w:rsidR="00DA2EE0">
        <w:t>r</w:t>
      </w:r>
      <w:r w:rsidR="00DA2EE0" w:rsidRPr="0006708B">
        <w:t xml:space="preserve">elative </w:t>
      </w:r>
      <w:r w:rsidR="00DA2EE0">
        <w:t>r</w:t>
      </w:r>
      <w:r w:rsidR="00DA2EE0" w:rsidRPr="0006708B">
        <w:t xml:space="preserve">isk </w:t>
      </w:r>
      <w:r w:rsidRPr="0006708B">
        <w:t>using R (v.4.1.2) with the Meta package (v.4.20 2).</w:t>
      </w:r>
      <w:r>
        <w:t xml:space="preserve"> An </w:t>
      </w:r>
      <w:r w:rsidRPr="008B50C0">
        <w:t xml:space="preserve">additional calculation was required for </w:t>
      </w:r>
      <w:r w:rsidR="005C134C">
        <w:t>a</w:t>
      </w:r>
      <w:r w:rsidR="005C134C" w:rsidRPr="008B50C0">
        <w:t>ll</w:t>
      </w:r>
      <w:r w:rsidRPr="008B50C0">
        <w:t xml:space="preserve">-cause mortality for the Obizur vs. NovoSeven comparison. </w:t>
      </w:r>
      <w:r w:rsidR="008B50C0" w:rsidRPr="008B50C0">
        <w:t>This was performed using the “</w:t>
      </w:r>
      <w:proofErr w:type="spellStart"/>
      <w:r w:rsidR="008B50C0" w:rsidRPr="008B50C0">
        <w:t>epitab</w:t>
      </w:r>
      <w:proofErr w:type="spellEnd"/>
      <w:r w:rsidR="008B50C0" w:rsidRPr="008B50C0">
        <w:t>” command for cohort studies in STATA 15</w:t>
      </w:r>
      <w:r w:rsidR="007650B2">
        <w:rPr>
          <w:rStyle w:val="FootnoteReference"/>
        </w:rPr>
        <w:footnoteReference w:id="15"/>
      </w:r>
      <w:r w:rsidR="008B50C0">
        <w:t>.</w:t>
      </w:r>
    </w:p>
    <w:p w14:paraId="63D14FF1" w14:textId="77777777" w:rsidR="00B41B9C" w:rsidRDefault="00B41B9C" w:rsidP="00B41B9C">
      <w:pPr>
        <w:pStyle w:val="Heading3"/>
      </w:pPr>
      <w:r>
        <w:t>Treatment-related thrombosis</w:t>
      </w:r>
      <w:r w:rsidR="002C26C4">
        <w:t xml:space="preserve"> </w:t>
      </w:r>
    </w:p>
    <w:p w14:paraId="6FF4B301" w14:textId="60CADE0D" w:rsidR="00B27931" w:rsidRDefault="00DD0CC3" w:rsidP="00B27931">
      <w:r>
        <w:t>The aim of treatment for a bleed in patients with AHA is to increase clotting factor levels,</w:t>
      </w:r>
      <w:r w:rsidR="00AA12D3">
        <w:t xml:space="preserve"> so </w:t>
      </w:r>
      <w:r w:rsidR="00ED1818">
        <w:t xml:space="preserve">that </w:t>
      </w:r>
      <w:r w:rsidR="00AA12D3">
        <w:t>haemostasis is achieved</w:t>
      </w:r>
      <w:r>
        <w:t>. A</w:t>
      </w:r>
      <w:r w:rsidR="007F531B">
        <w:t xml:space="preserve"> key</w:t>
      </w:r>
      <w:r>
        <w:t xml:space="preserve"> adverse event which can result from the treatments is thrombosis (when a blood clot blocks a blood vessel). </w:t>
      </w:r>
      <w:r w:rsidR="00906663">
        <w:t>A</w:t>
      </w:r>
      <w:r w:rsidR="00875FBE">
        <w:t xml:space="preserve"> marginal </w:t>
      </w:r>
      <w:r w:rsidR="0035775C">
        <w:t>reduction</w:t>
      </w:r>
      <w:r w:rsidR="00875FBE">
        <w:t xml:space="preserve"> of 4%</w:t>
      </w:r>
      <w:r w:rsidR="0035775C">
        <w:t xml:space="preserve"> risk of treatment-related thrombosis</w:t>
      </w:r>
      <w:r w:rsidR="00875FBE">
        <w:t xml:space="preserve"> in favour of Obizur </w:t>
      </w:r>
      <w:r w:rsidR="007A21C9">
        <w:t xml:space="preserve">was found </w:t>
      </w:r>
      <w:r w:rsidR="00875FBE">
        <w:t xml:space="preserve">when compared to FEIBA. No difference </w:t>
      </w:r>
      <w:r w:rsidR="00AA12D3">
        <w:t xml:space="preserve">in this outcome </w:t>
      </w:r>
      <w:r w:rsidR="00875FBE">
        <w:t>was detected between Obizur and NovoSeven</w:t>
      </w:r>
      <w:r w:rsidR="005A7DAB">
        <w:t xml:space="preserve"> (</w:t>
      </w:r>
      <w:r w:rsidR="00154338">
        <w:fldChar w:fldCharType="begin"/>
      </w:r>
      <w:r w:rsidR="00154338">
        <w:instrText xml:space="preserve"> REF _Ref120530893 \h </w:instrText>
      </w:r>
      <w:r w:rsidR="00154338">
        <w:fldChar w:fldCharType="separate"/>
      </w:r>
      <w:r w:rsidR="00C25EB0">
        <w:t xml:space="preserve">Table </w:t>
      </w:r>
      <w:r w:rsidR="00C25EB0">
        <w:rPr>
          <w:noProof/>
        </w:rPr>
        <w:t>5</w:t>
      </w:r>
      <w:r w:rsidR="00154338">
        <w:fldChar w:fldCharType="end"/>
      </w:r>
      <w:r w:rsidR="005A7DAB">
        <w:t>)</w:t>
      </w:r>
      <w:r w:rsidR="00875FBE">
        <w:t>.</w:t>
      </w:r>
      <w:r w:rsidR="00431A33" w:rsidRPr="00431A33">
        <w:t xml:space="preserve"> </w:t>
      </w:r>
    </w:p>
    <w:p w14:paraId="19842121" w14:textId="53885EB6" w:rsidR="00875FBE" w:rsidRDefault="00875FBE" w:rsidP="00B27931">
      <w:r>
        <w:t xml:space="preserve">Treatment-related thrombosis is a key risk associated with AHA </w:t>
      </w:r>
      <w:r w:rsidR="00AA12D3">
        <w:t>therapy</w:t>
      </w:r>
      <w:r>
        <w:t xml:space="preserve"> and is of particular risk </w:t>
      </w:r>
      <w:r w:rsidR="007A21C9">
        <w:t xml:space="preserve">to </w:t>
      </w:r>
      <w:r>
        <w:t xml:space="preserve">patients who also have cardiovascular-related comorbidities. </w:t>
      </w:r>
      <w:r w:rsidR="005A669F">
        <w:t xml:space="preserve">Pre-existing cardiovascular </w:t>
      </w:r>
      <w:r w:rsidR="00746523">
        <w:t xml:space="preserve">comorbidities ranged from 75.9 to 90.6% </w:t>
      </w:r>
      <w:r w:rsidR="00926F5B">
        <w:t>with</w:t>
      </w:r>
      <w:r w:rsidR="00746523">
        <w:t xml:space="preserve"> </w:t>
      </w:r>
      <w:r w:rsidR="00DD0CC3">
        <w:t xml:space="preserve">the studies on </w:t>
      </w:r>
      <w:r w:rsidR="00746523">
        <w:t>Obizur</w:t>
      </w:r>
      <w:r w:rsidR="000129B3">
        <w:t xml:space="preserve"> treatment</w:t>
      </w:r>
      <w:r w:rsidR="00746523">
        <w:t xml:space="preserve"> and was rarely reported in studies of the comparators.</w:t>
      </w:r>
      <w:r w:rsidR="00BB72DB">
        <w:t xml:space="preserve"> </w:t>
      </w:r>
      <w:r w:rsidR="00431A33">
        <w:t>No</w:t>
      </w:r>
      <w:r w:rsidR="00BB72DB" w:rsidRPr="00BB72DB">
        <w:t xml:space="preserve"> prevalence</w:t>
      </w:r>
      <w:r w:rsidR="00431A33">
        <w:t xml:space="preserve"> rate is available for </w:t>
      </w:r>
      <w:r w:rsidR="00BB72DB" w:rsidRPr="00BB72DB">
        <w:t xml:space="preserve">cardiovascular comorbidities in Australian </w:t>
      </w:r>
      <w:r w:rsidR="00283EB8">
        <w:t>patients</w:t>
      </w:r>
      <w:r w:rsidR="00541AD2">
        <w:t xml:space="preserve"> with </w:t>
      </w:r>
      <w:r w:rsidR="00541AD2" w:rsidRPr="00BB72DB">
        <w:t>AHA</w:t>
      </w:r>
      <w:r w:rsidR="00BB72DB" w:rsidRPr="00BB72DB">
        <w:t xml:space="preserve">. </w:t>
      </w:r>
      <w:r w:rsidR="00DA2EE0">
        <w:t>In the Australian context, Dix et al 2022 reported that 2 out of 29 (6.88% of cohort) Australian patients</w:t>
      </w:r>
      <w:r w:rsidR="000129B3">
        <w:t xml:space="preserve"> with</w:t>
      </w:r>
      <w:r w:rsidR="00DA2EE0">
        <w:t xml:space="preserve"> </w:t>
      </w:r>
      <w:r w:rsidR="000129B3">
        <w:t xml:space="preserve">AHA </w:t>
      </w:r>
      <w:r w:rsidR="00DA2EE0">
        <w:t xml:space="preserve">who had received at least one BPA reported a thromboembolic event. This is higher than the rate of treatment-related thrombosis observed in the case series.  </w:t>
      </w:r>
    </w:p>
    <w:p w14:paraId="7CF7BAE3" w14:textId="3308ABFB" w:rsidR="003C4855" w:rsidRPr="003C4855" w:rsidRDefault="00154338" w:rsidP="003C4855">
      <w:pPr>
        <w:pStyle w:val="Caption"/>
      </w:pPr>
      <w:bookmarkStart w:id="34" w:name="_Ref120530893"/>
      <w:r>
        <w:t xml:space="preserve">Table </w:t>
      </w:r>
      <w:r>
        <w:fldChar w:fldCharType="begin"/>
      </w:r>
      <w:r>
        <w:instrText>SEQ Table \* ARABIC</w:instrText>
      </w:r>
      <w:r>
        <w:fldChar w:fldCharType="separate"/>
      </w:r>
      <w:r w:rsidR="00C25EB0">
        <w:rPr>
          <w:noProof/>
        </w:rPr>
        <w:t>5</w:t>
      </w:r>
      <w:r>
        <w:fldChar w:fldCharType="end"/>
      </w:r>
      <w:bookmarkEnd w:id="34"/>
      <w:r>
        <w:t xml:space="preserve"> </w:t>
      </w:r>
      <w:r w:rsidRPr="00EE468D">
        <w:t>Naïve (indirect) comparison: Treatment-related thrombosis</w:t>
      </w:r>
    </w:p>
    <w:tbl>
      <w:tblPr>
        <w:tblStyle w:val="TableGrid"/>
        <w:tblW w:w="0" w:type="auto"/>
        <w:tblLook w:val="04A0" w:firstRow="1" w:lastRow="0" w:firstColumn="1" w:lastColumn="0" w:noHBand="0" w:noVBand="1"/>
        <w:tblCaption w:val="Naïve (indirect) comparison: Treatment-related thrombosis"/>
      </w:tblPr>
      <w:tblGrid>
        <w:gridCol w:w="1132"/>
        <w:gridCol w:w="1132"/>
        <w:gridCol w:w="1133"/>
        <w:gridCol w:w="2273"/>
        <w:gridCol w:w="2274"/>
        <w:gridCol w:w="1072"/>
      </w:tblGrid>
      <w:tr w:rsidR="002C26C4" w:rsidRPr="00A41321" w14:paraId="79809B0D" w14:textId="77777777" w:rsidTr="003F65FE">
        <w:tc>
          <w:tcPr>
            <w:tcW w:w="1132" w:type="dxa"/>
            <w:vAlign w:val="center"/>
          </w:tcPr>
          <w:p w14:paraId="46C996BE" w14:textId="77777777" w:rsidR="002C26C4" w:rsidRPr="00A41321" w:rsidRDefault="002C26C4" w:rsidP="00A41321">
            <w:pPr>
              <w:pStyle w:val="TableHeadingCA"/>
            </w:pPr>
            <w:r w:rsidRPr="00A41321">
              <w:t>Obizur</w:t>
            </w:r>
          </w:p>
          <w:p w14:paraId="3EA8CFAA" w14:textId="77777777" w:rsidR="002C26C4" w:rsidRPr="00A41321" w:rsidRDefault="002C26C4" w:rsidP="00A41321">
            <w:pPr>
              <w:pStyle w:val="TableHeadingCA"/>
            </w:pPr>
            <w:r w:rsidRPr="00A41321">
              <w:t>n/N (%)</w:t>
            </w:r>
          </w:p>
          <w:p w14:paraId="6D338206" w14:textId="77777777" w:rsidR="002C26C4" w:rsidRPr="00A41321" w:rsidRDefault="002C26C4" w:rsidP="00A41321">
            <w:pPr>
              <w:pStyle w:val="TableHeadingCA"/>
            </w:pPr>
            <w:r w:rsidRPr="00A41321">
              <w:t>k studies</w:t>
            </w:r>
          </w:p>
        </w:tc>
        <w:tc>
          <w:tcPr>
            <w:tcW w:w="1132" w:type="dxa"/>
            <w:vAlign w:val="center"/>
          </w:tcPr>
          <w:p w14:paraId="6C101524" w14:textId="77777777" w:rsidR="002C26C4" w:rsidRPr="00A41321" w:rsidRDefault="002C26C4" w:rsidP="00A41321">
            <w:pPr>
              <w:pStyle w:val="TableHeadingCA"/>
            </w:pPr>
            <w:r w:rsidRPr="00A41321">
              <w:t>NovoSeven</w:t>
            </w:r>
          </w:p>
          <w:p w14:paraId="4007F4BF" w14:textId="77777777" w:rsidR="002C26C4" w:rsidRPr="00A41321" w:rsidRDefault="002C26C4" w:rsidP="00A41321">
            <w:pPr>
              <w:pStyle w:val="TableHeadingCA"/>
            </w:pPr>
            <w:r w:rsidRPr="00A41321">
              <w:t>n/N (%)</w:t>
            </w:r>
          </w:p>
          <w:p w14:paraId="0C45282B" w14:textId="77777777" w:rsidR="002C26C4" w:rsidRPr="00A41321" w:rsidRDefault="002C26C4" w:rsidP="00A41321">
            <w:pPr>
              <w:pStyle w:val="TableHeadingCA"/>
            </w:pPr>
            <w:r w:rsidRPr="00A41321">
              <w:t>k studies</w:t>
            </w:r>
          </w:p>
        </w:tc>
        <w:tc>
          <w:tcPr>
            <w:tcW w:w="1133" w:type="dxa"/>
            <w:vAlign w:val="center"/>
          </w:tcPr>
          <w:p w14:paraId="5422B8DC" w14:textId="77777777" w:rsidR="002C26C4" w:rsidRPr="00A41321" w:rsidRDefault="002C26C4" w:rsidP="00A41321">
            <w:pPr>
              <w:pStyle w:val="TableHeadingCA"/>
            </w:pPr>
            <w:r w:rsidRPr="00A41321">
              <w:t>FEIBA</w:t>
            </w:r>
          </w:p>
          <w:p w14:paraId="531AB573" w14:textId="77777777" w:rsidR="002C26C4" w:rsidRDefault="002C26C4" w:rsidP="00A41321">
            <w:pPr>
              <w:pStyle w:val="TableHeadingCA"/>
            </w:pPr>
            <w:r w:rsidRPr="00A41321">
              <w:t>n/N (%)</w:t>
            </w:r>
          </w:p>
          <w:p w14:paraId="42AFDB56" w14:textId="77777777" w:rsidR="00A41321" w:rsidRPr="00A41321" w:rsidRDefault="00A41321" w:rsidP="00A41321">
            <w:pPr>
              <w:pStyle w:val="TableHeadingCA"/>
            </w:pPr>
            <w:r>
              <w:t>k studies</w:t>
            </w:r>
          </w:p>
        </w:tc>
        <w:tc>
          <w:tcPr>
            <w:tcW w:w="2273" w:type="dxa"/>
            <w:vAlign w:val="center"/>
          </w:tcPr>
          <w:p w14:paraId="6F7E54EC" w14:textId="77777777" w:rsidR="002C26C4" w:rsidRPr="00A41321" w:rsidRDefault="002C26C4" w:rsidP="00A41321">
            <w:pPr>
              <w:pStyle w:val="TableHeadingCA"/>
            </w:pPr>
            <w:r w:rsidRPr="00A41321">
              <w:t>Obizur vs. NovoSeven</w:t>
            </w:r>
          </w:p>
          <w:p w14:paraId="5C8CC40A" w14:textId="77777777" w:rsidR="002C26C4" w:rsidRPr="00A41321" w:rsidRDefault="002C26C4" w:rsidP="00A41321">
            <w:pPr>
              <w:pStyle w:val="TableHeadingCA"/>
            </w:pPr>
            <w:r w:rsidRPr="00A41321">
              <w:t>RD (95% CI), p-value</w:t>
            </w:r>
          </w:p>
          <w:p w14:paraId="1F499976" w14:textId="77777777" w:rsidR="002C26C4" w:rsidRPr="00A41321" w:rsidRDefault="002C26C4" w:rsidP="00A41321">
            <w:pPr>
              <w:pStyle w:val="TableHeadingCA"/>
            </w:pPr>
            <w:r w:rsidRPr="00A41321">
              <w:t>RR (95% CI), p-value</w:t>
            </w:r>
          </w:p>
        </w:tc>
        <w:tc>
          <w:tcPr>
            <w:tcW w:w="2274" w:type="dxa"/>
            <w:vAlign w:val="center"/>
          </w:tcPr>
          <w:p w14:paraId="659117EF" w14:textId="77777777" w:rsidR="002C26C4" w:rsidRPr="00A41321" w:rsidRDefault="002C26C4" w:rsidP="00A41321">
            <w:pPr>
              <w:pStyle w:val="TableHeadingCA"/>
            </w:pPr>
            <w:r w:rsidRPr="00A41321">
              <w:t xml:space="preserve">Obizur </w:t>
            </w:r>
            <w:r w:rsidR="006A63FB">
              <w:t>vs. FEIBA</w:t>
            </w:r>
          </w:p>
          <w:p w14:paraId="0A502463" w14:textId="77777777" w:rsidR="002C26C4" w:rsidRPr="00A41321" w:rsidRDefault="002C26C4" w:rsidP="00A41321">
            <w:pPr>
              <w:pStyle w:val="TableHeadingCA"/>
            </w:pPr>
            <w:r w:rsidRPr="00A41321">
              <w:t>RD (95% CI), p-value</w:t>
            </w:r>
          </w:p>
          <w:p w14:paraId="3F90A768" w14:textId="77777777" w:rsidR="002C26C4" w:rsidRPr="00A41321" w:rsidRDefault="002C26C4" w:rsidP="00A41321">
            <w:pPr>
              <w:pStyle w:val="TableHeadingCA"/>
            </w:pPr>
            <w:r w:rsidRPr="00A41321">
              <w:t>RR (95% CI), p-value</w:t>
            </w:r>
          </w:p>
        </w:tc>
        <w:tc>
          <w:tcPr>
            <w:tcW w:w="1072" w:type="dxa"/>
            <w:vAlign w:val="center"/>
          </w:tcPr>
          <w:p w14:paraId="2B731886" w14:textId="77777777" w:rsidR="002C26C4" w:rsidRPr="00A41321" w:rsidRDefault="002C26C4" w:rsidP="00A41321">
            <w:pPr>
              <w:pStyle w:val="TableHeadingCA"/>
            </w:pPr>
            <w:r w:rsidRPr="00A41321">
              <w:t>GRADE</w:t>
            </w:r>
          </w:p>
        </w:tc>
      </w:tr>
      <w:tr w:rsidR="002C26C4" w14:paraId="28DEFE24" w14:textId="77777777" w:rsidTr="003F65FE">
        <w:tc>
          <w:tcPr>
            <w:tcW w:w="1132" w:type="dxa"/>
            <w:vAlign w:val="center"/>
          </w:tcPr>
          <w:p w14:paraId="55C941C6" w14:textId="77777777" w:rsidR="002C26C4" w:rsidRPr="0017612C" w:rsidRDefault="002C26C4" w:rsidP="002C26C4">
            <w:pPr>
              <w:pStyle w:val="TableText"/>
              <w:jc w:val="center"/>
            </w:pPr>
            <w:r w:rsidRPr="0017612C">
              <w:t>1/129</w:t>
            </w:r>
          </w:p>
          <w:p w14:paraId="24ED331B" w14:textId="77777777" w:rsidR="002C26C4" w:rsidRDefault="002C26C4" w:rsidP="002C26C4">
            <w:pPr>
              <w:pStyle w:val="TableText"/>
              <w:jc w:val="center"/>
            </w:pPr>
            <w:r w:rsidRPr="0017612C">
              <w:t>(0.8%)</w:t>
            </w:r>
          </w:p>
          <w:p w14:paraId="3ACE550C" w14:textId="77777777" w:rsidR="002C26C4" w:rsidRDefault="002C26C4" w:rsidP="002C26C4">
            <w:pPr>
              <w:pStyle w:val="TableText"/>
              <w:jc w:val="center"/>
            </w:pPr>
            <w:r>
              <w:t>3 studies</w:t>
            </w:r>
          </w:p>
        </w:tc>
        <w:tc>
          <w:tcPr>
            <w:tcW w:w="1132" w:type="dxa"/>
            <w:vAlign w:val="center"/>
          </w:tcPr>
          <w:p w14:paraId="18A176B8" w14:textId="77777777" w:rsidR="002C26C4" w:rsidRPr="0017612C" w:rsidRDefault="002C26C4" w:rsidP="002C26C4">
            <w:pPr>
              <w:pStyle w:val="TableText"/>
              <w:jc w:val="center"/>
            </w:pPr>
            <w:r w:rsidRPr="0017612C">
              <w:t>10/465</w:t>
            </w:r>
          </w:p>
          <w:p w14:paraId="05541DA8" w14:textId="77777777" w:rsidR="002C26C4" w:rsidRDefault="002C26C4" w:rsidP="002C26C4">
            <w:pPr>
              <w:pStyle w:val="TableText"/>
              <w:jc w:val="center"/>
            </w:pPr>
            <w:r w:rsidRPr="0017612C">
              <w:t>(2.2)</w:t>
            </w:r>
          </w:p>
          <w:p w14:paraId="07025AFA" w14:textId="77777777" w:rsidR="002C26C4" w:rsidRDefault="002C26C4" w:rsidP="002C26C4">
            <w:pPr>
              <w:pStyle w:val="TableText"/>
              <w:jc w:val="center"/>
            </w:pPr>
            <w:r>
              <w:t>6 studies</w:t>
            </w:r>
          </w:p>
        </w:tc>
        <w:tc>
          <w:tcPr>
            <w:tcW w:w="1133" w:type="dxa"/>
            <w:vAlign w:val="center"/>
          </w:tcPr>
          <w:p w14:paraId="0068CAFE" w14:textId="77777777" w:rsidR="002C26C4" w:rsidRPr="0017612C" w:rsidRDefault="002C26C4" w:rsidP="002C26C4">
            <w:pPr>
              <w:pStyle w:val="TableText"/>
              <w:jc w:val="center"/>
            </w:pPr>
            <w:r w:rsidRPr="0017612C">
              <w:t>8/172</w:t>
            </w:r>
          </w:p>
          <w:p w14:paraId="4F401F28" w14:textId="77777777" w:rsidR="002C26C4" w:rsidRDefault="002C26C4" w:rsidP="002C26C4">
            <w:pPr>
              <w:pStyle w:val="TableText"/>
              <w:jc w:val="center"/>
            </w:pPr>
            <w:r w:rsidRPr="0017612C">
              <w:t>(4.7%)</w:t>
            </w:r>
          </w:p>
          <w:p w14:paraId="69F813CD" w14:textId="77777777" w:rsidR="002C26C4" w:rsidRDefault="002C26C4" w:rsidP="002C26C4">
            <w:pPr>
              <w:pStyle w:val="TableText"/>
              <w:jc w:val="center"/>
            </w:pPr>
            <w:r>
              <w:t>4 studies</w:t>
            </w:r>
          </w:p>
        </w:tc>
        <w:tc>
          <w:tcPr>
            <w:tcW w:w="2273" w:type="dxa"/>
            <w:vAlign w:val="center"/>
          </w:tcPr>
          <w:p w14:paraId="6D1C98A1" w14:textId="77777777" w:rsidR="002C26C4" w:rsidRDefault="002C26C4" w:rsidP="002C26C4">
            <w:pPr>
              <w:pStyle w:val="TableText"/>
              <w:jc w:val="center"/>
            </w:pPr>
            <w:r>
              <w:t xml:space="preserve">-0.01 </w:t>
            </w:r>
          </w:p>
          <w:p w14:paraId="7D184DAC" w14:textId="77777777" w:rsidR="002C26C4" w:rsidRDefault="002C26C4" w:rsidP="002C26C4">
            <w:pPr>
              <w:pStyle w:val="TableText"/>
              <w:jc w:val="center"/>
            </w:pPr>
            <w:r>
              <w:t>[-0.03; 0.01]; p=0.1793</w:t>
            </w:r>
          </w:p>
          <w:p w14:paraId="2868C2FC" w14:textId="77777777" w:rsidR="002C26C4" w:rsidRDefault="002C26C4" w:rsidP="002C26C4">
            <w:pPr>
              <w:pStyle w:val="TableText"/>
              <w:jc w:val="center"/>
            </w:pPr>
            <w:r>
              <w:t xml:space="preserve">0.36 </w:t>
            </w:r>
          </w:p>
          <w:p w14:paraId="560D0EFE" w14:textId="77777777" w:rsidR="002C26C4" w:rsidRDefault="002C26C4" w:rsidP="002C26C4">
            <w:pPr>
              <w:pStyle w:val="TableText"/>
              <w:jc w:val="center"/>
            </w:pPr>
            <w:r>
              <w:t>[0.05; 2.79]; p=0.3284</w:t>
            </w:r>
          </w:p>
        </w:tc>
        <w:tc>
          <w:tcPr>
            <w:tcW w:w="2274" w:type="dxa"/>
            <w:vAlign w:val="center"/>
          </w:tcPr>
          <w:p w14:paraId="4E05111F" w14:textId="77777777" w:rsidR="002C26C4" w:rsidRDefault="002C26C4" w:rsidP="002C26C4">
            <w:pPr>
              <w:pStyle w:val="TableText"/>
              <w:jc w:val="center"/>
            </w:pPr>
            <w:r>
              <w:t xml:space="preserve">-0.04 </w:t>
            </w:r>
          </w:p>
          <w:p w14:paraId="336EACDA" w14:textId="77777777" w:rsidR="002C26C4" w:rsidRDefault="002C26C4" w:rsidP="002C26C4">
            <w:pPr>
              <w:pStyle w:val="TableText"/>
              <w:jc w:val="center"/>
            </w:pPr>
            <w:r>
              <w:t>[-0.07; -0.00]; p=0.0296</w:t>
            </w:r>
          </w:p>
          <w:p w14:paraId="37E9F1D3" w14:textId="77777777" w:rsidR="002C26C4" w:rsidRDefault="002C26C4" w:rsidP="002C26C4">
            <w:pPr>
              <w:pStyle w:val="TableText"/>
              <w:jc w:val="center"/>
            </w:pPr>
            <w:r>
              <w:t xml:space="preserve">0.17 </w:t>
            </w:r>
          </w:p>
          <w:p w14:paraId="24EF0232" w14:textId="77777777" w:rsidR="002C26C4" w:rsidRDefault="002C26C4" w:rsidP="002C26C4">
            <w:pPr>
              <w:pStyle w:val="TableText"/>
              <w:jc w:val="center"/>
            </w:pPr>
            <w:r>
              <w:t>[0.02; 1.32]; p=0.0892</w:t>
            </w:r>
          </w:p>
        </w:tc>
        <w:tc>
          <w:tcPr>
            <w:tcW w:w="1072" w:type="dxa"/>
            <w:vAlign w:val="center"/>
          </w:tcPr>
          <w:p w14:paraId="00340A24" w14:textId="77777777" w:rsidR="002C26C4" w:rsidRPr="0017612C" w:rsidRDefault="002C26C4" w:rsidP="002C26C4">
            <w:pPr>
              <w:keepNext/>
              <w:spacing w:line="276" w:lineRule="auto"/>
              <w:jc w:val="center"/>
              <w:rPr>
                <w:rFonts w:asciiTheme="minorHAnsi" w:hAnsiTheme="minorHAnsi" w:cstheme="minorHAnsi"/>
                <w:color w:val="C00000"/>
                <w:sz w:val="18"/>
                <w:szCs w:val="18"/>
              </w:rPr>
            </w:pPr>
            <w:r w:rsidRPr="0017612C">
              <w:rPr>
                <w:rFonts w:ascii="Cambria Math" w:hAnsi="Cambria Math" w:cs="Cambria Math"/>
                <w:color w:val="00B050"/>
                <w:sz w:val="18"/>
                <w:szCs w:val="18"/>
              </w:rPr>
              <w:t>⨁</w:t>
            </w:r>
            <w:r w:rsidRPr="0017612C">
              <w:rPr>
                <w:rFonts w:ascii="Cambria Math" w:hAnsi="Cambria Math" w:cs="Cambria Math"/>
                <w:color w:val="C00000"/>
                <w:sz w:val="18"/>
                <w:szCs w:val="18"/>
              </w:rPr>
              <w:t>⨀⨀⨀</w:t>
            </w:r>
          </w:p>
          <w:p w14:paraId="6775AF9D" w14:textId="77777777" w:rsidR="002C26C4" w:rsidRDefault="002C26C4" w:rsidP="002C26C4">
            <w:pPr>
              <w:jc w:val="center"/>
            </w:pPr>
            <w:proofErr w:type="spellStart"/>
            <w:proofErr w:type="gramStart"/>
            <w:r w:rsidRPr="0017612C">
              <w:rPr>
                <w:rFonts w:asciiTheme="minorHAnsi" w:hAnsiTheme="minorHAnsi" w:cstheme="minorHAnsi"/>
                <w:sz w:val="18"/>
                <w:szCs w:val="18"/>
                <w:vertAlign w:val="superscript"/>
              </w:rPr>
              <w:t>a,b</w:t>
            </w:r>
            <w:proofErr w:type="gramEnd"/>
            <w:r w:rsidRPr="0017612C">
              <w:rPr>
                <w:rFonts w:asciiTheme="minorHAnsi" w:hAnsiTheme="minorHAnsi" w:cstheme="minorHAnsi"/>
                <w:sz w:val="18"/>
                <w:szCs w:val="18"/>
                <w:vertAlign w:val="superscript"/>
              </w:rPr>
              <w:t>,c</w:t>
            </w:r>
            <w:proofErr w:type="spellEnd"/>
          </w:p>
        </w:tc>
      </w:tr>
    </w:tbl>
    <w:p w14:paraId="0DC886B8" w14:textId="77777777" w:rsidR="002C26C4" w:rsidRPr="00920354" w:rsidRDefault="002C26C4" w:rsidP="005E21AE">
      <w:pPr>
        <w:spacing w:before="0" w:after="0" w:line="240" w:lineRule="auto"/>
        <w:rPr>
          <w:rFonts w:ascii="Arial Narrow" w:eastAsia="Times New Roman" w:hAnsi="Arial Narrow" w:cs="Arial"/>
          <w:sz w:val="18"/>
          <w:szCs w:val="20"/>
        </w:rPr>
      </w:pPr>
      <w:bookmarkStart w:id="35" w:name="_Hlk120105766"/>
      <w:r w:rsidRPr="00920354">
        <w:rPr>
          <w:rFonts w:ascii="Arial Narrow" w:eastAsia="Times New Roman" w:hAnsi="Arial Narrow" w:cs="Arial"/>
          <w:sz w:val="18"/>
          <w:szCs w:val="20"/>
        </w:rPr>
        <w:t>a Very serious risk of bias due to all studies being uncontrolled</w:t>
      </w:r>
    </w:p>
    <w:p w14:paraId="60E4F9F0" w14:textId="77777777" w:rsidR="002C26C4" w:rsidRPr="00920354" w:rsidRDefault="002C26C4" w:rsidP="005E21AE">
      <w:pPr>
        <w:spacing w:before="0" w:after="0" w:line="240" w:lineRule="auto"/>
        <w:rPr>
          <w:rFonts w:ascii="Arial Narrow" w:eastAsia="Times New Roman" w:hAnsi="Arial Narrow" w:cs="Arial"/>
          <w:sz w:val="18"/>
          <w:szCs w:val="20"/>
        </w:rPr>
      </w:pPr>
      <w:r w:rsidRPr="00920354">
        <w:rPr>
          <w:rFonts w:ascii="Arial Narrow" w:eastAsia="Times New Roman" w:hAnsi="Arial Narrow" w:cs="Arial"/>
          <w:sz w:val="18"/>
          <w:szCs w:val="20"/>
        </w:rPr>
        <w:t>b Serious indirectness due to the evidence relying on indirect comparisons</w:t>
      </w:r>
    </w:p>
    <w:p w14:paraId="4B5555C3" w14:textId="77777777" w:rsidR="002C26C4" w:rsidRPr="00920354" w:rsidRDefault="002C26C4" w:rsidP="005E21AE">
      <w:pPr>
        <w:spacing w:before="0" w:after="0" w:line="240" w:lineRule="auto"/>
        <w:rPr>
          <w:rFonts w:ascii="Arial Narrow" w:eastAsia="Times New Roman" w:hAnsi="Arial Narrow" w:cs="Arial"/>
          <w:sz w:val="18"/>
          <w:szCs w:val="18"/>
        </w:rPr>
      </w:pPr>
      <w:r w:rsidRPr="0301EDCD">
        <w:rPr>
          <w:rFonts w:ascii="Arial Narrow" w:eastAsia="Times New Roman" w:hAnsi="Arial Narrow" w:cs="Arial"/>
          <w:sz w:val="18"/>
          <w:szCs w:val="18"/>
        </w:rPr>
        <w:t xml:space="preserve">c </w:t>
      </w:r>
      <w:bookmarkStart w:id="36" w:name="_Int_d4RZBo1H"/>
      <w:proofErr w:type="gramStart"/>
      <w:r w:rsidRPr="0301EDCD">
        <w:rPr>
          <w:rFonts w:ascii="Arial Narrow" w:eastAsia="Times New Roman" w:hAnsi="Arial Narrow" w:cs="Arial"/>
          <w:sz w:val="18"/>
          <w:szCs w:val="18"/>
        </w:rPr>
        <w:t>Serious</w:t>
      </w:r>
      <w:bookmarkEnd w:id="36"/>
      <w:proofErr w:type="gramEnd"/>
      <w:r w:rsidRPr="0301EDCD">
        <w:rPr>
          <w:rFonts w:ascii="Arial Narrow" w:eastAsia="Times New Roman" w:hAnsi="Arial Narrow" w:cs="Arial"/>
          <w:sz w:val="18"/>
          <w:szCs w:val="18"/>
        </w:rPr>
        <w:t xml:space="preserve"> risk of publication bias as results were mostly derived from observational studies</w:t>
      </w:r>
    </w:p>
    <w:p w14:paraId="7063D2CA" w14:textId="77777777" w:rsidR="00E205B2" w:rsidRDefault="002C26C4" w:rsidP="00E205B2">
      <w:pPr>
        <w:spacing w:before="0" w:after="0" w:line="240" w:lineRule="auto"/>
        <w:rPr>
          <w:rFonts w:ascii="Arial Narrow" w:eastAsia="Times New Roman" w:hAnsi="Arial Narrow" w:cs="Arial"/>
          <w:sz w:val="18"/>
          <w:szCs w:val="20"/>
        </w:rPr>
      </w:pPr>
      <w:r w:rsidRPr="00920354">
        <w:rPr>
          <w:rFonts w:ascii="Arial Narrow" w:eastAsia="Times New Roman" w:hAnsi="Arial Narrow" w:cs="Arial"/>
          <w:sz w:val="18"/>
          <w:szCs w:val="20"/>
        </w:rPr>
        <w:t xml:space="preserve">Abbreviations: CI = Confidence interval; GRADE = Grading of Recommendations Assessment, Development and Evaluation; RD = Risk Difference; RR = Relative </w:t>
      </w:r>
      <w:proofErr w:type="gramStart"/>
      <w:r w:rsidRPr="00920354">
        <w:rPr>
          <w:rFonts w:ascii="Arial Narrow" w:eastAsia="Times New Roman" w:hAnsi="Arial Narrow" w:cs="Arial"/>
          <w:sz w:val="18"/>
          <w:szCs w:val="20"/>
        </w:rPr>
        <w:t>Risk;</w:t>
      </w:r>
      <w:proofErr w:type="gramEnd"/>
      <w:r w:rsidRPr="00920354">
        <w:rPr>
          <w:rFonts w:ascii="Arial Narrow" w:eastAsia="Times New Roman" w:hAnsi="Arial Narrow" w:cs="Arial"/>
          <w:sz w:val="18"/>
          <w:szCs w:val="20"/>
        </w:rPr>
        <w:t xml:space="preserve"> </w:t>
      </w:r>
      <w:bookmarkEnd w:id="35"/>
    </w:p>
    <w:p w14:paraId="48779069" w14:textId="54125B5C" w:rsidR="002C26C4" w:rsidRPr="00920354" w:rsidRDefault="00012423" w:rsidP="00E205B2">
      <w:pPr>
        <w:spacing w:before="0" w:after="0" w:line="240" w:lineRule="auto"/>
        <w:rPr>
          <w:rFonts w:ascii="Arial Narrow" w:eastAsia="Times New Roman" w:hAnsi="Arial Narrow" w:cs="Arial"/>
          <w:sz w:val="18"/>
          <w:szCs w:val="20"/>
        </w:rPr>
      </w:pPr>
      <w:r>
        <w:rPr>
          <w:rFonts w:ascii="Arial Narrow" w:eastAsia="Times New Roman" w:hAnsi="Arial Narrow" w:cs="Arial"/>
          <w:sz w:val="18"/>
          <w:szCs w:val="20"/>
        </w:rPr>
        <w:t xml:space="preserve">Source: </w:t>
      </w:r>
      <w:r w:rsidR="0009042B" w:rsidRPr="00920354">
        <w:rPr>
          <w:rFonts w:ascii="Arial Narrow" w:eastAsia="Times New Roman" w:hAnsi="Arial Narrow" w:cs="Arial"/>
          <w:sz w:val="18"/>
          <w:szCs w:val="20"/>
        </w:rPr>
        <w:t>Table</w:t>
      </w:r>
      <w:r w:rsidR="0009042B">
        <w:rPr>
          <w:rFonts w:ascii="Arial Narrow" w:eastAsia="Times New Roman" w:hAnsi="Arial Narrow" w:cs="Arial"/>
          <w:sz w:val="18"/>
          <w:szCs w:val="20"/>
        </w:rPr>
        <w:t>s</w:t>
      </w:r>
      <w:r w:rsidR="0009042B" w:rsidRPr="00920354">
        <w:rPr>
          <w:rFonts w:ascii="Arial Narrow" w:eastAsia="Times New Roman" w:hAnsi="Arial Narrow" w:cs="Arial"/>
          <w:sz w:val="18"/>
          <w:szCs w:val="20"/>
        </w:rPr>
        <w:t xml:space="preserve"> 42 and 76</w:t>
      </w:r>
      <w:r w:rsidR="0009042B" w:rsidRPr="0009042B">
        <w:rPr>
          <w:rFonts w:ascii="Arial Narrow" w:eastAsia="Times New Roman" w:hAnsi="Arial Narrow" w:cs="Arial"/>
          <w:sz w:val="18"/>
          <w:szCs w:val="20"/>
        </w:rPr>
        <w:t xml:space="preserve">, </w:t>
      </w:r>
      <w:proofErr w:type="spellStart"/>
      <w:r w:rsidR="0009042B" w:rsidRPr="0009042B">
        <w:rPr>
          <w:rFonts w:ascii="Arial Narrow" w:eastAsia="Times New Roman" w:hAnsi="Arial Narrow" w:cs="Arial"/>
          <w:sz w:val="18"/>
          <w:szCs w:val="20"/>
        </w:rPr>
        <w:t>pg</w:t>
      </w:r>
      <w:proofErr w:type="spellEnd"/>
      <w:r w:rsidR="0009042B" w:rsidRPr="0009042B">
        <w:rPr>
          <w:rFonts w:ascii="Arial Narrow" w:eastAsia="Times New Roman" w:hAnsi="Arial Narrow" w:cs="Arial"/>
          <w:sz w:val="18"/>
          <w:szCs w:val="20"/>
        </w:rPr>
        <w:t xml:space="preserve"> </w:t>
      </w:r>
      <w:r w:rsidR="0009042B">
        <w:rPr>
          <w:rFonts w:ascii="Arial Narrow" w:eastAsia="Times New Roman" w:hAnsi="Arial Narrow" w:cs="Arial"/>
          <w:sz w:val="18"/>
          <w:szCs w:val="20"/>
        </w:rPr>
        <w:t>83 and 1</w:t>
      </w:r>
      <w:r w:rsidR="00DF528C">
        <w:rPr>
          <w:rFonts w:ascii="Arial Narrow" w:eastAsia="Times New Roman" w:hAnsi="Arial Narrow" w:cs="Arial"/>
          <w:sz w:val="18"/>
          <w:szCs w:val="20"/>
        </w:rPr>
        <w:t>36</w:t>
      </w:r>
      <w:r w:rsidR="0009042B" w:rsidRPr="0009042B">
        <w:rPr>
          <w:rFonts w:ascii="Arial Narrow" w:eastAsia="Times New Roman" w:hAnsi="Arial Narrow" w:cs="Arial"/>
          <w:sz w:val="18"/>
          <w:szCs w:val="20"/>
        </w:rPr>
        <w:t xml:space="preserve"> of the Commentary on MSAC </w:t>
      </w:r>
      <w:r w:rsidR="0009042B">
        <w:rPr>
          <w:rFonts w:ascii="Arial Narrow" w:eastAsia="Times New Roman" w:hAnsi="Arial Narrow" w:cs="Arial"/>
          <w:sz w:val="18"/>
          <w:szCs w:val="20"/>
        </w:rPr>
        <w:t>1714</w:t>
      </w:r>
      <w:r w:rsidR="0009042B" w:rsidRPr="0009042B">
        <w:rPr>
          <w:rFonts w:ascii="Arial Narrow" w:eastAsia="Times New Roman" w:hAnsi="Arial Narrow" w:cs="Arial"/>
          <w:sz w:val="18"/>
          <w:szCs w:val="20"/>
        </w:rPr>
        <w:t xml:space="preserve"> ADAR</w:t>
      </w:r>
    </w:p>
    <w:p w14:paraId="2DEBDC52" w14:textId="77777777" w:rsidR="00B41B9C" w:rsidRDefault="00B41B9C" w:rsidP="00B41B9C">
      <w:pPr>
        <w:pStyle w:val="Heading3"/>
      </w:pPr>
      <w:r>
        <w:t>Treatment-related Serious Adverse Events</w:t>
      </w:r>
    </w:p>
    <w:p w14:paraId="4C6FF6E7" w14:textId="472E225F" w:rsidR="007B0408" w:rsidRDefault="005D2BD0" w:rsidP="00C548B9">
      <w:r>
        <w:t xml:space="preserve">Patients who received Obizur were 6% more likely to experience any </w:t>
      </w:r>
      <w:r w:rsidR="0029604E">
        <w:t>t</w:t>
      </w:r>
      <w:r w:rsidR="0029604E" w:rsidRPr="005D2BD0">
        <w:t>reatment</w:t>
      </w:r>
      <w:r w:rsidRPr="005D2BD0">
        <w:t xml:space="preserve">-related </w:t>
      </w:r>
      <w:r w:rsidR="00DA2EE0">
        <w:t>serious adverse event (</w:t>
      </w:r>
      <w:r w:rsidRPr="005D2BD0">
        <w:t>SAE</w:t>
      </w:r>
      <w:r w:rsidR="00DA2EE0">
        <w:t>)</w:t>
      </w:r>
      <w:r>
        <w:t xml:space="preserve"> in comparison to NovoSeven. </w:t>
      </w:r>
      <w:r w:rsidRPr="005D2BD0">
        <w:t xml:space="preserve">No difference </w:t>
      </w:r>
      <w:r w:rsidR="000E443F">
        <w:t xml:space="preserve">in </w:t>
      </w:r>
      <w:r w:rsidR="00DB40A5" w:rsidRPr="00DB40A5">
        <w:t xml:space="preserve">treatment-related </w:t>
      </w:r>
      <w:r w:rsidR="000E443F">
        <w:t xml:space="preserve">SAE incidence </w:t>
      </w:r>
      <w:r w:rsidRPr="005D2BD0">
        <w:t>was detected between Obizur and FEIBA</w:t>
      </w:r>
      <w:r w:rsidR="00690BAA">
        <w:t xml:space="preserve"> (</w:t>
      </w:r>
      <w:r w:rsidR="00154338">
        <w:fldChar w:fldCharType="begin"/>
      </w:r>
      <w:r w:rsidR="00154338">
        <w:instrText xml:space="preserve"> REF _Ref120530948 \h </w:instrText>
      </w:r>
      <w:r w:rsidR="00154338">
        <w:fldChar w:fldCharType="separate"/>
      </w:r>
      <w:r w:rsidR="00C25EB0">
        <w:t xml:space="preserve">Table </w:t>
      </w:r>
      <w:r w:rsidR="00C25EB0">
        <w:rPr>
          <w:noProof/>
        </w:rPr>
        <w:t>6</w:t>
      </w:r>
      <w:r w:rsidR="00154338">
        <w:fldChar w:fldCharType="end"/>
      </w:r>
      <w:r w:rsidR="00690BAA">
        <w:t>)</w:t>
      </w:r>
      <w:r w:rsidRPr="005D2BD0">
        <w:t>.</w:t>
      </w:r>
    </w:p>
    <w:p w14:paraId="7E5FCFD6" w14:textId="0EB2577E" w:rsidR="00690BAA" w:rsidRDefault="007B0408" w:rsidP="005E75CD">
      <w:r w:rsidRPr="007B0408">
        <w:t xml:space="preserve">Treatment-related SAEs often relate to </w:t>
      </w:r>
      <w:r w:rsidR="6658088E" w:rsidRPr="007B0408">
        <w:t>thrombosis but</w:t>
      </w:r>
      <w:r w:rsidRPr="007B0408">
        <w:t xml:space="preserve"> can also include hypersensitivity and development/increase of inhibitor levels</w:t>
      </w:r>
      <w:r>
        <w:t xml:space="preserve"> (anamnestic reaction)</w:t>
      </w:r>
      <w:r w:rsidRPr="007B0408">
        <w:t>. FEIBA has the additional risk of transmission of bloodborne pathogens as it is a blood-product</w:t>
      </w:r>
      <w:r w:rsidR="005E75CD">
        <w:t xml:space="preserve">, but the manufacturing process includes two dedicated and independent virus removal/inactivation steps to reduce this risk </w:t>
      </w:r>
      <w:r w:rsidR="00627B5C">
        <w:rPr>
          <w:rStyle w:val="FootnoteReference"/>
        </w:rPr>
        <w:footnoteReference w:id="16"/>
      </w:r>
      <w:r w:rsidRPr="007B0408">
        <w:t>.</w:t>
      </w:r>
      <w:r w:rsidR="003978A7">
        <w:t xml:space="preserve"> </w:t>
      </w:r>
      <w:r w:rsidR="00ED1818">
        <w:lastRenderedPageBreak/>
        <w:t>As per the FEIBA PI, there is an overall risk of adverse events</w:t>
      </w:r>
      <w:r w:rsidR="00F97518">
        <w:t xml:space="preserve"> of any severity</w:t>
      </w:r>
      <w:r w:rsidR="00ED1818">
        <w:t xml:space="preserve"> occurring in &gt;5% of all individuals exposed. </w:t>
      </w:r>
      <w:r>
        <w:t xml:space="preserve">There were no reported incidents of anamnestic reaction for NovoSeven or FEIBA. </w:t>
      </w:r>
      <w:r w:rsidR="00970464">
        <w:t>There were 3 instances reported for Obizur (2.3% of total patients).</w:t>
      </w:r>
      <w:r w:rsidR="003978A7">
        <w:t xml:space="preserve"> There were another 2 incidents</w:t>
      </w:r>
      <w:r w:rsidR="001F2D0F">
        <w:t xml:space="preserve"> in 2 patients</w:t>
      </w:r>
      <w:r w:rsidR="003978A7">
        <w:t xml:space="preserve"> reported for NovoSeven</w:t>
      </w:r>
      <w:r w:rsidR="001F2D0F">
        <w:t>, however it was unclear whether these were associated with treatment.</w:t>
      </w:r>
    </w:p>
    <w:p w14:paraId="48A3843D" w14:textId="40A41BDA" w:rsidR="00501B7F" w:rsidRPr="003A6AB5" w:rsidRDefault="00A5469D" w:rsidP="003A6AB5">
      <w:r>
        <w:t>Non-thrombotic treatment-related SAEs</w:t>
      </w:r>
      <w:r w:rsidR="00B84BB6">
        <w:t xml:space="preserve"> in the Australian population w</w:t>
      </w:r>
      <w:r w:rsidR="003963FA">
        <w:t>ere</w:t>
      </w:r>
      <w:r w:rsidR="00B84BB6">
        <w:t xml:space="preserve"> not </w:t>
      </w:r>
      <w:r w:rsidR="003963FA">
        <w:t>identified in Tay et al. 2012 or Dix et al. 2022</w:t>
      </w:r>
      <w:r w:rsidR="00B84BB6">
        <w:t>.</w:t>
      </w:r>
      <w:bookmarkStart w:id="37" w:name="_Ref120530948"/>
    </w:p>
    <w:p w14:paraId="0DE6EEE9" w14:textId="1D3F0B99" w:rsidR="003C4855" w:rsidRPr="003C4855" w:rsidRDefault="00154338">
      <w:pPr>
        <w:pStyle w:val="Caption"/>
      </w:pPr>
      <w:r>
        <w:t xml:space="preserve">Table </w:t>
      </w:r>
      <w:r>
        <w:fldChar w:fldCharType="begin"/>
      </w:r>
      <w:r>
        <w:instrText>SEQ Table \* ARABIC</w:instrText>
      </w:r>
      <w:r>
        <w:fldChar w:fldCharType="separate"/>
      </w:r>
      <w:r w:rsidR="00C25EB0">
        <w:rPr>
          <w:noProof/>
        </w:rPr>
        <w:t>6</w:t>
      </w:r>
      <w:r>
        <w:fldChar w:fldCharType="end"/>
      </w:r>
      <w:bookmarkEnd w:id="37"/>
      <w:r>
        <w:t xml:space="preserve"> </w:t>
      </w:r>
      <w:r w:rsidRPr="00500514">
        <w:t>Naïve (indirect) comparison: Treatment-related SAEs</w:t>
      </w:r>
    </w:p>
    <w:tbl>
      <w:tblPr>
        <w:tblStyle w:val="TableGrid"/>
        <w:tblW w:w="0" w:type="auto"/>
        <w:tblLook w:val="04A0" w:firstRow="1" w:lastRow="0" w:firstColumn="1" w:lastColumn="0" w:noHBand="0" w:noVBand="1"/>
        <w:tblCaption w:val="Naïve (indirect) comparison: Treatment-related SAEs"/>
      </w:tblPr>
      <w:tblGrid>
        <w:gridCol w:w="1132"/>
        <w:gridCol w:w="1132"/>
        <w:gridCol w:w="1133"/>
        <w:gridCol w:w="2273"/>
        <w:gridCol w:w="2274"/>
        <w:gridCol w:w="1072"/>
      </w:tblGrid>
      <w:tr w:rsidR="00AC57F1" w:rsidRPr="00A41321" w14:paraId="0DD5A861" w14:textId="77777777" w:rsidTr="003F65FE">
        <w:tc>
          <w:tcPr>
            <w:tcW w:w="1132" w:type="dxa"/>
            <w:vAlign w:val="center"/>
          </w:tcPr>
          <w:p w14:paraId="6F68183D" w14:textId="77777777" w:rsidR="00A41321" w:rsidRPr="00A41321" w:rsidRDefault="00A41321" w:rsidP="00A41321">
            <w:pPr>
              <w:pStyle w:val="TableHeadingCA"/>
              <w:rPr>
                <w:lang w:eastAsia="en-AU"/>
              </w:rPr>
            </w:pPr>
            <w:r w:rsidRPr="00A41321">
              <w:rPr>
                <w:lang w:eastAsia="en-AU"/>
              </w:rPr>
              <w:t>Obizur</w:t>
            </w:r>
          </w:p>
          <w:p w14:paraId="0776D3D3" w14:textId="77777777" w:rsidR="00A41321" w:rsidRPr="00A41321" w:rsidRDefault="00A41321" w:rsidP="00A41321">
            <w:pPr>
              <w:pStyle w:val="TableHeadingCA"/>
              <w:rPr>
                <w:lang w:eastAsia="en-AU"/>
              </w:rPr>
            </w:pPr>
            <w:r w:rsidRPr="00A41321">
              <w:rPr>
                <w:lang w:eastAsia="en-AU"/>
              </w:rPr>
              <w:t>n/N (%)</w:t>
            </w:r>
          </w:p>
          <w:p w14:paraId="74A8FC46" w14:textId="77777777" w:rsidR="00A41321" w:rsidRPr="00A41321" w:rsidRDefault="00A41321" w:rsidP="00A41321">
            <w:pPr>
              <w:pStyle w:val="TableHeadingCA"/>
              <w:rPr>
                <w:lang w:eastAsia="en-AU"/>
              </w:rPr>
            </w:pPr>
            <w:r w:rsidRPr="00A41321">
              <w:rPr>
                <w:lang w:eastAsia="en-AU"/>
              </w:rPr>
              <w:t>k studies</w:t>
            </w:r>
          </w:p>
        </w:tc>
        <w:tc>
          <w:tcPr>
            <w:tcW w:w="1132" w:type="dxa"/>
            <w:vAlign w:val="center"/>
          </w:tcPr>
          <w:p w14:paraId="11E2F33B" w14:textId="77777777" w:rsidR="00A41321" w:rsidRPr="00A41321" w:rsidRDefault="00A41321" w:rsidP="00A41321">
            <w:pPr>
              <w:pStyle w:val="TableHeadingCA"/>
              <w:rPr>
                <w:lang w:eastAsia="en-AU"/>
              </w:rPr>
            </w:pPr>
            <w:r w:rsidRPr="00A41321">
              <w:rPr>
                <w:lang w:eastAsia="en-AU"/>
              </w:rPr>
              <w:t>NovoSeven</w:t>
            </w:r>
          </w:p>
          <w:p w14:paraId="4A99E431" w14:textId="77777777" w:rsidR="00A41321" w:rsidRPr="00A41321" w:rsidRDefault="00A41321" w:rsidP="00A41321">
            <w:pPr>
              <w:pStyle w:val="TableHeadingCA"/>
              <w:rPr>
                <w:lang w:eastAsia="en-AU"/>
              </w:rPr>
            </w:pPr>
            <w:r w:rsidRPr="00A41321">
              <w:rPr>
                <w:lang w:eastAsia="en-AU"/>
              </w:rPr>
              <w:t>n/N (%)</w:t>
            </w:r>
          </w:p>
          <w:p w14:paraId="0CD409C4" w14:textId="77777777" w:rsidR="00A41321" w:rsidRPr="00A41321" w:rsidRDefault="00A41321" w:rsidP="00A41321">
            <w:pPr>
              <w:pStyle w:val="TableHeadingCA"/>
              <w:rPr>
                <w:lang w:eastAsia="en-AU"/>
              </w:rPr>
            </w:pPr>
            <w:r w:rsidRPr="00A41321">
              <w:rPr>
                <w:lang w:eastAsia="en-AU"/>
              </w:rPr>
              <w:t>k studies</w:t>
            </w:r>
          </w:p>
        </w:tc>
        <w:tc>
          <w:tcPr>
            <w:tcW w:w="1133" w:type="dxa"/>
            <w:vAlign w:val="center"/>
          </w:tcPr>
          <w:p w14:paraId="3D874F23" w14:textId="77777777" w:rsidR="00A41321" w:rsidRPr="00A41321" w:rsidRDefault="00A41321" w:rsidP="00A41321">
            <w:pPr>
              <w:pStyle w:val="TableHeadingCA"/>
              <w:rPr>
                <w:lang w:eastAsia="en-AU"/>
              </w:rPr>
            </w:pPr>
            <w:r w:rsidRPr="00A41321">
              <w:rPr>
                <w:lang w:eastAsia="en-AU"/>
              </w:rPr>
              <w:t>FEIBA</w:t>
            </w:r>
          </w:p>
          <w:p w14:paraId="0AF3CEA1" w14:textId="77777777" w:rsidR="00A41321" w:rsidRDefault="00A41321" w:rsidP="00A41321">
            <w:pPr>
              <w:pStyle w:val="TableHeadingCA"/>
              <w:rPr>
                <w:lang w:eastAsia="en-AU"/>
              </w:rPr>
            </w:pPr>
            <w:r w:rsidRPr="00A41321">
              <w:rPr>
                <w:lang w:eastAsia="en-AU"/>
              </w:rPr>
              <w:t>n/N (%)</w:t>
            </w:r>
          </w:p>
          <w:p w14:paraId="464AB2F5" w14:textId="77777777" w:rsidR="00A41321" w:rsidRPr="00A41321" w:rsidRDefault="00A41321" w:rsidP="00A41321">
            <w:pPr>
              <w:pStyle w:val="TableHeadingCA"/>
              <w:rPr>
                <w:lang w:eastAsia="en-AU"/>
              </w:rPr>
            </w:pPr>
            <w:r>
              <w:rPr>
                <w:lang w:eastAsia="en-AU"/>
              </w:rPr>
              <w:t>k studies</w:t>
            </w:r>
          </w:p>
        </w:tc>
        <w:tc>
          <w:tcPr>
            <w:tcW w:w="2273" w:type="dxa"/>
            <w:vAlign w:val="center"/>
          </w:tcPr>
          <w:p w14:paraId="3AC02AE2" w14:textId="77777777" w:rsidR="00A41321" w:rsidRPr="00A41321" w:rsidRDefault="00A41321" w:rsidP="00A41321">
            <w:pPr>
              <w:pStyle w:val="TableHeadingCA"/>
              <w:rPr>
                <w:lang w:eastAsia="en-AU"/>
              </w:rPr>
            </w:pPr>
            <w:r w:rsidRPr="00A41321">
              <w:rPr>
                <w:lang w:eastAsia="en-AU"/>
              </w:rPr>
              <w:t>Obizur vs. NovoSeven</w:t>
            </w:r>
          </w:p>
          <w:p w14:paraId="7939FDAF" w14:textId="77777777" w:rsidR="00A41321" w:rsidRPr="00A41321" w:rsidRDefault="00A41321" w:rsidP="00A41321">
            <w:pPr>
              <w:pStyle w:val="TableHeadingCA"/>
              <w:rPr>
                <w:lang w:eastAsia="en-AU"/>
              </w:rPr>
            </w:pPr>
            <w:r w:rsidRPr="00A41321">
              <w:rPr>
                <w:lang w:eastAsia="en-AU"/>
              </w:rPr>
              <w:t>RD (95% CI), p-value</w:t>
            </w:r>
          </w:p>
          <w:p w14:paraId="40C61DC2" w14:textId="77777777" w:rsidR="00A41321" w:rsidRPr="00A41321" w:rsidRDefault="00A41321" w:rsidP="00A41321">
            <w:pPr>
              <w:pStyle w:val="TableHeadingCA"/>
              <w:rPr>
                <w:lang w:eastAsia="en-AU"/>
              </w:rPr>
            </w:pPr>
            <w:r w:rsidRPr="00A41321">
              <w:rPr>
                <w:lang w:eastAsia="en-AU"/>
              </w:rPr>
              <w:t>RR (95% CI), p-value</w:t>
            </w:r>
          </w:p>
        </w:tc>
        <w:tc>
          <w:tcPr>
            <w:tcW w:w="2274" w:type="dxa"/>
            <w:vAlign w:val="center"/>
          </w:tcPr>
          <w:p w14:paraId="0B7066A2" w14:textId="77777777" w:rsidR="00A41321" w:rsidRPr="00A41321" w:rsidRDefault="00A41321" w:rsidP="00A41321">
            <w:pPr>
              <w:pStyle w:val="TableHeadingCA"/>
              <w:rPr>
                <w:lang w:eastAsia="en-AU"/>
              </w:rPr>
            </w:pPr>
            <w:r w:rsidRPr="00A41321">
              <w:rPr>
                <w:lang w:eastAsia="en-AU"/>
              </w:rPr>
              <w:t xml:space="preserve">Obizur </w:t>
            </w:r>
            <w:r w:rsidR="006A63FB">
              <w:rPr>
                <w:lang w:eastAsia="en-AU"/>
              </w:rPr>
              <w:t>vs. FEIBA</w:t>
            </w:r>
          </w:p>
          <w:p w14:paraId="721E0F71" w14:textId="77777777" w:rsidR="00A41321" w:rsidRPr="00A41321" w:rsidRDefault="00A41321" w:rsidP="00A41321">
            <w:pPr>
              <w:pStyle w:val="TableHeadingCA"/>
              <w:rPr>
                <w:lang w:eastAsia="en-AU"/>
              </w:rPr>
            </w:pPr>
            <w:r w:rsidRPr="00A41321">
              <w:rPr>
                <w:lang w:eastAsia="en-AU"/>
              </w:rPr>
              <w:t>RD (95% CI), p-value</w:t>
            </w:r>
          </w:p>
          <w:p w14:paraId="064363E8" w14:textId="77777777" w:rsidR="00A41321" w:rsidRPr="00A41321" w:rsidRDefault="00A41321" w:rsidP="00A41321">
            <w:pPr>
              <w:pStyle w:val="TableHeadingCA"/>
              <w:rPr>
                <w:lang w:eastAsia="en-AU"/>
              </w:rPr>
            </w:pPr>
            <w:r w:rsidRPr="00A41321">
              <w:rPr>
                <w:lang w:eastAsia="en-AU"/>
              </w:rPr>
              <w:t>RR (95% CI), p-value</w:t>
            </w:r>
          </w:p>
        </w:tc>
        <w:tc>
          <w:tcPr>
            <w:tcW w:w="1072" w:type="dxa"/>
            <w:vAlign w:val="center"/>
          </w:tcPr>
          <w:p w14:paraId="625C6683" w14:textId="77777777" w:rsidR="00A41321" w:rsidRPr="00A41321" w:rsidRDefault="00A41321" w:rsidP="00A41321">
            <w:pPr>
              <w:pStyle w:val="TableHeadingCA"/>
              <w:rPr>
                <w:lang w:eastAsia="en-AU"/>
              </w:rPr>
            </w:pPr>
            <w:r w:rsidRPr="00A41321">
              <w:rPr>
                <w:lang w:eastAsia="en-AU"/>
              </w:rPr>
              <w:t>GRADE</w:t>
            </w:r>
          </w:p>
        </w:tc>
      </w:tr>
      <w:tr w:rsidR="00A41321" w:rsidRPr="003C4855" w14:paraId="41B6914A" w14:textId="77777777" w:rsidTr="003F65FE">
        <w:tc>
          <w:tcPr>
            <w:tcW w:w="1132" w:type="dxa"/>
            <w:vAlign w:val="center"/>
          </w:tcPr>
          <w:p w14:paraId="58A93D38" w14:textId="77777777" w:rsidR="00A41321" w:rsidRPr="003C4855" w:rsidRDefault="00A41321" w:rsidP="003C4855">
            <w:pPr>
              <w:pStyle w:val="TableTextCA"/>
            </w:pPr>
            <w:r w:rsidRPr="003C4855">
              <w:t>11/129</w:t>
            </w:r>
          </w:p>
          <w:p w14:paraId="6F9E7F15" w14:textId="77777777" w:rsidR="00A41321" w:rsidRPr="003C4855" w:rsidRDefault="00A41321" w:rsidP="003C4855">
            <w:pPr>
              <w:pStyle w:val="TableTextCA"/>
            </w:pPr>
            <w:r w:rsidRPr="003C4855">
              <w:t>(8.5)</w:t>
            </w:r>
          </w:p>
          <w:p w14:paraId="2E7E3E7E" w14:textId="77777777" w:rsidR="00A41321" w:rsidRPr="003C4855" w:rsidRDefault="00A41321" w:rsidP="003C4855">
            <w:pPr>
              <w:pStyle w:val="TableTextCA"/>
            </w:pPr>
            <w:r w:rsidRPr="003C4855">
              <w:t>3 studies</w:t>
            </w:r>
          </w:p>
        </w:tc>
        <w:tc>
          <w:tcPr>
            <w:tcW w:w="1132" w:type="dxa"/>
            <w:vAlign w:val="center"/>
          </w:tcPr>
          <w:p w14:paraId="3C3036F9" w14:textId="77777777" w:rsidR="00A41321" w:rsidRPr="003C4855" w:rsidRDefault="00A41321" w:rsidP="003C4855">
            <w:pPr>
              <w:pStyle w:val="TableTextCA"/>
            </w:pPr>
            <w:r w:rsidRPr="003C4855">
              <w:t xml:space="preserve">6/227 </w:t>
            </w:r>
          </w:p>
          <w:p w14:paraId="20B9C813" w14:textId="77777777" w:rsidR="00A41321" w:rsidRPr="003C4855" w:rsidRDefault="00A41321" w:rsidP="003C4855">
            <w:pPr>
              <w:pStyle w:val="TableTextCA"/>
            </w:pPr>
            <w:r w:rsidRPr="003C4855">
              <w:t>(2.6)</w:t>
            </w:r>
          </w:p>
          <w:p w14:paraId="123D3DAC" w14:textId="77777777" w:rsidR="00A41321" w:rsidRPr="003C4855" w:rsidRDefault="00A41321" w:rsidP="003C4855">
            <w:pPr>
              <w:pStyle w:val="TableTextCA"/>
            </w:pPr>
            <w:r w:rsidRPr="003C4855">
              <w:t>3 studies</w:t>
            </w:r>
          </w:p>
        </w:tc>
        <w:tc>
          <w:tcPr>
            <w:tcW w:w="1133" w:type="dxa"/>
            <w:vAlign w:val="center"/>
          </w:tcPr>
          <w:p w14:paraId="5273AEDF" w14:textId="77777777" w:rsidR="00A41321" w:rsidRPr="003C4855" w:rsidRDefault="00A41321" w:rsidP="003C4855">
            <w:pPr>
              <w:pStyle w:val="TableTextCA"/>
            </w:pPr>
            <w:r w:rsidRPr="003C4855">
              <w:t xml:space="preserve">4/34 </w:t>
            </w:r>
          </w:p>
          <w:p w14:paraId="3B08947A" w14:textId="77777777" w:rsidR="00A41321" w:rsidRPr="003C4855" w:rsidRDefault="00A41321" w:rsidP="003C4855">
            <w:pPr>
              <w:pStyle w:val="TableTextCA"/>
            </w:pPr>
            <w:r w:rsidRPr="003C4855">
              <w:t>(11.8)</w:t>
            </w:r>
          </w:p>
          <w:p w14:paraId="5334E2A3" w14:textId="77777777" w:rsidR="00A41321" w:rsidRPr="003C4855" w:rsidRDefault="00A41321" w:rsidP="003C4855">
            <w:pPr>
              <w:pStyle w:val="TableTextCA"/>
            </w:pPr>
            <w:r w:rsidRPr="003C4855">
              <w:t>1 study</w:t>
            </w:r>
          </w:p>
        </w:tc>
        <w:tc>
          <w:tcPr>
            <w:tcW w:w="2273" w:type="dxa"/>
            <w:vAlign w:val="center"/>
          </w:tcPr>
          <w:p w14:paraId="2EE76AA5" w14:textId="77777777" w:rsidR="00A41321" w:rsidRPr="003C4855" w:rsidRDefault="00A41321" w:rsidP="003C4855">
            <w:pPr>
              <w:pStyle w:val="TableTextCA"/>
            </w:pPr>
            <w:r w:rsidRPr="003C4855">
              <w:t xml:space="preserve">0.06 </w:t>
            </w:r>
          </w:p>
          <w:p w14:paraId="7EF31733" w14:textId="77777777" w:rsidR="00A41321" w:rsidRPr="003C4855" w:rsidRDefault="00A41321" w:rsidP="003C4855">
            <w:pPr>
              <w:pStyle w:val="TableTextCA"/>
            </w:pPr>
            <w:r w:rsidRPr="003C4855">
              <w:t>[0.01; 0.11]; p=0.0281</w:t>
            </w:r>
          </w:p>
          <w:p w14:paraId="4ECE08DF" w14:textId="77777777" w:rsidR="00A41321" w:rsidRPr="003C4855" w:rsidRDefault="00A41321" w:rsidP="003C4855">
            <w:pPr>
              <w:pStyle w:val="TableTextCA"/>
            </w:pPr>
            <w:r w:rsidRPr="003C4855">
              <w:t xml:space="preserve">3.23 </w:t>
            </w:r>
          </w:p>
          <w:p w14:paraId="51372AE7" w14:textId="77777777" w:rsidR="00A41321" w:rsidRPr="003C4855" w:rsidRDefault="00A41321" w:rsidP="003C4855">
            <w:pPr>
              <w:pStyle w:val="TableTextCA"/>
            </w:pPr>
            <w:r w:rsidRPr="003C4855">
              <w:t>[1.22; 8.52]; p=0.0181</w:t>
            </w:r>
          </w:p>
        </w:tc>
        <w:tc>
          <w:tcPr>
            <w:tcW w:w="2274" w:type="dxa"/>
            <w:vAlign w:val="center"/>
          </w:tcPr>
          <w:p w14:paraId="4C75BC3B" w14:textId="77777777" w:rsidR="003C4855" w:rsidRPr="003C4855" w:rsidRDefault="003C4855" w:rsidP="003C4855">
            <w:pPr>
              <w:pStyle w:val="TableTextCA"/>
            </w:pPr>
            <w:r w:rsidRPr="003C4855">
              <w:t xml:space="preserve">-0.03 </w:t>
            </w:r>
          </w:p>
          <w:p w14:paraId="5BC2F4E1" w14:textId="77777777" w:rsidR="00A41321" w:rsidRPr="003C4855" w:rsidRDefault="003C4855" w:rsidP="003C4855">
            <w:pPr>
              <w:pStyle w:val="TableTextCA"/>
            </w:pPr>
            <w:r w:rsidRPr="003C4855">
              <w:t>[-0.15; 0.09]; p=0.5924</w:t>
            </w:r>
          </w:p>
          <w:p w14:paraId="61394696" w14:textId="77777777" w:rsidR="003C4855" w:rsidRPr="003C4855" w:rsidRDefault="003C4855" w:rsidP="003C4855">
            <w:pPr>
              <w:pStyle w:val="TableTextCA"/>
            </w:pPr>
            <w:r w:rsidRPr="003C4855">
              <w:t xml:space="preserve">0.72 </w:t>
            </w:r>
          </w:p>
          <w:p w14:paraId="6D55C314" w14:textId="77777777" w:rsidR="003C4855" w:rsidRPr="003C4855" w:rsidRDefault="003C4855" w:rsidP="003C4855">
            <w:pPr>
              <w:pStyle w:val="TableTextCA"/>
            </w:pPr>
            <w:r w:rsidRPr="003C4855">
              <w:t>[0.25; 2.13]; p=0.5592</w:t>
            </w:r>
          </w:p>
        </w:tc>
        <w:tc>
          <w:tcPr>
            <w:tcW w:w="1072" w:type="dxa"/>
            <w:vAlign w:val="center"/>
          </w:tcPr>
          <w:p w14:paraId="0E29C743" w14:textId="77777777" w:rsidR="003C4855" w:rsidRPr="0017612C" w:rsidRDefault="003C4855" w:rsidP="003C4855">
            <w:pPr>
              <w:keepNext/>
              <w:spacing w:line="276" w:lineRule="auto"/>
              <w:jc w:val="center"/>
              <w:rPr>
                <w:rFonts w:asciiTheme="minorHAnsi" w:hAnsiTheme="minorHAnsi" w:cstheme="minorHAnsi"/>
                <w:color w:val="C00000"/>
                <w:sz w:val="18"/>
                <w:szCs w:val="18"/>
              </w:rPr>
            </w:pPr>
            <w:r w:rsidRPr="0017612C">
              <w:rPr>
                <w:rFonts w:ascii="Cambria Math" w:hAnsi="Cambria Math" w:cs="Cambria Math"/>
                <w:color w:val="00B050"/>
                <w:sz w:val="18"/>
                <w:szCs w:val="18"/>
              </w:rPr>
              <w:t>⨁</w:t>
            </w:r>
            <w:r w:rsidRPr="0017612C">
              <w:rPr>
                <w:rFonts w:ascii="Cambria Math" w:hAnsi="Cambria Math" w:cs="Cambria Math"/>
                <w:color w:val="C00000"/>
                <w:sz w:val="18"/>
                <w:szCs w:val="18"/>
              </w:rPr>
              <w:t>⨀⨀⨀</w:t>
            </w:r>
          </w:p>
          <w:p w14:paraId="73CE0584" w14:textId="77777777" w:rsidR="00A41321" w:rsidRPr="003C4855" w:rsidRDefault="003C4855" w:rsidP="003C4855">
            <w:pPr>
              <w:pStyle w:val="TableTextCA"/>
            </w:pPr>
            <w:proofErr w:type="spellStart"/>
            <w:proofErr w:type="gramStart"/>
            <w:r w:rsidRPr="0017612C">
              <w:rPr>
                <w:rFonts w:asciiTheme="minorHAnsi" w:hAnsiTheme="minorHAnsi" w:cstheme="minorHAnsi"/>
                <w:sz w:val="18"/>
                <w:szCs w:val="18"/>
                <w:vertAlign w:val="superscript"/>
              </w:rPr>
              <w:t>a,b</w:t>
            </w:r>
            <w:proofErr w:type="gramEnd"/>
            <w:r w:rsidRPr="0017612C">
              <w:rPr>
                <w:rFonts w:asciiTheme="minorHAnsi" w:hAnsiTheme="minorHAnsi" w:cstheme="minorHAnsi"/>
                <w:sz w:val="18"/>
                <w:szCs w:val="18"/>
                <w:vertAlign w:val="superscript"/>
              </w:rPr>
              <w:t>,c</w:t>
            </w:r>
            <w:proofErr w:type="spellEnd"/>
          </w:p>
        </w:tc>
      </w:tr>
    </w:tbl>
    <w:p w14:paraId="13F092EF" w14:textId="77777777" w:rsidR="00A41321" w:rsidRPr="00920354" w:rsidRDefault="00A41321" w:rsidP="005E21AE">
      <w:pPr>
        <w:spacing w:before="0" w:after="0" w:line="240" w:lineRule="auto"/>
        <w:rPr>
          <w:rFonts w:ascii="Arial Narrow" w:eastAsia="Times New Roman" w:hAnsi="Arial Narrow" w:cs="Arial"/>
          <w:sz w:val="18"/>
          <w:szCs w:val="20"/>
        </w:rPr>
      </w:pPr>
      <w:r w:rsidRPr="00920354">
        <w:rPr>
          <w:rFonts w:ascii="Arial Narrow" w:eastAsia="Times New Roman" w:hAnsi="Arial Narrow" w:cs="Arial"/>
          <w:sz w:val="18"/>
          <w:szCs w:val="20"/>
        </w:rPr>
        <w:t>a Very serious risk of bias due to all studies being uncontrolled</w:t>
      </w:r>
    </w:p>
    <w:p w14:paraId="0F41A681" w14:textId="77777777" w:rsidR="00A41321" w:rsidRPr="00920354" w:rsidRDefault="00A41321" w:rsidP="005E21AE">
      <w:pPr>
        <w:spacing w:before="0" w:after="0" w:line="240" w:lineRule="auto"/>
        <w:rPr>
          <w:rFonts w:ascii="Arial Narrow" w:eastAsia="Times New Roman" w:hAnsi="Arial Narrow" w:cs="Arial"/>
          <w:sz w:val="18"/>
          <w:szCs w:val="20"/>
        </w:rPr>
      </w:pPr>
      <w:r w:rsidRPr="00920354">
        <w:rPr>
          <w:rFonts w:ascii="Arial Narrow" w:eastAsia="Times New Roman" w:hAnsi="Arial Narrow" w:cs="Arial"/>
          <w:sz w:val="18"/>
          <w:szCs w:val="20"/>
        </w:rPr>
        <w:t>b Serious indirectness due to the evidence relying on indirect comparisons</w:t>
      </w:r>
    </w:p>
    <w:p w14:paraId="649D67DF" w14:textId="77777777" w:rsidR="00A41321" w:rsidRPr="00920354" w:rsidRDefault="00A41321" w:rsidP="005E21AE">
      <w:pPr>
        <w:spacing w:before="0" w:after="0" w:line="240" w:lineRule="auto"/>
        <w:rPr>
          <w:rFonts w:ascii="Arial Narrow" w:eastAsia="Times New Roman" w:hAnsi="Arial Narrow" w:cs="Arial"/>
          <w:sz w:val="18"/>
          <w:szCs w:val="18"/>
        </w:rPr>
      </w:pPr>
      <w:r w:rsidRPr="0301EDCD">
        <w:rPr>
          <w:rFonts w:ascii="Arial Narrow" w:eastAsia="Times New Roman" w:hAnsi="Arial Narrow" w:cs="Arial"/>
          <w:sz w:val="18"/>
          <w:szCs w:val="18"/>
        </w:rPr>
        <w:t xml:space="preserve">c </w:t>
      </w:r>
      <w:bookmarkStart w:id="38" w:name="_Int_E7IJhT0R"/>
      <w:proofErr w:type="gramStart"/>
      <w:r w:rsidRPr="0301EDCD">
        <w:rPr>
          <w:rFonts w:ascii="Arial Narrow" w:eastAsia="Times New Roman" w:hAnsi="Arial Narrow" w:cs="Arial"/>
          <w:sz w:val="18"/>
          <w:szCs w:val="18"/>
        </w:rPr>
        <w:t>Serious</w:t>
      </w:r>
      <w:bookmarkEnd w:id="38"/>
      <w:proofErr w:type="gramEnd"/>
      <w:r w:rsidRPr="0301EDCD">
        <w:rPr>
          <w:rFonts w:ascii="Arial Narrow" w:eastAsia="Times New Roman" w:hAnsi="Arial Narrow" w:cs="Arial"/>
          <w:sz w:val="18"/>
          <w:szCs w:val="18"/>
        </w:rPr>
        <w:t xml:space="preserve"> risk of publication bias as results were mostly derived from observational studies</w:t>
      </w:r>
    </w:p>
    <w:p w14:paraId="05A6BB05" w14:textId="77777777" w:rsidR="00A41321" w:rsidRPr="00920354" w:rsidRDefault="00A41321" w:rsidP="005E21AE">
      <w:pPr>
        <w:spacing w:before="0" w:after="0" w:line="240" w:lineRule="auto"/>
        <w:rPr>
          <w:rFonts w:ascii="Arial Narrow" w:eastAsia="Times New Roman" w:hAnsi="Arial Narrow" w:cs="Arial"/>
          <w:sz w:val="18"/>
          <w:szCs w:val="20"/>
        </w:rPr>
      </w:pPr>
      <w:r w:rsidRPr="00920354">
        <w:rPr>
          <w:rFonts w:ascii="Arial Narrow" w:eastAsia="Times New Roman" w:hAnsi="Arial Narrow" w:cs="Arial"/>
          <w:sz w:val="18"/>
          <w:szCs w:val="20"/>
        </w:rPr>
        <w:t xml:space="preserve">Abbreviations: CI = Confidence interval; GRADE = Grading of Recommendations Assessment, Development and Evaluation; RD = Risk Difference; RR = Relative </w:t>
      </w:r>
      <w:proofErr w:type="gramStart"/>
      <w:r w:rsidRPr="00920354">
        <w:rPr>
          <w:rFonts w:ascii="Arial Narrow" w:eastAsia="Times New Roman" w:hAnsi="Arial Narrow" w:cs="Arial"/>
          <w:sz w:val="18"/>
          <w:szCs w:val="20"/>
        </w:rPr>
        <w:t>Risk;</w:t>
      </w:r>
      <w:proofErr w:type="gramEnd"/>
      <w:r w:rsidRPr="00920354">
        <w:rPr>
          <w:rFonts w:ascii="Arial Narrow" w:eastAsia="Times New Roman" w:hAnsi="Arial Narrow" w:cs="Arial"/>
          <w:sz w:val="18"/>
          <w:szCs w:val="20"/>
        </w:rPr>
        <w:t xml:space="preserve"> </w:t>
      </w:r>
    </w:p>
    <w:p w14:paraId="162ED652" w14:textId="3EED4AFD" w:rsidR="00CF69BC" w:rsidRPr="00920354" w:rsidRDefault="00012423" w:rsidP="005E21AE">
      <w:pPr>
        <w:spacing w:before="0" w:after="0" w:line="240" w:lineRule="auto"/>
        <w:rPr>
          <w:rFonts w:ascii="Arial Narrow" w:eastAsia="Times New Roman" w:hAnsi="Arial Narrow" w:cs="Arial"/>
          <w:sz w:val="18"/>
          <w:szCs w:val="20"/>
        </w:rPr>
      </w:pPr>
      <w:r>
        <w:rPr>
          <w:rFonts w:ascii="Arial Narrow" w:eastAsia="Times New Roman" w:hAnsi="Arial Narrow" w:cs="Arial"/>
          <w:sz w:val="18"/>
          <w:szCs w:val="20"/>
        </w:rPr>
        <w:t xml:space="preserve">Source: </w:t>
      </w:r>
      <w:r w:rsidR="00CF69BC" w:rsidRPr="00CF69BC">
        <w:rPr>
          <w:rFonts w:ascii="Arial Narrow" w:eastAsia="Times New Roman" w:hAnsi="Arial Narrow" w:cs="Arial"/>
          <w:sz w:val="18"/>
          <w:szCs w:val="20"/>
        </w:rPr>
        <w:t>Tables 4</w:t>
      </w:r>
      <w:r w:rsidR="00CF69BC">
        <w:rPr>
          <w:rFonts w:ascii="Arial Narrow" w:eastAsia="Times New Roman" w:hAnsi="Arial Narrow" w:cs="Arial"/>
          <w:sz w:val="18"/>
          <w:szCs w:val="20"/>
        </w:rPr>
        <w:t>5</w:t>
      </w:r>
      <w:r w:rsidR="00CF69BC" w:rsidRPr="00CF69BC">
        <w:rPr>
          <w:rFonts w:ascii="Arial Narrow" w:eastAsia="Times New Roman" w:hAnsi="Arial Narrow" w:cs="Arial"/>
          <w:sz w:val="18"/>
          <w:szCs w:val="20"/>
        </w:rPr>
        <w:t xml:space="preserve"> and 7</w:t>
      </w:r>
      <w:r w:rsidR="00CF69BC">
        <w:rPr>
          <w:rFonts w:ascii="Arial Narrow" w:eastAsia="Times New Roman" w:hAnsi="Arial Narrow" w:cs="Arial"/>
          <w:sz w:val="18"/>
          <w:szCs w:val="20"/>
        </w:rPr>
        <w:t>9</w:t>
      </w:r>
      <w:r w:rsidR="00CF69BC" w:rsidRPr="00CF69BC">
        <w:rPr>
          <w:rFonts w:ascii="Arial Narrow" w:eastAsia="Times New Roman" w:hAnsi="Arial Narrow" w:cs="Arial"/>
          <w:sz w:val="18"/>
          <w:szCs w:val="20"/>
        </w:rPr>
        <w:t xml:space="preserve">, </w:t>
      </w:r>
      <w:proofErr w:type="spellStart"/>
      <w:r w:rsidR="00CF69BC" w:rsidRPr="00CF69BC">
        <w:rPr>
          <w:rFonts w:ascii="Arial Narrow" w:eastAsia="Times New Roman" w:hAnsi="Arial Narrow" w:cs="Arial"/>
          <w:sz w:val="18"/>
          <w:szCs w:val="20"/>
        </w:rPr>
        <w:t>pg</w:t>
      </w:r>
      <w:proofErr w:type="spellEnd"/>
      <w:r w:rsidR="00CF69BC" w:rsidRPr="00CF69BC">
        <w:rPr>
          <w:rFonts w:ascii="Arial Narrow" w:eastAsia="Times New Roman" w:hAnsi="Arial Narrow" w:cs="Arial"/>
          <w:sz w:val="18"/>
          <w:szCs w:val="20"/>
        </w:rPr>
        <w:t xml:space="preserve"> </w:t>
      </w:r>
      <w:r w:rsidR="00CF69BC">
        <w:rPr>
          <w:rFonts w:ascii="Arial Narrow" w:eastAsia="Times New Roman" w:hAnsi="Arial Narrow" w:cs="Arial"/>
          <w:sz w:val="18"/>
          <w:szCs w:val="20"/>
        </w:rPr>
        <w:t>98</w:t>
      </w:r>
      <w:r w:rsidR="00CF69BC" w:rsidRPr="00CF69BC">
        <w:rPr>
          <w:rFonts w:ascii="Arial Narrow" w:eastAsia="Times New Roman" w:hAnsi="Arial Narrow" w:cs="Arial"/>
          <w:sz w:val="18"/>
          <w:szCs w:val="20"/>
        </w:rPr>
        <w:t xml:space="preserve"> and 1</w:t>
      </w:r>
      <w:r w:rsidR="00CF69BC">
        <w:rPr>
          <w:rFonts w:ascii="Arial Narrow" w:eastAsia="Times New Roman" w:hAnsi="Arial Narrow" w:cs="Arial"/>
          <w:sz w:val="18"/>
          <w:szCs w:val="20"/>
        </w:rPr>
        <w:t>38</w:t>
      </w:r>
      <w:r w:rsidR="00CF69BC" w:rsidRPr="00CF69BC">
        <w:rPr>
          <w:rFonts w:ascii="Arial Narrow" w:eastAsia="Times New Roman" w:hAnsi="Arial Narrow" w:cs="Arial"/>
          <w:sz w:val="18"/>
          <w:szCs w:val="20"/>
        </w:rPr>
        <w:t xml:space="preserve"> of the Commentary on MSAC 1714 ADAR</w:t>
      </w:r>
    </w:p>
    <w:p w14:paraId="7A2A32BE" w14:textId="77777777" w:rsidR="00100EE4" w:rsidRDefault="00B41B9C" w:rsidP="00B41B9C">
      <w:pPr>
        <w:pStyle w:val="Heading3"/>
      </w:pPr>
      <w:r>
        <w:t>Treatment-related mortality</w:t>
      </w:r>
    </w:p>
    <w:p w14:paraId="61E43D80" w14:textId="1FF1275D" w:rsidR="003028DF" w:rsidRDefault="000D5555" w:rsidP="00C0539C">
      <w:r w:rsidRPr="000D5555">
        <w:t xml:space="preserve">No difference was detected </w:t>
      </w:r>
      <w:r w:rsidR="00DA2EE0">
        <w:t>in treatment-related mortality between those patients receiving Obizur, compared to</w:t>
      </w:r>
      <w:r w:rsidRPr="000D5555">
        <w:t xml:space="preserve"> NovoSeven or FEIBA</w:t>
      </w:r>
      <w:r w:rsidR="005677B3">
        <w:t xml:space="preserve"> (</w:t>
      </w:r>
      <w:r w:rsidR="00652F37">
        <w:fldChar w:fldCharType="begin"/>
      </w:r>
      <w:r w:rsidR="00652F37">
        <w:instrText xml:space="preserve"> REF _Ref120530996 \h </w:instrText>
      </w:r>
      <w:r w:rsidR="00652F37">
        <w:fldChar w:fldCharType="separate"/>
      </w:r>
      <w:r w:rsidR="00C25EB0">
        <w:t xml:space="preserve">Table </w:t>
      </w:r>
      <w:r w:rsidR="00C25EB0">
        <w:rPr>
          <w:noProof/>
        </w:rPr>
        <w:t>7</w:t>
      </w:r>
      <w:r w:rsidR="00652F37">
        <w:fldChar w:fldCharType="end"/>
      </w:r>
      <w:r w:rsidR="005677B3">
        <w:t>)</w:t>
      </w:r>
      <w:r w:rsidRPr="000D5555">
        <w:t>.</w:t>
      </w:r>
      <w:r w:rsidR="00DC39B2">
        <w:t xml:space="preserve"> </w:t>
      </w:r>
    </w:p>
    <w:p w14:paraId="3FE9A912" w14:textId="3A01609D" w:rsidR="00C0539C" w:rsidRPr="00267AC0" w:rsidRDefault="00DC39B2" w:rsidP="00C0539C">
      <w:pPr>
        <w:rPr>
          <w:i/>
          <w:iCs/>
          <w:color w:val="5B9BD5" w:themeColor="accent1"/>
        </w:rPr>
      </w:pPr>
      <w:r>
        <w:t>Howeve</w:t>
      </w:r>
      <w:r w:rsidR="00C0539C">
        <w:t>r</w:t>
      </w:r>
      <w:r>
        <w:t xml:space="preserve">, the </w:t>
      </w:r>
      <w:r w:rsidR="00DA2EE0">
        <w:t xml:space="preserve">ADAR </w:t>
      </w:r>
      <w:r>
        <w:t>has not comprehensively reported whether there were any treatment related de</w:t>
      </w:r>
      <w:r w:rsidR="00C0539C">
        <w:t>a</w:t>
      </w:r>
      <w:r>
        <w:t xml:space="preserve">ths in Study </w:t>
      </w:r>
      <w:r w:rsidR="00C0539C">
        <w:t xml:space="preserve">241302 of Obizur. Of the 16 deaths that occurred during the trial, </w:t>
      </w:r>
      <w:r w:rsidR="00C0539C" w:rsidRPr="00C0539C">
        <w:t>5 deaths were related to AHA, and two were unknown.</w:t>
      </w:r>
      <w:r w:rsidR="0065480E">
        <w:t xml:space="preserve"> Further clarification is required</w:t>
      </w:r>
      <w:r w:rsidR="00314255">
        <w:t>.</w:t>
      </w:r>
    </w:p>
    <w:p w14:paraId="0207EFBC" w14:textId="45794CBF" w:rsidR="00B84BB6" w:rsidRDefault="00C0539C" w:rsidP="00B84BB6">
      <w:r>
        <w:t>There were no</w:t>
      </w:r>
      <w:r w:rsidR="00712F90">
        <w:t xml:space="preserve"> reports</w:t>
      </w:r>
      <w:r w:rsidR="00FB7AC6">
        <w:t xml:space="preserve"> of</w:t>
      </w:r>
      <w:r>
        <w:t xml:space="preserve"> treatment-related mortalities related to BPAs in Australian patients</w:t>
      </w:r>
      <w:r w:rsidR="00F02D66">
        <w:t>.</w:t>
      </w:r>
    </w:p>
    <w:p w14:paraId="0584AAC2" w14:textId="5BCE4F95" w:rsidR="003F65FE" w:rsidRPr="003F65FE" w:rsidRDefault="00652F37" w:rsidP="003F65FE">
      <w:pPr>
        <w:pStyle w:val="Caption"/>
      </w:pPr>
      <w:bookmarkStart w:id="39" w:name="_Ref120530996"/>
      <w:r>
        <w:t xml:space="preserve">Table </w:t>
      </w:r>
      <w:r>
        <w:fldChar w:fldCharType="begin"/>
      </w:r>
      <w:r>
        <w:instrText>SEQ Table \* ARABIC</w:instrText>
      </w:r>
      <w:r>
        <w:fldChar w:fldCharType="separate"/>
      </w:r>
      <w:r w:rsidR="00C25EB0">
        <w:rPr>
          <w:noProof/>
        </w:rPr>
        <w:t>7</w:t>
      </w:r>
      <w:r>
        <w:fldChar w:fldCharType="end"/>
      </w:r>
      <w:bookmarkEnd w:id="39"/>
      <w:r>
        <w:t xml:space="preserve"> </w:t>
      </w:r>
      <w:r w:rsidRPr="001A7156">
        <w:t>Naïve (indirect) comparison: Treatment-related mortality</w:t>
      </w:r>
    </w:p>
    <w:tbl>
      <w:tblPr>
        <w:tblStyle w:val="TableGrid"/>
        <w:tblW w:w="0" w:type="auto"/>
        <w:tblLook w:val="04A0" w:firstRow="1" w:lastRow="0" w:firstColumn="1" w:lastColumn="0" w:noHBand="0" w:noVBand="1"/>
        <w:tblCaption w:val="Naïve (indirect) comparison: Treatment-related mortality"/>
      </w:tblPr>
      <w:tblGrid>
        <w:gridCol w:w="1132"/>
        <w:gridCol w:w="1132"/>
        <w:gridCol w:w="1133"/>
        <w:gridCol w:w="2273"/>
        <w:gridCol w:w="2274"/>
        <w:gridCol w:w="1072"/>
      </w:tblGrid>
      <w:tr w:rsidR="005A5308" w:rsidRPr="00A41321" w14:paraId="50FD5E69" w14:textId="77777777" w:rsidTr="003F65FE">
        <w:tc>
          <w:tcPr>
            <w:tcW w:w="1132" w:type="dxa"/>
            <w:vAlign w:val="center"/>
          </w:tcPr>
          <w:p w14:paraId="4D979571" w14:textId="77777777" w:rsidR="005A5308" w:rsidRPr="00A41321" w:rsidRDefault="005A5308" w:rsidP="00E56A62">
            <w:pPr>
              <w:pStyle w:val="TableHeadingCA"/>
              <w:rPr>
                <w:lang w:eastAsia="en-AU"/>
              </w:rPr>
            </w:pPr>
            <w:r w:rsidRPr="00A41321">
              <w:rPr>
                <w:lang w:eastAsia="en-AU"/>
              </w:rPr>
              <w:t>Obizur</w:t>
            </w:r>
          </w:p>
          <w:p w14:paraId="4B4CED07" w14:textId="77777777" w:rsidR="005A5308" w:rsidRPr="00A41321" w:rsidRDefault="005A5308" w:rsidP="00E56A62">
            <w:pPr>
              <w:pStyle w:val="TableHeadingCA"/>
              <w:rPr>
                <w:lang w:eastAsia="en-AU"/>
              </w:rPr>
            </w:pPr>
            <w:r w:rsidRPr="00A41321">
              <w:rPr>
                <w:lang w:eastAsia="en-AU"/>
              </w:rPr>
              <w:t>n/N (%)</w:t>
            </w:r>
          </w:p>
          <w:p w14:paraId="612E000E" w14:textId="77777777" w:rsidR="005A5308" w:rsidRPr="00A41321" w:rsidRDefault="005A5308" w:rsidP="00E56A62">
            <w:pPr>
              <w:pStyle w:val="TableHeadingCA"/>
              <w:rPr>
                <w:lang w:eastAsia="en-AU"/>
              </w:rPr>
            </w:pPr>
            <w:r w:rsidRPr="00A41321">
              <w:rPr>
                <w:lang w:eastAsia="en-AU"/>
              </w:rPr>
              <w:t>k studies</w:t>
            </w:r>
          </w:p>
        </w:tc>
        <w:tc>
          <w:tcPr>
            <w:tcW w:w="1132" w:type="dxa"/>
            <w:vAlign w:val="center"/>
          </w:tcPr>
          <w:p w14:paraId="3CC5031C" w14:textId="77777777" w:rsidR="005A5308" w:rsidRPr="00A41321" w:rsidRDefault="005A5308" w:rsidP="00E56A62">
            <w:pPr>
              <w:pStyle w:val="TableHeadingCA"/>
              <w:rPr>
                <w:lang w:eastAsia="en-AU"/>
              </w:rPr>
            </w:pPr>
            <w:r w:rsidRPr="00A41321">
              <w:rPr>
                <w:lang w:eastAsia="en-AU"/>
              </w:rPr>
              <w:t>NovoSeven</w:t>
            </w:r>
          </w:p>
          <w:p w14:paraId="6D1523D5" w14:textId="77777777" w:rsidR="005A5308" w:rsidRPr="00A41321" w:rsidRDefault="005A5308" w:rsidP="00E56A62">
            <w:pPr>
              <w:pStyle w:val="TableHeadingCA"/>
              <w:rPr>
                <w:lang w:eastAsia="en-AU"/>
              </w:rPr>
            </w:pPr>
            <w:r w:rsidRPr="00A41321">
              <w:rPr>
                <w:lang w:eastAsia="en-AU"/>
              </w:rPr>
              <w:t>n/N (%)</w:t>
            </w:r>
          </w:p>
          <w:p w14:paraId="5F0C9A56" w14:textId="77777777" w:rsidR="005A5308" w:rsidRPr="00A41321" w:rsidRDefault="005A5308" w:rsidP="00E56A62">
            <w:pPr>
              <w:pStyle w:val="TableHeadingCA"/>
              <w:rPr>
                <w:lang w:eastAsia="en-AU"/>
              </w:rPr>
            </w:pPr>
            <w:r w:rsidRPr="00A41321">
              <w:rPr>
                <w:lang w:eastAsia="en-AU"/>
              </w:rPr>
              <w:t>k studies</w:t>
            </w:r>
          </w:p>
        </w:tc>
        <w:tc>
          <w:tcPr>
            <w:tcW w:w="1133" w:type="dxa"/>
            <w:vAlign w:val="center"/>
          </w:tcPr>
          <w:p w14:paraId="0189CE1B" w14:textId="77777777" w:rsidR="005A5308" w:rsidRPr="00A41321" w:rsidRDefault="005A5308" w:rsidP="00E56A62">
            <w:pPr>
              <w:pStyle w:val="TableHeadingCA"/>
              <w:rPr>
                <w:lang w:eastAsia="en-AU"/>
              </w:rPr>
            </w:pPr>
            <w:r w:rsidRPr="00A41321">
              <w:rPr>
                <w:lang w:eastAsia="en-AU"/>
              </w:rPr>
              <w:t>FEIBA</w:t>
            </w:r>
          </w:p>
          <w:p w14:paraId="1EB494C3" w14:textId="77777777" w:rsidR="005A5308" w:rsidRDefault="005A5308" w:rsidP="00E56A62">
            <w:pPr>
              <w:pStyle w:val="TableHeadingCA"/>
              <w:rPr>
                <w:lang w:eastAsia="en-AU"/>
              </w:rPr>
            </w:pPr>
            <w:r w:rsidRPr="00A41321">
              <w:rPr>
                <w:lang w:eastAsia="en-AU"/>
              </w:rPr>
              <w:t>n/N (%)</w:t>
            </w:r>
          </w:p>
          <w:p w14:paraId="10BBC41A" w14:textId="77777777" w:rsidR="005A5308" w:rsidRPr="00A41321" w:rsidRDefault="005A5308" w:rsidP="00E56A62">
            <w:pPr>
              <w:pStyle w:val="TableHeadingCA"/>
              <w:rPr>
                <w:lang w:eastAsia="en-AU"/>
              </w:rPr>
            </w:pPr>
            <w:r>
              <w:rPr>
                <w:lang w:eastAsia="en-AU"/>
              </w:rPr>
              <w:t>k studies</w:t>
            </w:r>
          </w:p>
        </w:tc>
        <w:tc>
          <w:tcPr>
            <w:tcW w:w="2273" w:type="dxa"/>
            <w:vAlign w:val="center"/>
          </w:tcPr>
          <w:p w14:paraId="0E5ECE76" w14:textId="77777777" w:rsidR="005A5308" w:rsidRPr="00A41321" w:rsidRDefault="005A5308" w:rsidP="00E56A62">
            <w:pPr>
              <w:pStyle w:val="TableHeadingCA"/>
              <w:rPr>
                <w:lang w:eastAsia="en-AU"/>
              </w:rPr>
            </w:pPr>
            <w:r w:rsidRPr="00A41321">
              <w:rPr>
                <w:lang w:eastAsia="en-AU"/>
              </w:rPr>
              <w:t>Obizur vs. NovoSeven</w:t>
            </w:r>
          </w:p>
          <w:p w14:paraId="662338C1" w14:textId="77777777" w:rsidR="005A5308" w:rsidRPr="00A41321" w:rsidRDefault="005A5308" w:rsidP="00E56A62">
            <w:pPr>
              <w:pStyle w:val="TableHeadingCA"/>
              <w:rPr>
                <w:lang w:eastAsia="en-AU"/>
              </w:rPr>
            </w:pPr>
            <w:r w:rsidRPr="00A41321">
              <w:rPr>
                <w:lang w:eastAsia="en-AU"/>
              </w:rPr>
              <w:t>RD (95% CI), p-value</w:t>
            </w:r>
          </w:p>
          <w:p w14:paraId="704528ED" w14:textId="77777777" w:rsidR="005A5308" w:rsidRPr="00A41321" w:rsidRDefault="005A5308" w:rsidP="00E56A62">
            <w:pPr>
              <w:pStyle w:val="TableHeadingCA"/>
              <w:rPr>
                <w:lang w:eastAsia="en-AU"/>
              </w:rPr>
            </w:pPr>
            <w:r w:rsidRPr="00A41321">
              <w:rPr>
                <w:lang w:eastAsia="en-AU"/>
              </w:rPr>
              <w:t>RR (95% CI), p-value</w:t>
            </w:r>
          </w:p>
        </w:tc>
        <w:tc>
          <w:tcPr>
            <w:tcW w:w="2274" w:type="dxa"/>
            <w:vAlign w:val="center"/>
          </w:tcPr>
          <w:p w14:paraId="28400855" w14:textId="77777777" w:rsidR="005A5308" w:rsidRPr="00A41321" w:rsidRDefault="005A5308" w:rsidP="00E56A62">
            <w:pPr>
              <w:pStyle w:val="TableHeadingCA"/>
              <w:rPr>
                <w:lang w:eastAsia="en-AU"/>
              </w:rPr>
            </w:pPr>
            <w:r w:rsidRPr="00A41321">
              <w:rPr>
                <w:lang w:eastAsia="en-AU"/>
              </w:rPr>
              <w:t xml:space="preserve">Obizur </w:t>
            </w:r>
            <w:r w:rsidR="006A63FB">
              <w:rPr>
                <w:lang w:eastAsia="en-AU"/>
              </w:rPr>
              <w:t>vs. FEIBA</w:t>
            </w:r>
          </w:p>
          <w:p w14:paraId="3B8C5EA6" w14:textId="77777777" w:rsidR="005A5308" w:rsidRPr="00A41321" w:rsidRDefault="005A5308" w:rsidP="00E56A62">
            <w:pPr>
              <w:pStyle w:val="TableHeadingCA"/>
              <w:rPr>
                <w:lang w:eastAsia="en-AU"/>
              </w:rPr>
            </w:pPr>
            <w:r w:rsidRPr="00A41321">
              <w:rPr>
                <w:lang w:eastAsia="en-AU"/>
              </w:rPr>
              <w:t>RD (95% CI), p-value</w:t>
            </w:r>
          </w:p>
          <w:p w14:paraId="1317E1DF" w14:textId="77777777" w:rsidR="005A5308" w:rsidRPr="00A41321" w:rsidRDefault="005A5308" w:rsidP="00E56A62">
            <w:pPr>
              <w:pStyle w:val="TableHeadingCA"/>
              <w:rPr>
                <w:lang w:eastAsia="en-AU"/>
              </w:rPr>
            </w:pPr>
            <w:r w:rsidRPr="00A41321">
              <w:rPr>
                <w:lang w:eastAsia="en-AU"/>
              </w:rPr>
              <w:t>RR (95% CI), p-value</w:t>
            </w:r>
          </w:p>
        </w:tc>
        <w:tc>
          <w:tcPr>
            <w:tcW w:w="1072" w:type="dxa"/>
            <w:vAlign w:val="center"/>
          </w:tcPr>
          <w:p w14:paraId="1640DA24" w14:textId="77777777" w:rsidR="005A5308" w:rsidRPr="00A41321" w:rsidRDefault="005A5308" w:rsidP="00E56A62">
            <w:pPr>
              <w:pStyle w:val="TableHeadingCA"/>
              <w:rPr>
                <w:lang w:eastAsia="en-AU"/>
              </w:rPr>
            </w:pPr>
            <w:r w:rsidRPr="00A41321">
              <w:rPr>
                <w:lang w:eastAsia="en-AU"/>
              </w:rPr>
              <w:t>GRADE</w:t>
            </w:r>
          </w:p>
        </w:tc>
      </w:tr>
      <w:tr w:rsidR="005A5308" w:rsidRPr="003C4855" w14:paraId="2E26C282" w14:textId="77777777" w:rsidTr="003F65FE">
        <w:tc>
          <w:tcPr>
            <w:tcW w:w="1132" w:type="dxa"/>
            <w:vAlign w:val="center"/>
          </w:tcPr>
          <w:p w14:paraId="231BB8FD" w14:textId="77777777" w:rsidR="005A5308" w:rsidRPr="0017612C" w:rsidRDefault="005A5308" w:rsidP="005A5308">
            <w:pPr>
              <w:pStyle w:val="TableTextCA"/>
            </w:pPr>
            <w:r w:rsidRPr="0017612C">
              <w:t>0/79</w:t>
            </w:r>
          </w:p>
          <w:p w14:paraId="79948963" w14:textId="77777777" w:rsidR="005A5308" w:rsidRDefault="005A5308" w:rsidP="005A5308">
            <w:pPr>
              <w:pStyle w:val="TableTextCA"/>
            </w:pPr>
            <w:r w:rsidRPr="0017612C">
              <w:t>(0%)</w:t>
            </w:r>
          </w:p>
          <w:p w14:paraId="5267A61B" w14:textId="77777777" w:rsidR="005A5308" w:rsidRPr="003C4855" w:rsidRDefault="005A5308" w:rsidP="005A5308">
            <w:pPr>
              <w:pStyle w:val="TableTextCA"/>
            </w:pPr>
            <w:r>
              <w:t>2 studies</w:t>
            </w:r>
          </w:p>
        </w:tc>
        <w:tc>
          <w:tcPr>
            <w:tcW w:w="1132" w:type="dxa"/>
            <w:vAlign w:val="center"/>
          </w:tcPr>
          <w:p w14:paraId="6D5C3F7C" w14:textId="77777777" w:rsidR="005A5308" w:rsidRPr="0017612C" w:rsidRDefault="005A5308" w:rsidP="005A5308">
            <w:pPr>
              <w:pStyle w:val="TableTextCA"/>
            </w:pPr>
            <w:r w:rsidRPr="0017612C">
              <w:t xml:space="preserve">4/159 </w:t>
            </w:r>
          </w:p>
          <w:p w14:paraId="06FC648C" w14:textId="77777777" w:rsidR="005A5308" w:rsidRDefault="005A5308" w:rsidP="005A5308">
            <w:pPr>
              <w:pStyle w:val="TableTextCA"/>
            </w:pPr>
            <w:r w:rsidRPr="0017612C">
              <w:t>(2.52)</w:t>
            </w:r>
          </w:p>
          <w:p w14:paraId="1BAA02F0" w14:textId="77777777" w:rsidR="005A5308" w:rsidRPr="003C4855" w:rsidRDefault="005A5308" w:rsidP="005A5308">
            <w:pPr>
              <w:pStyle w:val="TableTextCA"/>
            </w:pPr>
            <w:r>
              <w:t>2 studies</w:t>
            </w:r>
          </w:p>
        </w:tc>
        <w:tc>
          <w:tcPr>
            <w:tcW w:w="1133" w:type="dxa"/>
            <w:vAlign w:val="center"/>
          </w:tcPr>
          <w:p w14:paraId="643F6DE1" w14:textId="77777777" w:rsidR="005A5308" w:rsidRPr="0017612C" w:rsidRDefault="005A5308" w:rsidP="005A5308">
            <w:pPr>
              <w:pStyle w:val="TableTextCA"/>
            </w:pPr>
            <w:r w:rsidRPr="0017612C">
              <w:t>1/90</w:t>
            </w:r>
          </w:p>
          <w:p w14:paraId="70672F85" w14:textId="77777777" w:rsidR="005A5308" w:rsidRDefault="005A5308" w:rsidP="005A5308">
            <w:pPr>
              <w:pStyle w:val="TableTextCA"/>
            </w:pPr>
            <w:r w:rsidRPr="0017612C">
              <w:t>(1.11%)</w:t>
            </w:r>
          </w:p>
          <w:p w14:paraId="4196F8E7" w14:textId="77777777" w:rsidR="005A5308" w:rsidRPr="003C4855" w:rsidRDefault="005A5308" w:rsidP="005A5308">
            <w:pPr>
              <w:pStyle w:val="TableTextCA"/>
            </w:pPr>
            <w:r>
              <w:t>2 studies</w:t>
            </w:r>
          </w:p>
        </w:tc>
        <w:tc>
          <w:tcPr>
            <w:tcW w:w="2273" w:type="dxa"/>
            <w:vAlign w:val="center"/>
          </w:tcPr>
          <w:p w14:paraId="57D78BDC" w14:textId="77777777" w:rsidR="005A5308" w:rsidRPr="0017612C" w:rsidRDefault="005A5308" w:rsidP="005A5308">
            <w:pPr>
              <w:pStyle w:val="TableTextCA"/>
            </w:pPr>
            <w:r w:rsidRPr="0017612C">
              <w:t xml:space="preserve">-0.03 </w:t>
            </w:r>
          </w:p>
          <w:p w14:paraId="031D5DE1" w14:textId="77777777" w:rsidR="005A5308" w:rsidRDefault="005A5308" w:rsidP="005A5308">
            <w:pPr>
              <w:pStyle w:val="TableTextCA"/>
            </w:pPr>
            <w:r w:rsidRPr="0017612C">
              <w:t>[-0.06; 0.01]; p=0.1105</w:t>
            </w:r>
          </w:p>
          <w:p w14:paraId="18A723E2" w14:textId="77777777" w:rsidR="005A5308" w:rsidRPr="0017612C" w:rsidRDefault="005A5308" w:rsidP="005A5308">
            <w:pPr>
              <w:pStyle w:val="TableTextCA"/>
            </w:pPr>
            <w:r w:rsidRPr="0017612C">
              <w:t xml:space="preserve">0.22 </w:t>
            </w:r>
          </w:p>
          <w:p w14:paraId="5F184FD9" w14:textId="77777777" w:rsidR="005A5308" w:rsidRPr="003C4855" w:rsidRDefault="005A5308" w:rsidP="005A5308">
            <w:pPr>
              <w:pStyle w:val="TableTextCA"/>
            </w:pPr>
            <w:r w:rsidRPr="0017612C">
              <w:t>[0.01; 4.09]; p=0.3119</w:t>
            </w:r>
          </w:p>
        </w:tc>
        <w:tc>
          <w:tcPr>
            <w:tcW w:w="2274" w:type="dxa"/>
            <w:vAlign w:val="center"/>
          </w:tcPr>
          <w:p w14:paraId="42BC11E5" w14:textId="77777777" w:rsidR="005A5308" w:rsidRPr="0017612C" w:rsidRDefault="005A5308" w:rsidP="005A5308">
            <w:pPr>
              <w:pStyle w:val="TableTextCA"/>
            </w:pPr>
            <w:r w:rsidRPr="0017612C">
              <w:t xml:space="preserve">-0.01 </w:t>
            </w:r>
          </w:p>
          <w:p w14:paraId="440764C5" w14:textId="77777777" w:rsidR="005A5308" w:rsidRDefault="005A5308" w:rsidP="005A5308">
            <w:pPr>
              <w:pStyle w:val="TableTextCA"/>
            </w:pPr>
            <w:r w:rsidRPr="0017612C">
              <w:t>[-0.04; 0.02]; p=0.4872</w:t>
            </w:r>
          </w:p>
          <w:p w14:paraId="6AB1A697" w14:textId="77777777" w:rsidR="005A5308" w:rsidRPr="0017612C" w:rsidRDefault="005A5308" w:rsidP="005A5308">
            <w:pPr>
              <w:pStyle w:val="TableTextCA"/>
            </w:pPr>
            <w:r w:rsidRPr="0017612C">
              <w:t xml:space="preserve">0.38 </w:t>
            </w:r>
          </w:p>
          <w:p w14:paraId="3C50E492" w14:textId="77777777" w:rsidR="005A5308" w:rsidRPr="003C4855" w:rsidRDefault="005A5308" w:rsidP="005A5308">
            <w:pPr>
              <w:pStyle w:val="TableTextCA"/>
            </w:pPr>
            <w:r w:rsidRPr="0017612C">
              <w:t>[0.02; 9.18]; p=0.5511</w:t>
            </w:r>
          </w:p>
        </w:tc>
        <w:tc>
          <w:tcPr>
            <w:tcW w:w="1072" w:type="dxa"/>
            <w:vAlign w:val="center"/>
          </w:tcPr>
          <w:p w14:paraId="065D763B" w14:textId="77777777" w:rsidR="005A5308" w:rsidRPr="0017612C" w:rsidRDefault="005A5308" w:rsidP="005A5308">
            <w:pPr>
              <w:pStyle w:val="TableTextCA"/>
              <w:rPr>
                <w:color w:val="C00000"/>
                <w:sz w:val="18"/>
                <w:szCs w:val="18"/>
              </w:rPr>
            </w:pPr>
            <w:r w:rsidRPr="0017612C">
              <w:rPr>
                <w:rFonts w:ascii="Cambria Math" w:hAnsi="Cambria Math" w:cs="Cambria Math"/>
                <w:color w:val="00B050"/>
                <w:sz w:val="18"/>
                <w:szCs w:val="18"/>
              </w:rPr>
              <w:t>⨁</w:t>
            </w:r>
            <w:r w:rsidRPr="0017612C">
              <w:rPr>
                <w:rFonts w:ascii="Cambria Math" w:hAnsi="Cambria Math" w:cs="Cambria Math"/>
                <w:color w:val="C00000"/>
                <w:sz w:val="18"/>
                <w:szCs w:val="18"/>
              </w:rPr>
              <w:t>⨀⨀⨀</w:t>
            </w:r>
          </w:p>
          <w:p w14:paraId="4A8D69F5" w14:textId="77777777" w:rsidR="005A5308" w:rsidRPr="003C4855" w:rsidRDefault="005A5308" w:rsidP="005A5308">
            <w:pPr>
              <w:pStyle w:val="TableTextCA"/>
            </w:pPr>
            <w:proofErr w:type="spellStart"/>
            <w:proofErr w:type="gramStart"/>
            <w:r w:rsidRPr="0017612C">
              <w:rPr>
                <w:sz w:val="18"/>
                <w:szCs w:val="18"/>
                <w:vertAlign w:val="superscript"/>
              </w:rPr>
              <w:t>a,b</w:t>
            </w:r>
            <w:proofErr w:type="gramEnd"/>
            <w:r w:rsidRPr="0017612C">
              <w:rPr>
                <w:sz w:val="18"/>
                <w:szCs w:val="18"/>
                <w:vertAlign w:val="superscript"/>
              </w:rPr>
              <w:t>,c</w:t>
            </w:r>
            <w:proofErr w:type="spellEnd"/>
          </w:p>
        </w:tc>
      </w:tr>
    </w:tbl>
    <w:p w14:paraId="2000BB49" w14:textId="77777777" w:rsidR="005A5308" w:rsidRPr="00920354" w:rsidRDefault="005A5308" w:rsidP="005E21AE">
      <w:pPr>
        <w:spacing w:before="0" w:after="0" w:line="240" w:lineRule="auto"/>
        <w:rPr>
          <w:rFonts w:ascii="Arial Narrow" w:eastAsia="Times New Roman" w:hAnsi="Arial Narrow" w:cs="Arial"/>
          <w:sz w:val="18"/>
          <w:szCs w:val="20"/>
        </w:rPr>
      </w:pPr>
      <w:r w:rsidRPr="00920354">
        <w:rPr>
          <w:rFonts w:ascii="Arial Narrow" w:eastAsia="Times New Roman" w:hAnsi="Arial Narrow" w:cs="Arial"/>
          <w:sz w:val="18"/>
          <w:szCs w:val="20"/>
        </w:rPr>
        <w:t>a Very serious risk of bias due to all studies being uncontrolled</w:t>
      </w:r>
    </w:p>
    <w:p w14:paraId="571DB2FD" w14:textId="77777777" w:rsidR="005A5308" w:rsidRPr="00920354" w:rsidRDefault="005A5308" w:rsidP="005E21AE">
      <w:pPr>
        <w:spacing w:before="0" w:after="0" w:line="240" w:lineRule="auto"/>
        <w:rPr>
          <w:rFonts w:ascii="Arial Narrow" w:eastAsia="Times New Roman" w:hAnsi="Arial Narrow" w:cs="Arial"/>
          <w:sz w:val="18"/>
          <w:szCs w:val="20"/>
        </w:rPr>
      </w:pPr>
      <w:r w:rsidRPr="00920354">
        <w:rPr>
          <w:rFonts w:ascii="Arial Narrow" w:eastAsia="Times New Roman" w:hAnsi="Arial Narrow" w:cs="Arial"/>
          <w:sz w:val="18"/>
          <w:szCs w:val="20"/>
        </w:rPr>
        <w:t>b Serious indirectness due to the evidence relying on indirect comparisons</w:t>
      </w:r>
    </w:p>
    <w:p w14:paraId="29687B17" w14:textId="77777777" w:rsidR="005A5308" w:rsidRPr="00920354" w:rsidRDefault="005A5308" w:rsidP="005E21AE">
      <w:pPr>
        <w:spacing w:before="0" w:after="0" w:line="240" w:lineRule="auto"/>
        <w:rPr>
          <w:rFonts w:ascii="Arial Narrow" w:eastAsia="Times New Roman" w:hAnsi="Arial Narrow" w:cs="Arial"/>
          <w:sz w:val="18"/>
          <w:szCs w:val="18"/>
        </w:rPr>
      </w:pPr>
      <w:r w:rsidRPr="0301EDCD">
        <w:rPr>
          <w:rFonts w:ascii="Arial Narrow" w:eastAsia="Times New Roman" w:hAnsi="Arial Narrow" w:cs="Arial"/>
          <w:sz w:val="18"/>
          <w:szCs w:val="18"/>
        </w:rPr>
        <w:t xml:space="preserve">c </w:t>
      </w:r>
      <w:bookmarkStart w:id="40" w:name="_Int_k01qjQAF"/>
      <w:proofErr w:type="gramStart"/>
      <w:r w:rsidRPr="0301EDCD">
        <w:rPr>
          <w:rFonts w:ascii="Arial Narrow" w:eastAsia="Times New Roman" w:hAnsi="Arial Narrow" w:cs="Arial"/>
          <w:sz w:val="18"/>
          <w:szCs w:val="18"/>
        </w:rPr>
        <w:t>Serious</w:t>
      </w:r>
      <w:bookmarkEnd w:id="40"/>
      <w:proofErr w:type="gramEnd"/>
      <w:r w:rsidRPr="0301EDCD">
        <w:rPr>
          <w:rFonts w:ascii="Arial Narrow" w:eastAsia="Times New Roman" w:hAnsi="Arial Narrow" w:cs="Arial"/>
          <w:sz w:val="18"/>
          <w:szCs w:val="18"/>
        </w:rPr>
        <w:t xml:space="preserve"> risk of publication bias as results were mostly derived from observational studies</w:t>
      </w:r>
    </w:p>
    <w:p w14:paraId="2846D967" w14:textId="0F1AC1C1" w:rsidR="005A5308" w:rsidRDefault="005A5308" w:rsidP="005E21AE">
      <w:pPr>
        <w:spacing w:before="0" w:after="0" w:line="240" w:lineRule="auto"/>
        <w:rPr>
          <w:rFonts w:ascii="Arial Narrow" w:eastAsia="Times New Roman" w:hAnsi="Arial Narrow" w:cs="Arial"/>
          <w:sz w:val="18"/>
          <w:szCs w:val="20"/>
        </w:rPr>
      </w:pPr>
      <w:r w:rsidRPr="00920354">
        <w:rPr>
          <w:rFonts w:ascii="Arial Narrow" w:eastAsia="Times New Roman" w:hAnsi="Arial Narrow" w:cs="Arial"/>
          <w:sz w:val="18"/>
          <w:szCs w:val="20"/>
        </w:rPr>
        <w:t xml:space="preserve">Abbreviations: CI = Confidence interval; GRADE = Grading of Recommendations Assessment, Development and Evaluation; RD = Risk Difference; RR = Relative </w:t>
      </w:r>
      <w:proofErr w:type="gramStart"/>
      <w:r w:rsidRPr="00920354">
        <w:rPr>
          <w:rFonts w:ascii="Arial Narrow" w:eastAsia="Times New Roman" w:hAnsi="Arial Narrow" w:cs="Arial"/>
          <w:sz w:val="18"/>
          <w:szCs w:val="20"/>
        </w:rPr>
        <w:t>Risk;</w:t>
      </w:r>
      <w:proofErr w:type="gramEnd"/>
      <w:r w:rsidRPr="00920354">
        <w:rPr>
          <w:rFonts w:ascii="Arial Narrow" w:eastAsia="Times New Roman" w:hAnsi="Arial Narrow" w:cs="Arial"/>
          <w:sz w:val="18"/>
          <w:szCs w:val="20"/>
        </w:rPr>
        <w:t xml:space="preserve"> </w:t>
      </w:r>
    </w:p>
    <w:p w14:paraId="1087B1CD" w14:textId="2A1B6574" w:rsidR="003C7F65" w:rsidRPr="00920354" w:rsidRDefault="00C25C7E" w:rsidP="005E21AE">
      <w:pPr>
        <w:spacing w:before="0" w:after="0" w:line="240" w:lineRule="auto"/>
        <w:rPr>
          <w:rFonts w:ascii="Arial Narrow" w:eastAsia="Times New Roman" w:hAnsi="Arial Narrow" w:cs="Arial"/>
          <w:sz w:val="18"/>
          <w:szCs w:val="20"/>
        </w:rPr>
      </w:pPr>
      <w:r>
        <w:rPr>
          <w:rFonts w:ascii="Arial Narrow" w:eastAsia="Times New Roman" w:hAnsi="Arial Narrow" w:cs="Arial"/>
          <w:sz w:val="18"/>
          <w:szCs w:val="20"/>
        </w:rPr>
        <w:t xml:space="preserve">Source: </w:t>
      </w:r>
      <w:r w:rsidR="003C7F65" w:rsidRPr="003C7F65">
        <w:rPr>
          <w:rFonts w:ascii="Arial Narrow" w:eastAsia="Times New Roman" w:hAnsi="Arial Narrow" w:cs="Arial"/>
          <w:sz w:val="18"/>
          <w:szCs w:val="20"/>
        </w:rPr>
        <w:t>Tables 4</w:t>
      </w:r>
      <w:r w:rsidR="003C7F65">
        <w:rPr>
          <w:rFonts w:ascii="Arial Narrow" w:eastAsia="Times New Roman" w:hAnsi="Arial Narrow" w:cs="Arial"/>
          <w:sz w:val="18"/>
          <w:szCs w:val="20"/>
        </w:rPr>
        <w:t>8</w:t>
      </w:r>
      <w:r w:rsidR="003C7F65" w:rsidRPr="003C7F65">
        <w:rPr>
          <w:rFonts w:ascii="Arial Narrow" w:eastAsia="Times New Roman" w:hAnsi="Arial Narrow" w:cs="Arial"/>
          <w:sz w:val="18"/>
          <w:szCs w:val="20"/>
        </w:rPr>
        <w:t xml:space="preserve"> and </w:t>
      </w:r>
      <w:r w:rsidR="003C7F65">
        <w:rPr>
          <w:rFonts w:ascii="Arial Narrow" w:eastAsia="Times New Roman" w:hAnsi="Arial Narrow" w:cs="Arial"/>
          <w:sz w:val="18"/>
          <w:szCs w:val="20"/>
        </w:rPr>
        <w:t>82</w:t>
      </w:r>
      <w:r w:rsidR="003C7F65" w:rsidRPr="003C7F65">
        <w:rPr>
          <w:rFonts w:ascii="Arial Narrow" w:eastAsia="Times New Roman" w:hAnsi="Arial Narrow" w:cs="Arial"/>
          <w:sz w:val="18"/>
          <w:szCs w:val="20"/>
        </w:rPr>
        <w:t xml:space="preserve">, </w:t>
      </w:r>
      <w:proofErr w:type="spellStart"/>
      <w:r w:rsidR="003C7F65" w:rsidRPr="003C7F65">
        <w:rPr>
          <w:rFonts w:ascii="Arial Narrow" w:eastAsia="Times New Roman" w:hAnsi="Arial Narrow" w:cs="Arial"/>
          <w:sz w:val="18"/>
          <w:szCs w:val="20"/>
        </w:rPr>
        <w:t>pg</w:t>
      </w:r>
      <w:proofErr w:type="spellEnd"/>
      <w:r w:rsidR="003C7F65" w:rsidRPr="003C7F65">
        <w:rPr>
          <w:rFonts w:ascii="Arial Narrow" w:eastAsia="Times New Roman" w:hAnsi="Arial Narrow" w:cs="Arial"/>
          <w:sz w:val="18"/>
          <w:szCs w:val="20"/>
        </w:rPr>
        <w:t xml:space="preserve"> 8</w:t>
      </w:r>
      <w:r w:rsidR="003C7F65">
        <w:rPr>
          <w:rFonts w:ascii="Arial Narrow" w:eastAsia="Times New Roman" w:hAnsi="Arial Narrow" w:cs="Arial"/>
          <w:sz w:val="18"/>
          <w:szCs w:val="20"/>
        </w:rPr>
        <w:t>8</w:t>
      </w:r>
      <w:r w:rsidR="003C7F65" w:rsidRPr="003C7F65">
        <w:rPr>
          <w:rFonts w:ascii="Arial Narrow" w:eastAsia="Times New Roman" w:hAnsi="Arial Narrow" w:cs="Arial"/>
          <w:sz w:val="18"/>
          <w:szCs w:val="20"/>
        </w:rPr>
        <w:t xml:space="preserve"> and 14</w:t>
      </w:r>
      <w:r w:rsidR="003C7F65">
        <w:rPr>
          <w:rFonts w:ascii="Arial Narrow" w:eastAsia="Times New Roman" w:hAnsi="Arial Narrow" w:cs="Arial"/>
          <w:sz w:val="18"/>
          <w:szCs w:val="20"/>
        </w:rPr>
        <w:t>0</w:t>
      </w:r>
      <w:r w:rsidR="003C7F65" w:rsidRPr="003C7F65">
        <w:rPr>
          <w:rFonts w:ascii="Arial Narrow" w:eastAsia="Times New Roman" w:hAnsi="Arial Narrow" w:cs="Arial"/>
          <w:sz w:val="18"/>
          <w:szCs w:val="20"/>
        </w:rPr>
        <w:t xml:space="preserve"> of the Commentary on MSAC 1714 ADAR</w:t>
      </w:r>
    </w:p>
    <w:p w14:paraId="7B452470" w14:textId="77777777" w:rsidR="00131F45" w:rsidRDefault="00875FBE" w:rsidP="003E095F">
      <w:pPr>
        <w:pStyle w:val="Heading3"/>
      </w:pPr>
      <w:r>
        <w:lastRenderedPageBreak/>
        <w:t>A</w:t>
      </w:r>
      <w:r w:rsidR="00B41B9C">
        <w:t>ll-cause mortality</w:t>
      </w:r>
    </w:p>
    <w:p w14:paraId="3E8973A6" w14:textId="5542F544" w:rsidR="00A064DF" w:rsidRDefault="00A352BA" w:rsidP="00A064DF">
      <w:r>
        <w:t xml:space="preserve">The </w:t>
      </w:r>
      <w:r w:rsidR="00847376">
        <w:t xml:space="preserve">ADAR </w:t>
      </w:r>
      <w:r>
        <w:t>d</w:t>
      </w:r>
      <w:r w:rsidR="00A32810">
        <w:t>id n</w:t>
      </w:r>
      <w:r w:rsidR="009E2A43">
        <w:t>o</w:t>
      </w:r>
      <w:r w:rsidR="00A32810">
        <w:t>t</w:t>
      </w:r>
      <w:r w:rsidR="009E2A43">
        <w:t xml:space="preserve"> provide </w:t>
      </w:r>
      <w:r w:rsidR="00A064DF">
        <w:t xml:space="preserve">an indirect comparison of all-cause mortality for </w:t>
      </w:r>
      <w:r w:rsidR="00A064DF" w:rsidRPr="00A064DF">
        <w:t>Obizur vs. NovoSeven</w:t>
      </w:r>
      <w:r w:rsidR="00A064DF">
        <w:t xml:space="preserve">. Instead, a survival analysis from a retrospective cohort series </w:t>
      </w:r>
      <w:r w:rsidR="00A935D7">
        <w:t xml:space="preserve">by </w:t>
      </w:r>
      <w:r w:rsidR="00A064DF" w:rsidRPr="00864BEB">
        <w:t>Batt et al. 202</w:t>
      </w:r>
      <w:r w:rsidR="0097066D">
        <w:t>2</w:t>
      </w:r>
      <w:r w:rsidR="00A064DF">
        <w:t xml:space="preserve"> was provided.</w:t>
      </w:r>
    </w:p>
    <w:p w14:paraId="2693E822" w14:textId="378118BE" w:rsidR="003E095F" w:rsidRDefault="00A064DF" w:rsidP="003E095F">
      <w:r w:rsidRPr="00864BEB">
        <w:t>Batt et al. 202</w:t>
      </w:r>
      <w:r w:rsidR="0097066D">
        <w:t>2</w:t>
      </w:r>
      <w:r w:rsidRPr="00864BEB">
        <w:t xml:space="preserve"> failed to find a difference </w:t>
      </w:r>
      <w:r>
        <w:t xml:space="preserve">in mortality </w:t>
      </w:r>
      <w:r w:rsidR="00A935D7">
        <w:t xml:space="preserve">hazard </w:t>
      </w:r>
      <w:r>
        <w:t xml:space="preserve">when comparing Obizur and NovoSeven, adjusting for </w:t>
      </w:r>
      <w:r w:rsidRPr="00864BEB">
        <w:t xml:space="preserve">age, </w:t>
      </w:r>
      <w:proofErr w:type="gramStart"/>
      <w:r w:rsidRPr="00864BEB">
        <w:t>sex</w:t>
      </w:r>
      <w:proofErr w:type="gramEnd"/>
      <w:r w:rsidRPr="00864BEB">
        <w:t xml:space="preserve"> and </w:t>
      </w:r>
      <w:proofErr w:type="spellStart"/>
      <w:r w:rsidRPr="00864BEB">
        <w:t>Charlson</w:t>
      </w:r>
      <w:proofErr w:type="spellEnd"/>
      <w:r w:rsidRPr="00864BEB">
        <w:t xml:space="preserve"> Comorbidity Index score</w:t>
      </w:r>
      <w:r>
        <w:t xml:space="preserve"> (</w:t>
      </w:r>
      <w:r w:rsidR="00F73EEF">
        <w:t>See Figure 5 in study</w:t>
      </w:r>
      <w:r>
        <w:t xml:space="preserve">). However, </w:t>
      </w:r>
      <w:r w:rsidR="00A935D7">
        <w:t>the use of Obizur resulted in a 45% reduction in the hazard of death compared to NovoSeven over the study period, which would be considered clinically important. The lack of statistical significance</w:t>
      </w:r>
      <w:r>
        <w:t xml:space="preserve"> may be due to an underpowered study because when mortality was pooled with readmission, the hazard was </w:t>
      </w:r>
      <w:r w:rsidR="00A935D7">
        <w:t xml:space="preserve">significantly </w:t>
      </w:r>
      <w:r>
        <w:t xml:space="preserve">lower for Obizur. It is unclear whether a similar result will be seen in the Australian context as the authors postulate that Obizur tends to be available at healthcare centres with more facilities with superior clinicians. </w:t>
      </w:r>
      <w:r w:rsidR="009F6B6B">
        <w:t>Naïve indirect comparisons of case series reported that</w:t>
      </w:r>
      <w:r w:rsidR="009F6B6B" w:rsidRPr="003E095F">
        <w:t xml:space="preserve"> </w:t>
      </w:r>
      <w:r w:rsidR="009F6B6B">
        <w:t>p</w:t>
      </w:r>
      <w:r w:rsidR="009F6B6B" w:rsidRPr="003E095F">
        <w:t>atients</w:t>
      </w:r>
      <w:r w:rsidR="003E095F" w:rsidRPr="003E095F">
        <w:t xml:space="preserve"> who received Obizur were </w:t>
      </w:r>
      <w:r w:rsidR="003E095F">
        <w:t>14</w:t>
      </w:r>
      <w:r w:rsidR="003E095F" w:rsidRPr="003E095F">
        <w:t xml:space="preserve">% more likely to </w:t>
      </w:r>
      <w:r w:rsidR="003E095F">
        <w:t>die</w:t>
      </w:r>
      <w:r w:rsidR="003E095F" w:rsidRPr="003E095F">
        <w:t xml:space="preserve"> in comparison to NovoSeven</w:t>
      </w:r>
      <w:r w:rsidR="003E095F">
        <w:t xml:space="preserve"> and 10% more likely in comparison to FEIBA</w:t>
      </w:r>
      <w:r w:rsidR="00D37E5D">
        <w:t xml:space="preserve">. When </w:t>
      </w:r>
      <w:r w:rsidR="0029604E">
        <w:t xml:space="preserve">data from </w:t>
      </w:r>
      <w:r w:rsidR="00D37E5D">
        <w:t>Batt et al. 2022</w:t>
      </w:r>
      <w:r w:rsidR="009E2A43">
        <w:t xml:space="preserve"> </w:t>
      </w:r>
      <w:r w:rsidR="0029604E">
        <w:t>were combined with the case series data</w:t>
      </w:r>
      <w:r w:rsidR="00D37E5D">
        <w:t>, no significant difference was detected</w:t>
      </w:r>
      <w:r w:rsidR="00864BEB">
        <w:t xml:space="preserve"> </w:t>
      </w:r>
      <w:r w:rsidR="0029604E">
        <w:t xml:space="preserve">between treatment arms overall </w:t>
      </w:r>
      <w:r w:rsidR="00864BEB">
        <w:t>(</w:t>
      </w:r>
      <w:r w:rsidR="009F2FFB">
        <w:fldChar w:fldCharType="begin"/>
      </w:r>
      <w:r w:rsidR="009F2FFB">
        <w:instrText xml:space="preserve"> REF _Ref120531066 \h </w:instrText>
      </w:r>
      <w:r w:rsidR="009F2FFB">
        <w:fldChar w:fldCharType="separate"/>
      </w:r>
      <w:r w:rsidR="00C25EB0">
        <w:t xml:space="preserve">Table </w:t>
      </w:r>
      <w:r w:rsidR="00C25EB0">
        <w:rPr>
          <w:noProof/>
        </w:rPr>
        <w:t>8</w:t>
      </w:r>
      <w:r w:rsidR="009F2FFB">
        <w:fldChar w:fldCharType="end"/>
      </w:r>
      <w:r w:rsidR="00864BEB">
        <w:t>)</w:t>
      </w:r>
      <w:r w:rsidR="003E095F" w:rsidRPr="003E095F">
        <w:t>.</w:t>
      </w:r>
      <w:r w:rsidR="006A63FB">
        <w:t xml:space="preserve"> </w:t>
      </w:r>
      <w:r w:rsidR="004F74FF">
        <w:t xml:space="preserve">This result should be interpreted with caution as they </w:t>
      </w:r>
      <w:r w:rsidR="000739EE">
        <w:t>were</w:t>
      </w:r>
      <w:r w:rsidR="004F74FF">
        <w:t xml:space="preserve"> unadjusted for underlying comorbidities and </w:t>
      </w:r>
      <w:r w:rsidR="000739EE">
        <w:t xml:space="preserve">length of </w:t>
      </w:r>
      <w:r w:rsidR="004F74FF">
        <w:t>follow-up.</w:t>
      </w:r>
    </w:p>
    <w:p w14:paraId="133D152E" w14:textId="795E5A27" w:rsidR="003F65FE" w:rsidRPr="003F65FE" w:rsidRDefault="00652F37" w:rsidP="003F65FE">
      <w:pPr>
        <w:pStyle w:val="Caption"/>
      </w:pPr>
      <w:bookmarkStart w:id="41" w:name="_Ref120531066"/>
      <w:r>
        <w:t xml:space="preserve">Table </w:t>
      </w:r>
      <w:r>
        <w:fldChar w:fldCharType="begin"/>
      </w:r>
      <w:r>
        <w:instrText>SEQ Table \* ARABIC</w:instrText>
      </w:r>
      <w:r>
        <w:fldChar w:fldCharType="separate"/>
      </w:r>
      <w:r w:rsidR="00C25EB0">
        <w:rPr>
          <w:noProof/>
        </w:rPr>
        <w:t>8</w:t>
      </w:r>
      <w:r>
        <w:fldChar w:fldCharType="end"/>
      </w:r>
      <w:bookmarkEnd w:id="41"/>
      <w:r>
        <w:t xml:space="preserve"> </w:t>
      </w:r>
      <w:r w:rsidRPr="00807DB9">
        <w:t>Naïve (indirect) comparison: All-cause mortality</w:t>
      </w:r>
    </w:p>
    <w:tbl>
      <w:tblPr>
        <w:tblStyle w:val="TableGrid"/>
        <w:tblW w:w="0" w:type="auto"/>
        <w:tblLook w:val="04A0" w:firstRow="1" w:lastRow="0" w:firstColumn="1" w:lastColumn="0" w:noHBand="0" w:noVBand="1"/>
        <w:tblCaption w:val="Naïve (indirect) comparison: All-cause mortality"/>
      </w:tblPr>
      <w:tblGrid>
        <w:gridCol w:w="1132"/>
        <w:gridCol w:w="1132"/>
        <w:gridCol w:w="1133"/>
        <w:gridCol w:w="2273"/>
        <w:gridCol w:w="2274"/>
        <w:gridCol w:w="1072"/>
      </w:tblGrid>
      <w:tr w:rsidR="003F65FE" w:rsidRPr="003F65FE" w14:paraId="4AF579AE" w14:textId="77777777" w:rsidTr="00E56A62">
        <w:tc>
          <w:tcPr>
            <w:tcW w:w="1132" w:type="dxa"/>
            <w:vAlign w:val="center"/>
          </w:tcPr>
          <w:p w14:paraId="29623B5C"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Obizur</w:t>
            </w:r>
          </w:p>
          <w:p w14:paraId="388C145C"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n/N (%)</w:t>
            </w:r>
          </w:p>
          <w:p w14:paraId="70F5E263"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k studies</w:t>
            </w:r>
          </w:p>
        </w:tc>
        <w:tc>
          <w:tcPr>
            <w:tcW w:w="1132" w:type="dxa"/>
            <w:vAlign w:val="center"/>
          </w:tcPr>
          <w:p w14:paraId="23FAEF6B"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NovoSeven</w:t>
            </w:r>
          </w:p>
          <w:p w14:paraId="6CBFB4A9"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n/N (%)</w:t>
            </w:r>
          </w:p>
          <w:p w14:paraId="11829A9A"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k studies</w:t>
            </w:r>
          </w:p>
        </w:tc>
        <w:tc>
          <w:tcPr>
            <w:tcW w:w="1133" w:type="dxa"/>
            <w:vAlign w:val="center"/>
          </w:tcPr>
          <w:p w14:paraId="5A71CC4D"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FEIBA</w:t>
            </w:r>
          </w:p>
          <w:p w14:paraId="5AB79551"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n/N (%)</w:t>
            </w:r>
          </w:p>
          <w:p w14:paraId="4FE81B1E"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k studies</w:t>
            </w:r>
          </w:p>
        </w:tc>
        <w:tc>
          <w:tcPr>
            <w:tcW w:w="2273" w:type="dxa"/>
            <w:vAlign w:val="center"/>
          </w:tcPr>
          <w:p w14:paraId="16652DCF"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Obizur vs. NovoSeven</w:t>
            </w:r>
          </w:p>
          <w:p w14:paraId="429B24DB"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RD (95% CI)</w:t>
            </w:r>
            <w:r w:rsidR="00831FD4">
              <w:rPr>
                <w:rFonts w:ascii="Arial Narrow" w:hAnsi="Arial Narrow"/>
                <w:b/>
                <w:sz w:val="20"/>
                <w:lang w:eastAsia="en-AU"/>
              </w:rPr>
              <w:t>, p-value</w:t>
            </w:r>
          </w:p>
          <w:p w14:paraId="54E1CA69"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RR (95% CI)</w:t>
            </w:r>
            <w:r w:rsidR="00831FD4">
              <w:rPr>
                <w:rFonts w:ascii="Arial Narrow" w:hAnsi="Arial Narrow"/>
                <w:b/>
                <w:sz w:val="20"/>
                <w:lang w:eastAsia="en-AU"/>
              </w:rPr>
              <w:t>, p-va</w:t>
            </w:r>
            <w:r w:rsidR="00FE6228">
              <w:rPr>
                <w:rFonts w:ascii="Arial Narrow" w:hAnsi="Arial Narrow"/>
                <w:b/>
                <w:sz w:val="20"/>
                <w:lang w:eastAsia="en-AU"/>
              </w:rPr>
              <w:t>l</w:t>
            </w:r>
            <w:r w:rsidR="00831FD4">
              <w:rPr>
                <w:rFonts w:ascii="Arial Narrow" w:hAnsi="Arial Narrow"/>
                <w:b/>
                <w:sz w:val="20"/>
                <w:lang w:eastAsia="en-AU"/>
              </w:rPr>
              <w:t>ue</w:t>
            </w:r>
          </w:p>
        </w:tc>
        <w:tc>
          <w:tcPr>
            <w:tcW w:w="2274" w:type="dxa"/>
            <w:vAlign w:val="center"/>
          </w:tcPr>
          <w:p w14:paraId="751F0AB6"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Obizur vs.</w:t>
            </w:r>
            <w:r w:rsidR="000F5144">
              <w:rPr>
                <w:rFonts w:ascii="Arial Narrow" w:hAnsi="Arial Narrow"/>
                <w:b/>
                <w:sz w:val="20"/>
                <w:lang w:eastAsia="en-AU"/>
              </w:rPr>
              <w:t xml:space="preserve"> </w:t>
            </w:r>
            <w:r w:rsidRPr="003F65FE">
              <w:rPr>
                <w:rFonts w:ascii="Arial Narrow" w:hAnsi="Arial Narrow"/>
                <w:b/>
                <w:sz w:val="20"/>
                <w:lang w:eastAsia="en-AU"/>
              </w:rPr>
              <w:t>FEIBA</w:t>
            </w:r>
          </w:p>
          <w:p w14:paraId="42EAEFE3"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RD (95% CI), p-value</w:t>
            </w:r>
          </w:p>
          <w:p w14:paraId="4A01B666"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RR (95% CI), p-value</w:t>
            </w:r>
          </w:p>
        </w:tc>
        <w:tc>
          <w:tcPr>
            <w:tcW w:w="1072" w:type="dxa"/>
            <w:vAlign w:val="center"/>
          </w:tcPr>
          <w:p w14:paraId="3EBF4637" w14:textId="77777777" w:rsidR="003F65FE" w:rsidRPr="003F65FE" w:rsidRDefault="003F65FE" w:rsidP="003F65FE">
            <w:pPr>
              <w:spacing w:after="60"/>
              <w:jc w:val="center"/>
              <w:rPr>
                <w:rFonts w:ascii="Arial Narrow" w:hAnsi="Arial Narrow"/>
                <w:b/>
                <w:sz w:val="20"/>
                <w:lang w:eastAsia="en-AU"/>
              </w:rPr>
            </w:pPr>
            <w:r w:rsidRPr="003F65FE">
              <w:rPr>
                <w:rFonts w:ascii="Arial Narrow" w:hAnsi="Arial Narrow"/>
                <w:b/>
                <w:sz w:val="20"/>
                <w:lang w:eastAsia="en-AU"/>
              </w:rPr>
              <w:t>GRADE</w:t>
            </w:r>
          </w:p>
        </w:tc>
      </w:tr>
      <w:tr w:rsidR="003F65FE" w:rsidRPr="003F65FE" w14:paraId="373FD5AE" w14:textId="77777777" w:rsidTr="00E56A62">
        <w:tc>
          <w:tcPr>
            <w:tcW w:w="1132" w:type="dxa"/>
            <w:vAlign w:val="center"/>
          </w:tcPr>
          <w:p w14:paraId="4649EFE9" w14:textId="77777777" w:rsidR="003F65FE" w:rsidRPr="00756508" w:rsidRDefault="003F65FE" w:rsidP="00756508">
            <w:pPr>
              <w:pStyle w:val="TableTextCA"/>
              <w:rPr>
                <w:rStyle w:val="IntenseEmphasis"/>
                <w:i w:val="0"/>
                <w:iCs w:val="0"/>
                <w:color w:val="auto"/>
              </w:rPr>
            </w:pPr>
            <w:r w:rsidRPr="00756508">
              <w:rPr>
                <w:rStyle w:val="IntenseEmphasis"/>
                <w:i w:val="0"/>
                <w:iCs w:val="0"/>
                <w:color w:val="auto"/>
              </w:rPr>
              <w:t xml:space="preserve">34/132 </w:t>
            </w:r>
          </w:p>
          <w:p w14:paraId="1D85A679" w14:textId="77777777" w:rsidR="003F65FE" w:rsidRPr="00756508" w:rsidRDefault="003F65FE" w:rsidP="00756508">
            <w:pPr>
              <w:pStyle w:val="TableTextCA"/>
              <w:rPr>
                <w:rStyle w:val="IntenseEmphasis"/>
                <w:i w:val="0"/>
                <w:iCs w:val="0"/>
                <w:color w:val="auto"/>
              </w:rPr>
            </w:pPr>
            <w:r w:rsidRPr="00756508">
              <w:rPr>
                <w:rStyle w:val="IntenseEmphasis"/>
                <w:i w:val="0"/>
                <w:iCs w:val="0"/>
                <w:color w:val="auto"/>
              </w:rPr>
              <w:t>(25.8%)</w:t>
            </w:r>
          </w:p>
          <w:p w14:paraId="2B5027DB" w14:textId="77777777" w:rsidR="003F65FE" w:rsidRPr="00756508" w:rsidRDefault="003F65FE" w:rsidP="00756508">
            <w:pPr>
              <w:pStyle w:val="TableTextCA"/>
            </w:pPr>
            <w:r w:rsidRPr="00756508">
              <w:t>3 studies</w:t>
            </w:r>
          </w:p>
        </w:tc>
        <w:tc>
          <w:tcPr>
            <w:tcW w:w="1132" w:type="dxa"/>
            <w:vAlign w:val="center"/>
          </w:tcPr>
          <w:p w14:paraId="3D15C35E" w14:textId="77777777" w:rsidR="003F65FE" w:rsidRPr="00756508" w:rsidRDefault="003F65FE" w:rsidP="00756508">
            <w:pPr>
              <w:pStyle w:val="TableTextCA"/>
              <w:rPr>
                <w:rStyle w:val="IntenseEmphasis"/>
                <w:i w:val="0"/>
                <w:iCs w:val="0"/>
                <w:color w:val="auto"/>
              </w:rPr>
            </w:pPr>
            <w:r w:rsidRPr="00756508">
              <w:rPr>
                <w:rStyle w:val="IntenseEmphasis"/>
                <w:i w:val="0"/>
                <w:iCs w:val="0"/>
                <w:color w:val="auto"/>
              </w:rPr>
              <w:t>45/377 (11.9%)</w:t>
            </w:r>
          </w:p>
          <w:p w14:paraId="06F4B994" w14:textId="77777777" w:rsidR="003F65FE" w:rsidRPr="00756508" w:rsidRDefault="003F65FE" w:rsidP="00756508">
            <w:pPr>
              <w:pStyle w:val="TableTextCA"/>
            </w:pPr>
            <w:r w:rsidRPr="00756508">
              <w:t>4 studies</w:t>
            </w:r>
          </w:p>
        </w:tc>
        <w:tc>
          <w:tcPr>
            <w:tcW w:w="1133" w:type="dxa"/>
            <w:vAlign w:val="center"/>
          </w:tcPr>
          <w:p w14:paraId="758020BA" w14:textId="77777777" w:rsidR="003F65FE" w:rsidRPr="00756508" w:rsidRDefault="003F65FE" w:rsidP="00756508">
            <w:pPr>
              <w:pStyle w:val="TableTextCA"/>
            </w:pPr>
            <w:r w:rsidRPr="00756508">
              <w:t xml:space="preserve">29/187 </w:t>
            </w:r>
          </w:p>
          <w:p w14:paraId="4F748817" w14:textId="77777777" w:rsidR="003F65FE" w:rsidRPr="00756508" w:rsidRDefault="003F65FE" w:rsidP="00756508">
            <w:pPr>
              <w:pStyle w:val="TableTextCA"/>
            </w:pPr>
            <w:r w:rsidRPr="00756508">
              <w:t>(15.5%)</w:t>
            </w:r>
          </w:p>
          <w:p w14:paraId="4495B265" w14:textId="77777777" w:rsidR="003F65FE" w:rsidRPr="00756508" w:rsidRDefault="003F65FE" w:rsidP="00756508">
            <w:pPr>
              <w:pStyle w:val="TableTextCA"/>
            </w:pPr>
            <w:r w:rsidRPr="00756508">
              <w:t>4 studies</w:t>
            </w:r>
          </w:p>
        </w:tc>
        <w:tc>
          <w:tcPr>
            <w:tcW w:w="2273" w:type="dxa"/>
            <w:vAlign w:val="center"/>
          </w:tcPr>
          <w:p w14:paraId="3DE9B6F1" w14:textId="77777777" w:rsidR="003F65FE" w:rsidRPr="003E095F" w:rsidRDefault="003F65FE" w:rsidP="00756508">
            <w:pPr>
              <w:pStyle w:val="TableTextCA"/>
              <w:rPr>
                <w:rStyle w:val="IntenseEmphasis"/>
                <w:i w:val="0"/>
                <w:iCs w:val="0"/>
                <w:color w:val="auto"/>
              </w:rPr>
            </w:pPr>
            <w:r w:rsidRPr="00756508">
              <w:rPr>
                <w:rStyle w:val="IntenseEmphasis"/>
                <w:i w:val="0"/>
                <w:iCs w:val="0"/>
                <w:color w:val="auto"/>
              </w:rPr>
              <w:t xml:space="preserve">0.14 </w:t>
            </w:r>
            <w:r w:rsidR="003E095F">
              <w:rPr>
                <w:rStyle w:val="IntenseEmphasis"/>
                <w:i w:val="0"/>
                <w:iCs w:val="0"/>
                <w:color w:val="auto"/>
              </w:rPr>
              <w:br/>
            </w:r>
            <w:r w:rsidRPr="00756508">
              <w:rPr>
                <w:rStyle w:val="IntenseEmphasis"/>
                <w:i w:val="0"/>
                <w:iCs w:val="0"/>
                <w:color w:val="auto"/>
              </w:rPr>
              <w:t>(0.6, 0.22)</w:t>
            </w:r>
            <w:r w:rsidR="003E095F">
              <w:rPr>
                <w:rStyle w:val="IntenseEmphasis"/>
                <w:i w:val="0"/>
                <w:iCs w:val="0"/>
                <w:color w:val="auto"/>
              </w:rPr>
              <w:t>;</w:t>
            </w:r>
            <w:r w:rsidR="003E095F" w:rsidRPr="003E095F">
              <w:rPr>
                <w:rStyle w:val="IntenseEmphasis"/>
                <w:i w:val="0"/>
                <w:iCs w:val="0"/>
                <w:color w:val="auto"/>
              </w:rPr>
              <w:t xml:space="preserve"> p= 0.0002</w:t>
            </w:r>
          </w:p>
          <w:p w14:paraId="4A1C04C1" w14:textId="77777777" w:rsidR="003F65FE" w:rsidRPr="00756508" w:rsidRDefault="003F65FE" w:rsidP="00756508">
            <w:pPr>
              <w:pStyle w:val="TableTextCA"/>
            </w:pPr>
            <w:r w:rsidRPr="00756508">
              <w:rPr>
                <w:rStyle w:val="IntenseEmphasis"/>
                <w:i w:val="0"/>
                <w:iCs w:val="0"/>
                <w:color w:val="auto"/>
              </w:rPr>
              <w:t xml:space="preserve">2.2 </w:t>
            </w:r>
            <w:r w:rsidR="003E095F">
              <w:rPr>
                <w:rStyle w:val="IntenseEmphasis"/>
                <w:i w:val="0"/>
                <w:iCs w:val="0"/>
                <w:color w:val="auto"/>
              </w:rPr>
              <w:br/>
            </w:r>
            <w:r w:rsidRPr="00756508">
              <w:rPr>
                <w:rStyle w:val="IntenseEmphasis"/>
                <w:i w:val="0"/>
                <w:iCs w:val="0"/>
                <w:color w:val="auto"/>
              </w:rPr>
              <w:t>(1.4, 3.2)</w:t>
            </w:r>
            <w:r w:rsidR="003E095F" w:rsidRPr="003E095F">
              <w:rPr>
                <w:rStyle w:val="IntenseEmphasis"/>
                <w:i w:val="0"/>
                <w:iCs w:val="0"/>
                <w:color w:val="auto"/>
              </w:rPr>
              <w:t>; p= 0.0002</w:t>
            </w:r>
          </w:p>
        </w:tc>
        <w:tc>
          <w:tcPr>
            <w:tcW w:w="2274" w:type="dxa"/>
            <w:vAlign w:val="center"/>
          </w:tcPr>
          <w:p w14:paraId="2FEF4BB6" w14:textId="77777777" w:rsidR="003F65FE" w:rsidRPr="00756508" w:rsidRDefault="003F65FE" w:rsidP="00756508">
            <w:pPr>
              <w:pStyle w:val="TableTextCA"/>
            </w:pPr>
            <w:r w:rsidRPr="00756508">
              <w:t xml:space="preserve">0.10 </w:t>
            </w:r>
          </w:p>
          <w:p w14:paraId="0A3858AA" w14:textId="77777777" w:rsidR="003F65FE" w:rsidRPr="00756508" w:rsidRDefault="003F65FE" w:rsidP="00756508">
            <w:pPr>
              <w:pStyle w:val="TableTextCA"/>
            </w:pPr>
            <w:r w:rsidRPr="00756508">
              <w:t>[0.01; 0.19]; p=0.0271</w:t>
            </w:r>
          </w:p>
          <w:p w14:paraId="2EAE398A" w14:textId="77777777" w:rsidR="003F65FE" w:rsidRPr="00756508" w:rsidRDefault="003F65FE" w:rsidP="00756508">
            <w:pPr>
              <w:pStyle w:val="TableTextCA"/>
            </w:pPr>
            <w:r w:rsidRPr="00756508">
              <w:t xml:space="preserve">1.66 </w:t>
            </w:r>
          </w:p>
          <w:p w14:paraId="6CE23D6B" w14:textId="77777777" w:rsidR="003F65FE" w:rsidRPr="00756508" w:rsidRDefault="003F65FE" w:rsidP="00756508">
            <w:pPr>
              <w:pStyle w:val="TableTextCA"/>
            </w:pPr>
            <w:r w:rsidRPr="00756508">
              <w:t>[1.07; 2.59]; p=0.0246</w:t>
            </w:r>
          </w:p>
        </w:tc>
        <w:tc>
          <w:tcPr>
            <w:tcW w:w="1072" w:type="dxa"/>
            <w:vAlign w:val="center"/>
          </w:tcPr>
          <w:p w14:paraId="3E5B2D5A" w14:textId="77777777" w:rsidR="003F65FE" w:rsidRPr="003F65FE" w:rsidRDefault="003F65FE" w:rsidP="003F65FE">
            <w:pPr>
              <w:spacing w:before="40" w:after="40"/>
              <w:jc w:val="center"/>
              <w:rPr>
                <w:rFonts w:ascii="Arial Narrow" w:hAnsi="Arial Narrow"/>
                <w:color w:val="C00000"/>
                <w:sz w:val="18"/>
                <w:szCs w:val="18"/>
              </w:rPr>
            </w:pPr>
            <w:r w:rsidRPr="003F65FE">
              <w:rPr>
                <w:rFonts w:ascii="Cambria Math" w:hAnsi="Cambria Math" w:cs="Cambria Math"/>
                <w:color w:val="00B050"/>
                <w:sz w:val="18"/>
                <w:szCs w:val="18"/>
              </w:rPr>
              <w:t>⨁</w:t>
            </w:r>
            <w:r w:rsidRPr="003F65FE">
              <w:rPr>
                <w:rFonts w:ascii="Cambria Math" w:hAnsi="Cambria Math" w:cs="Cambria Math"/>
                <w:color w:val="C00000"/>
                <w:sz w:val="18"/>
                <w:szCs w:val="18"/>
              </w:rPr>
              <w:t>⨀⨀⨀</w:t>
            </w:r>
          </w:p>
          <w:p w14:paraId="4AE7BCB9" w14:textId="77777777" w:rsidR="003F65FE" w:rsidRPr="003F65FE" w:rsidRDefault="003F65FE" w:rsidP="003F65FE">
            <w:pPr>
              <w:spacing w:before="40" w:after="40"/>
              <w:jc w:val="center"/>
              <w:rPr>
                <w:rFonts w:ascii="Arial Narrow" w:hAnsi="Arial Narrow"/>
                <w:sz w:val="20"/>
              </w:rPr>
            </w:pPr>
            <w:proofErr w:type="spellStart"/>
            <w:proofErr w:type="gramStart"/>
            <w:r w:rsidRPr="003F65FE">
              <w:rPr>
                <w:rFonts w:ascii="Arial Narrow" w:hAnsi="Arial Narrow"/>
                <w:sz w:val="18"/>
                <w:szCs w:val="18"/>
                <w:vertAlign w:val="superscript"/>
              </w:rPr>
              <w:t>a,b</w:t>
            </w:r>
            <w:proofErr w:type="gramEnd"/>
            <w:r w:rsidRPr="003F65FE">
              <w:rPr>
                <w:rFonts w:ascii="Arial Narrow" w:hAnsi="Arial Narrow"/>
                <w:sz w:val="18"/>
                <w:szCs w:val="18"/>
                <w:vertAlign w:val="superscript"/>
              </w:rPr>
              <w:t>,c</w:t>
            </w:r>
            <w:proofErr w:type="spellEnd"/>
          </w:p>
        </w:tc>
      </w:tr>
      <w:tr w:rsidR="00D37E5D" w:rsidRPr="003F65FE" w14:paraId="1D780F3A" w14:textId="77777777" w:rsidTr="00A53571">
        <w:tc>
          <w:tcPr>
            <w:tcW w:w="9016" w:type="dxa"/>
            <w:gridSpan w:val="6"/>
            <w:vAlign w:val="center"/>
          </w:tcPr>
          <w:p w14:paraId="7524BD1E" w14:textId="3A9C8302" w:rsidR="00D37E5D" w:rsidRPr="003F65FE" w:rsidRDefault="00D37E5D" w:rsidP="0029604E">
            <w:pPr>
              <w:pStyle w:val="TableTextCA"/>
              <w:jc w:val="left"/>
            </w:pPr>
            <w:r>
              <w:t>SA: Inclusion of Batt et al. 2022</w:t>
            </w:r>
          </w:p>
        </w:tc>
      </w:tr>
      <w:tr w:rsidR="00D37E5D" w:rsidRPr="00D37E5D" w14:paraId="00FDF2D3" w14:textId="77777777" w:rsidTr="00E56A62">
        <w:tc>
          <w:tcPr>
            <w:tcW w:w="1132" w:type="dxa"/>
            <w:vAlign w:val="center"/>
          </w:tcPr>
          <w:p w14:paraId="1CBECC73" w14:textId="77777777" w:rsidR="00D37E5D" w:rsidRDefault="00D37E5D">
            <w:pPr>
              <w:pStyle w:val="TableTextCA"/>
              <w:rPr>
                <w:rStyle w:val="IntenseEmphasis"/>
                <w:rFonts w:ascii="Franklin Gothic Book" w:hAnsi="Franklin Gothic Book"/>
                <w:i w:val="0"/>
                <w:iCs w:val="0"/>
                <w:color w:val="auto"/>
                <w:sz w:val="22"/>
              </w:rPr>
            </w:pPr>
            <w:r w:rsidRPr="0029604E">
              <w:rPr>
                <w:rStyle w:val="IntenseEmphasis"/>
                <w:i w:val="0"/>
                <w:iCs w:val="0"/>
                <w:color w:val="auto"/>
              </w:rPr>
              <w:t>43/162</w:t>
            </w:r>
            <w:r w:rsidRPr="0029604E">
              <w:rPr>
                <w:rStyle w:val="IntenseEmphasis"/>
                <w:i w:val="0"/>
                <w:iCs w:val="0"/>
                <w:color w:val="auto"/>
              </w:rPr>
              <w:br/>
              <w:t>(26.5%)</w:t>
            </w:r>
          </w:p>
          <w:p w14:paraId="440E66FA" w14:textId="16805534" w:rsidR="00A32810" w:rsidRPr="0029604E" w:rsidRDefault="00A32810">
            <w:pPr>
              <w:pStyle w:val="TableTextCA"/>
            </w:pPr>
            <w:r w:rsidRPr="0029604E">
              <w:t>4</w:t>
            </w:r>
            <w:r>
              <w:t xml:space="preserve"> studies</w:t>
            </w:r>
          </w:p>
        </w:tc>
        <w:tc>
          <w:tcPr>
            <w:tcW w:w="1132" w:type="dxa"/>
            <w:vAlign w:val="center"/>
          </w:tcPr>
          <w:p w14:paraId="5434033F" w14:textId="77777777" w:rsidR="00D37E5D" w:rsidRDefault="00D37E5D">
            <w:pPr>
              <w:pStyle w:val="TableTextCA"/>
              <w:rPr>
                <w:rStyle w:val="IntenseEmphasis"/>
                <w:i w:val="0"/>
                <w:iCs w:val="0"/>
                <w:color w:val="auto"/>
              </w:rPr>
            </w:pPr>
            <w:r w:rsidRPr="0029604E">
              <w:rPr>
                <w:rStyle w:val="IntenseEmphasis"/>
                <w:i w:val="0"/>
                <w:iCs w:val="0"/>
                <w:color w:val="auto"/>
              </w:rPr>
              <w:t>108/513</w:t>
            </w:r>
            <w:r w:rsidRPr="0029604E">
              <w:rPr>
                <w:rStyle w:val="IntenseEmphasis"/>
                <w:i w:val="0"/>
                <w:iCs w:val="0"/>
                <w:color w:val="auto"/>
              </w:rPr>
              <w:br/>
              <w:t>(21%)</w:t>
            </w:r>
          </w:p>
          <w:p w14:paraId="779170CA" w14:textId="7D8B93A0" w:rsidR="00A32810" w:rsidRPr="0029604E" w:rsidRDefault="00A32810">
            <w:pPr>
              <w:pStyle w:val="TableTextCA"/>
            </w:pPr>
            <w:r w:rsidRPr="0029604E">
              <w:t>5 studies</w:t>
            </w:r>
          </w:p>
        </w:tc>
        <w:tc>
          <w:tcPr>
            <w:tcW w:w="1133" w:type="dxa"/>
            <w:vAlign w:val="center"/>
          </w:tcPr>
          <w:p w14:paraId="21A0EBC6" w14:textId="7B48C824" w:rsidR="00D37E5D" w:rsidRPr="00D37E5D" w:rsidRDefault="00D37E5D">
            <w:pPr>
              <w:pStyle w:val="TableTextCA"/>
            </w:pPr>
            <w:r w:rsidRPr="00D37E5D">
              <w:t>NA</w:t>
            </w:r>
          </w:p>
        </w:tc>
        <w:tc>
          <w:tcPr>
            <w:tcW w:w="2273" w:type="dxa"/>
            <w:vAlign w:val="center"/>
          </w:tcPr>
          <w:p w14:paraId="1D410FB8" w14:textId="77777777" w:rsidR="00D37E5D" w:rsidRPr="00C00F1E" w:rsidRDefault="00D37E5D" w:rsidP="0029604E">
            <w:pPr>
              <w:pStyle w:val="TableTextCA"/>
              <w:rPr>
                <w:rStyle w:val="IntenseEmphasis"/>
                <w:i w:val="0"/>
                <w:iCs w:val="0"/>
                <w:color w:val="auto"/>
              </w:rPr>
            </w:pPr>
            <w:r w:rsidRPr="00C00F1E">
              <w:rPr>
                <w:rStyle w:val="IntenseEmphasis"/>
                <w:i w:val="0"/>
                <w:iCs w:val="0"/>
                <w:color w:val="auto"/>
              </w:rPr>
              <w:t>0.05 (-0.02, 0.1</w:t>
            </w:r>
            <w:proofErr w:type="gramStart"/>
            <w:r w:rsidRPr="00C00F1E">
              <w:rPr>
                <w:rStyle w:val="IntenseEmphasis"/>
                <w:i w:val="0"/>
                <w:iCs w:val="0"/>
                <w:color w:val="auto"/>
              </w:rPr>
              <w:t>);</w:t>
            </w:r>
            <w:proofErr w:type="gramEnd"/>
          </w:p>
          <w:p w14:paraId="1A8CDE05" w14:textId="77777777" w:rsidR="00D37E5D" w:rsidRPr="0029604E" w:rsidRDefault="00D37E5D" w:rsidP="00D37E5D">
            <w:pPr>
              <w:pStyle w:val="TableTextCA"/>
              <w:rPr>
                <w:rStyle w:val="IntenseEmphasis"/>
                <w:i w:val="0"/>
                <w:iCs w:val="0"/>
                <w:color w:val="auto"/>
              </w:rPr>
            </w:pPr>
            <w:r w:rsidRPr="0029604E">
              <w:rPr>
                <w:rStyle w:val="IntenseEmphasis"/>
                <w:i w:val="0"/>
                <w:iCs w:val="0"/>
                <w:color w:val="auto"/>
              </w:rPr>
              <w:t>p=</w:t>
            </w:r>
            <w:r w:rsidRPr="00D37E5D">
              <w:t xml:space="preserve"> </w:t>
            </w:r>
            <w:r w:rsidRPr="0029604E">
              <w:rPr>
                <w:rStyle w:val="IntenseEmphasis"/>
                <w:i w:val="0"/>
                <w:iCs w:val="0"/>
                <w:color w:val="auto"/>
              </w:rPr>
              <w:t>0.1438</w:t>
            </w:r>
          </w:p>
          <w:p w14:paraId="3581BE1B" w14:textId="156E7778" w:rsidR="00D37E5D" w:rsidRPr="00D37E5D" w:rsidRDefault="00D37E5D">
            <w:pPr>
              <w:pStyle w:val="TableTextCA"/>
              <w:rPr>
                <w:rStyle w:val="IntenseEmphasis"/>
                <w:i w:val="0"/>
                <w:iCs w:val="0"/>
                <w:color w:val="auto"/>
              </w:rPr>
            </w:pPr>
            <w:r w:rsidRPr="0029604E">
              <w:rPr>
                <w:rStyle w:val="IntenseEmphasis"/>
                <w:i w:val="0"/>
                <w:iCs w:val="0"/>
                <w:color w:val="auto"/>
              </w:rPr>
              <w:t xml:space="preserve">1.26 (0.93, 1.7); </w:t>
            </w:r>
            <w:r w:rsidRPr="0029604E">
              <w:rPr>
                <w:rStyle w:val="IntenseEmphasis"/>
                <w:i w:val="0"/>
                <w:iCs w:val="0"/>
                <w:color w:val="auto"/>
              </w:rPr>
              <w:br/>
              <w:t>p= 0.1438</w:t>
            </w:r>
          </w:p>
        </w:tc>
        <w:tc>
          <w:tcPr>
            <w:tcW w:w="2274" w:type="dxa"/>
            <w:vAlign w:val="center"/>
          </w:tcPr>
          <w:p w14:paraId="4D66EDF8" w14:textId="6B2419D1" w:rsidR="00D37E5D" w:rsidRPr="00D37E5D" w:rsidRDefault="00D37E5D">
            <w:pPr>
              <w:pStyle w:val="TableTextCA"/>
            </w:pPr>
            <w:r w:rsidRPr="00D37E5D">
              <w:t>NA</w:t>
            </w:r>
          </w:p>
        </w:tc>
        <w:tc>
          <w:tcPr>
            <w:tcW w:w="1072" w:type="dxa"/>
            <w:vAlign w:val="center"/>
          </w:tcPr>
          <w:p w14:paraId="00C42CF9" w14:textId="77777777" w:rsidR="00D37E5D" w:rsidRPr="00C00F1E" w:rsidRDefault="00D37E5D" w:rsidP="0029604E">
            <w:pPr>
              <w:pStyle w:val="TableTextCA"/>
            </w:pPr>
          </w:p>
        </w:tc>
      </w:tr>
    </w:tbl>
    <w:p w14:paraId="26F55133" w14:textId="77777777" w:rsidR="003F65FE" w:rsidRPr="00920354" w:rsidRDefault="003F65FE" w:rsidP="005E21AE">
      <w:pPr>
        <w:spacing w:before="0" w:after="0" w:line="240" w:lineRule="auto"/>
        <w:rPr>
          <w:rFonts w:ascii="Arial Narrow" w:eastAsia="Times New Roman" w:hAnsi="Arial Narrow" w:cs="Arial"/>
          <w:sz w:val="18"/>
          <w:szCs w:val="20"/>
        </w:rPr>
      </w:pPr>
      <w:r w:rsidRPr="00920354">
        <w:rPr>
          <w:rFonts w:ascii="Arial Narrow" w:eastAsia="Times New Roman" w:hAnsi="Arial Narrow" w:cs="Arial"/>
          <w:sz w:val="18"/>
          <w:szCs w:val="20"/>
        </w:rPr>
        <w:t>a Very serious risk of bias due to all studies being uncontrolled</w:t>
      </w:r>
    </w:p>
    <w:p w14:paraId="2C38D4F7" w14:textId="77777777" w:rsidR="003F65FE" w:rsidRPr="00920354" w:rsidRDefault="003F65FE" w:rsidP="005E21AE">
      <w:pPr>
        <w:spacing w:before="0" w:after="0" w:line="240" w:lineRule="auto"/>
        <w:rPr>
          <w:rFonts w:ascii="Arial Narrow" w:eastAsia="Times New Roman" w:hAnsi="Arial Narrow" w:cs="Arial"/>
          <w:sz w:val="18"/>
          <w:szCs w:val="20"/>
        </w:rPr>
      </w:pPr>
      <w:r w:rsidRPr="00920354">
        <w:rPr>
          <w:rFonts w:ascii="Arial Narrow" w:eastAsia="Times New Roman" w:hAnsi="Arial Narrow" w:cs="Arial"/>
          <w:sz w:val="18"/>
          <w:szCs w:val="20"/>
        </w:rPr>
        <w:t>b Serious indirectness due to the evidence relying on indirect comparisons</w:t>
      </w:r>
    </w:p>
    <w:p w14:paraId="1B4ECD7E" w14:textId="77777777" w:rsidR="003F65FE" w:rsidRPr="00920354" w:rsidRDefault="003F65FE" w:rsidP="005E21AE">
      <w:pPr>
        <w:spacing w:before="0" w:after="0" w:line="240" w:lineRule="auto"/>
        <w:rPr>
          <w:rFonts w:ascii="Arial Narrow" w:eastAsia="Times New Roman" w:hAnsi="Arial Narrow" w:cs="Arial"/>
          <w:sz w:val="18"/>
          <w:szCs w:val="18"/>
        </w:rPr>
      </w:pPr>
      <w:r w:rsidRPr="0301EDCD">
        <w:rPr>
          <w:rFonts w:ascii="Arial Narrow" w:eastAsia="Times New Roman" w:hAnsi="Arial Narrow" w:cs="Arial"/>
          <w:sz w:val="18"/>
          <w:szCs w:val="18"/>
        </w:rPr>
        <w:t xml:space="preserve">c </w:t>
      </w:r>
      <w:bookmarkStart w:id="42" w:name="_Int_QzF4QcFu"/>
      <w:proofErr w:type="gramStart"/>
      <w:r w:rsidRPr="0301EDCD">
        <w:rPr>
          <w:rFonts w:ascii="Arial Narrow" w:eastAsia="Times New Roman" w:hAnsi="Arial Narrow" w:cs="Arial"/>
          <w:sz w:val="18"/>
          <w:szCs w:val="18"/>
        </w:rPr>
        <w:t>Serious</w:t>
      </w:r>
      <w:bookmarkEnd w:id="42"/>
      <w:proofErr w:type="gramEnd"/>
      <w:r w:rsidRPr="0301EDCD">
        <w:rPr>
          <w:rFonts w:ascii="Arial Narrow" w:eastAsia="Times New Roman" w:hAnsi="Arial Narrow" w:cs="Arial"/>
          <w:sz w:val="18"/>
          <w:szCs w:val="18"/>
        </w:rPr>
        <w:t xml:space="preserve"> risk of publication bias as results were mostly derived from observational studies</w:t>
      </w:r>
    </w:p>
    <w:p w14:paraId="392E125F" w14:textId="667C16D0" w:rsidR="003F65FE" w:rsidRPr="00920354" w:rsidRDefault="003F65FE" w:rsidP="005E21AE">
      <w:pPr>
        <w:spacing w:before="0" w:after="0" w:line="240" w:lineRule="auto"/>
        <w:rPr>
          <w:rFonts w:ascii="Arial Narrow" w:eastAsia="Times New Roman" w:hAnsi="Arial Narrow" w:cs="Arial"/>
          <w:sz w:val="18"/>
          <w:szCs w:val="20"/>
        </w:rPr>
      </w:pPr>
      <w:r w:rsidRPr="00920354">
        <w:rPr>
          <w:rFonts w:ascii="Arial Narrow" w:eastAsia="Times New Roman" w:hAnsi="Arial Narrow" w:cs="Arial"/>
          <w:sz w:val="18"/>
          <w:szCs w:val="20"/>
        </w:rPr>
        <w:t xml:space="preserve">Abbreviations: CI = Confidence interval; GRADE = Grading of Recommendations Assessment, Development and Evaluation; RD = Risk </w:t>
      </w:r>
      <w:bookmarkStart w:id="43" w:name="_Hlk120533484"/>
      <w:r w:rsidRPr="00920354">
        <w:rPr>
          <w:rFonts w:ascii="Arial Narrow" w:eastAsia="Times New Roman" w:hAnsi="Arial Narrow" w:cs="Arial"/>
          <w:sz w:val="18"/>
          <w:szCs w:val="20"/>
        </w:rPr>
        <w:t xml:space="preserve">Difference; RR = Relative Risk; </w:t>
      </w:r>
      <w:r w:rsidR="00D37E5D">
        <w:rPr>
          <w:rFonts w:ascii="Arial Narrow" w:eastAsia="Times New Roman" w:hAnsi="Arial Narrow" w:cs="Arial"/>
          <w:sz w:val="18"/>
          <w:szCs w:val="20"/>
        </w:rPr>
        <w:t>SA: Sensitivity Analysis.</w:t>
      </w:r>
    </w:p>
    <w:bookmarkEnd w:id="43"/>
    <w:p w14:paraId="0523039A" w14:textId="538AE85B" w:rsidR="00E205B2" w:rsidRDefault="003B64BE" w:rsidP="005E21AE">
      <w:pPr>
        <w:spacing w:before="0" w:after="0"/>
        <w:rPr>
          <w:rFonts w:ascii="Arial Narrow" w:eastAsia="Times New Roman" w:hAnsi="Arial Narrow" w:cs="Arial"/>
          <w:sz w:val="18"/>
          <w:szCs w:val="20"/>
        </w:rPr>
      </w:pPr>
      <w:r>
        <w:rPr>
          <w:rFonts w:ascii="Arial Narrow" w:eastAsia="Times New Roman" w:hAnsi="Arial Narrow" w:cs="Arial"/>
          <w:sz w:val="18"/>
          <w:szCs w:val="20"/>
        </w:rPr>
        <w:t xml:space="preserve">Source: </w:t>
      </w:r>
      <w:r w:rsidR="00E205B2">
        <w:rPr>
          <w:rFonts w:ascii="Arial Narrow" w:eastAsia="Times New Roman" w:hAnsi="Arial Narrow" w:cs="Arial"/>
          <w:sz w:val="18"/>
          <w:szCs w:val="20"/>
        </w:rPr>
        <w:t>C</w:t>
      </w:r>
      <w:r w:rsidR="00E205B2" w:rsidRPr="00E205B2">
        <w:rPr>
          <w:rFonts w:ascii="Arial Narrow" w:eastAsia="Times New Roman" w:hAnsi="Arial Narrow" w:cs="Arial"/>
          <w:sz w:val="18"/>
          <w:szCs w:val="20"/>
        </w:rPr>
        <w:t xml:space="preserve">ommentary Table 3 and Table 84, </w:t>
      </w:r>
      <w:proofErr w:type="spellStart"/>
      <w:r w:rsidR="00E205B2" w:rsidRPr="00E205B2">
        <w:rPr>
          <w:rFonts w:ascii="Arial Narrow" w:eastAsia="Times New Roman" w:hAnsi="Arial Narrow" w:cs="Arial"/>
          <w:sz w:val="18"/>
          <w:szCs w:val="20"/>
        </w:rPr>
        <w:t>pg</w:t>
      </w:r>
      <w:proofErr w:type="spellEnd"/>
      <w:r w:rsidR="00E205B2" w:rsidRPr="00E205B2">
        <w:rPr>
          <w:rFonts w:ascii="Arial Narrow" w:eastAsia="Times New Roman" w:hAnsi="Arial Narrow" w:cs="Arial"/>
          <w:sz w:val="18"/>
          <w:szCs w:val="20"/>
        </w:rPr>
        <w:t xml:space="preserve"> </w:t>
      </w:r>
      <w:r w:rsidR="00736424">
        <w:rPr>
          <w:rFonts w:ascii="Arial Narrow" w:eastAsia="Times New Roman" w:hAnsi="Arial Narrow" w:cs="Arial"/>
          <w:sz w:val="18"/>
          <w:szCs w:val="20"/>
        </w:rPr>
        <w:t>91</w:t>
      </w:r>
      <w:r w:rsidR="00E205B2" w:rsidRPr="00E205B2">
        <w:rPr>
          <w:rFonts w:ascii="Arial Narrow" w:eastAsia="Times New Roman" w:hAnsi="Arial Narrow" w:cs="Arial"/>
          <w:sz w:val="18"/>
          <w:szCs w:val="20"/>
        </w:rPr>
        <w:t xml:space="preserve"> and 1</w:t>
      </w:r>
      <w:r w:rsidR="00736424">
        <w:rPr>
          <w:rFonts w:ascii="Arial Narrow" w:eastAsia="Times New Roman" w:hAnsi="Arial Narrow" w:cs="Arial"/>
          <w:sz w:val="18"/>
          <w:szCs w:val="20"/>
        </w:rPr>
        <w:t>41</w:t>
      </w:r>
      <w:r w:rsidR="00E205B2" w:rsidRPr="00E205B2">
        <w:rPr>
          <w:rFonts w:ascii="Arial Narrow" w:eastAsia="Times New Roman" w:hAnsi="Arial Narrow" w:cs="Arial"/>
          <w:sz w:val="18"/>
          <w:szCs w:val="20"/>
        </w:rPr>
        <w:t xml:space="preserve"> of the Commentary on MSAC 1714 ADAR</w:t>
      </w:r>
    </w:p>
    <w:p w14:paraId="059BB4FF" w14:textId="293DF188" w:rsidR="00700967" w:rsidRDefault="00700967" w:rsidP="00700967">
      <w:r>
        <w:t xml:space="preserve">In the Australian context, Dix et al. 2022 did not report any deaths whereas Tay 2012 reported 6 (25% of study cohort) deaths over a 12-year period. </w:t>
      </w:r>
      <w:r w:rsidR="00710CE0">
        <w:t>Th</w:t>
      </w:r>
      <w:r w:rsidR="00F31198">
        <w:t>e rate of</w:t>
      </w:r>
      <w:r w:rsidR="00710CE0">
        <w:t xml:space="preserve"> incidence</w:t>
      </w:r>
      <w:r w:rsidR="0036571C">
        <w:t xml:space="preserve"> of death</w:t>
      </w:r>
      <w:r w:rsidR="00710CE0">
        <w:t xml:space="preserve"> is so low that a broad comparison is not useful.</w:t>
      </w:r>
    </w:p>
    <w:p w14:paraId="3EBCC85C" w14:textId="1B196D1D" w:rsidR="00805B75" w:rsidRPr="00CD5EE1" w:rsidRDefault="0060244C" w:rsidP="00CD5EE1">
      <w:r>
        <w:t xml:space="preserve">The </w:t>
      </w:r>
      <w:r w:rsidR="00847376">
        <w:t xml:space="preserve">ADAR </w:t>
      </w:r>
      <w:r>
        <w:t xml:space="preserve">has not appropriately discussed </w:t>
      </w:r>
      <w:r w:rsidR="00666B84">
        <w:t>how many of the</w:t>
      </w:r>
      <w:r>
        <w:t xml:space="preserve"> deaths were due to treatment failure</w:t>
      </w:r>
      <w:r w:rsidR="00445338">
        <w:t>, which is also a measure of treatment efficacy.</w:t>
      </w:r>
      <w:r w:rsidR="00DB19E3">
        <w:t xml:space="preserve"> The evaluator identified </w:t>
      </w:r>
      <w:r w:rsidR="007467E0">
        <w:t xml:space="preserve">that </w:t>
      </w:r>
      <w:r w:rsidR="007467E0" w:rsidRPr="007467E0">
        <w:t xml:space="preserve">one patient who died of haemorrhage had received </w:t>
      </w:r>
      <w:r w:rsidR="007467E0">
        <w:t>Obizur</w:t>
      </w:r>
      <w:r w:rsidR="007467E0" w:rsidRPr="007467E0">
        <w:t xml:space="preserve">; one had received </w:t>
      </w:r>
      <w:r w:rsidR="007467E0">
        <w:t>NovoSeven; and one had received FEIBA</w:t>
      </w:r>
      <w:r w:rsidR="007467E0" w:rsidRPr="007467E0">
        <w:t>.</w:t>
      </w:r>
      <w:r w:rsidR="007467E0">
        <w:t xml:space="preserve"> </w:t>
      </w:r>
      <w:r w:rsidR="00D2122D" w:rsidRPr="007467E0">
        <w:t xml:space="preserve">Overall, it is unclear how many deaths were due to treatment failure, or whether they occurred </w:t>
      </w:r>
      <w:proofErr w:type="gramStart"/>
      <w:r w:rsidR="00D2122D">
        <w:t>as a result of</w:t>
      </w:r>
      <w:proofErr w:type="gramEnd"/>
      <w:r w:rsidR="00D2122D">
        <w:t xml:space="preserve"> a subsequent bleed.</w:t>
      </w:r>
      <w:bookmarkStart w:id="44" w:name="bookmark0"/>
      <w:bookmarkStart w:id="45" w:name="bookmark1"/>
      <w:bookmarkEnd w:id="44"/>
      <w:bookmarkEnd w:id="45"/>
      <w:r w:rsidR="00805B75">
        <w:br w:type="page"/>
      </w:r>
    </w:p>
    <w:p w14:paraId="303D198E" w14:textId="5C40D874" w:rsidR="00520A1C" w:rsidRDefault="00B85E3A" w:rsidP="00B85E3A">
      <w:pPr>
        <w:pStyle w:val="Heading3"/>
      </w:pPr>
      <w:r w:rsidRPr="00B85E3A">
        <w:lastRenderedPageBreak/>
        <w:t>Clinical claim</w:t>
      </w:r>
    </w:p>
    <w:p w14:paraId="330A3813" w14:textId="226046CF" w:rsidR="00B85E3A" w:rsidRDefault="00B85E3A" w:rsidP="00B85E3A">
      <w:r w:rsidRPr="00B85E3A">
        <w:t>The ADAR claimed the use of Obizur results in non</w:t>
      </w:r>
      <w:r w:rsidR="009C43FA">
        <w:t>-</w:t>
      </w:r>
      <w:r w:rsidRPr="00B85E3A">
        <w:t>inferior safety compared with NovoSeven</w:t>
      </w:r>
      <w:r>
        <w:t xml:space="preserve"> and FEIBA.</w:t>
      </w:r>
    </w:p>
    <w:p w14:paraId="2A16026D" w14:textId="3F54E44C" w:rsidR="00710CE0" w:rsidRDefault="005A669F" w:rsidP="00B85E3A">
      <w:r>
        <w:t xml:space="preserve">The </w:t>
      </w:r>
      <w:r w:rsidR="00D3335D">
        <w:t xml:space="preserve">evaluator </w:t>
      </w:r>
      <w:r>
        <w:t>disagree</w:t>
      </w:r>
      <w:r w:rsidR="00D3335D">
        <w:t>d</w:t>
      </w:r>
      <w:r>
        <w:t xml:space="preserve"> with the methods used in the ADAR to establish non-inferiority</w:t>
      </w:r>
      <w:r w:rsidR="00D2122D">
        <w:t xml:space="preserve"> in safety</w:t>
      </w:r>
      <w:r>
        <w:t xml:space="preserve">. </w:t>
      </w:r>
      <w:r w:rsidR="00710CE0">
        <w:t>This is discussed further in the clinical claim for Comparative effectiveness.</w:t>
      </w:r>
    </w:p>
    <w:p w14:paraId="3B6549E8" w14:textId="5FFA7AF8" w:rsidR="00B20916" w:rsidRPr="00B85E3A" w:rsidRDefault="00F31198" w:rsidP="00B85E3A">
      <w:r>
        <w:t xml:space="preserve">Overall, </w:t>
      </w:r>
      <w:r w:rsidR="00D3335D">
        <w:t xml:space="preserve">the evaluator considered </w:t>
      </w:r>
      <w:r>
        <w:t>Obizur is not consistently superior or inferior to NovoSeven in terms of safety.</w:t>
      </w:r>
      <w:r w:rsidR="00856563">
        <w:t xml:space="preserve"> One of the key safety issues</w:t>
      </w:r>
      <w:r w:rsidR="009274CF">
        <w:t xml:space="preserve"> unique to </w:t>
      </w:r>
      <w:r w:rsidR="00856563">
        <w:t xml:space="preserve">Obizur is the fact that the treatment involves </w:t>
      </w:r>
      <w:r w:rsidR="009274CF">
        <w:t xml:space="preserve">supplementation of </w:t>
      </w:r>
      <w:r w:rsidR="00D7435B">
        <w:t>a bio</w:t>
      </w:r>
      <w:r w:rsidR="00371239">
        <w:t>mimetic</w:t>
      </w:r>
      <w:r w:rsidR="003B44F8">
        <w:t xml:space="preserve"> </w:t>
      </w:r>
      <w:r w:rsidR="009274CF">
        <w:t>form of FVIII.</w:t>
      </w:r>
      <w:r w:rsidR="0002012D">
        <w:t xml:space="preserve"> This means that there is increased potential for inhibitors for both human and porcine FVIII. </w:t>
      </w:r>
    </w:p>
    <w:p w14:paraId="104B5831" w14:textId="69851165" w:rsidR="00772829" w:rsidRPr="00CE28E3" w:rsidRDefault="00C36633" w:rsidP="002A18BE">
      <w:pPr>
        <w:pStyle w:val="Heading2"/>
        <w:numPr>
          <w:ilvl w:val="0"/>
          <w:numId w:val="0"/>
        </w:numPr>
      </w:pPr>
      <w:bookmarkStart w:id="46" w:name="_Toc69491424"/>
      <w:r>
        <w:t>1</w:t>
      </w:r>
      <w:r w:rsidR="00746AEC">
        <w:t>2</w:t>
      </w:r>
      <w:r>
        <w:t>.</w:t>
      </w:r>
      <w:r>
        <w:tab/>
      </w:r>
      <w:r w:rsidR="00772829" w:rsidRPr="00CE28E3">
        <w:t>Comparative effectiveness</w:t>
      </w:r>
      <w:bookmarkEnd w:id="46"/>
    </w:p>
    <w:p w14:paraId="64C38D0C" w14:textId="77777777" w:rsidR="00520A1C" w:rsidRDefault="00AC57F1" w:rsidP="00E1559A">
      <w:pPr>
        <w:pStyle w:val="Heading3"/>
      </w:pPr>
      <w:r>
        <w:t>Bleeding resolution</w:t>
      </w:r>
    </w:p>
    <w:p w14:paraId="53BF2C1D" w14:textId="21C5061D" w:rsidR="00A42ADF" w:rsidRDefault="00A42ADF" w:rsidP="00B27931">
      <w:r w:rsidRPr="00A42ADF">
        <w:t xml:space="preserve">Across studies, bleed control or resolution was not appropriately described. </w:t>
      </w:r>
      <w:r>
        <w:t>I</w:t>
      </w:r>
      <w:r w:rsidRPr="00A42ADF">
        <w:t>t is unclear how transitive the reported efficacy outcomes are and whether they should be pooled.</w:t>
      </w:r>
      <w:r>
        <w:t xml:space="preserve"> Therefore, the following estimate of effect has a very high risk of bias and should be interpreted with caution.</w:t>
      </w:r>
      <w:r w:rsidRPr="00A42ADF">
        <w:t xml:space="preserve">  </w:t>
      </w:r>
    </w:p>
    <w:p w14:paraId="3D06EF02" w14:textId="641F80D0" w:rsidR="00A86BA0" w:rsidRDefault="00A86BA0" w:rsidP="00B27931">
      <w:r>
        <w:t>Patients who received Obizur were 8% less-likely to have their primary bleed resolve in comparison to those who received NovoSeven and 11% less-likely in comparison to those who received FEIBA</w:t>
      </w:r>
      <w:r w:rsidR="00E16B84">
        <w:t xml:space="preserve"> (</w:t>
      </w:r>
      <w:r w:rsidR="00652F37">
        <w:fldChar w:fldCharType="begin"/>
      </w:r>
      <w:r w:rsidR="00652F37">
        <w:instrText xml:space="preserve"> REF _Ref120531090 \h </w:instrText>
      </w:r>
      <w:r w:rsidR="00652F37">
        <w:fldChar w:fldCharType="separate"/>
      </w:r>
      <w:r w:rsidR="00C25EB0">
        <w:t xml:space="preserve">Table </w:t>
      </w:r>
      <w:r w:rsidR="00C25EB0">
        <w:rPr>
          <w:noProof/>
        </w:rPr>
        <w:t>9</w:t>
      </w:r>
      <w:r w:rsidR="00652F37">
        <w:fldChar w:fldCharType="end"/>
      </w:r>
      <w:r w:rsidR="00E16B84">
        <w:t>)</w:t>
      </w:r>
      <w:r>
        <w:t xml:space="preserve">. </w:t>
      </w:r>
    </w:p>
    <w:p w14:paraId="4E0BFDE9" w14:textId="25E60870" w:rsidR="00E21ABF" w:rsidRDefault="00E21ABF" w:rsidP="00B27931">
      <w:r>
        <w:t xml:space="preserve">The </w:t>
      </w:r>
      <w:r w:rsidR="006C4800">
        <w:t xml:space="preserve">ADAR </w:t>
      </w:r>
      <w:r>
        <w:t xml:space="preserve">claims that this result may be </w:t>
      </w:r>
      <w:proofErr w:type="gramStart"/>
      <w:r>
        <w:t>due to the fact that</w:t>
      </w:r>
      <w:proofErr w:type="gramEnd"/>
      <w:r>
        <w:t xml:space="preserve"> the studies of Obizur had more patients treated with second-line treatment and therefore, were more likely to be sicker, or fail treatment.</w:t>
      </w:r>
      <w:r w:rsidR="00F46441">
        <w:t xml:space="preserve"> </w:t>
      </w:r>
      <w:r w:rsidR="00CA4732" w:rsidRPr="00E21ABF">
        <w:t xml:space="preserve">When accounting for line of treatment in </w:t>
      </w:r>
      <w:r w:rsidR="00CA4732">
        <w:t>both comparisons</w:t>
      </w:r>
      <w:r w:rsidR="00CA4732" w:rsidRPr="00E21ABF">
        <w:t>, the direction of effect remained the same, however no significant difference was detected.</w:t>
      </w:r>
      <w:r w:rsidR="00CA4732">
        <w:t xml:space="preserve"> It remains unclear whether line of treatment does negatively bias the efficacy of Obizur as this analysis is likely underpowered.</w:t>
      </w:r>
    </w:p>
    <w:p w14:paraId="3D18B9D9" w14:textId="71F407EB" w:rsidR="00405288" w:rsidRDefault="00652F37" w:rsidP="00405288">
      <w:pPr>
        <w:pStyle w:val="Caption"/>
      </w:pPr>
      <w:bookmarkStart w:id="47" w:name="_Ref120531090"/>
      <w:r>
        <w:t xml:space="preserve">Table </w:t>
      </w:r>
      <w:r>
        <w:fldChar w:fldCharType="begin"/>
      </w:r>
      <w:r>
        <w:instrText>SEQ Table \* ARABIC</w:instrText>
      </w:r>
      <w:r>
        <w:fldChar w:fldCharType="separate"/>
      </w:r>
      <w:r w:rsidR="00C25EB0">
        <w:rPr>
          <w:noProof/>
        </w:rPr>
        <w:t>9</w:t>
      </w:r>
      <w:r>
        <w:fldChar w:fldCharType="end"/>
      </w:r>
      <w:bookmarkEnd w:id="47"/>
      <w:r>
        <w:t xml:space="preserve"> </w:t>
      </w:r>
      <w:r w:rsidRPr="000F37BA">
        <w:t>Patients who had their primary bleed resolved</w:t>
      </w:r>
    </w:p>
    <w:tbl>
      <w:tblPr>
        <w:tblStyle w:val="TableGrid"/>
        <w:tblW w:w="0" w:type="auto"/>
        <w:tblLook w:val="04A0" w:firstRow="1" w:lastRow="0" w:firstColumn="1" w:lastColumn="0" w:noHBand="0" w:noVBand="1"/>
        <w:tblCaption w:val="Patients who had their primary bleed resolved"/>
      </w:tblPr>
      <w:tblGrid>
        <w:gridCol w:w="1132"/>
        <w:gridCol w:w="1132"/>
        <w:gridCol w:w="1133"/>
        <w:gridCol w:w="2273"/>
        <w:gridCol w:w="2274"/>
        <w:gridCol w:w="1072"/>
      </w:tblGrid>
      <w:tr w:rsidR="00AC57F1" w:rsidRPr="00A41321" w14:paraId="2EB4FE6C" w14:textId="77777777" w:rsidTr="00E56A62">
        <w:tc>
          <w:tcPr>
            <w:tcW w:w="1132" w:type="dxa"/>
            <w:vAlign w:val="center"/>
          </w:tcPr>
          <w:p w14:paraId="789E8A60" w14:textId="77777777" w:rsidR="00AC57F1" w:rsidRPr="00A41321" w:rsidRDefault="00AC57F1" w:rsidP="00CD5EE1">
            <w:pPr>
              <w:pStyle w:val="TableHeadingCA"/>
              <w:spacing w:before="0" w:after="0"/>
              <w:rPr>
                <w:lang w:eastAsia="en-AU"/>
              </w:rPr>
            </w:pPr>
            <w:r w:rsidRPr="00A41321">
              <w:rPr>
                <w:lang w:eastAsia="en-AU"/>
              </w:rPr>
              <w:t>Obizur</w:t>
            </w:r>
          </w:p>
          <w:p w14:paraId="752F8F31" w14:textId="77777777" w:rsidR="00AC57F1" w:rsidRPr="00A41321" w:rsidRDefault="00AC57F1" w:rsidP="00CD5EE1">
            <w:pPr>
              <w:pStyle w:val="TableHeadingCA"/>
              <w:spacing w:before="0" w:after="0"/>
              <w:rPr>
                <w:lang w:eastAsia="en-AU"/>
              </w:rPr>
            </w:pPr>
            <w:r w:rsidRPr="00A41321">
              <w:rPr>
                <w:lang w:eastAsia="en-AU"/>
              </w:rPr>
              <w:t>n/N (%)</w:t>
            </w:r>
          </w:p>
          <w:p w14:paraId="3C9530A1" w14:textId="77777777" w:rsidR="00AC57F1" w:rsidRPr="00A41321" w:rsidRDefault="00AC57F1" w:rsidP="00CD5EE1">
            <w:pPr>
              <w:pStyle w:val="TableHeadingCA"/>
              <w:spacing w:before="0" w:after="0"/>
              <w:rPr>
                <w:lang w:eastAsia="en-AU"/>
              </w:rPr>
            </w:pPr>
            <w:r w:rsidRPr="00A41321">
              <w:rPr>
                <w:lang w:eastAsia="en-AU"/>
              </w:rPr>
              <w:t>k studies</w:t>
            </w:r>
          </w:p>
        </w:tc>
        <w:tc>
          <w:tcPr>
            <w:tcW w:w="1132" w:type="dxa"/>
            <w:vAlign w:val="center"/>
          </w:tcPr>
          <w:p w14:paraId="427764A2" w14:textId="77777777" w:rsidR="00AC57F1" w:rsidRPr="00A41321" w:rsidRDefault="00AC57F1" w:rsidP="00CD5EE1">
            <w:pPr>
              <w:pStyle w:val="TableHeadingCA"/>
              <w:spacing w:before="0" w:after="0"/>
              <w:rPr>
                <w:lang w:eastAsia="en-AU"/>
              </w:rPr>
            </w:pPr>
            <w:r w:rsidRPr="00A41321">
              <w:rPr>
                <w:lang w:eastAsia="en-AU"/>
              </w:rPr>
              <w:t>NovoSeven</w:t>
            </w:r>
          </w:p>
          <w:p w14:paraId="795C7403" w14:textId="77777777" w:rsidR="00AC57F1" w:rsidRPr="00A41321" w:rsidRDefault="00AC57F1" w:rsidP="00CD5EE1">
            <w:pPr>
              <w:pStyle w:val="TableHeadingCA"/>
              <w:spacing w:before="0" w:after="0"/>
              <w:rPr>
                <w:lang w:eastAsia="en-AU"/>
              </w:rPr>
            </w:pPr>
            <w:r w:rsidRPr="00A41321">
              <w:rPr>
                <w:lang w:eastAsia="en-AU"/>
              </w:rPr>
              <w:t>n/N (%)</w:t>
            </w:r>
          </w:p>
          <w:p w14:paraId="6ADB9D22" w14:textId="77777777" w:rsidR="00AC57F1" w:rsidRPr="00A41321" w:rsidRDefault="00AC57F1" w:rsidP="00CD5EE1">
            <w:pPr>
              <w:pStyle w:val="TableHeadingCA"/>
              <w:spacing w:before="0" w:after="0"/>
              <w:rPr>
                <w:lang w:eastAsia="en-AU"/>
              </w:rPr>
            </w:pPr>
            <w:r w:rsidRPr="00A41321">
              <w:rPr>
                <w:lang w:eastAsia="en-AU"/>
              </w:rPr>
              <w:t>k studies</w:t>
            </w:r>
          </w:p>
        </w:tc>
        <w:tc>
          <w:tcPr>
            <w:tcW w:w="1133" w:type="dxa"/>
            <w:vAlign w:val="center"/>
          </w:tcPr>
          <w:p w14:paraId="06281FE9" w14:textId="77777777" w:rsidR="00AC57F1" w:rsidRPr="00A41321" w:rsidRDefault="00AC57F1" w:rsidP="00CD5EE1">
            <w:pPr>
              <w:pStyle w:val="TableHeadingCA"/>
              <w:spacing w:before="0" w:after="0"/>
              <w:rPr>
                <w:lang w:eastAsia="en-AU"/>
              </w:rPr>
            </w:pPr>
            <w:r w:rsidRPr="00A41321">
              <w:rPr>
                <w:lang w:eastAsia="en-AU"/>
              </w:rPr>
              <w:t>FEIBA</w:t>
            </w:r>
          </w:p>
          <w:p w14:paraId="4C5CD92D" w14:textId="77777777" w:rsidR="00AC57F1" w:rsidRDefault="00AC57F1" w:rsidP="00CD5EE1">
            <w:pPr>
              <w:pStyle w:val="TableHeadingCA"/>
              <w:spacing w:before="0" w:after="0"/>
              <w:rPr>
                <w:lang w:eastAsia="en-AU"/>
              </w:rPr>
            </w:pPr>
            <w:r w:rsidRPr="00A41321">
              <w:rPr>
                <w:lang w:eastAsia="en-AU"/>
              </w:rPr>
              <w:t>n/N (%)</w:t>
            </w:r>
          </w:p>
          <w:p w14:paraId="210481A5" w14:textId="77777777" w:rsidR="00AC57F1" w:rsidRPr="00A41321" w:rsidRDefault="00AC57F1" w:rsidP="00CD5EE1">
            <w:pPr>
              <w:pStyle w:val="TableHeadingCA"/>
              <w:spacing w:before="0" w:after="0"/>
              <w:rPr>
                <w:lang w:eastAsia="en-AU"/>
              </w:rPr>
            </w:pPr>
            <w:r>
              <w:rPr>
                <w:lang w:eastAsia="en-AU"/>
              </w:rPr>
              <w:t>k studies</w:t>
            </w:r>
          </w:p>
        </w:tc>
        <w:tc>
          <w:tcPr>
            <w:tcW w:w="2273" w:type="dxa"/>
            <w:vAlign w:val="center"/>
          </w:tcPr>
          <w:p w14:paraId="44EE58CE" w14:textId="77777777" w:rsidR="00AC57F1" w:rsidRPr="00A41321" w:rsidRDefault="00AC57F1" w:rsidP="00CD5EE1">
            <w:pPr>
              <w:pStyle w:val="TableHeadingCA"/>
              <w:spacing w:before="0" w:after="0"/>
              <w:rPr>
                <w:lang w:eastAsia="en-AU"/>
              </w:rPr>
            </w:pPr>
            <w:r w:rsidRPr="00A41321">
              <w:rPr>
                <w:lang w:eastAsia="en-AU"/>
              </w:rPr>
              <w:t>Obizur vs. NovoSeven</w:t>
            </w:r>
          </w:p>
          <w:p w14:paraId="06D1A3B7" w14:textId="77777777" w:rsidR="00AC57F1" w:rsidRPr="00A41321" w:rsidRDefault="00AC57F1" w:rsidP="00CD5EE1">
            <w:pPr>
              <w:pStyle w:val="TableHeadingCA"/>
              <w:spacing w:before="0" w:after="0"/>
              <w:rPr>
                <w:lang w:eastAsia="en-AU"/>
              </w:rPr>
            </w:pPr>
            <w:r w:rsidRPr="00A41321">
              <w:rPr>
                <w:lang w:eastAsia="en-AU"/>
              </w:rPr>
              <w:t>RD (95% CI), p-value</w:t>
            </w:r>
          </w:p>
          <w:p w14:paraId="338264E5" w14:textId="77777777" w:rsidR="00AC57F1" w:rsidRPr="00A41321" w:rsidRDefault="00AC57F1" w:rsidP="00CD5EE1">
            <w:pPr>
              <w:pStyle w:val="TableHeadingCA"/>
              <w:spacing w:before="0" w:after="0"/>
              <w:rPr>
                <w:lang w:eastAsia="en-AU"/>
              </w:rPr>
            </w:pPr>
            <w:r w:rsidRPr="00A41321">
              <w:rPr>
                <w:lang w:eastAsia="en-AU"/>
              </w:rPr>
              <w:t>RR (95% CI), p-value</w:t>
            </w:r>
          </w:p>
        </w:tc>
        <w:tc>
          <w:tcPr>
            <w:tcW w:w="2274" w:type="dxa"/>
            <w:vAlign w:val="center"/>
          </w:tcPr>
          <w:p w14:paraId="2C656E9F" w14:textId="77777777" w:rsidR="00AC57F1" w:rsidRPr="00A41321" w:rsidRDefault="00AC57F1" w:rsidP="00CD5EE1">
            <w:pPr>
              <w:pStyle w:val="TableHeadingCA"/>
              <w:spacing w:before="0" w:after="0"/>
              <w:rPr>
                <w:lang w:eastAsia="en-AU"/>
              </w:rPr>
            </w:pPr>
            <w:r w:rsidRPr="00A41321">
              <w:rPr>
                <w:lang w:eastAsia="en-AU"/>
              </w:rPr>
              <w:t>Obizur vs.</w:t>
            </w:r>
            <w:r w:rsidR="00A86BA0">
              <w:rPr>
                <w:lang w:eastAsia="en-AU"/>
              </w:rPr>
              <w:t xml:space="preserve"> </w:t>
            </w:r>
            <w:r w:rsidRPr="00A41321">
              <w:rPr>
                <w:lang w:eastAsia="en-AU"/>
              </w:rPr>
              <w:t>FEIBA</w:t>
            </w:r>
          </w:p>
          <w:p w14:paraId="4A51A3E6" w14:textId="77777777" w:rsidR="00AC57F1" w:rsidRPr="00A41321" w:rsidRDefault="00AC57F1" w:rsidP="00CD5EE1">
            <w:pPr>
              <w:pStyle w:val="TableHeadingCA"/>
              <w:spacing w:before="0" w:after="0"/>
              <w:rPr>
                <w:lang w:eastAsia="en-AU"/>
              </w:rPr>
            </w:pPr>
            <w:r w:rsidRPr="00A41321">
              <w:rPr>
                <w:lang w:eastAsia="en-AU"/>
              </w:rPr>
              <w:t>RD (95% CI), p-value</w:t>
            </w:r>
          </w:p>
          <w:p w14:paraId="39099C1A" w14:textId="77777777" w:rsidR="00AC57F1" w:rsidRPr="00A41321" w:rsidRDefault="00AC57F1" w:rsidP="00CD5EE1">
            <w:pPr>
              <w:pStyle w:val="TableHeadingCA"/>
              <w:spacing w:before="0" w:after="0"/>
              <w:rPr>
                <w:lang w:eastAsia="en-AU"/>
              </w:rPr>
            </w:pPr>
            <w:r w:rsidRPr="00A41321">
              <w:rPr>
                <w:lang w:eastAsia="en-AU"/>
              </w:rPr>
              <w:t>RR (95% CI), p-value</w:t>
            </w:r>
          </w:p>
        </w:tc>
        <w:tc>
          <w:tcPr>
            <w:tcW w:w="1072" w:type="dxa"/>
            <w:vAlign w:val="center"/>
          </w:tcPr>
          <w:p w14:paraId="40B65A5A" w14:textId="77777777" w:rsidR="00AC57F1" w:rsidRPr="00A41321" w:rsidRDefault="00AC57F1" w:rsidP="00CD5EE1">
            <w:pPr>
              <w:pStyle w:val="TableHeadingCA"/>
              <w:spacing w:before="0" w:after="0"/>
              <w:rPr>
                <w:lang w:eastAsia="en-AU"/>
              </w:rPr>
            </w:pPr>
            <w:r w:rsidRPr="00A41321">
              <w:rPr>
                <w:lang w:eastAsia="en-AU"/>
              </w:rPr>
              <w:t>GRADE</w:t>
            </w:r>
          </w:p>
        </w:tc>
      </w:tr>
      <w:tr w:rsidR="00AC57F1" w:rsidRPr="00A41321" w14:paraId="0D5A8E34" w14:textId="77777777" w:rsidTr="00E56A62">
        <w:tc>
          <w:tcPr>
            <w:tcW w:w="9016" w:type="dxa"/>
            <w:gridSpan w:val="6"/>
            <w:vAlign w:val="center"/>
          </w:tcPr>
          <w:p w14:paraId="709132E6" w14:textId="77777777" w:rsidR="00AC57F1" w:rsidRPr="00A41321" w:rsidRDefault="00AC57F1" w:rsidP="00CD5EE1">
            <w:pPr>
              <w:pStyle w:val="TableText"/>
              <w:spacing w:before="0" w:after="0"/>
              <w:rPr>
                <w:lang w:eastAsia="en-AU"/>
              </w:rPr>
            </w:pPr>
            <w:r>
              <w:rPr>
                <w:lang w:eastAsia="en-AU"/>
              </w:rPr>
              <w:t>All lines</w:t>
            </w:r>
          </w:p>
        </w:tc>
      </w:tr>
      <w:tr w:rsidR="00AC57F1" w:rsidRPr="00AC57F1" w14:paraId="0E403050" w14:textId="77777777" w:rsidTr="00E56A62">
        <w:tc>
          <w:tcPr>
            <w:tcW w:w="1132" w:type="dxa"/>
            <w:vAlign w:val="center"/>
          </w:tcPr>
          <w:p w14:paraId="660E230D" w14:textId="77777777" w:rsidR="00AC57F1" w:rsidRPr="00AC57F1" w:rsidRDefault="00AC57F1" w:rsidP="00CD5EE1">
            <w:pPr>
              <w:pStyle w:val="TableTextCA"/>
              <w:spacing w:before="0" w:after="0"/>
            </w:pPr>
            <w:r w:rsidRPr="00AC57F1">
              <w:t xml:space="preserve">118/146 </w:t>
            </w:r>
          </w:p>
          <w:p w14:paraId="47639279" w14:textId="77777777" w:rsidR="00AC57F1" w:rsidRDefault="00AC57F1" w:rsidP="00CD5EE1">
            <w:pPr>
              <w:pStyle w:val="TableTextCA"/>
              <w:spacing w:before="0" w:after="0"/>
            </w:pPr>
            <w:r w:rsidRPr="00AC57F1">
              <w:t>(80.8)</w:t>
            </w:r>
          </w:p>
          <w:p w14:paraId="51F7033F" w14:textId="77777777" w:rsidR="00405288" w:rsidRPr="00AC57F1" w:rsidRDefault="00405288" w:rsidP="00CD5EE1">
            <w:pPr>
              <w:pStyle w:val="TableTextCA"/>
              <w:spacing w:before="0" w:after="0"/>
            </w:pPr>
            <w:r>
              <w:t>4 studies</w:t>
            </w:r>
          </w:p>
        </w:tc>
        <w:tc>
          <w:tcPr>
            <w:tcW w:w="1132" w:type="dxa"/>
            <w:vAlign w:val="center"/>
          </w:tcPr>
          <w:p w14:paraId="0C44792F" w14:textId="77777777" w:rsidR="00AC57F1" w:rsidRPr="0017612C" w:rsidRDefault="00AC57F1" w:rsidP="00CD5EE1">
            <w:pPr>
              <w:pStyle w:val="TableTextCA"/>
              <w:spacing w:before="0" w:after="0"/>
            </w:pPr>
            <w:r w:rsidRPr="0017612C">
              <w:t xml:space="preserve">189/212 </w:t>
            </w:r>
          </w:p>
          <w:p w14:paraId="39E9A5C4" w14:textId="77777777" w:rsidR="00AC57F1" w:rsidRDefault="00AC57F1" w:rsidP="00CD5EE1">
            <w:pPr>
              <w:pStyle w:val="TableTextCA"/>
              <w:spacing w:before="0" w:after="0"/>
            </w:pPr>
            <w:r w:rsidRPr="0017612C">
              <w:t>(89.2)</w:t>
            </w:r>
          </w:p>
          <w:p w14:paraId="538911B1" w14:textId="77777777" w:rsidR="00405288" w:rsidRPr="00AC57F1" w:rsidRDefault="00405288" w:rsidP="00CD5EE1">
            <w:pPr>
              <w:pStyle w:val="TableTextCA"/>
              <w:spacing w:before="0" w:after="0"/>
            </w:pPr>
            <w:r>
              <w:t>3 studies</w:t>
            </w:r>
          </w:p>
        </w:tc>
        <w:tc>
          <w:tcPr>
            <w:tcW w:w="1133" w:type="dxa"/>
            <w:vAlign w:val="center"/>
          </w:tcPr>
          <w:p w14:paraId="4C7883B3" w14:textId="77777777" w:rsidR="00AC57F1" w:rsidRPr="00AC57F1" w:rsidRDefault="00AC57F1" w:rsidP="00CD5EE1">
            <w:pPr>
              <w:pStyle w:val="TableTextCA"/>
              <w:spacing w:before="0" w:after="0"/>
            </w:pPr>
            <w:r w:rsidRPr="00AC57F1">
              <w:t>104/113</w:t>
            </w:r>
          </w:p>
          <w:p w14:paraId="4661400C" w14:textId="77777777" w:rsidR="00AC57F1" w:rsidRDefault="00AC57F1" w:rsidP="00CD5EE1">
            <w:pPr>
              <w:pStyle w:val="TableTextCA"/>
              <w:spacing w:before="0" w:after="0"/>
            </w:pPr>
            <w:r w:rsidRPr="00AC57F1">
              <w:t>(92)</w:t>
            </w:r>
          </w:p>
          <w:p w14:paraId="1BE2D3EB" w14:textId="77777777" w:rsidR="00405288" w:rsidRPr="00AC57F1" w:rsidRDefault="00405288" w:rsidP="00CD5EE1">
            <w:pPr>
              <w:pStyle w:val="TableTextCA"/>
              <w:spacing w:before="0" w:after="0"/>
            </w:pPr>
            <w:r>
              <w:t>3 studies</w:t>
            </w:r>
          </w:p>
        </w:tc>
        <w:tc>
          <w:tcPr>
            <w:tcW w:w="2273" w:type="dxa"/>
            <w:vAlign w:val="center"/>
          </w:tcPr>
          <w:p w14:paraId="67E8A3C1" w14:textId="77777777" w:rsidR="00AC57F1" w:rsidRPr="0017612C" w:rsidRDefault="00AC57F1" w:rsidP="00CD5EE1">
            <w:pPr>
              <w:pStyle w:val="TableTextCA"/>
              <w:spacing w:before="0" w:after="0"/>
            </w:pPr>
            <w:r w:rsidRPr="0017612C">
              <w:t xml:space="preserve">-0.08 </w:t>
            </w:r>
          </w:p>
          <w:p w14:paraId="62DF0498" w14:textId="77777777" w:rsidR="00AC57F1" w:rsidRDefault="00AC57F1" w:rsidP="00CD5EE1">
            <w:pPr>
              <w:pStyle w:val="TableTextCA"/>
              <w:spacing w:before="0" w:after="0"/>
            </w:pPr>
            <w:r w:rsidRPr="0017612C">
              <w:t>[-0.16; -0.01]; p=0.0325</w:t>
            </w:r>
          </w:p>
          <w:p w14:paraId="20C02120" w14:textId="77777777" w:rsidR="00AC57F1" w:rsidRPr="0017612C" w:rsidRDefault="00AC57F1" w:rsidP="00CD5EE1">
            <w:pPr>
              <w:pStyle w:val="TableTextCA"/>
              <w:spacing w:before="0" w:after="0"/>
            </w:pPr>
            <w:r w:rsidRPr="0017612C">
              <w:t xml:space="preserve">0.91 </w:t>
            </w:r>
          </w:p>
          <w:p w14:paraId="05C37D4E" w14:textId="77777777" w:rsidR="00AC57F1" w:rsidRPr="00AC57F1" w:rsidRDefault="00AC57F1" w:rsidP="00CD5EE1">
            <w:pPr>
              <w:pStyle w:val="TableTextCA"/>
              <w:spacing w:before="0" w:after="0"/>
            </w:pPr>
            <w:r w:rsidRPr="0017612C">
              <w:t>[0.83; 0.99]; p=0.0365</w:t>
            </w:r>
          </w:p>
        </w:tc>
        <w:tc>
          <w:tcPr>
            <w:tcW w:w="2274" w:type="dxa"/>
            <w:vAlign w:val="center"/>
          </w:tcPr>
          <w:p w14:paraId="37AAC10C" w14:textId="77777777" w:rsidR="00AC57F1" w:rsidRDefault="00AC57F1" w:rsidP="00CD5EE1">
            <w:pPr>
              <w:pStyle w:val="TableTextCA"/>
              <w:spacing w:before="0" w:after="0"/>
            </w:pPr>
            <w:r>
              <w:t xml:space="preserve">-0.11 </w:t>
            </w:r>
          </w:p>
          <w:p w14:paraId="2CBCCD8A" w14:textId="77777777" w:rsidR="00AC57F1" w:rsidRDefault="00AC57F1" w:rsidP="00CD5EE1">
            <w:pPr>
              <w:pStyle w:val="TableTextCA"/>
              <w:spacing w:before="0" w:after="0"/>
            </w:pPr>
            <w:r>
              <w:t>[-0.19; -0.03]; p=0.0067</w:t>
            </w:r>
          </w:p>
          <w:p w14:paraId="6225FB5A" w14:textId="77777777" w:rsidR="00AC57F1" w:rsidRPr="00AC57F1" w:rsidRDefault="00AC57F1" w:rsidP="00CD5EE1">
            <w:pPr>
              <w:pStyle w:val="TableTextCA"/>
              <w:spacing w:before="0" w:after="0"/>
            </w:pPr>
            <w:r w:rsidRPr="00AC57F1">
              <w:t xml:space="preserve">0.88 </w:t>
            </w:r>
          </w:p>
          <w:p w14:paraId="66288BD4" w14:textId="77777777" w:rsidR="00AC57F1" w:rsidRPr="00AC57F1" w:rsidRDefault="00AC57F1" w:rsidP="00CD5EE1">
            <w:pPr>
              <w:pStyle w:val="TableTextCA"/>
              <w:spacing w:before="0" w:after="0"/>
            </w:pPr>
            <w:r w:rsidRPr="00AC57F1">
              <w:t>[0.80; 0.97]; p=0.0079</w:t>
            </w:r>
          </w:p>
        </w:tc>
        <w:tc>
          <w:tcPr>
            <w:tcW w:w="1072" w:type="dxa"/>
            <w:vAlign w:val="center"/>
          </w:tcPr>
          <w:p w14:paraId="3C891F94" w14:textId="77777777" w:rsidR="00AC57F1" w:rsidRPr="0017612C" w:rsidRDefault="00AC57F1" w:rsidP="00CD5EE1">
            <w:pPr>
              <w:keepNext/>
              <w:spacing w:before="0" w:line="276" w:lineRule="auto"/>
              <w:jc w:val="center"/>
              <w:rPr>
                <w:rFonts w:asciiTheme="minorHAnsi" w:hAnsiTheme="minorHAnsi" w:cstheme="minorHAnsi"/>
                <w:color w:val="C00000"/>
                <w:sz w:val="18"/>
                <w:szCs w:val="18"/>
              </w:rPr>
            </w:pPr>
            <w:r w:rsidRPr="0017612C">
              <w:rPr>
                <w:rFonts w:ascii="Cambria Math" w:hAnsi="Cambria Math" w:cs="Cambria Math"/>
                <w:color w:val="00B050"/>
                <w:sz w:val="18"/>
                <w:szCs w:val="18"/>
              </w:rPr>
              <w:t>⨁</w:t>
            </w:r>
            <w:r w:rsidRPr="0017612C">
              <w:rPr>
                <w:rFonts w:ascii="Cambria Math" w:hAnsi="Cambria Math" w:cs="Cambria Math"/>
                <w:color w:val="C00000"/>
                <w:sz w:val="18"/>
                <w:szCs w:val="18"/>
              </w:rPr>
              <w:t>⨀⨀⨀</w:t>
            </w:r>
          </w:p>
          <w:p w14:paraId="738D4941" w14:textId="77777777" w:rsidR="00AC57F1" w:rsidRPr="00AC57F1" w:rsidRDefault="00AC57F1" w:rsidP="00CD5EE1">
            <w:pPr>
              <w:pStyle w:val="TableTextCA"/>
              <w:spacing w:before="0" w:after="0"/>
            </w:pPr>
            <w:proofErr w:type="spellStart"/>
            <w:proofErr w:type="gramStart"/>
            <w:r w:rsidRPr="0017612C">
              <w:rPr>
                <w:rFonts w:asciiTheme="minorHAnsi" w:hAnsiTheme="minorHAnsi" w:cstheme="minorHAnsi"/>
                <w:sz w:val="18"/>
                <w:szCs w:val="18"/>
                <w:vertAlign w:val="superscript"/>
              </w:rPr>
              <w:t>a,b</w:t>
            </w:r>
            <w:proofErr w:type="gramEnd"/>
            <w:r w:rsidRPr="0017612C">
              <w:rPr>
                <w:rFonts w:asciiTheme="minorHAnsi" w:hAnsiTheme="minorHAnsi" w:cstheme="minorHAnsi"/>
                <w:sz w:val="18"/>
                <w:szCs w:val="18"/>
                <w:vertAlign w:val="superscript"/>
              </w:rPr>
              <w:t>,d</w:t>
            </w:r>
            <w:proofErr w:type="spellEnd"/>
          </w:p>
        </w:tc>
      </w:tr>
      <w:tr w:rsidR="00AC57F1" w:rsidRPr="00A41321" w14:paraId="009C24FB" w14:textId="77777777" w:rsidTr="00E56A62">
        <w:tc>
          <w:tcPr>
            <w:tcW w:w="9016" w:type="dxa"/>
            <w:gridSpan w:val="6"/>
            <w:vAlign w:val="center"/>
          </w:tcPr>
          <w:p w14:paraId="4F8A1D8A" w14:textId="77777777" w:rsidR="00AC57F1" w:rsidRPr="0017612C" w:rsidRDefault="00AC57F1" w:rsidP="00CD5EE1">
            <w:pPr>
              <w:pStyle w:val="TableText"/>
              <w:spacing w:before="0" w:after="0"/>
            </w:pPr>
            <w:r>
              <w:t>First line</w:t>
            </w:r>
            <w:r w:rsidR="00405288">
              <w:t xml:space="preserve"> only</w:t>
            </w:r>
          </w:p>
        </w:tc>
      </w:tr>
      <w:tr w:rsidR="00AC57F1" w:rsidRPr="00A41321" w14:paraId="26E4D0E0" w14:textId="77777777" w:rsidTr="00E56A62">
        <w:tc>
          <w:tcPr>
            <w:tcW w:w="1132" w:type="dxa"/>
            <w:vAlign w:val="center"/>
          </w:tcPr>
          <w:p w14:paraId="01436F9A" w14:textId="77777777" w:rsidR="00AC57F1" w:rsidRPr="0017612C" w:rsidRDefault="00AC57F1" w:rsidP="00CD5EE1">
            <w:pPr>
              <w:pStyle w:val="TableTextCA"/>
              <w:spacing w:before="0" w:after="0"/>
            </w:pPr>
            <w:r w:rsidRPr="0017612C">
              <w:t xml:space="preserve">66/75 </w:t>
            </w:r>
          </w:p>
          <w:p w14:paraId="131D2630" w14:textId="77777777" w:rsidR="00AC57F1" w:rsidRDefault="00AC57F1" w:rsidP="00CD5EE1">
            <w:pPr>
              <w:pStyle w:val="TableTextCA"/>
              <w:spacing w:before="0" w:after="0"/>
            </w:pPr>
            <w:r w:rsidRPr="0017612C">
              <w:t>(88)</w:t>
            </w:r>
          </w:p>
          <w:p w14:paraId="604ECA19" w14:textId="77777777" w:rsidR="00405288" w:rsidRPr="0017612C" w:rsidRDefault="00405288" w:rsidP="00CD5EE1">
            <w:pPr>
              <w:pStyle w:val="TableTextCA"/>
              <w:spacing w:before="0" w:after="0"/>
            </w:pPr>
            <w:r>
              <w:t>4 studies</w:t>
            </w:r>
          </w:p>
        </w:tc>
        <w:tc>
          <w:tcPr>
            <w:tcW w:w="1132" w:type="dxa"/>
            <w:vAlign w:val="center"/>
          </w:tcPr>
          <w:p w14:paraId="49AC1DA6" w14:textId="77777777" w:rsidR="00AC57F1" w:rsidRPr="0017612C" w:rsidRDefault="00AC57F1" w:rsidP="00CD5EE1">
            <w:pPr>
              <w:pStyle w:val="TableTextCA"/>
              <w:spacing w:before="0" w:after="0"/>
            </w:pPr>
            <w:r w:rsidRPr="0017612C">
              <w:t xml:space="preserve">189/212 </w:t>
            </w:r>
          </w:p>
          <w:p w14:paraId="6AFA5580" w14:textId="77777777" w:rsidR="00AC57F1" w:rsidRDefault="00AC57F1" w:rsidP="00CD5EE1">
            <w:pPr>
              <w:pStyle w:val="TableTextCA"/>
              <w:spacing w:before="0" w:after="0"/>
            </w:pPr>
            <w:r w:rsidRPr="0017612C">
              <w:t>(89.2)</w:t>
            </w:r>
          </w:p>
          <w:p w14:paraId="20AEF46E" w14:textId="77777777" w:rsidR="00405288" w:rsidRPr="00A41321" w:rsidRDefault="00405288" w:rsidP="00CD5EE1">
            <w:pPr>
              <w:pStyle w:val="TableTextCA"/>
              <w:spacing w:before="0" w:after="0"/>
              <w:rPr>
                <w:lang w:eastAsia="en-AU"/>
              </w:rPr>
            </w:pPr>
            <w:r>
              <w:rPr>
                <w:lang w:eastAsia="en-AU"/>
              </w:rPr>
              <w:t>3 studies</w:t>
            </w:r>
          </w:p>
        </w:tc>
        <w:tc>
          <w:tcPr>
            <w:tcW w:w="1133" w:type="dxa"/>
            <w:vAlign w:val="center"/>
          </w:tcPr>
          <w:p w14:paraId="72E3ED36" w14:textId="77777777" w:rsidR="00AC57F1" w:rsidRPr="0017612C" w:rsidRDefault="00AC57F1" w:rsidP="00CD5EE1">
            <w:pPr>
              <w:pStyle w:val="TableTextCA"/>
              <w:spacing w:before="0" w:after="0"/>
            </w:pPr>
            <w:r w:rsidRPr="0017612C">
              <w:t xml:space="preserve">102/111 </w:t>
            </w:r>
          </w:p>
          <w:p w14:paraId="2D1014DF" w14:textId="77777777" w:rsidR="00AC57F1" w:rsidRPr="0017612C" w:rsidRDefault="00AC57F1" w:rsidP="00CD5EE1">
            <w:pPr>
              <w:pStyle w:val="TableTextCA"/>
              <w:spacing w:before="0" w:after="0"/>
            </w:pPr>
            <w:r w:rsidRPr="0017612C">
              <w:t>(91.9)</w:t>
            </w:r>
            <w:r w:rsidR="00405288">
              <w:br/>
              <w:t>3 studies</w:t>
            </w:r>
          </w:p>
        </w:tc>
        <w:tc>
          <w:tcPr>
            <w:tcW w:w="2273" w:type="dxa"/>
            <w:vAlign w:val="center"/>
          </w:tcPr>
          <w:p w14:paraId="5CFD8A59" w14:textId="77777777" w:rsidR="00AC57F1" w:rsidRPr="0017612C" w:rsidRDefault="00AC57F1" w:rsidP="00CD5EE1">
            <w:pPr>
              <w:pStyle w:val="TableTextCA"/>
              <w:spacing w:before="0" w:after="0"/>
            </w:pPr>
            <w:r w:rsidRPr="0017612C">
              <w:t xml:space="preserve">-0.01 </w:t>
            </w:r>
          </w:p>
          <w:p w14:paraId="05B16249" w14:textId="77777777" w:rsidR="00AC57F1" w:rsidRDefault="00AC57F1" w:rsidP="00CD5EE1">
            <w:pPr>
              <w:pStyle w:val="TableTextCA"/>
              <w:spacing w:before="0" w:after="0"/>
            </w:pPr>
            <w:r w:rsidRPr="0017612C">
              <w:t>[-0.10; 0.07]; p=0.7898</w:t>
            </w:r>
          </w:p>
          <w:p w14:paraId="011437DB" w14:textId="77777777" w:rsidR="00AC57F1" w:rsidRPr="0017612C" w:rsidRDefault="00AC57F1" w:rsidP="00CD5EE1">
            <w:pPr>
              <w:pStyle w:val="TableTextCA"/>
              <w:spacing w:before="0" w:after="0"/>
            </w:pPr>
            <w:r w:rsidRPr="0017612C">
              <w:t xml:space="preserve">0.99 </w:t>
            </w:r>
          </w:p>
          <w:p w14:paraId="7FAF7BE9" w14:textId="77777777" w:rsidR="00AC57F1" w:rsidRPr="0017612C" w:rsidRDefault="00AC57F1" w:rsidP="00CD5EE1">
            <w:pPr>
              <w:pStyle w:val="TableTextCA"/>
              <w:spacing w:before="0" w:after="0"/>
            </w:pPr>
            <w:r w:rsidRPr="0017612C">
              <w:t>[0.90; 1.09]; p=0.7905</w:t>
            </w:r>
          </w:p>
        </w:tc>
        <w:tc>
          <w:tcPr>
            <w:tcW w:w="2274" w:type="dxa"/>
            <w:vAlign w:val="center"/>
          </w:tcPr>
          <w:p w14:paraId="0A31920F" w14:textId="77777777" w:rsidR="00AC57F1" w:rsidRPr="0017612C" w:rsidRDefault="00AC57F1" w:rsidP="00CD5EE1">
            <w:pPr>
              <w:pStyle w:val="TableTextCA"/>
              <w:spacing w:before="0" w:after="0"/>
            </w:pPr>
            <w:r w:rsidRPr="0017612C">
              <w:t xml:space="preserve">-0.04 </w:t>
            </w:r>
          </w:p>
          <w:p w14:paraId="2ABD0492" w14:textId="77777777" w:rsidR="00AC57F1" w:rsidRDefault="00AC57F1" w:rsidP="00CD5EE1">
            <w:pPr>
              <w:pStyle w:val="TableTextCA"/>
              <w:spacing w:before="0" w:after="0"/>
            </w:pPr>
            <w:r w:rsidRPr="0017612C">
              <w:t>[-0.13; 0.05]; p=0.3934</w:t>
            </w:r>
          </w:p>
          <w:p w14:paraId="30651494" w14:textId="77777777" w:rsidR="00AC57F1" w:rsidRPr="0017612C" w:rsidRDefault="00AC57F1" w:rsidP="00CD5EE1">
            <w:pPr>
              <w:pStyle w:val="TableTextCA"/>
              <w:spacing w:before="0" w:after="0"/>
            </w:pPr>
            <w:r w:rsidRPr="0017612C">
              <w:t xml:space="preserve">0.96 </w:t>
            </w:r>
          </w:p>
          <w:p w14:paraId="30D34CCE" w14:textId="77777777" w:rsidR="00AC57F1" w:rsidRPr="0017612C" w:rsidRDefault="00AC57F1" w:rsidP="00CD5EE1">
            <w:pPr>
              <w:pStyle w:val="TableTextCA"/>
              <w:spacing w:before="0" w:after="0"/>
            </w:pPr>
            <w:r w:rsidRPr="0017612C">
              <w:t>[0.87; 1.06]; p=0.3972</w:t>
            </w:r>
          </w:p>
        </w:tc>
        <w:tc>
          <w:tcPr>
            <w:tcW w:w="1072" w:type="dxa"/>
            <w:vAlign w:val="center"/>
          </w:tcPr>
          <w:p w14:paraId="353648EA" w14:textId="77777777" w:rsidR="00AC57F1" w:rsidRPr="0017612C" w:rsidRDefault="00AC57F1" w:rsidP="00CD5EE1">
            <w:pPr>
              <w:keepNext/>
              <w:spacing w:before="0" w:line="276" w:lineRule="auto"/>
              <w:jc w:val="center"/>
              <w:rPr>
                <w:rFonts w:asciiTheme="minorHAnsi" w:hAnsiTheme="minorHAnsi" w:cstheme="minorHAnsi"/>
                <w:color w:val="C00000"/>
                <w:sz w:val="18"/>
                <w:szCs w:val="18"/>
              </w:rPr>
            </w:pPr>
            <w:r w:rsidRPr="0017612C">
              <w:rPr>
                <w:rFonts w:ascii="Cambria Math" w:hAnsi="Cambria Math" w:cs="Cambria Math"/>
                <w:color w:val="00B050"/>
                <w:sz w:val="18"/>
                <w:szCs w:val="18"/>
              </w:rPr>
              <w:t>⨁</w:t>
            </w:r>
            <w:r w:rsidRPr="0017612C">
              <w:rPr>
                <w:rFonts w:ascii="Cambria Math" w:hAnsi="Cambria Math" w:cs="Cambria Math"/>
                <w:color w:val="C00000"/>
                <w:sz w:val="18"/>
                <w:szCs w:val="18"/>
              </w:rPr>
              <w:t>⨀⨀⨀</w:t>
            </w:r>
          </w:p>
          <w:p w14:paraId="7E97F6D2" w14:textId="77777777" w:rsidR="00AC57F1" w:rsidRPr="0017612C" w:rsidRDefault="00AC57F1" w:rsidP="00CD5EE1">
            <w:pPr>
              <w:keepNext/>
              <w:spacing w:before="0" w:line="276" w:lineRule="auto"/>
              <w:jc w:val="center"/>
              <w:rPr>
                <w:rFonts w:ascii="Cambria Math" w:hAnsi="Cambria Math" w:cs="Cambria Math"/>
                <w:color w:val="00B050"/>
                <w:sz w:val="18"/>
                <w:szCs w:val="18"/>
              </w:rPr>
            </w:pPr>
            <w:proofErr w:type="spellStart"/>
            <w:proofErr w:type="gramStart"/>
            <w:r w:rsidRPr="0017612C">
              <w:rPr>
                <w:rFonts w:asciiTheme="minorHAnsi" w:hAnsiTheme="minorHAnsi" w:cstheme="minorHAnsi"/>
                <w:sz w:val="18"/>
                <w:szCs w:val="18"/>
                <w:vertAlign w:val="superscript"/>
              </w:rPr>
              <w:t>a,b</w:t>
            </w:r>
            <w:proofErr w:type="gramEnd"/>
            <w:r w:rsidRPr="0017612C">
              <w:rPr>
                <w:rFonts w:asciiTheme="minorHAnsi" w:hAnsiTheme="minorHAnsi" w:cstheme="minorHAnsi"/>
                <w:sz w:val="18"/>
                <w:szCs w:val="18"/>
                <w:vertAlign w:val="superscript"/>
              </w:rPr>
              <w:t>,d</w:t>
            </w:r>
            <w:proofErr w:type="spellEnd"/>
          </w:p>
        </w:tc>
      </w:tr>
    </w:tbl>
    <w:p w14:paraId="332DDB25" w14:textId="77777777" w:rsidR="00AC57F1" w:rsidRPr="00920354" w:rsidRDefault="00AC57F1" w:rsidP="00AC57F1">
      <w:pPr>
        <w:pStyle w:val="TableFooter"/>
      </w:pPr>
      <w:r w:rsidRPr="00920354">
        <w:rPr>
          <w:rFonts w:ascii="Cambria Math" w:hAnsi="Cambria Math" w:cs="Cambria Math"/>
        </w:rPr>
        <w:t>⨁⨀⨀⨀</w:t>
      </w:r>
      <w:r w:rsidRPr="00920354">
        <w:t xml:space="preserve"> Very low quality: We have very little confidence in the effect estimate: The true effect is likely to be substantially different from the estimate of effect.</w:t>
      </w:r>
    </w:p>
    <w:p w14:paraId="013CF602" w14:textId="77777777" w:rsidR="00AC57F1" w:rsidRPr="00920354" w:rsidRDefault="00AC57F1" w:rsidP="00AC57F1">
      <w:pPr>
        <w:pStyle w:val="TableFooter"/>
      </w:pPr>
      <w:r w:rsidRPr="00920354">
        <w:t>a Very serious risk of bias due to all studies being uncontrolled</w:t>
      </w:r>
    </w:p>
    <w:p w14:paraId="1AB65CDB" w14:textId="77777777" w:rsidR="00AC57F1" w:rsidRPr="00920354" w:rsidRDefault="00AC57F1" w:rsidP="00AC57F1">
      <w:pPr>
        <w:pStyle w:val="TableFooter"/>
      </w:pPr>
      <w:r w:rsidRPr="00920354">
        <w:t>b Serious indirectness due to the evidence relying on indirect comparisons</w:t>
      </w:r>
    </w:p>
    <w:p w14:paraId="611504E4" w14:textId="77777777" w:rsidR="00B27931" w:rsidRDefault="00B27931" w:rsidP="00B27931">
      <w:pPr>
        <w:pStyle w:val="TableFooter"/>
      </w:pPr>
      <w:r>
        <w:t>d</w:t>
      </w:r>
      <w:r w:rsidR="00AC57F1" w:rsidRPr="00920354">
        <w:t xml:space="preserve"> Serious risk of publication bias since the results were mostly derived from observational studies</w:t>
      </w:r>
    </w:p>
    <w:p w14:paraId="7E69812B" w14:textId="03915699" w:rsidR="003557E1" w:rsidRDefault="00AC57F1" w:rsidP="003557E1">
      <w:pPr>
        <w:pStyle w:val="TableFooter"/>
      </w:pPr>
      <w:r w:rsidRPr="00920354">
        <w:t>Abbreviations: CI = Confidence interval; GRADE = Grading of Recommendations Assessment, Development and Evaluation; RD = Risk Difference; RR = Relative Risk</w:t>
      </w:r>
    </w:p>
    <w:p w14:paraId="0725E123" w14:textId="59783FAF" w:rsidR="005758C8" w:rsidRDefault="00B952D6" w:rsidP="003557E1">
      <w:pPr>
        <w:pStyle w:val="TableFooter"/>
      </w:pPr>
      <w:r w:rsidRPr="00B952D6">
        <w:t xml:space="preserve">Source: Table </w:t>
      </w:r>
      <w:r w:rsidR="00E972BD">
        <w:t>3</w:t>
      </w:r>
      <w:r w:rsidRPr="00B952D6">
        <w:t xml:space="preserve">3 and Table </w:t>
      </w:r>
      <w:r w:rsidR="00E972BD">
        <w:t>70</w:t>
      </w:r>
      <w:r w:rsidRPr="00B952D6">
        <w:t xml:space="preserve">, </w:t>
      </w:r>
      <w:proofErr w:type="spellStart"/>
      <w:r w:rsidRPr="00B952D6">
        <w:t>pg</w:t>
      </w:r>
      <w:proofErr w:type="spellEnd"/>
      <w:r w:rsidRPr="00B952D6">
        <w:t xml:space="preserve"> </w:t>
      </w:r>
      <w:r w:rsidR="00E972BD">
        <w:t>75</w:t>
      </w:r>
      <w:r w:rsidRPr="00B952D6">
        <w:t xml:space="preserve"> and 1</w:t>
      </w:r>
      <w:r w:rsidR="00E972BD">
        <w:t>33</w:t>
      </w:r>
      <w:r w:rsidRPr="00B952D6">
        <w:t xml:space="preserve"> of the Commentary on MSAC 1714 ADAR</w:t>
      </w:r>
    </w:p>
    <w:p w14:paraId="49FF3263" w14:textId="06910168" w:rsidR="002E5143" w:rsidRDefault="001E6305" w:rsidP="002E5143">
      <w:r>
        <w:lastRenderedPageBreak/>
        <w:t>P</w:t>
      </w:r>
      <w:r w:rsidR="001250D1" w:rsidRPr="001250D1">
        <w:t xml:space="preserve">atients who received Obizur were </w:t>
      </w:r>
      <w:r w:rsidR="001250D1">
        <w:t>9</w:t>
      </w:r>
      <w:r w:rsidR="001250D1" w:rsidRPr="001250D1">
        <w:t>% less</w:t>
      </w:r>
      <w:r w:rsidR="004C4F57">
        <w:t xml:space="preserve"> </w:t>
      </w:r>
      <w:r w:rsidR="001250D1" w:rsidRPr="001250D1">
        <w:t>likely to have their bleed</w:t>
      </w:r>
      <w:r>
        <w:t xml:space="preserve"> </w:t>
      </w:r>
      <w:r w:rsidR="001250D1" w:rsidRPr="001250D1">
        <w:t>resolve in comparison to those who received NovoSeven</w:t>
      </w:r>
      <w:r w:rsidR="001250D1">
        <w:t xml:space="preserve">. </w:t>
      </w:r>
      <w:r w:rsidR="00040A7D">
        <w:t>When accounting for line of treatment in Obizur vs. NovoSeven, the direction of effect remained the same, however no significant difference was detected.</w:t>
      </w:r>
      <w:r w:rsidR="00A16878">
        <w:t xml:space="preserve"> </w:t>
      </w:r>
      <w:r w:rsidR="00AE49BF" w:rsidRPr="00AE49BF">
        <w:t>No difference was detected in comparison to FEIBA</w:t>
      </w:r>
      <w:r w:rsidR="00A16878">
        <w:t xml:space="preserve"> (</w:t>
      </w:r>
      <w:r w:rsidR="009F2FFB">
        <w:fldChar w:fldCharType="begin"/>
      </w:r>
      <w:r w:rsidR="009F2FFB">
        <w:instrText xml:space="preserve"> REF _Ref124153899 \h </w:instrText>
      </w:r>
      <w:r w:rsidR="009F2FFB">
        <w:fldChar w:fldCharType="separate"/>
      </w:r>
      <w:r w:rsidR="00C25EB0">
        <w:t xml:space="preserve">Table </w:t>
      </w:r>
      <w:r w:rsidR="00C25EB0">
        <w:rPr>
          <w:noProof/>
        </w:rPr>
        <w:t>10</w:t>
      </w:r>
      <w:r w:rsidR="009F2FFB">
        <w:fldChar w:fldCharType="end"/>
      </w:r>
      <w:r w:rsidR="009F2FFB">
        <w:t>).</w:t>
      </w:r>
      <w:bookmarkStart w:id="48" w:name="_Ref120531150"/>
    </w:p>
    <w:p w14:paraId="455F1791" w14:textId="43CF5291" w:rsidR="00E56A62" w:rsidRDefault="00652F37" w:rsidP="00E56A62">
      <w:pPr>
        <w:pStyle w:val="Caption"/>
      </w:pPr>
      <w:bookmarkStart w:id="49" w:name="_Ref124153899"/>
      <w:r>
        <w:t xml:space="preserve">Table </w:t>
      </w:r>
      <w:r>
        <w:fldChar w:fldCharType="begin"/>
      </w:r>
      <w:r>
        <w:instrText>SEQ Table \* ARABIC</w:instrText>
      </w:r>
      <w:r>
        <w:fldChar w:fldCharType="separate"/>
      </w:r>
      <w:r w:rsidR="00C25EB0">
        <w:rPr>
          <w:noProof/>
        </w:rPr>
        <w:t>10</w:t>
      </w:r>
      <w:r>
        <w:fldChar w:fldCharType="end"/>
      </w:r>
      <w:bookmarkEnd w:id="48"/>
      <w:bookmarkEnd w:id="49"/>
      <w:r>
        <w:t xml:space="preserve"> </w:t>
      </w:r>
      <w:r w:rsidRPr="00CC16BC">
        <w:t>Total number of bleeding episodes resolved</w:t>
      </w:r>
    </w:p>
    <w:tbl>
      <w:tblPr>
        <w:tblStyle w:val="TableGrid"/>
        <w:tblW w:w="0" w:type="auto"/>
        <w:tblLook w:val="04A0" w:firstRow="1" w:lastRow="0" w:firstColumn="1" w:lastColumn="0" w:noHBand="0" w:noVBand="1"/>
        <w:tblCaption w:val="Total number of bleeding episodes resolved"/>
      </w:tblPr>
      <w:tblGrid>
        <w:gridCol w:w="1132"/>
        <w:gridCol w:w="1132"/>
        <w:gridCol w:w="1133"/>
        <w:gridCol w:w="2273"/>
        <w:gridCol w:w="2274"/>
        <w:gridCol w:w="1072"/>
      </w:tblGrid>
      <w:tr w:rsidR="00405288" w:rsidRPr="00A41321" w14:paraId="1E62EFC5" w14:textId="77777777" w:rsidTr="00E56A62">
        <w:tc>
          <w:tcPr>
            <w:tcW w:w="1132" w:type="dxa"/>
            <w:vAlign w:val="center"/>
          </w:tcPr>
          <w:p w14:paraId="6C17F548" w14:textId="77777777" w:rsidR="00405288" w:rsidRPr="00A41321" w:rsidRDefault="00405288" w:rsidP="00E56A62">
            <w:pPr>
              <w:pStyle w:val="TableHeadingCA"/>
              <w:rPr>
                <w:lang w:eastAsia="en-AU"/>
              </w:rPr>
            </w:pPr>
            <w:r w:rsidRPr="00A41321">
              <w:rPr>
                <w:lang w:eastAsia="en-AU"/>
              </w:rPr>
              <w:t>Obizur</w:t>
            </w:r>
          </w:p>
          <w:p w14:paraId="6E29C2AA" w14:textId="77777777" w:rsidR="00405288" w:rsidRPr="00A41321" w:rsidRDefault="00405288" w:rsidP="00E56A62">
            <w:pPr>
              <w:pStyle w:val="TableHeadingCA"/>
              <w:rPr>
                <w:lang w:eastAsia="en-AU"/>
              </w:rPr>
            </w:pPr>
            <w:r w:rsidRPr="00A41321">
              <w:rPr>
                <w:lang w:eastAsia="en-AU"/>
              </w:rPr>
              <w:t>n/N (%)</w:t>
            </w:r>
          </w:p>
          <w:p w14:paraId="531DE92B" w14:textId="77777777" w:rsidR="00405288" w:rsidRPr="00A41321" w:rsidRDefault="00405288" w:rsidP="00E56A62">
            <w:pPr>
              <w:pStyle w:val="TableHeadingCA"/>
              <w:rPr>
                <w:lang w:eastAsia="en-AU"/>
              </w:rPr>
            </w:pPr>
            <w:r w:rsidRPr="00A41321">
              <w:rPr>
                <w:lang w:eastAsia="en-AU"/>
              </w:rPr>
              <w:t>k studies</w:t>
            </w:r>
          </w:p>
        </w:tc>
        <w:tc>
          <w:tcPr>
            <w:tcW w:w="1132" w:type="dxa"/>
            <w:vAlign w:val="center"/>
          </w:tcPr>
          <w:p w14:paraId="3D8708BD" w14:textId="77777777" w:rsidR="00405288" w:rsidRPr="00A41321" w:rsidRDefault="00405288" w:rsidP="00E56A62">
            <w:pPr>
              <w:pStyle w:val="TableHeadingCA"/>
              <w:rPr>
                <w:lang w:eastAsia="en-AU"/>
              </w:rPr>
            </w:pPr>
            <w:r w:rsidRPr="00A41321">
              <w:rPr>
                <w:lang w:eastAsia="en-AU"/>
              </w:rPr>
              <w:t>NovoSeven</w:t>
            </w:r>
          </w:p>
          <w:p w14:paraId="006706A4" w14:textId="77777777" w:rsidR="00405288" w:rsidRPr="00A41321" w:rsidRDefault="00405288" w:rsidP="00E56A62">
            <w:pPr>
              <w:pStyle w:val="TableHeadingCA"/>
              <w:rPr>
                <w:lang w:eastAsia="en-AU"/>
              </w:rPr>
            </w:pPr>
            <w:r w:rsidRPr="00A41321">
              <w:rPr>
                <w:lang w:eastAsia="en-AU"/>
              </w:rPr>
              <w:t>n/N (%)</w:t>
            </w:r>
          </w:p>
          <w:p w14:paraId="0B767C1A" w14:textId="77777777" w:rsidR="00405288" w:rsidRPr="00A41321" w:rsidRDefault="00405288" w:rsidP="00E56A62">
            <w:pPr>
              <w:pStyle w:val="TableHeadingCA"/>
              <w:rPr>
                <w:lang w:eastAsia="en-AU"/>
              </w:rPr>
            </w:pPr>
            <w:r w:rsidRPr="00A41321">
              <w:rPr>
                <w:lang w:eastAsia="en-AU"/>
              </w:rPr>
              <w:t>k studies</w:t>
            </w:r>
          </w:p>
        </w:tc>
        <w:tc>
          <w:tcPr>
            <w:tcW w:w="1133" w:type="dxa"/>
            <w:vAlign w:val="center"/>
          </w:tcPr>
          <w:p w14:paraId="5B839F9A" w14:textId="77777777" w:rsidR="00405288" w:rsidRPr="00A41321" w:rsidRDefault="00405288" w:rsidP="00E56A62">
            <w:pPr>
              <w:pStyle w:val="TableHeadingCA"/>
              <w:rPr>
                <w:lang w:eastAsia="en-AU"/>
              </w:rPr>
            </w:pPr>
            <w:r w:rsidRPr="00A41321">
              <w:rPr>
                <w:lang w:eastAsia="en-AU"/>
              </w:rPr>
              <w:t>FEIBA</w:t>
            </w:r>
          </w:p>
          <w:p w14:paraId="638EBAF7" w14:textId="77777777" w:rsidR="00405288" w:rsidRDefault="00405288" w:rsidP="00E56A62">
            <w:pPr>
              <w:pStyle w:val="TableHeadingCA"/>
              <w:rPr>
                <w:lang w:eastAsia="en-AU"/>
              </w:rPr>
            </w:pPr>
            <w:r w:rsidRPr="00A41321">
              <w:rPr>
                <w:lang w:eastAsia="en-AU"/>
              </w:rPr>
              <w:t>n/N (%)</w:t>
            </w:r>
          </w:p>
          <w:p w14:paraId="75A77317" w14:textId="77777777" w:rsidR="00405288" w:rsidRPr="00A41321" w:rsidRDefault="00405288" w:rsidP="00E56A62">
            <w:pPr>
              <w:pStyle w:val="TableHeadingCA"/>
              <w:rPr>
                <w:lang w:eastAsia="en-AU"/>
              </w:rPr>
            </w:pPr>
            <w:r>
              <w:rPr>
                <w:lang w:eastAsia="en-AU"/>
              </w:rPr>
              <w:t>k studies</w:t>
            </w:r>
          </w:p>
        </w:tc>
        <w:tc>
          <w:tcPr>
            <w:tcW w:w="2273" w:type="dxa"/>
            <w:vAlign w:val="center"/>
          </w:tcPr>
          <w:p w14:paraId="33F71FA2" w14:textId="77777777" w:rsidR="00405288" w:rsidRPr="00A41321" w:rsidRDefault="00405288" w:rsidP="00E56A62">
            <w:pPr>
              <w:pStyle w:val="TableHeadingCA"/>
              <w:rPr>
                <w:lang w:eastAsia="en-AU"/>
              </w:rPr>
            </w:pPr>
            <w:r w:rsidRPr="00A41321">
              <w:rPr>
                <w:lang w:eastAsia="en-AU"/>
              </w:rPr>
              <w:t>Obizur vs. NovoSeven</w:t>
            </w:r>
          </w:p>
          <w:p w14:paraId="2A856172" w14:textId="77777777" w:rsidR="00405288" w:rsidRPr="00A41321" w:rsidRDefault="00405288" w:rsidP="00E56A62">
            <w:pPr>
              <w:pStyle w:val="TableHeadingCA"/>
              <w:rPr>
                <w:lang w:eastAsia="en-AU"/>
              </w:rPr>
            </w:pPr>
            <w:r w:rsidRPr="00A41321">
              <w:rPr>
                <w:lang w:eastAsia="en-AU"/>
              </w:rPr>
              <w:t>RD (95% CI), p-value</w:t>
            </w:r>
          </w:p>
          <w:p w14:paraId="59F812DA" w14:textId="77777777" w:rsidR="00405288" w:rsidRPr="00A41321" w:rsidRDefault="00405288" w:rsidP="00E56A62">
            <w:pPr>
              <w:pStyle w:val="TableHeadingCA"/>
              <w:rPr>
                <w:lang w:eastAsia="en-AU"/>
              </w:rPr>
            </w:pPr>
            <w:r w:rsidRPr="00A41321">
              <w:rPr>
                <w:lang w:eastAsia="en-AU"/>
              </w:rPr>
              <w:t>RR (95% CI), p-value</w:t>
            </w:r>
          </w:p>
        </w:tc>
        <w:tc>
          <w:tcPr>
            <w:tcW w:w="2274" w:type="dxa"/>
            <w:vAlign w:val="center"/>
          </w:tcPr>
          <w:p w14:paraId="1CF81721" w14:textId="77777777" w:rsidR="00405288" w:rsidRPr="00A41321" w:rsidRDefault="00405288" w:rsidP="00E56A62">
            <w:pPr>
              <w:pStyle w:val="TableHeadingCA"/>
              <w:rPr>
                <w:lang w:eastAsia="en-AU"/>
              </w:rPr>
            </w:pPr>
            <w:r w:rsidRPr="00A41321">
              <w:rPr>
                <w:lang w:eastAsia="en-AU"/>
              </w:rPr>
              <w:t xml:space="preserve">Obizur </w:t>
            </w:r>
            <w:r w:rsidR="006A63FB">
              <w:rPr>
                <w:lang w:eastAsia="en-AU"/>
              </w:rPr>
              <w:t>vs. FEIBA</w:t>
            </w:r>
          </w:p>
          <w:p w14:paraId="749C0FF9" w14:textId="77777777" w:rsidR="00405288" w:rsidRPr="00A41321" w:rsidRDefault="00405288" w:rsidP="00E56A62">
            <w:pPr>
              <w:pStyle w:val="TableHeadingCA"/>
              <w:rPr>
                <w:lang w:eastAsia="en-AU"/>
              </w:rPr>
            </w:pPr>
            <w:r w:rsidRPr="00A41321">
              <w:rPr>
                <w:lang w:eastAsia="en-AU"/>
              </w:rPr>
              <w:t>RD (95% CI), p-value</w:t>
            </w:r>
          </w:p>
          <w:p w14:paraId="221DAC22" w14:textId="77777777" w:rsidR="00405288" w:rsidRPr="00A41321" w:rsidRDefault="00405288" w:rsidP="00E56A62">
            <w:pPr>
              <w:pStyle w:val="TableHeadingCA"/>
              <w:rPr>
                <w:lang w:eastAsia="en-AU"/>
              </w:rPr>
            </w:pPr>
            <w:r w:rsidRPr="00A41321">
              <w:rPr>
                <w:lang w:eastAsia="en-AU"/>
              </w:rPr>
              <w:t>RR (95% CI), p-value</w:t>
            </w:r>
          </w:p>
        </w:tc>
        <w:tc>
          <w:tcPr>
            <w:tcW w:w="1072" w:type="dxa"/>
            <w:vAlign w:val="center"/>
          </w:tcPr>
          <w:p w14:paraId="676164BF" w14:textId="77777777" w:rsidR="00405288" w:rsidRPr="00A41321" w:rsidRDefault="00405288" w:rsidP="00E56A62">
            <w:pPr>
              <w:pStyle w:val="TableHeadingCA"/>
              <w:rPr>
                <w:lang w:eastAsia="en-AU"/>
              </w:rPr>
            </w:pPr>
            <w:r w:rsidRPr="00A41321">
              <w:rPr>
                <w:lang w:eastAsia="en-AU"/>
              </w:rPr>
              <w:t>GRADE</w:t>
            </w:r>
          </w:p>
        </w:tc>
      </w:tr>
      <w:tr w:rsidR="00E56A62" w:rsidRPr="00E56A62" w14:paraId="77FE3101" w14:textId="77777777" w:rsidTr="00E56A62">
        <w:tc>
          <w:tcPr>
            <w:tcW w:w="9016" w:type="dxa"/>
            <w:gridSpan w:val="6"/>
            <w:vAlign w:val="center"/>
          </w:tcPr>
          <w:p w14:paraId="5495201F" w14:textId="77777777" w:rsidR="00E56A62" w:rsidRPr="00E56A62" w:rsidRDefault="00E56A62" w:rsidP="00E56A62">
            <w:pPr>
              <w:pStyle w:val="TableTextCA"/>
              <w:jc w:val="left"/>
            </w:pPr>
            <w:r w:rsidRPr="00E56A62">
              <w:t>All lines</w:t>
            </w:r>
          </w:p>
        </w:tc>
      </w:tr>
      <w:tr w:rsidR="00405288" w:rsidRPr="00E56A62" w14:paraId="1E8325FF" w14:textId="77777777" w:rsidTr="00E56A62">
        <w:tc>
          <w:tcPr>
            <w:tcW w:w="1132" w:type="dxa"/>
            <w:vAlign w:val="center"/>
          </w:tcPr>
          <w:p w14:paraId="6DAAFB35" w14:textId="77777777" w:rsidR="00E56A62" w:rsidRPr="00E56A62" w:rsidRDefault="00E56A62" w:rsidP="00E56A62">
            <w:pPr>
              <w:pStyle w:val="TableTextCA"/>
            </w:pPr>
            <w:r w:rsidRPr="00E56A62">
              <w:t xml:space="preserve">101/128 </w:t>
            </w:r>
          </w:p>
          <w:p w14:paraId="5374063B" w14:textId="77777777" w:rsidR="00405288" w:rsidRPr="00E56A62" w:rsidRDefault="00E56A62" w:rsidP="00E56A62">
            <w:pPr>
              <w:pStyle w:val="TableTextCA"/>
            </w:pPr>
            <w:r w:rsidRPr="00E56A62">
              <w:t>(78.9)</w:t>
            </w:r>
          </w:p>
          <w:p w14:paraId="251FE784" w14:textId="77777777" w:rsidR="00E56A62" w:rsidRPr="00E56A62" w:rsidRDefault="00E56A62" w:rsidP="00E56A62">
            <w:pPr>
              <w:pStyle w:val="TableTextCA"/>
            </w:pPr>
            <w:r w:rsidRPr="00E56A62">
              <w:t>2 studies</w:t>
            </w:r>
          </w:p>
        </w:tc>
        <w:tc>
          <w:tcPr>
            <w:tcW w:w="1132" w:type="dxa"/>
            <w:vAlign w:val="center"/>
          </w:tcPr>
          <w:p w14:paraId="540183E0" w14:textId="77777777" w:rsidR="00E56A62" w:rsidRPr="00E56A62" w:rsidRDefault="00E56A62" w:rsidP="00E56A62">
            <w:pPr>
              <w:pStyle w:val="TableTextCA"/>
            </w:pPr>
            <w:r w:rsidRPr="00E56A62">
              <w:t xml:space="preserve">452/515 </w:t>
            </w:r>
          </w:p>
          <w:p w14:paraId="592D08CE" w14:textId="77777777" w:rsidR="00405288" w:rsidRDefault="00E56A62" w:rsidP="00E56A62">
            <w:pPr>
              <w:pStyle w:val="TableTextCA"/>
            </w:pPr>
            <w:r w:rsidRPr="00E56A62">
              <w:t>(87.8)</w:t>
            </w:r>
          </w:p>
          <w:p w14:paraId="2FB7BE46" w14:textId="77777777" w:rsidR="00E56A62" w:rsidRPr="00E56A62" w:rsidRDefault="00E56A62" w:rsidP="00E56A62">
            <w:pPr>
              <w:pStyle w:val="TableTextCA"/>
            </w:pPr>
            <w:r>
              <w:t>3 studies</w:t>
            </w:r>
          </w:p>
        </w:tc>
        <w:tc>
          <w:tcPr>
            <w:tcW w:w="1133" w:type="dxa"/>
            <w:vAlign w:val="center"/>
          </w:tcPr>
          <w:p w14:paraId="370B4B70" w14:textId="77777777" w:rsidR="00E56A62" w:rsidRPr="00E56A62" w:rsidRDefault="00E56A62" w:rsidP="00E56A62">
            <w:pPr>
              <w:pStyle w:val="TableTextCA"/>
            </w:pPr>
            <w:r w:rsidRPr="00E56A62">
              <w:t xml:space="preserve">44/50 </w:t>
            </w:r>
          </w:p>
          <w:p w14:paraId="4759D085" w14:textId="77777777" w:rsidR="00405288" w:rsidRPr="00E56A62" w:rsidRDefault="00E56A62" w:rsidP="00E56A62">
            <w:pPr>
              <w:pStyle w:val="TableTextCA"/>
            </w:pPr>
            <w:r w:rsidRPr="00E56A62">
              <w:t>(88)</w:t>
            </w:r>
          </w:p>
          <w:p w14:paraId="5BA14712" w14:textId="77777777" w:rsidR="00E56A62" w:rsidRPr="00E56A62" w:rsidRDefault="00E56A62" w:rsidP="00E56A62">
            <w:pPr>
              <w:pStyle w:val="TableTextCA"/>
            </w:pPr>
            <w:r w:rsidRPr="00E56A62">
              <w:t>1 study</w:t>
            </w:r>
          </w:p>
        </w:tc>
        <w:tc>
          <w:tcPr>
            <w:tcW w:w="2273" w:type="dxa"/>
            <w:vAlign w:val="center"/>
          </w:tcPr>
          <w:p w14:paraId="553065B0" w14:textId="77777777" w:rsidR="00E56A62" w:rsidRPr="00E56A62" w:rsidRDefault="00E56A62" w:rsidP="00E56A62">
            <w:pPr>
              <w:pStyle w:val="TableTextCA"/>
            </w:pPr>
            <w:r w:rsidRPr="00E56A62">
              <w:t xml:space="preserve">-0.09 </w:t>
            </w:r>
          </w:p>
          <w:p w14:paraId="3CB9FD36" w14:textId="77777777" w:rsidR="00E56A62" w:rsidRPr="00E56A62" w:rsidRDefault="00E56A62" w:rsidP="00E56A62">
            <w:pPr>
              <w:pStyle w:val="TableTextCA"/>
            </w:pPr>
            <w:r w:rsidRPr="00E56A62">
              <w:t>[-0.16; -0.01]; p=0.0225</w:t>
            </w:r>
            <w:r w:rsidRPr="00E56A62">
              <w:br/>
              <w:t xml:space="preserve">0.90 </w:t>
            </w:r>
          </w:p>
          <w:p w14:paraId="4633C627" w14:textId="77777777" w:rsidR="00405288" w:rsidRPr="00E56A62" w:rsidRDefault="00E56A62" w:rsidP="00E56A62">
            <w:pPr>
              <w:pStyle w:val="TableTextCA"/>
            </w:pPr>
            <w:r w:rsidRPr="00E56A62">
              <w:t>[0.82; 0.99]; p=0.0284</w:t>
            </w:r>
          </w:p>
        </w:tc>
        <w:tc>
          <w:tcPr>
            <w:tcW w:w="2274" w:type="dxa"/>
            <w:vAlign w:val="center"/>
          </w:tcPr>
          <w:p w14:paraId="4B458F39" w14:textId="77777777" w:rsidR="00E56A62" w:rsidRPr="00E56A62" w:rsidRDefault="00E56A62" w:rsidP="00E56A62">
            <w:pPr>
              <w:pStyle w:val="TableTextCA"/>
            </w:pPr>
            <w:r w:rsidRPr="00E56A62">
              <w:t xml:space="preserve">-0.09 </w:t>
            </w:r>
          </w:p>
          <w:p w14:paraId="46945B5E" w14:textId="77777777" w:rsidR="00405288" w:rsidRPr="00E56A62" w:rsidRDefault="00E56A62" w:rsidP="00E56A62">
            <w:pPr>
              <w:pStyle w:val="TableTextCA"/>
            </w:pPr>
            <w:r w:rsidRPr="00E56A62">
              <w:t>[-0.21; 0.02]; p=0.1195</w:t>
            </w:r>
          </w:p>
          <w:p w14:paraId="448200F0" w14:textId="77777777" w:rsidR="00E56A62" w:rsidRPr="00E56A62" w:rsidRDefault="00E56A62" w:rsidP="00E56A62">
            <w:pPr>
              <w:pStyle w:val="TableTextCA"/>
            </w:pPr>
            <w:r w:rsidRPr="00E56A62">
              <w:t xml:space="preserve">0.90 </w:t>
            </w:r>
          </w:p>
          <w:p w14:paraId="4A6ABE38" w14:textId="77777777" w:rsidR="00E56A62" w:rsidRPr="00E56A62" w:rsidRDefault="00E56A62" w:rsidP="00E56A62">
            <w:pPr>
              <w:pStyle w:val="TableTextCA"/>
            </w:pPr>
            <w:r w:rsidRPr="00E56A62">
              <w:t>[0.78; 1.03]; p=0.1160</w:t>
            </w:r>
          </w:p>
        </w:tc>
        <w:tc>
          <w:tcPr>
            <w:tcW w:w="1072" w:type="dxa"/>
            <w:vAlign w:val="center"/>
          </w:tcPr>
          <w:p w14:paraId="7C104BAC" w14:textId="77777777" w:rsidR="00E56A62" w:rsidRPr="0017612C" w:rsidRDefault="00E56A62" w:rsidP="00E56A62">
            <w:pPr>
              <w:keepNext/>
              <w:spacing w:line="276" w:lineRule="auto"/>
              <w:jc w:val="center"/>
              <w:rPr>
                <w:rFonts w:asciiTheme="minorHAnsi" w:hAnsiTheme="minorHAnsi" w:cstheme="minorHAnsi"/>
                <w:color w:val="C00000"/>
                <w:sz w:val="18"/>
                <w:szCs w:val="18"/>
              </w:rPr>
            </w:pPr>
            <w:r w:rsidRPr="0017612C">
              <w:rPr>
                <w:rFonts w:ascii="Cambria Math" w:hAnsi="Cambria Math" w:cs="Cambria Math"/>
                <w:color w:val="00B050"/>
                <w:sz w:val="18"/>
                <w:szCs w:val="18"/>
              </w:rPr>
              <w:t>⨁</w:t>
            </w:r>
            <w:r w:rsidRPr="0017612C">
              <w:rPr>
                <w:rFonts w:ascii="Cambria Math" w:hAnsi="Cambria Math" w:cs="Cambria Math"/>
                <w:color w:val="C00000"/>
                <w:sz w:val="18"/>
                <w:szCs w:val="18"/>
              </w:rPr>
              <w:t>⨀⨀⨀</w:t>
            </w:r>
          </w:p>
          <w:p w14:paraId="183403D1" w14:textId="77777777" w:rsidR="00405288" w:rsidRPr="00E56A62" w:rsidRDefault="00E56A62" w:rsidP="00E56A62">
            <w:pPr>
              <w:pStyle w:val="TableTextCA"/>
            </w:pPr>
            <w:proofErr w:type="spellStart"/>
            <w:proofErr w:type="gramStart"/>
            <w:r w:rsidRPr="0017612C">
              <w:rPr>
                <w:rFonts w:asciiTheme="minorHAnsi" w:hAnsiTheme="minorHAnsi" w:cstheme="minorHAnsi"/>
                <w:sz w:val="18"/>
                <w:szCs w:val="18"/>
                <w:vertAlign w:val="superscript"/>
              </w:rPr>
              <w:t>a,b</w:t>
            </w:r>
            <w:proofErr w:type="gramEnd"/>
            <w:r w:rsidRPr="0017612C">
              <w:rPr>
                <w:rFonts w:asciiTheme="minorHAnsi" w:hAnsiTheme="minorHAnsi" w:cstheme="minorHAnsi"/>
                <w:sz w:val="18"/>
                <w:szCs w:val="18"/>
                <w:vertAlign w:val="superscript"/>
              </w:rPr>
              <w:t>,d</w:t>
            </w:r>
            <w:proofErr w:type="spellEnd"/>
          </w:p>
        </w:tc>
      </w:tr>
      <w:tr w:rsidR="00E56A62" w:rsidRPr="00E56A62" w14:paraId="6DCBD6BF" w14:textId="77777777" w:rsidTr="00E56A62">
        <w:tc>
          <w:tcPr>
            <w:tcW w:w="9016" w:type="dxa"/>
            <w:gridSpan w:val="6"/>
            <w:vAlign w:val="center"/>
          </w:tcPr>
          <w:p w14:paraId="28555C8A" w14:textId="77777777" w:rsidR="00E56A62" w:rsidRPr="00E56A62" w:rsidRDefault="00E56A62" w:rsidP="00E56A62">
            <w:pPr>
              <w:pStyle w:val="TableTextCA"/>
              <w:jc w:val="left"/>
            </w:pPr>
            <w:r w:rsidRPr="00E56A62">
              <w:t>First line</w:t>
            </w:r>
          </w:p>
        </w:tc>
      </w:tr>
      <w:tr w:rsidR="00E56A62" w:rsidRPr="00E56A62" w14:paraId="517AED34" w14:textId="77777777" w:rsidTr="00E56A62">
        <w:tc>
          <w:tcPr>
            <w:tcW w:w="1132" w:type="dxa"/>
            <w:vAlign w:val="center"/>
          </w:tcPr>
          <w:p w14:paraId="3FFA5B91" w14:textId="77777777" w:rsidR="00E56A62" w:rsidRPr="00E56A62" w:rsidRDefault="00E56A62" w:rsidP="00E56A62">
            <w:pPr>
              <w:pStyle w:val="TableTextCA"/>
            </w:pPr>
            <w:r w:rsidRPr="00E56A62">
              <w:t xml:space="preserve">64/76 </w:t>
            </w:r>
          </w:p>
          <w:p w14:paraId="02979F06" w14:textId="77777777" w:rsidR="00E56A62" w:rsidRPr="00E56A62" w:rsidRDefault="00E56A62" w:rsidP="00E56A62">
            <w:pPr>
              <w:pStyle w:val="TableTextCA"/>
            </w:pPr>
            <w:r w:rsidRPr="00E56A62">
              <w:t>(84.2)</w:t>
            </w:r>
          </w:p>
          <w:p w14:paraId="0DBC5863" w14:textId="77777777" w:rsidR="00E56A62" w:rsidRPr="00E56A62" w:rsidRDefault="00E56A62" w:rsidP="00E56A62">
            <w:pPr>
              <w:pStyle w:val="TableTextCA"/>
            </w:pPr>
            <w:r w:rsidRPr="00E56A62">
              <w:t>2 studies</w:t>
            </w:r>
          </w:p>
        </w:tc>
        <w:tc>
          <w:tcPr>
            <w:tcW w:w="1132" w:type="dxa"/>
            <w:vAlign w:val="center"/>
          </w:tcPr>
          <w:p w14:paraId="0D979215" w14:textId="77777777" w:rsidR="00E56A62" w:rsidRPr="00E56A62" w:rsidRDefault="00E56A62" w:rsidP="00E56A62">
            <w:pPr>
              <w:pStyle w:val="TableTextCA"/>
            </w:pPr>
            <w:r w:rsidRPr="00E56A62">
              <w:t>399/443</w:t>
            </w:r>
          </w:p>
          <w:p w14:paraId="0ACBD805" w14:textId="77777777" w:rsidR="00E56A62" w:rsidRDefault="00E56A62" w:rsidP="00E56A62">
            <w:pPr>
              <w:pStyle w:val="TableTextCA"/>
            </w:pPr>
            <w:r w:rsidRPr="00E56A62">
              <w:t>(90.1)</w:t>
            </w:r>
          </w:p>
          <w:p w14:paraId="492AE79F" w14:textId="77777777" w:rsidR="00E56A62" w:rsidRPr="00E56A62" w:rsidRDefault="00E56A62" w:rsidP="00E56A62">
            <w:pPr>
              <w:pStyle w:val="TableTextCA"/>
            </w:pPr>
            <w:r w:rsidRPr="00E56A62">
              <w:t>3 studies</w:t>
            </w:r>
          </w:p>
        </w:tc>
        <w:tc>
          <w:tcPr>
            <w:tcW w:w="1133" w:type="dxa"/>
            <w:vAlign w:val="center"/>
          </w:tcPr>
          <w:p w14:paraId="0E049442" w14:textId="77777777" w:rsidR="00E56A62" w:rsidRPr="00E56A62" w:rsidRDefault="00E56A62" w:rsidP="00E56A62">
            <w:pPr>
              <w:pStyle w:val="TableTextCA"/>
            </w:pPr>
            <w:r w:rsidRPr="00E56A62">
              <w:t>Not available</w:t>
            </w:r>
          </w:p>
        </w:tc>
        <w:tc>
          <w:tcPr>
            <w:tcW w:w="2273" w:type="dxa"/>
            <w:vAlign w:val="center"/>
          </w:tcPr>
          <w:p w14:paraId="60B8651E" w14:textId="77777777" w:rsidR="00E56A62" w:rsidRPr="00E56A62" w:rsidRDefault="00E56A62" w:rsidP="00E56A62">
            <w:pPr>
              <w:pStyle w:val="TableTextCA"/>
            </w:pPr>
            <w:r w:rsidRPr="00E56A62">
              <w:t xml:space="preserve">-0.06 </w:t>
            </w:r>
          </w:p>
          <w:p w14:paraId="1D0C1222" w14:textId="77777777" w:rsidR="00E56A62" w:rsidRPr="00E56A62" w:rsidRDefault="00E56A62" w:rsidP="00E56A62">
            <w:pPr>
              <w:pStyle w:val="TableTextCA"/>
            </w:pPr>
            <w:r w:rsidRPr="00E56A62">
              <w:t>[-0.15; 0.03]; p=0.1849</w:t>
            </w:r>
          </w:p>
          <w:p w14:paraId="73205AD8" w14:textId="77777777" w:rsidR="00E56A62" w:rsidRPr="00E56A62" w:rsidRDefault="00E56A62" w:rsidP="00E56A62">
            <w:pPr>
              <w:pStyle w:val="TableTextCA"/>
            </w:pPr>
            <w:r w:rsidRPr="00E56A62">
              <w:t xml:space="preserve">0.93 </w:t>
            </w:r>
          </w:p>
          <w:p w14:paraId="3B4A0F06" w14:textId="77777777" w:rsidR="00E56A62" w:rsidRPr="00E56A62" w:rsidRDefault="00E56A62" w:rsidP="00E56A62">
            <w:pPr>
              <w:pStyle w:val="TableTextCA"/>
            </w:pPr>
            <w:r w:rsidRPr="00E56A62">
              <w:t>[0.84; 1.04]; p=0.1970</w:t>
            </w:r>
          </w:p>
        </w:tc>
        <w:tc>
          <w:tcPr>
            <w:tcW w:w="2274" w:type="dxa"/>
            <w:vAlign w:val="center"/>
          </w:tcPr>
          <w:p w14:paraId="232F2B14" w14:textId="77777777" w:rsidR="00E56A62" w:rsidRPr="00E56A62" w:rsidRDefault="00E56A62" w:rsidP="00E56A62">
            <w:pPr>
              <w:pStyle w:val="TableTextCA"/>
            </w:pPr>
            <w:r w:rsidRPr="00E56A62">
              <w:t>Not available</w:t>
            </w:r>
          </w:p>
        </w:tc>
        <w:tc>
          <w:tcPr>
            <w:tcW w:w="1072" w:type="dxa"/>
            <w:vAlign w:val="center"/>
          </w:tcPr>
          <w:p w14:paraId="63946632" w14:textId="77777777" w:rsidR="00E56A62" w:rsidRPr="0017612C" w:rsidRDefault="00E56A62" w:rsidP="00E56A62">
            <w:pPr>
              <w:keepNext/>
              <w:spacing w:line="276" w:lineRule="auto"/>
              <w:jc w:val="center"/>
              <w:rPr>
                <w:rFonts w:asciiTheme="minorHAnsi" w:hAnsiTheme="minorHAnsi" w:cstheme="minorHAnsi"/>
                <w:color w:val="C00000"/>
                <w:sz w:val="18"/>
                <w:szCs w:val="18"/>
              </w:rPr>
            </w:pPr>
            <w:r w:rsidRPr="0017612C">
              <w:rPr>
                <w:rFonts w:ascii="Cambria Math" w:hAnsi="Cambria Math" w:cs="Cambria Math"/>
                <w:color w:val="00B050"/>
                <w:sz w:val="18"/>
                <w:szCs w:val="18"/>
              </w:rPr>
              <w:t>⨁</w:t>
            </w:r>
            <w:r w:rsidRPr="0017612C">
              <w:rPr>
                <w:rFonts w:ascii="Cambria Math" w:hAnsi="Cambria Math" w:cs="Cambria Math"/>
                <w:color w:val="C00000"/>
                <w:sz w:val="18"/>
                <w:szCs w:val="18"/>
              </w:rPr>
              <w:t>⨀⨀⨀</w:t>
            </w:r>
          </w:p>
          <w:p w14:paraId="4F217464" w14:textId="77777777" w:rsidR="00E56A62" w:rsidRPr="00E56A62" w:rsidRDefault="00E56A62" w:rsidP="00E56A62">
            <w:pPr>
              <w:pStyle w:val="TableTextCA"/>
            </w:pPr>
            <w:proofErr w:type="spellStart"/>
            <w:proofErr w:type="gramStart"/>
            <w:r w:rsidRPr="0017612C">
              <w:rPr>
                <w:rFonts w:asciiTheme="minorHAnsi" w:hAnsiTheme="minorHAnsi" w:cstheme="minorHAnsi"/>
                <w:sz w:val="18"/>
                <w:szCs w:val="18"/>
                <w:vertAlign w:val="superscript"/>
              </w:rPr>
              <w:t>a,b</w:t>
            </w:r>
            <w:proofErr w:type="gramEnd"/>
            <w:r w:rsidRPr="0017612C">
              <w:rPr>
                <w:rFonts w:asciiTheme="minorHAnsi" w:hAnsiTheme="minorHAnsi" w:cstheme="minorHAnsi"/>
                <w:sz w:val="18"/>
                <w:szCs w:val="18"/>
                <w:vertAlign w:val="superscript"/>
              </w:rPr>
              <w:t>,d</w:t>
            </w:r>
            <w:proofErr w:type="spellEnd"/>
          </w:p>
        </w:tc>
      </w:tr>
      <w:tr w:rsidR="00E56A62" w:rsidRPr="00E56A62" w14:paraId="1194288E" w14:textId="77777777" w:rsidTr="00E56A62">
        <w:tc>
          <w:tcPr>
            <w:tcW w:w="9016" w:type="dxa"/>
            <w:gridSpan w:val="6"/>
            <w:vAlign w:val="center"/>
          </w:tcPr>
          <w:p w14:paraId="73EACBAA" w14:textId="77777777" w:rsidR="00E56A62" w:rsidRPr="00E56A62" w:rsidRDefault="00E56A62" w:rsidP="00E56A62">
            <w:pPr>
              <w:pStyle w:val="TableTextCA"/>
              <w:jc w:val="left"/>
            </w:pPr>
            <w:r w:rsidRPr="00E56A62">
              <w:t>Subsequent lines</w:t>
            </w:r>
          </w:p>
        </w:tc>
      </w:tr>
      <w:tr w:rsidR="00E56A62" w:rsidRPr="00E56A62" w14:paraId="56916095" w14:textId="77777777" w:rsidTr="00E56A62">
        <w:tc>
          <w:tcPr>
            <w:tcW w:w="1132" w:type="dxa"/>
            <w:vAlign w:val="center"/>
          </w:tcPr>
          <w:p w14:paraId="7BE4835C" w14:textId="77777777" w:rsidR="00E56A62" w:rsidRPr="00E56A62" w:rsidRDefault="00E56A62" w:rsidP="00E56A62">
            <w:pPr>
              <w:pStyle w:val="TableTextCA"/>
            </w:pPr>
            <w:r w:rsidRPr="00E56A62">
              <w:t xml:space="preserve">37/52 </w:t>
            </w:r>
          </w:p>
          <w:p w14:paraId="08904DF9" w14:textId="77777777" w:rsidR="00E56A62" w:rsidRPr="00E56A62" w:rsidRDefault="00E56A62" w:rsidP="00E56A62">
            <w:pPr>
              <w:pStyle w:val="TableTextCA"/>
            </w:pPr>
            <w:r w:rsidRPr="00E56A62">
              <w:t>(71.2)</w:t>
            </w:r>
          </w:p>
          <w:p w14:paraId="230BEC27" w14:textId="77777777" w:rsidR="00E56A62" w:rsidRPr="00E56A62" w:rsidRDefault="00E56A62" w:rsidP="00E56A62">
            <w:pPr>
              <w:pStyle w:val="TableTextCA"/>
            </w:pPr>
            <w:r w:rsidRPr="00E56A62">
              <w:t>2 studies</w:t>
            </w:r>
          </w:p>
        </w:tc>
        <w:tc>
          <w:tcPr>
            <w:tcW w:w="1132" w:type="dxa"/>
            <w:vAlign w:val="center"/>
          </w:tcPr>
          <w:p w14:paraId="1B6F4B78" w14:textId="77777777" w:rsidR="00E56A62" w:rsidRPr="00E56A62" w:rsidRDefault="00E56A62" w:rsidP="00E56A62">
            <w:pPr>
              <w:pStyle w:val="TableTextCA"/>
            </w:pPr>
            <w:r w:rsidRPr="00E56A62">
              <w:t xml:space="preserve">53/72 </w:t>
            </w:r>
          </w:p>
          <w:p w14:paraId="17AEF005" w14:textId="77777777" w:rsidR="00E56A62" w:rsidRDefault="00E56A62" w:rsidP="00E56A62">
            <w:pPr>
              <w:pStyle w:val="TableTextCA"/>
            </w:pPr>
            <w:r w:rsidRPr="00E56A62">
              <w:t>(73.6)</w:t>
            </w:r>
          </w:p>
          <w:p w14:paraId="2D3AB6DA" w14:textId="77777777" w:rsidR="00E56A62" w:rsidRPr="00E56A62" w:rsidRDefault="00E56A62" w:rsidP="00E56A62">
            <w:pPr>
              <w:pStyle w:val="TableTextCA"/>
            </w:pPr>
            <w:r w:rsidRPr="00E56A62">
              <w:t>3 studies</w:t>
            </w:r>
          </w:p>
        </w:tc>
        <w:tc>
          <w:tcPr>
            <w:tcW w:w="1133" w:type="dxa"/>
            <w:vAlign w:val="center"/>
          </w:tcPr>
          <w:p w14:paraId="4085842A" w14:textId="77777777" w:rsidR="00E56A62" w:rsidRPr="00E56A62" w:rsidRDefault="00E56A62" w:rsidP="00E56A62">
            <w:pPr>
              <w:pStyle w:val="TableTextCA"/>
            </w:pPr>
            <w:r w:rsidRPr="00E56A62">
              <w:t>Not available</w:t>
            </w:r>
          </w:p>
        </w:tc>
        <w:tc>
          <w:tcPr>
            <w:tcW w:w="2273" w:type="dxa"/>
            <w:vAlign w:val="center"/>
          </w:tcPr>
          <w:p w14:paraId="5D2C1739" w14:textId="77777777" w:rsidR="00E56A62" w:rsidRPr="00E56A62" w:rsidRDefault="00E56A62" w:rsidP="00E56A62">
            <w:pPr>
              <w:pStyle w:val="TableTextCA"/>
            </w:pPr>
            <w:r w:rsidRPr="00E56A62">
              <w:t xml:space="preserve">-0.02 </w:t>
            </w:r>
          </w:p>
          <w:p w14:paraId="7F83C8FC" w14:textId="77777777" w:rsidR="00E56A62" w:rsidRPr="00E56A62" w:rsidRDefault="00E56A62" w:rsidP="00E56A62">
            <w:pPr>
              <w:pStyle w:val="TableTextCA"/>
            </w:pPr>
            <w:r w:rsidRPr="00E56A62">
              <w:t>[-0.18; 0.14]; p=0.7631</w:t>
            </w:r>
          </w:p>
          <w:p w14:paraId="7DC25F3C" w14:textId="77777777" w:rsidR="00E56A62" w:rsidRPr="00E56A62" w:rsidRDefault="00E56A62" w:rsidP="00E56A62">
            <w:pPr>
              <w:pStyle w:val="TableTextCA"/>
            </w:pPr>
            <w:r w:rsidRPr="00E56A62">
              <w:t xml:space="preserve">0.97 </w:t>
            </w:r>
          </w:p>
          <w:p w14:paraId="24CC6C05" w14:textId="77777777" w:rsidR="00E56A62" w:rsidRPr="00E56A62" w:rsidRDefault="00E56A62" w:rsidP="00E56A62">
            <w:pPr>
              <w:pStyle w:val="TableTextCA"/>
            </w:pPr>
            <w:r w:rsidRPr="00E56A62">
              <w:t>[0.77; 1.21]; p=0.7639</w:t>
            </w:r>
          </w:p>
        </w:tc>
        <w:tc>
          <w:tcPr>
            <w:tcW w:w="2274" w:type="dxa"/>
            <w:vAlign w:val="center"/>
          </w:tcPr>
          <w:p w14:paraId="5158D2F5" w14:textId="77777777" w:rsidR="00E56A62" w:rsidRPr="00E56A62" w:rsidRDefault="00E56A62" w:rsidP="00E56A62">
            <w:pPr>
              <w:pStyle w:val="TableTextCA"/>
            </w:pPr>
            <w:r w:rsidRPr="00E56A62">
              <w:t>Not available</w:t>
            </w:r>
          </w:p>
        </w:tc>
        <w:tc>
          <w:tcPr>
            <w:tcW w:w="1072" w:type="dxa"/>
            <w:vAlign w:val="center"/>
          </w:tcPr>
          <w:p w14:paraId="57A1E45C" w14:textId="77777777" w:rsidR="00E56A62" w:rsidRPr="0017612C" w:rsidRDefault="00E56A62" w:rsidP="00E56A62">
            <w:pPr>
              <w:keepNext/>
              <w:spacing w:line="276" w:lineRule="auto"/>
              <w:jc w:val="center"/>
              <w:rPr>
                <w:rFonts w:asciiTheme="minorHAnsi" w:hAnsiTheme="minorHAnsi" w:cstheme="minorHAnsi"/>
                <w:color w:val="C00000"/>
                <w:sz w:val="18"/>
                <w:szCs w:val="18"/>
              </w:rPr>
            </w:pPr>
            <w:r w:rsidRPr="0017612C">
              <w:rPr>
                <w:rFonts w:ascii="Cambria Math" w:hAnsi="Cambria Math" w:cs="Cambria Math"/>
                <w:color w:val="00B050"/>
                <w:sz w:val="18"/>
                <w:szCs w:val="18"/>
              </w:rPr>
              <w:t>⨁</w:t>
            </w:r>
            <w:r w:rsidRPr="0017612C">
              <w:rPr>
                <w:rFonts w:ascii="Cambria Math" w:hAnsi="Cambria Math" w:cs="Cambria Math"/>
                <w:color w:val="C00000"/>
                <w:sz w:val="18"/>
                <w:szCs w:val="18"/>
              </w:rPr>
              <w:t>⨀⨀⨀</w:t>
            </w:r>
          </w:p>
          <w:p w14:paraId="78C271B7" w14:textId="77777777" w:rsidR="00E56A62" w:rsidRPr="00E56A62" w:rsidRDefault="00E56A62" w:rsidP="00E56A62">
            <w:pPr>
              <w:pStyle w:val="TableTextCA"/>
            </w:pPr>
            <w:proofErr w:type="spellStart"/>
            <w:proofErr w:type="gramStart"/>
            <w:r w:rsidRPr="0017612C">
              <w:rPr>
                <w:rFonts w:asciiTheme="minorHAnsi" w:hAnsiTheme="minorHAnsi" w:cstheme="minorHAnsi"/>
                <w:sz w:val="18"/>
                <w:szCs w:val="18"/>
                <w:vertAlign w:val="superscript"/>
              </w:rPr>
              <w:t>a,b</w:t>
            </w:r>
            <w:proofErr w:type="gramEnd"/>
            <w:r w:rsidRPr="0017612C">
              <w:rPr>
                <w:rFonts w:asciiTheme="minorHAnsi" w:hAnsiTheme="minorHAnsi" w:cstheme="minorHAnsi"/>
                <w:sz w:val="18"/>
                <w:szCs w:val="18"/>
                <w:vertAlign w:val="superscript"/>
              </w:rPr>
              <w:t>,d</w:t>
            </w:r>
            <w:proofErr w:type="spellEnd"/>
          </w:p>
        </w:tc>
      </w:tr>
    </w:tbl>
    <w:p w14:paraId="22330B93" w14:textId="77777777" w:rsidR="00E56A62" w:rsidRPr="00920354" w:rsidRDefault="00E56A62" w:rsidP="00E56A62">
      <w:pPr>
        <w:widowControl w:val="0"/>
        <w:snapToGrid w:val="0"/>
        <w:spacing w:after="240" w:line="240" w:lineRule="auto"/>
        <w:contextualSpacing/>
        <w:jc w:val="both"/>
        <w:rPr>
          <w:rFonts w:ascii="Arial Narrow" w:eastAsia="Times New Roman" w:hAnsi="Arial Narrow" w:cs="Arial"/>
          <w:sz w:val="18"/>
          <w:szCs w:val="20"/>
        </w:rPr>
      </w:pPr>
      <w:r w:rsidRPr="00920354">
        <w:rPr>
          <w:rFonts w:ascii="Cambria Math" w:eastAsia="Times New Roman" w:hAnsi="Cambria Math" w:cs="Cambria Math"/>
          <w:sz w:val="18"/>
          <w:szCs w:val="20"/>
        </w:rPr>
        <w:t>⨁⨀⨀⨀</w:t>
      </w:r>
      <w:r w:rsidRPr="00920354">
        <w:rPr>
          <w:rFonts w:ascii="Arial Narrow" w:eastAsia="Times New Roman" w:hAnsi="Arial Narrow" w:cs="Arial"/>
          <w:sz w:val="18"/>
          <w:szCs w:val="20"/>
        </w:rPr>
        <w:t xml:space="preserve"> Very low quality: We have very little confidence in the effect estimate: The true effect is likely to be substantially different from the estimate of effect.</w:t>
      </w:r>
    </w:p>
    <w:p w14:paraId="5C756017" w14:textId="77777777" w:rsidR="00E56A62" w:rsidRPr="00920354" w:rsidRDefault="00E56A62" w:rsidP="00E56A62">
      <w:pPr>
        <w:widowControl w:val="0"/>
        <w:snapToGrid w:val="0"/>
        <w:spacing w:after="240" w:line="240" w:lineRule="auto"/>
        <w:contextualSpacing/>
        <w:jc w:val="both"/>
        <w:rPr>
          <w:rFonts w:ascii="Arial Narrow" w:eastAsia="Times New Roman" w:hAnsi="Arial Narrow" w:cs="Arial"/>
          <w:sz w:val="18"/>
          <w:szCs w:val="20"/>
        </w:rPr>
      </w:pPr>
      <w:r w:rsidRPr="00920354">
        <w:rPr>
          <w:rFonts w:ascii="Arial Narrow" w:eastAsia="Times New Roman" w:hAnsi="Arial Narrow" w:cs="Arial"/>
          <w:sz w:val="18"/>
          <w:szCs w:val="20"/>
        </w:rPr>
        <w:t>a Very serious risk of bias due to all studies being uncontrolled</w:t>
      </w:r>
    </w:p>
    <w:p w14:paraId="1DF43AF5" w14:textId="77777777" w:rsidR="00E56A62" w:rsidRPr="00920354" w:rsidRDefault="00E56A62" w:rsidP="00E56A62">
      <w:pPr>
        <w:widowControl w:val="0"/>
        <w:snapToGrid w:val="0"/>
        <w:spacing w:after="240" w:line="240" w:lineRule="auto"/>
        <w:contextualSpacing/>
        <w:jc w:val="both"/>
        <w:rPr>
          <w:rFonts w:ascii="Arial Narrow" w:eastAsia="Times New Roman" w:hAnsi="Arial Narrow" w:cs="Arial"/>
          <w:sz w:val="18"/>
          <w:szCs w:val="20"/>
        </w:rPr>
      </w:pPr>
      <w:r w:rsidRPr="00920354">
        <w:rPr>
          <w:rFonts w:ascii="Arial Narrow" w:eastAsia="Times New Roman" w:hAnsi="Arial Narrow" w:cs="Arial"/>
          <w:sz w:val="18"/>
          <w:szCs w:val="20"/>
        </w:rPr>
        <w:t>b Serious indirectness due to the evidence relying on indirect comparisons</w:t>
      </w:r>
    </w:p>
    <w:p w14:paraId="3D86925C" w14:textId="77777777" w:rsidR="00E56A62" w:rsidRPr="00920354" w:rsidRDefault="00B27931" w:rsidP="00E56A62">
      <w:pPr>
        <w:widowControl w:val="0"/>
        <w:snapToGrid w:val="0"/>
        <w:spacing w:after="240" w:line="240" w:lineRule="auto"/>
        <w:contextualSpacing/>
        <w:jc w:val="both"/>
        <w:rPr>
          <w:rFonts w:ascii="Arial Narrow" w:eastAsia="Times New Roman" w:hAnsi="Arial Narrow" w:cs="Arial"/>
          <w:sz w:val="18"/>
          <w:szCs w:val="20"/>
        </w:rPr>
      </w:pPr>
      <w:r>
        <w:rPr>
          <w:rFonts w:ascii="Arial Narrow" w:eastAsia="Times New Roman" w:hAnsi="Arial Narrow" w:cs="Arial"/>
          <w:sz w:val="18"/>
          <w:szCs w:val="20"/>
        </w:rPr>
        <w:t>d</w:t>
      </w:r>
      <w:r w:rsidR="00E56A62" w:rsidRPr="00920354">
        <w:rPr>
          <w:rFonts w:ascii="Arial Narrow" w:eastAsia="Times New Roman" w:hAnsi="Arial Narrow" w:cs="Arial"/>
          <w:sz w:val="18"/>
          <w:szCs w:val="20"/>
        </w:rPr>
        <w:t xml:space="preserve"> Serious risk of publication bias since the results were mostly derived from observational studies</w:t>
      </w:r>
    </w:p>
    <w:p w14:paraId="6EA9A697" w14:textId="12EC2D68" w:rsidR="00E56A62" w:rsidRDefault="00E56A62" w:rsidP="00E56A62">
      <w:pPr>
        <w:spacing w:before="0" w:after="0" w:line="240" w:lineRule="auto"/>
        <w:rPr>
          <w:rFonts w:ascii="Arial Narrow" w:eastAsia="Times New Roman" w:hAnsi="Arial Narrow" w:cs="Arial"/>
          <w:sz w:val="18"/>
          <w:szCs w:val="20"/>
        </w:rPr>
      </w:pPr>
      <w:r w:rsidRPr="00920354">
        <w:rPr>
          <w:rFonts w:ascii="Arial Narrow" w:eastAsia="Times New Roman" w:hAnsi="Arial Narrow" w:cs="Arial"/>
          <w:sz w:val="18"/>
          <w:szCs w:val="20"/>
        </w:rPr>
        <w:t>Abbreviations: CI = Confidence interval; GRADE = Grading of Recommendations Assessment, Development and Evaluation; RD = Risk Difference; RR = Relative Risk</w:t>
      </w:r>
    </w:p>
    <w:p w14:paraId="0996A7BB" w14:textId="706436C8" w:rsidR="00334012" w:rsidRPr="00920354" w:rsidRDefault="00334012" w:rsidP="00E56A62">
      <w:pPr>
        <w:spacing w:before="0" w:after="0" w:line="240" w:lineRule="auto"/>
        <w:rPr>
          <w:rFonts w:ascii="Arial Narrow" w:eastAsia="Times New Roman" w:hAnsi="Arial Narrow" w:cs="Arial"/>
          <w:sz w:val="18"/>
          <w:szCs w:val="20"/>
        </w:rPr>
      </w:pPr>
      <w:r w:rsidRPr="00334012">
        <w:rPr>
          <w:rFonts w:ascii="Arial Narrow" w:eastAsia="Times New Roman" w:hAnsi="Arial Narrow" w:cs="Arial"/>
          <w:sz w:val="18"/>
          <w:szCs w:val="20"/>
        </w:rPr>
        <w:t>Source: Table 3</w:t>
      </w:r>
      <w:r>
        <w:rPr>
          <w:rFonts w:ascii="Arial Narrow" w:eastAsia="Times New Roman" w:hAnsi="Arial Narrow" w:cs="Arial"/>
          <w:sz w:val="18"/>
          <w:szCs w:val="20"/>
        </w:rPr>
        <w:t>5</w:t>
      </w:r>
      <w:r w:rsidRPr="00334012">
        <w:rPr>
          <w:rFonts w:ascii="Arial Narrow" w:eastAsia="Times New Roman" w:hAnsi="Arial Narrow" w:cs="Arial"/>
          <w:sz w:val="18"/>
          <w:szCs w:val="20"/>
        </w:rPr>
        <w:t xml:space="preserve"> and Table 7</w:t>
      </w:r>
      <w:r>
        <w:rPr>
          <w:rFonts w:ascii="Arial Narrow" w:eastAsia="Times New Roman" w:hAnsi="Arial Narrow" w:cs="Arial"/>
          <w:sz w:val="18"/>
          <w:szCs w:val="20"/>
        </w:rPr>
        <w:t>3</w:t>
      </w:r>
      <w:r w:rsidRPr="00334012">
        <w:rPr>
          <w:rFonts w:ascii="Arial Narrow" w:eastAsia="Times New Roman" w:hAnsi="Arial Narrow" w:cs="Arial"/>
          <w:sz w:val="18"/>
          <w:szCs w:val="20"/>
        </w:rPr>
        <w:t xml:space="preserve">, </w:t>
      </w:r>
      <w:proofErr w:type="spellStart"/>
      <w:r w:rsidRPr="00334012">
        <w:rPr>
          <w:rFonts w:ascii="Arial Narrow" w:eastAsia="Times New Roman" w:hAnsi="Arial Narrow" w:cs="Arial"/>
          <w:sz w:val="18"/>
          <w:szCs w:val="20"/>
        </w:rPr>
        <w:t>pg</w:t>
      </w:r>
      <w:proofErr w:type="spellEnd"/>
      <w:r w:rsidRPr="00334012">
        <w:rPr>
          <w:rFonts w:ascii="Arial Narrow" w:eastAsia="Times New Roman" w:hAnsi="Arial Narrow" w:cs="Arial"/>
          <w:sz w:val="18"/>
          <w:szCs w:val="20"/>
        </w:rPr>
        <w:t xml:space="preserve"> 7</w:t>
      </w:r>
      <w:r>
        <w:rPr>
          <w:rFonts w:ascii="Arial Narrow" w:eastAsia="Times New Roman" w:hAnsi="Arial Narrow" w:cs="Arial"/>
          <w:sz w:val="18"/>
          <w:szCs w:val="20"/>
        </w:rPr>
        <w:t>7</w:t>
      </w:r>
      <w:r w:rsidRPr="00334012">
        <w:rPr>
          <w:rFonts w:ascii="Arial Narrow" w:eastAsia="Times New Roman" w:hAnsi="Arial Narrow" w:cs="Arial"/>
          <w:sz w:val="18"/>
          <w:szCs w:val="20"/>
        </w:rPr>
        <w:t xml:space="preserve"> and 13</w:t>
      </w:r>
      <w:r>
        <w:rPr>
          <w:rFonts w:ascii="Arial Narrow" w:eastAsia="Times New Roman" w:hAnsi="Arial Narrow" w:cs="Arial"/>
          <w:sz w:val="18"/>
          <w:szCs w:val="20"/>
        </w:rPr>
        <w:t>4</w:t>
      </w:r>
      <w:r w:rsidRPr="00334012">
        <w:rPr>
          <w:rFonts w:ascii="Arial Narrow" w:eastAsia="Times New Roman" w:hAnsi="Arial Narrow" w:cs="Arial"/>
          <w:sz w:val="18"/>
          <w:szCs w:val="20"/>
        </w:rPr>
        <w:t xml:space="preserve"> of the Commentary on MSAC 1714 ADAR</w:t>
      </w:r>
    </w:p>
    <w:p w14:paraId="3B7A3D49" w14:textId="77777777" w:rsidR="00520A1C" w:rsidRDefault="00B41B9C" w:rsidP="00B41B9C">
      <w:pPr>
        <w:pStyle w:val="Heading3"/>
      </w:pPr>
      <w:r>
        <w:t>Positive rate at 24 hours of treatment</w:t>
      </w:r>
    </w:p>
    <w:p w14:paraId="5B8DF3CF" w14:textId="47321944" w:rsidR="004C7CB0" w:rsidRDefault="00F043AA" w:rsidP="00102C58">
      <w:r w:rsidRPr="00F043AA">
        <w:t xml:space="preserve">No difference was detected between Obizur and </w:t>
      </w:r>
      <w:r>
        <w:t>NovoSeven in terms of a positive response rate at 24 hours</w:t>
      </w:r>
      <w:r w:rsidR="004C7CB0">
        <w:t xml:space="preserve"> (</w:t>
      </w:r>
      <w:r w:rsidR="000A0C7E">
        <w:fldChar w:fldCharType="begin"/>
      </w:r>
      <w:r w:rsidR="000A0C7E">
        <w:instrText xml:space="preserve"> REF _Ref120531184 \h </w:instrText>
      </w:r>
      <w:r w:rsidR="000A0C7E">
        <w:fldChar w:fldCharType="separate"/>
      </w:r>
      <w:r w:rsidR="00C25EB0">
        <w:t xml:space="preserve">Table </w:t>
      </w:r>
      <w:r w:rsidR="00C25EB0">
        <w:rPr>
          <w:noProof/>
        </w:rPr>
        <w:t>11</w:t>
      </w:r>
      <w:r w:rsidR="000A0C7E">
        <w:fldChar w:fldCharType="end"/>
      </w:r>
      <w:r w:rsidR="004C7CB0">
        <w:t>)</w:t>
      </w:r>
      <w:r w:rsidR="00D77FB1">
        <w:t>.</w:t>
      </w:r>
      <w:r w:rsidR="002111BE">
        <w:t xml:space="preserve"> </w:t>
      </w:r>
    </w:p>
    <w:p w14:paraId="1F288380" w14:textId="10F965B4" w:rsidR="00F52F98" w:rsidRPr="00F52F98" w:rsidRDefault="002111BE" w:rsidP="00F52F98">
      <w:r>
        <w:t>This comparison is highly</w:t>
      </w:r>
      <w:r w:rsidR="00244CFA">
        <w:t xml:space="preserve"> </w:t>
      </w:r>
      <w:r>
        <w:t xml:space="preserve">uncertain as the study of Obizur relied on </w:t>
      </w:r>
      <w:r w:rsidR="00DC718A">
        <w:t xml:space="preserve">FVIII </w:t>
      </w:r>
      <w:r w:rsidR="00CB0059">
        <w:t>a</w:t>
      </w:r>
      <w:r w:rsidR="00DC718A">
        <w:t xml:space="preserve">ctivity </w:t>
      </w:r>
      <w:r>
        <w:t>whereas the studies of NovoSeven relied on clinical judgement.</w:t>
      </w:r>
      <w:r w:rsidR="00DB0935">
        <w:t xml:space="preserve"> This is because Obizur requires monitoring of FVIII </w:t>
      </w:r>
      <w:r w:rsidR="00254736">
        <w:t xml:space="preserve">activity </w:t>
      </w:r>
      <w:r w:rsidR="00DB0935">
        <w:t xml:space="preserve">throughout the treatment period, whereas this typically does not occur with NovoSeven. </w:t>
      </w:r>
      <w:r>
        <w:t xml:space="preserve">This may bias the outcome in favour of Obizur as </w:t>
      </w:r>
      <w:r w:rsidR="00D2122D">
        <w:t xml:space="preserve">FVIII activity </w:t>
      </w:r>
      <w:r>
        <w:t xml:space="preserve">may show </w:t>
      </w:r>
      <w:r w:rsidR="00DC718A">
        <w:t xml:space="preserve">a </w:t>
      </w:r>
      <w:r>
        <w:t xml:space="preserve">positive response quicker than a </w:t>
      </w:r>
      <w:r w:rsidRPr="002111BE">
        <w:t>clinically</w:t>
      </w:r>
      <w:r w:rsidR="002825E2">
        <w:t xml:space="preserve"> </w:t>
      </w:r>
      <w:r w:rsidRPr="002111BE">
        <w:t xml:space="preserve">recognisable response. </w:t>
      </w:r>
      <w:bookmarkStart w:id="50" w:name="_Ref120531184"/>
      <w:r w:rsidR="00F52F98">
        <w:br w:type="page"/>
      </w:r>
    </w:p>
    <w:p w14:paraId="7EB0BDAF" w14:textId="19E7B2EC" w:rsidR="00E31D70" w:rsidRPr="00E31D70" w:rsidRDefault="000A0C7E" w:rsidP="00E31D70">
      <w:pPr>
        <w:pStyle w:val="Caption"/>
      </w:pPr>
      <w:r>
        <w:lastRenderedPageBreak/>
        <w:t xml:space="preserve">Table </w:t>
      </w:r>
      <w:r>
        <w:fldChar w:fldCharType="begin"/>
      </w:r>
      <w:r>
        <w:instrText>SEQ Table \* ARABIC</w:instrText>
      </w:r>
      <w:r>
        <w:fldChar w:fldCharType="separate"/>
      </w:r>
      <w:r w:rsidR="00C25EB0">
        <w:rPr>
          <w:noProof/>
        </w:rPr>
        <w:t>11</w:t>
      </w:r>
      <w:r>
        <w:fldChar w:fldCharType="end"/>
      </w:r>
      <w:bookmarkEnd w:id="50"/>
      <w:r>
        <w:t xml:space="preserve"> </w:t>
      </w:r>
      <w:r w:rsidRPr="006A0F63">
        <w:t>Naïve (indirect) comparison: Positive response rate at 24 h</w:t>
      </w:r>
      <w:r w:rsidR="00E31D70">
        <w:t xml:space="preserve"> </w:t>
      </w:r>
    </w:p>
    <w:tbl>
      <w:tblPr>
        <w:tblStyle w:val="TableGrid"/>
        <w:tblW w:w="5000" w:type="pct"/>
        <w:tblLayout w:type="fixed"/>
        <w:tblLook w:val="04A0" w:firstRow="1" w:lastRow="0" w:firstColumn="1" w:lastColumn="0" w:noHBand="0" w:noVBand="1"/>
        <w:tblCaption w:val="Naïve (indirect) comparison: Positive response rate at 24 h "/>
      </w:tblPr>
      <w:tblGrid>
        <w:gridCol w:w="1804"/>
        <w:gridCol w:w="1804"/>
        <w:gridCol w:w="1802"/>
        <w:gridCol w:w="1803"/>
        <w:gridCol w:w="1803"/>
      </w:tblGrid>
      <w:tr w:rsidR="00E31D70" w:rsidRPr="0017612C" w14:paraId="7B1DBE3F" w14:textId="77777777" w:rsidTr="00050375">
        <w:trPr>
          <w:trHeight w:val="445"/>
        </w:trPr>
        <w:tc>
          <w:tcPr>
            <w:tcW w:w="1804" w:type="dxa"/>
            <w:tcBorders>
              <w:bottom w:val="single" w:sz="4" w:space="0" w:color="auto"/>
            </w:tcBorders>
            <w:vAlign w:val="center"/>
          </w:tcPr>
          <w:p w14:paraId="5D69ECF7" w14:textId="77777777" w:rsidR="00E31D70" w:rsidRPr="0017612C" w:rsidRDefault="00E31D70" w:rsidP="00E31D70">
            <w:pPr>
              <w:pStyle w:val="TableHeadingCA"/>
            </w:pPr>
            <w:r w:rsidRPr="0017612C">
              <w:t>Obizur</w:t>
            </w:r>
          </w:p>
          <w:p w14:paraId="43B4AC74" w14:textId="77777777" w:rsidR="00E31D70" w:rsidRDefault="00E31D70" w:rsidP="00E31D70">
            <w:pPr>
              <w:pStyle w:val="TableHeadingCA"/>
            </w:pPr>
            <w:r w:rsidRPr="0017612C">
              <w:t>n/N (%)</w:t>
            </w:r>
          </w:p>
          <w:p w14:paraId="0548A720" w14:textId="77777777" w:rsidR="00102C58" w:rsidRPr="0017612C" w:rsidRDefault="00102C58" w:rsidP="00E31D70">
            <w:pPr>
              <w:pStyle w:val="TableHeadingCA"/>
            </w:pPr>
            <w:r>
              <w:t>k studies</w:t>
            </w:r>
          </w:p>
        </w:tc>
        <w:tc>
          <w:tcPr>
            <w:tcW w:w="1804" w:type="dxa"/>
            <w:tcBorders>
              <w:bottom w:val="single" w:sz="4" w:space="0" w:color="auto"/>
            </w:tcBorders>
            <w:vAlign w:val="center"/>
          </w:tcPr>
          <w:p w14:paraId="4F4026F4" w14:textId="77777777" w:rsidR="00E31D70" w:rsidRPr="0017612C" w:rsidRDefault="00E31D70" w:rsidP="00E31D70">
            <w:pPr>
              <w:pStyle w:val="TableHeadingCA"/>
            </w:pPr>
            <w:r w:rsidRPr="0017612C">
              <w:t>NovoSeven</w:t>
            </w:r>
          </w:p>
          <w:p w14:paraId="6B233E8C" w14:textId="77777777" w:rsidR="00E31D70" w:rsidRDefault="00E31D70" w:rsidP="00E31D70">
            <w:pPr>
              <w:pStyle w:val="TableHeadingCA"/>
            </w:pPr>
            <w:r w:rsidRPr="0017612C">
              <w:t>n/N (%)</w:t>
            </w:r>
          </w:p>
          <w:p w14:paraId="42236DE1" w14:textId="77777777" w:rsidR="00102C58" w:rsidRPr="0017612C" w:rsidRDefault="00102C58" w:rsidP="00E31D70">
            <w:pPr>
              <w:pStyle w:val="TableHeadingCA"/>
            </w:pPr>
            <w:r>
              <w:t>k studies</w:t>
            </w:r>
          </w:p>
        </w:tc>
        <w:tc>
          <w:tcPr>
            <w:tcW w:w="1802" w:type="dxa"/>
            <w:tcBorders>
              <w:bottom w:val="single" w:sz="4" w:space="0" w:color="auto"/>
            </w:tcBorders>
            <w:vAlign w:val="center"/>
          </w:tcPr>
          <w:p w14:paraId="643B35AA" w14:textId="77777777" w:rsidR="00E31D70" w:rsidRPr="0017612C" w:rsidRDefault="00E31D70" w:rsidP="00E31D70">
            <w:pPr>
              <w:pStyle w:val="TableHeadingCA"/>
            </w:pPr>
            <w:r w:rsidRPr="0017612C">
              <w:t>RD [95% CI</w:t>
            </w:r>
            <w:proofErr w:type="gramStart"/>
            <w:r w:rsidRPr="0017612C">
              <w:t>];</w:t>
            </w:r>
            <w:proofErr w:type="gramEnd"/>
            <w:r w:rsidRPr="0017612C">
              <w:t xml:space="preserve"> </w:t>
            </w:r>
          </w:p>
          <w:p w14:paraId="4E86AE4C" w14:textId="77777777" w:rsidR="00E31D70" w:rsidRPr="0017612C" w:rsidRDefault="00E31D70" w:rsidP="00E31D70">
            <w:pPr>
              <w:pStyle w:val="TableHeadingCA"/>
            </w:pPr>
            <w:r w:rsidRPr="0017612C">
              <w:t>p value</w:t>
            </w:r>
          </w:p>
        </w:tc>
        <w:tc>
          <w:tcPr>
            <w:tcW w:w="1803" w:type="dxa"/>
            <w:tcBorders>
              <w:bottom w:val="single" w:sz="4" w:space="0" w:color="auto"/>
            </w:tcBorders>
            <w:vAlign w:val="center"/>
          </w:tcPr>
          <w:p w14:paraId="1FD976E6" w14:textId="77777777" w:rsidR="00E31D70" w:rsidRPr="0017612C" w:rsidRDefault="00E31D70" w:rsidP="00E31D70">
            <w:pPr>
              <w:pStyle w:val="TableHeadingCA"/>
            </w:pPr>
            <w:r w:rsidRPr="0017612C">
              <w:t>RR [95% CI</w:t>
            </w:r>
            <w:proofErr w:type="gramStart"/>
            <w:r w:rsidRPr="0017612C">
              <w:t>];</w:t>
            </w:r>
            <w:proofErr w:type="gramEnd"/>
            <w:r w:rsidRPr="0017612C">
              <w:t xml:space="preserve"> </w:t>
            </w:r>
          </w:p>
          <w:p w14:paraId="74B30E7F" w14:textId="77777777" w:rsidR="00E31D70" w:rsidRPr="0017612C" w:rsidRDefault="00E31D70" w:rsidP="00E31D70">
            <w:pPr>
              <w:pStyle w:val="TableHeadingCA"/>
            </w:pPr>
            <w:r w:rsidRPr="0017612C">
              <w:t>p value</w:t>
            </w:r>
          </w:p>
        </w:tc>
        <w:tc>
          <w:tcPr>
            <w:tcW w:w="1803" w:type="dxa"/>
            <w:tcBorders>
              <w:bottom w:val="single" w:sz="4" w:space="0" w:color="auto"/>
            </w:tcBorders>
            <w:vAlign w:val="center"/>
          </w:tcPr>
          <w:p w14:paraId="14402024" w14:textId="77777777" w:rsidR="00E31D70" w:rsidRPr="0017612C" w:rsidRDefault="00E31D70" w:rsidP="00050375">
            <w:pPr>
              <w:pStyle w:val="TableHeadingCA"/>
            </w:pPr>
            <w:r w:rsidRPr="0017612C">
              <w:t>Quality of evidence (GRADE)</w:t>
            </w:r>
          </w:p>
        </w:tc>
      </w:tr>
      <w:tr w:rsidR="00E31D70" w:rsidRPr="0017612C" w14:paraId="40C6D172" w14:textId="77777777" w:rsidTr="00E31D70">
        <w:trPr>
          <w:trHeight w:val="490"/>
        </w:trPr>
        <w:tc>
          <w:tcPr>
            <w:tcW w:w="1804" w:type="dxa"/>
            <w:tcBorders>
              <w:top w:val="single" w:sz="4" w:space="0" w:color="auto"/>
              <w:bottom w:val="single" w:sz="4" w:space="0" w:color="auto"/>
            </w:tcBorders>
            <w:vAlign w:val="center"/>
          </w:tcPr>
          <w:p w14:paraId="3F18676E" w14:textId="77777777" w:rsidR="00E31D70" w:rsidRPr="0017612C" w:rsidRDefault="00E31D70" w:rsidP="00E31D70">
            <w:pPr>
              <w:pStyle w:val="TableTextCA"/>
            </w:pPr>
            <w:r w:rsidRPr="0017612C">
              <w:t xml:space="preserve">28/28 </w:t>
            </w:r>
          </w:p>
          <w:p w14:paraId="2644BA35" w14:textId="77777777" w:rsidR="00E31D70" w:rsidRDefault="00E31D70" w:rsidP="00E31D70">
            <w:pPr>
              <w:pStyle w:val="TableTextCA"/>
            </w:pPr>
            <w:r w:rsidRPr="0017612C">
              <w:t>(100)</w:t>
            </w:r>
          </w:p>
          <w:p w14:paraId="35A85587" w14:textId="77777777" w:rsidR="00102C58" w:rsidRPr="0017612C" w:rsidRDefault="00102C58" w:rsidP="00E31D70">
            <w:pPr>
              <w:pStyle w:val="TableTextCA"/>
            </w:pPr>
            <w:r>
              <w:t>1 study</w:t>
            </w:r>
          </w:p>
        </w:tc>
        <w:tc>
          <w:tcPr>
            <w:tcW w:w="1804" w:type="dxa"/>
            <w:tcBorders>
              <w:top w:val="single" w:sz="4" w:space="0" w:color="auto"/>
              <w:bottom w:val="single" w:sz="4" w:space="0" w:color="auto"/>
            </w:tcBorders>
            <w:vAlign w:val="center"/>
          </w:tcPr>
          <w:p w14:paraId="15E5E075" w14:textId="77777777" w:rsidR="00E31D70" w:rsidRPr="0017612C" w:rsidRDefault="00E31D70" w:rsidP="00E31D70">
            <w:pPr>
              <w:pStyle w:val="TableTextCA"/>
            </w:pPr>
            <w:r w:rsidRPr="0017612C">
              <w:t xml:space="preserve">65/70 </w:t>
            </w:r>
          </w:p>
          <w:p w14:paraId="2EE095C3" w14:textId="77777777" w:rsidR="00E31D70" w:rsidRDefault="00E31D70" w:rsidP="00E31D70">
            <w:pPr>
              <w:pStyle w:val="TableTextCA"/>
            </w:pPr>
            <w:r w:rsidRPr="0017612C">
              <w:t>(92.9)</w:t>
            </w:r>
          </w:p>
          <w:p w14:paraId="78DE2896" w14:textId="77777777" w:rsidR="00102C58" w:rsidRPr="0017612C" w:rsidRDefault="00102C58" w:rsidP="00E31D70">
            <w:pPr>
              <w:pStyle w:val="TableTextCA"/>
            </w:pPr>
            <w:r>
              <w:t>2 studies</w:t>
            </w:r>
          </w:p>
        </w:tc>
        <w:tc>
          <w:tcPr>
            <w:tcW w:w="1802" w:type="dxa"/>
            <w:tcBorders>
              <w:top w:val="single" w:sz="4" w:space="0" w:color="auto"/>
              <w:bottom w:val="single" w:sz="4" w:space="0" w:color="auto"/>
            </w:tcBorders>
            <w:vAlign w:val="center"/>
          </w:tcPr>
          <w:p w14:paraId="7DC7FF05" w14:textId="77777777" w:rsidR="00E31D70" w:rsidRPr="0017612C" w:rsidRDefault="00E31D70" w:rsidP="00E31D70">
            <w:pPr>
              <w:pStyle w:val="TableTextCA"/>
            </w:pPr>
            <w:r w:rsidRPr="0017612C">
              <w:t xml:space="preserve">0.07 </w:t>
            </w:r>
          </w:p>
          <w:p w14:paraId="7C8F5ED2" w14:textId="77777777" w:rsidR="00E31D70" w:rsidRPr="0017612C" w:rsidRDefault="00E31D70" w:rsidP="00E31D70">
            <w:pPr>
              <w:pStyle w:val="TableTextCA"/>
            </w:pPr>
            <w:r w:rsidRPr="0017612C">
              <w:t>[-0.01; 0.15]; p=0.0733</w:t>
            </w:r>
          </w:p>
        </w:tc>
        <w:tc>
          <w:tcPr>
            <w:tcW w:w="1803" w:type="dxa"/>
            <w:tcBorders>
              <w:top w:val="single" w:sz="4" w:space="0" w:color="auto"/>
              <w:bottom w:val="single" w:sz="4" w:space="0" w:color="auto"/>
            </w:tcBorders>
            <w:vAlign w:val="center"/>
          </w:tcPr>
          <w:p w14:paraId="23358FCF" w14:textId="77777777" w:rsidR="00E31D70" w:rsidRPr="0017612C" w:rsidRDefault="00E31D70" w:rsidP="00E31D70">
            <w:pPr>
              <w:pStyle w:val="TableTextCA"/>
            </w:pPr>
            <w:r w:rsidRPr="0017612C">
              <w:t xml:space="preserve">1.08 </w:t>
            </w:r>
          </w:p>
          <w:p w14:paraId="58DAB2DE" w14:textId="77777777" w:rsidR="00E31D70" w:rsidRPr="0017612C" w:rsidRDefault="00E31D70" w:rsidP="00E31D70">
            <w:pPr>
              <w:pStyle w:val="TableTextCA"/>
            </w:pPr>
            <w:r w:rsidRPr="0017612C">
              <w:t>[1.01; 1.15]; p=0.0254</w:t>
            </w:r>
          </w:p>
        </w:tc>
        <w:tc>
          <w:tcPr>
            <w:tcW w:w="1803" w:type="dxa"/>
            <w:tcBorders>
              <w:top w:val="single" w:sz="4" w:space="0" w:color="auto"/>
              <w:bottom w:val="single" w:sz="4" w:space="0" w:color="auto"/>
            </w:tcBorders>
            <w:vAlign w:val="center"/>
          </w:tcPr>
          <w:p w14:paraId="590CD11A" w14:textId="77777777" w:rsidR="00E31D70" w:rsidRPr="0017612C" w:rsidRDefault="00E31D70" w:rsidP="00E31D70">
            <w:pPr>
              <w:pStyle w:val="TableTextCA"/>
              <w:rPr>
                <w:color w:val="C00000"/>
                <w:sz w:val="18"/>
                <w:szCs w:val="18"/>
              </w:rPr>
            </w:pPr>
            <w:r w:rsidRPr="0017612C">
              <w:rPr>
                <w:rFonts w:ascii="Cambria Math" w:hAnsi="Cambria Math" w:cs="Cambria Math"/>
                <w:color w:val="00B050"/>
                <w:sz w:val="18"/>
                <w:szCs w:val="18"/>
              </w:rPr>
              <w:t>⨁</w:t>
            </w:r>
            <w:r w:rsidRPr="0017612C">
              <w:rPr>
                <w:rFonts w:ascii="Cambria Math" w:hAnsi="Cambria Math" w:cs="Cambria Math"/>
                <w:color w:val="C00000"/>
                <w:sz w:val="18"/>
                <w:szCs w:val="18"/>
              </w:rPr>
              <w:t>⨀⨀⨀</w:t>
            </w:r>
          </w:p>
          <w:p w14:paraId="5BBEC635" w14:textId="77777777" w:rsidR="00E31D70" w:rsidRPr="0017612C" w:rsidRDefault="00E31D70" w:rsidP="00E31D70">
            <w:pPr>
              <w:pStyle w:val="TableTextCA"/>
            </w:pPr>
            <w:proofErr w:type="spellStart"/>
            <w:proofErr w:type="gramStart"/>
            <w:r w:rsidRPr="0017612C">
              <w:rPr>
                <w:sz w:val="18"/>
                <w:szCs w:val="18"/>
                <w:vertAlign w:val="superscript"/>
              </w:rPr>
              <w:t>a,b</w:t>
            </w:r>
            <w:proofErr w:type="gramEnd"/>
            <w:r w:rsidRPr="0017612C">
              <w:rPr>
                <w:sz w:val="18"/>
                <w:szCs w:val="18"/>
                <w:vertAlign w:val="superscript"/>
              </w:rPr>
              <w:t>,c,d</w:t>
            </w:r>
            <w:proofErr w:type="spellEnd"/>
          </w:p>
        </w:tc>
      </w:tr>
    </w:tbl>
    <w:p w14:paraId="265DD55D" w14:textId="77777777" w:rsidR="00E31D70" w:rsidRPr="00920354" w:rsidRDefault="00E31D70" w:rsidP="00E31D70">
      <w:pPr>
        <w:widowControl w:val="0"/>
        <w:snapToGrid w:val="0"/>
        <w:spacing w:after="240" w:line="240" w:lineRule="auto"/>
        <w:contextualSpacing/>
        <w:jc w:val="both"/>
        <w:rPr>
          <w:rFonts w:ascii="Arial Narrow" w:eastAsia="Times New Roman" w:hAnsi="Arial Narrow" w:cs="Arial"/>
          <w:sz w:val="18"/>
          <w:szCs w:val="20"/>
        </w:rPr>
      </w:pPr>
      <w:r w:rsidRPr="00920354">
        <w:rPr>
          <w:rFonts w:ascii="Arial Narrow" w:eastAsia="Times New Roman" w:hAnsi="Arial Narrow" w:cs="Arial"/>
          <w:sz w:val="18"/>
          <w:szCs w:val="20"/>
        </w:rPr>
        <w:t>For the purposes of this submission, the Risk difference and Relative Risk were calculated using R (v.4.1.2) with the Meta package (v.4.20</w:t>
      </w:r>
      <w:r w:rsidRPr="00920354">
        <w:rPr>
          <w:rFonts w:ascii="Arial Narrow" w:eastAsia="Times New Roman" w:hAnsi="Arial Narrow" w:cs="Arial"/>
          <w:sz w:val="18"/>
          <w:szCs w:val="20"/>
        </w:rPr>
        <w:noBreakHyphen/>
        <w:t>2)</w:t>
      </w:r>
    </w:p>
    <w:p w14:paraId="78CF072E" w14:textId="77777777" w:rsidR="00E31D70" w:rsidRPr="00920354" w:rsidRDefault="00E31D70" w:rsidP="00E31D70">
      <w:pPr>
        <w:widowControl w:val="0"/>
        <w:snapToGrid w:val="0"/>
        <w:spacing w:after="240" w:line="240" w:lineRule="auto"/>
        <w:contextualSpacing/>
        <w:jc w:val="both"/>
        <w:rPr>
          <w:rFonts w:ascii="Arial Narrow" w:eastAsia="Times New Roman" w:hAnsi="Arial Narrow" w:cs="Arial"/>
          <w:sz w:val="18"/>
          <w:szCs w:val="20"/>
        </w:rPr>
      </w:pPr>
      <w:r w:rsidRPr="00920354">
        <w:rPr>
          <w:rFonts w:ascii="Cambria Math" w:eastAsia="Times New Roman" w:hAnsi="Cambria Math" w:cs="Cambria Math"/>
          <w:sz w:val="18"/>
          <w:szCs w:val="20"/>
        </w:rPr>
        <w:t>⨁⨀⨀⨀</w:t>
      </w:r>
      <w:r w:rsidRPr="00920354">
        <w:rPr>
          <w:rFonts w:ascii="Arial Narrow" w:eastAsia="Times New Roman" w:hAnsi="Arial Narrow" w:cs="Arial"/>
          <w:sz w:val="18"/>
          <w:szCs w:val="20"/>
        </w:rPr>
        <w:t xml:space="preserve"> Very low quality: We have very little confidence in the effect estimate: The true effect is likely to be substantially different from the estimate of effect.</w:t>
      </w:r>
    </w:p>
    <w:p w14:paraId="39536AF8" w14:textId="77777777" w:rsidR="00E31D70" w:rsidRPr="00920354" w:rsidRDefault="00E31D70" w:rsidP="00E31D70">
      <w:pPr>
        <w:widowControl w:val="0"/>
        <w:snapToGrid w:val="0"/>
        <w:spacing w:after="240" w:line="240" w:lineRule="auto"/>
        <w:contextualSpacing/>
        <w:jc w:val="both"/>
        <w:rPr>
          <w:rFonts w:ascii="Arial Narrow" w:eastAsia="Times New Roman" w:hAnsi="Arial Narrow" w:cs="Arial"/>
          <w:sz w:val="18"/>
          <w:szCs w:val="20"/>
        </w:rPr>
      </w:pPr>
      <w:r w:rsidRPr="00920354">
        <w:rPr>
          <w:rFonts w:ascii="Arial Narrow" w:eastAsia="Times New Roman" w:hAnsi="Arial Narrow" w:cs="Arial"/>
          <w:sz w:val="18"/>
          <w:szCs w:val="20"/>
        </w:rPr>
        <w:t xml:space="preserve">a Very serious risk of bias due to all studies being uncontrolled </w:t>
      </w:r>
    </w:p>
    <w:p w14:paraId="503B7E4A" w14:textId="77777777" w:rsidR="00E31D70" w:rsidRPr="00920354" w:rsidRDefault="00E31D70" w:rsidP="00E31D70">
      <w:pPr>
        <w:widowControl w:val="0"/>
        <w:snapToGrid w:val="0"/>
        <w:spacing w:after="240" w:line="240" w:lineRule="auto"/>
        <w:contextualSpacing/>
        <w:jc w:val="both"/>
        <w:rPr>
          <w:rFonts w:ascii="Arial Narrow" w:eastAsia="Times New Roman" w:hAnsi="Arial Narrow" w:cs="Arial"/>
          <w:sz w:val="18"/>
          <w:szCs w:val="20"/>
        </w:rPr>
      </w:pPr>
      <w:r w:rsidRPr="00920354">
        <w:rPr>
          <w:rFonts w:ascii="Arial Narrow" w:eastAsia="Times New Roman" w:hAnsi="Arial Narrow" w:cs="Arial"/>
          <w:sz w:val="18"/>
          <w:szCs w:val="20"/>
        </w:rPr>
        <w:t>b Serious indirectness due to the evidence relying on indirect comparisons</w:t>
      </w:r>
    </w:p>
    <w:p w14:paraId="1568C0B1" w14:textId="77777777" w:rsidR="00E31D70" w:rsidRPr="00920354" w:rsidRDefault="00E31D70" w:rsidP="00E31D70">
      <w:pPr>
        <w:widowControl w:val="0"/>
        <w:snapToGrid w:val="0"/>
        <w:spacing w:after="240" w:line="240" w:lineRule="auto"/>
        <w:contextualSpacing/>
        <w:jc w:val="both"/>
        <w:rPr>
          <w:rFonts w:ascii="Arial Narrow" w:eastAsia="Times New Roman" w:hAnsi="Arial Narrow" w:cs="Arial"/>
          <w:sz w:val="18"/>
          <w:szCs w:val="18"/>
        </w:rPr>
      </w:pPr>
      <w:r w:rsidRPr="0301EDCD">
        <w:rPr>
          <w:rFonts w:ascii="Arial Narrow" w:eastAsia="Times New Roman" w:hAnsi="Arial Narrow" w:cs="Arial"/>
          <w:sz w:val="18"/>
          <w:szCs w:val="18"/>
        </w:rPr>
        <w:t xml:space="preserve">c </w:t>
      </w:r>
      <w:bookmarkStart w:id="51" w:name="_Int_cZiXfW9a"/>
      <w:proofErr w:type="gramStart"/>
      <w:r w:rsidRPr="0301EDCD">
        <w:rPr>
          <w:rFonts w:ascii="Arial Narrow" w:eastAsia="Times New Roman" w:hAnsi="Arial Narrow" w:cs="Arial"/>
          <w:sz w:val="18"/>
          <w:szCs w:val="18"/>
        </w:rPr>
        <w:t>Serious</w:t>
      </w:r>
      <w:bookmarkEnd w:id="51"/>
      <w:proofErr w:type="gramEnd"/>
      <w:r w:rsidRPr="0301EDCD">
        <w:rPr>
          <w:rFonts w:ascii="Arial Narrow" w:eastAsia="Times New Roman" w:hAnsi="Arial Narrow" w:cs="Arial"/>
          <w:sz w:val="18"/>
          <w:szCs w:val="18"/>
        </w:rPr>
        <w:t xml:space="preserve"> imprecision since the total number of events did not exceed 200</w:t>
      </w:r>
    </w:p>
    <w:p w14:paraId="6EB4F7AD" w14:textId="77777777" w:rsidR="00E31D70" w:rsidRPr="00920354" w:rsidRDefault="00E31D70" w:rsidP="00E31D70">
      <w:pPr>
        <w:widowControl w:val="0"/>
        <w:snapToGrid w:val="0"/>
        <w:spacing w:after="240" w:line="240" w:lineRule="auto"/>
        <w:contextualSpacing/>
        <w:jc w:val="both"/>
        <w:rPr>
          <w:rFonts w:ascii="Arial Narrow" w:eastAsia="Times New Roman" w:hAnsi="Arial Narrow" w:cs="Arial"/>
          <w:sz w:val="18"/>
          <w:szCs w:val="20"/>
        </w:rPr>
      </w:pPr>
      <w:r w:rsidRPr="00920354">
        <w:rPr>
          <w:rFonts w:ascii="Arial Narrow" w:eastAsia="Times New Roman" w:hAnsi="Arial Narrow" w:cs="Arial"/>
          <w:sz w:val="18"/>
          <w:szCs w:val="20"/>
        </w:rPr>
        <w:t>d Serious risk of publication bias as results were mostly derived from observational studies</w:t>
      </w:r>
    </w:p>
    <w:p w14:paraId="2F8E9C96" w14:textId="77777777" w:rsidR="00E31D70" w:rsidRPr="00920354" w:rsidRDefault="00E31D70" w:rsidP="00E31D70">
      <w:pPr>
        <w:widowControl w:val="0"/>
        <w:snapToGrid w:val="0"/>
        <w:spacing w:after="240" w:line="240" w:lineRule="auto"/>
        <w:contextualSpacing/>
        <w:jc w:val="both"/>
        <w:rPr>
          <w:rFonts w:ascii="Arial Narrow" w:eastAsia="Times New Roman" w:hAnsi="Arial Narrow" w:cs="Arial"/>
          <w:sz w:val="18"/>
          <w:szCs w:val="20"/>
        </w:rPr>
      </w:pPr>
      <w:r w:rsidRPr="00920354">
        <w:rPr>
          <w:rFonts w:ascii="Arial Narrow" w:eastAsia="Times New Roman" w:hAnsi="Arial Narrow" w:cs="Arial"/>
          <w:sz w:val="18"/>
          <w:szCs w:val="20"/>
        </w:rPr>
        <w:t>Abbreviations: CI = Confidence interval; GRADE = Grading of Recommendations Assessment, Development and Evaluation; RD = Risk Difference; RR = Relative Risk</w:t>
      </w:r>
    </w:p>
    <w:p w14:paraId="573687DB" w14:textId="33195CFB" w:rsidR="00A53571" w:rsidRDefault="00B82FA1" w:rsidP="007104EB">
      <w:pPr>
        <w:widowControl w:val="0"/>
        <w:snapToGrid w:val="0"/>
        <w:spacing w:after="240" w:line="240" w:lineRule="auto"/>
        <w:contextualSpacing/>
        <w:jc w:val="both"/>
        <w:rPr>
          <w:rFonts w:ascii="Arial Narrow" w:eastAsia="Times New Roman" w:hAnsi="Arial Narrow" w:cs="Arial"/>
          <w:sz w:val="18"/>
          <w:szCs w:val="20"/>
        </w:rPr>
      </w:pPr>
      <w:r w:rsidRPr="00B82FA1">
        <w:rPr>
          <w:rFonts w:ascii="Arial Narrow" w:eastAsia="Times New Roman" w:hAnsi="Arial Narrow" w:cs="Arial"/>
          <w:sz w:val="18"/>
          <w:szCs w:val="20"/>
        </w:rPr>
        <w:t xml:space="preserve">Source: Table 3, </w:t>
      </w:r>
      <w:proofErr w:type="spellStart"/>
      <w:r w:rsidRPr="00B82FA1">
        <w:rPr>
          <w:rFonts w:ascii="Arial Narrow" w:eastAsia="Times New Roman" w:hAnsi="Arial Narrow" w:cs="Arial"/>
          <w:sz w:val="18"/>
          <w:szCs w:val="20"/>
        </w:rPr>
        <w:t>pg</w:t>
      </w:r>
      <w:proofErr w:type="spellEnd"/>
      <w:r w:rsidRPr="00B82FA1">
        <w:rPr>
          <w:rFonts w:ascii="Arial Narrow" w:eastAsia="Times New Roman" w:hAnsi="Arial Narrow" w:cs="Arial"/>
          <w:sz w:val="18"/>
          <w:szCs w:val="20"/>
        </w:rPr>
        <w:t xml:space="preserve"> </w:t>
      </w:r>
      <w:r>
        <w:rPr>
          <w:rFonts w:ascii="Arial Narrow" w:eastAsia="Times New Roman" w:hAnsi="Arial Narrow" w:cs="Arial"/>
          <w:sz w:val="18"/>
          <w:szCs w:val="20"/>
        </w:rPr>
        <w:t>81</w:t>
      </w:r>
      <w:r w:rsidRPr="00B82FA1">
        <w:rPr>
          <w:rFonts w:ascii="Arial Narrow" w:eastAsia="Times New Roman" w:hAnsi="Arial Narrow" w:cs="Arial"/>
          <w:sz w:val="18"/>
          <w:szCs w:val="20"/>
        </w:rPr>
        <w:t xml:space="preserve"> of the Commentary on MSAC 1714 ADAR</w:t>
      </w:r>
    </w:p>
    <w:p w14:paraId="398B8E8D" w14:textId="77777777" w:rsidR="00772829" w:rsidRDefault="00772829" w:rsidP="00920354">
      <w:pPr>
        <w:pStyle w:val="Heading3"/>
      </w:pPr>
      <w:r w:rsidRPr="00223664">
        <w:t>Clinical claim</w:t>
      </w:r>
    </w:p>
    <w:p w14:paraId="39E8909D" w14:textId="6F147F08" w:rsidR="00050375" w:rsidRDefault="00920354" w:rsidP="00920354">
      <w:r w:rsidRPr="00920354">
        <w:t>The</w:t>
      </w:r>
      <w:r>
        <w:t xml:space="preserve"> ADAR claimed that</w:t>
      </w:r>
      <w:r w:rsidRPr="00920354">
        <w:t xml:space="preserve"> use of Obizur results in non</w:t>
      </w:r>
      <w:r w:rsidR="00640A69">
        <w:t>-</w:t>
      </w:r>
      <w:r w:rsidRPr="00920354">
        <w:t>inferior effectiveness compared with NovoSeven</w:t>
      </w:r>
      <w:r w:rsidR="00B85E3A">
        <w:t xml:space="preserve"> and FEIBA.</w:t>
      </w:r>
    </w:p>
    <w:p w14:paraId="4359B3D3" w14:textId="0BE0D543" w:rsidR="002C3221" w:rsidRDefault="00DC718A" w:rsidP="00DC718A">
      <w:r w:rsidRPr="00290929">
        <w:t xml:space="preserve">The </w:t>
      </w:r>
      <w:r>
        <w:t>ADAR</w:t>
      </w:r>
      <w:r w:rsidRPr="00290929">
        <w:t xml:space="preserve"> has assumed a non-significant difference</w:t>
      </w:r>
      <w:r>
        <w:t xml:space="preserve"> </w:t>
      </w:r>
      <w:r w:rsidR="005E75CD">
        <w:t xml:space="preserve">in </w:t>
      </w:r>
      <w:r w:rsidR="000B4E11">
        <w:t>effectiveness</w:t>
      </w:r>
      <w:r w:rsidR="005E75CD">
        <w:t xml:space="preserve"> </w:t>
      </w:r>
      <w:r w:rsidR="00DE1202" w:rsidRPr="00FC1E8C">
        <w:t>between Obizur and NovoSeven or FEIBA</w:t>
      </w:r>
      <w:r w:rsidR="00DE1202" w:rsidRPr="00290929">
        <w:t xml:space="preserve"> </w:t>
      </w:r>
      <w:r w:rsidRPr="00290929">
        <w:t xml:space="preserve">as a signal of non-inferiority. </w:t>
      </w:r>
      <w:r w:rsidR="00DE1202" w:rsidRPr="00FC1E8C">
        <w:t>This may not be reasonable, as a lack of statistically significant differences is not necessarily evidence of no difference between groups, as the studies may not have been sufficiently powered to detect a difference</w:t>
      </w:r>
      <w:r w:rsidR="008F19AF">
        <w:t xml:space="preserve"> or it may be due to other confounding factors</w:t>
      </w:r>
      <w:r w:rsidR="00DE1202" w:rsidRPr="00FC1E8C">
        <w:t>.</w:t>
      </w:r>
    </w:p>
    <w:p w14:paraId="58461811" w14:textId="4DBE7DCC" w:rsidR="0013553C" w:rsidRDefault="00DC718A" w:rsidP="00DC718A">
      <w:r w:rsidRPr="00290929">
        <w:t>The body of evidence across all treatments is comprised of small, non-comparative studies subject to a high</w:t>
      </w:r>
      <w:r>
        <w:t xml:space="preserve"> </w:t>
      </w:r>
      <w:r w:rsidRPr="00290929">
        <w:t>degree of bias</w:t>
      </w:r>
      <w:r>
        <w:t xml:space="preserve">, and the comparison is naïve with no adjustment for confounders. </w:t>
      </w:r>
      <w:r w:rsidR="0081216D">
        <w:t xml:space="preserve">However, with AHA being a very rare disease this may be the best available evidence as further data may be unlikely to be available in future. </w:t>
      </w:r>
    </w:p>
    <w:p w14:paraId="50A129FD" w14:textId="4E3D7039" w:rsidR="0013553C" w:rsidRDefault="0013553C" w:rsidP="0013553C">
      <w:pPr>
        <w:rPr>
          <w:iCs/>
        </w:rPr>
      </w:pPr>
      <w:r>
        <w:t xml:space="preserve">There were </w:t>
      </w:r>
      <w:proofErr w:type="gramStart"/>
      <w:r>
        <w:t>particular issues</w:t>
      </w:r>
      <w:proofErr w:type="gramEnd"/>
      <w:r>
        <w:t xml:space="preserve"> with regard to </w:t>
      </w:r>
      <w:r w:rsidR="00250826">
        <w:t>reporting</w:t>
      </w:r>
      <w:r>
        <w:t xml:space="preserve"> of efficacy outcomes across studies. Many studies did not report how bleeding control/resolution was measured.</w:t>
      </w:r>
      <w:r w:rsidRPr="0013553C">
        <w:t xml:space="preserve"> </w:t>
      </w:r>
      <w:r w:rsidRPr="006A4CC9">
        <w:t>Additional</w:t>
      </w:r>
      <w:r>
        <w:t>ly,</w:t>
      </w:r>
      <w:r w:rsidRPr="006A4CC9">
        <w:t xml:space="preserve"> </w:t>
      </w:r>
      <w:r>
        <w:t xml:space="preserve">there was </w:t>
      </w:r>
      <w:r w:rsidR="00250826">
        <w:t>little description of</w:t>
      </w:r>
      <w:r>
        <w:t xml:space="preserve"> the</w:t>
      </w:r>
      <w:r w:rsidRPr="006A4CC9">
        <w:t xml:space="preserve"> time-to-resolution</w:t>
      </w:r>
      <w:r w:rsidR="00250826">
        <w:t>/control</w:t>
      </w:r>
      <w:r w:rsidRPr="006A4CC9">
        <w:t>.</w:t>
      </w:r>
      <w:r>
        <w:t xml:space="preserve"> </w:t>
      </w:r>
      <w:r>
        <w:rPr>
          <w:iCs/>
        </w:rPr>
        <w:t>This has financial implications on the cost of monitoring and length of stay in hospital, particularly the former as Obizur requires additional tests to monitor response.</w:t>
      </w:r>
    </w:p>
    <w:p w14:paraId="5DA4E68D" w14:textId="53A985D0" w:rsidR="00250826" w:rsidRDefault="005C32B8" w:rsidP="00621B27">
      <w:r>
        <w:t>T</w:t>
      </w:r>
      <w:r w:rsidR="00290929">
        <w:t xml:space="preserve">he </w:t>
      </w:r>
      <w:r w:rsidR="001C0055">
        <w:t xml:space="preserve">ADAR </w:t>
      </w:r>
      <w:r>
        <w:t>used a</w:t>
      </w:r>
      <w:r w:rsidR="00E92109">
        <w:t xml:space="preserve"> naïve comparison</w:t>
      </w:r>
      <w:r>
        <w:t xml:space="preserve"> when comparing across studies of Obizur to justify a</w:t>
      </w:r>
      <w:r w:rsidR="0037044A">
        <w:t>n</w:t>
      </w:r>
      <w:r>
        <w:t xml:space="preserve"> initial dose</w:t>
      </w:r>
      <w:r w:rsidR="0037044A">
        <w:t xml:space="preserve"> lower than</w:t>
      </w:r>
      <w:r w:rsidR="009F4F35">
        <w:t xml:space="preserve"> what is recommended in the PI</w:t>
      </w:r>
      <w:r w:rsidR="0037044A">
        <w:t xml:space="preserve"> </w:t>
      </w:r>
      <w:r w:rsidR="009F4F35">
        <w:t>(</w:t>
      </w:r>
      <w:r w:rsidR="0037044A">
        <w:t>200 U/kg</w:t>
      </w:r>
      <w:r w:rsidR="009F4F35">
        <w:t>)</w:t>
      </w:r>
      <w:r>
        <w:t xml:space="preserve">. </w:t>
      </w:r>
      <w:r w:rsidR="00860E08">
        <w:t xml:space="preserve">The evaluator considered </w:t>
      </w:r>
      <w:r w:rsidR="00621B27">
        <w:t xml:space="preserve">the ADAR did not provide sufficient clinical evidence to support this </w:t>
      </w:r>
      <w:r w:rsidR="00860E08">
        <w:t>lower initial dose</w:t>
      </w:r>
      <w:r w:rsidR="005A2F47">
        <w:t xml:space="preserve"> and </w:t>
      </w:r>
      <w:r w:rsidR="005A2F47" w:rsidRPr="00147524">
        <w:t>that a comparison based on a pharmacokinetics study or other comparative studies would have presented a stronger basis for utilising a lower initial dose</w:t>
      </w:r>
      <w:r w:rsidR="000E5FEC">
        <w:t xml:space="preserve">. </w:t>
      </w:r>
      <w:r w:rsidR="00440A6F">
        <w:t>The evaluator also considered that t</w:t>
      </w:r>
      <w:r w:rsidR="00250826">
        <w:t>his has the potential to significant</w:t>
      </w:r>
      <w:r w:rsidR="00440A6F">
        <w:t>ly</w:t>
      </w:r>
      <w:r w:rsidR="00250826">
        <w:t xml:space="preserve"> impact the</w:t>
      </w:r>
      <w:r w:rsidR="00250826" w:rsidRPr="00250826">
        <w:t xml:space="preserve"> economic evaluation of Obizur </w:t>
      </w:r>
      <w:proofErr w:type="gramStart"/>
      <w:r w:rsidR="009D3F73">
        <w:t>with regard to</w:t>
      </w:r>
      <w:proofErr w:type="gramEnd"/>
      <w:r w:rsidR="009D3F73">
        <w:t xml:space="preserve"> </w:t>
      </w:r>
      <w:r w:rsidR="005A2F47">
        <w:t xml:space="preserve">the </w:t>
      </w:r>
      <w:r w:rsidR="00F742C8">
        <w:t xml:space="preserve">estimated </w:t>
      </w:r>
      <w:proofErr w:type="spellStart"/>
      <w:r w:rsidR="005A2F47">
        <w:t>equi</w:t>
      </w:r>
      <w:proofErr w:type="spellEnd"/>
      <w:r w:rsidR="005A2F47">
        <w:t xml:space="preserve">-effective doses, </w:t>
      </w:r>
      <w:r w:rsidR="009D3F73">
        <w:t xml:space="preserve">monitoring costs and length of stay in hospital for the patient. </w:t>
      </w:r>
    </w:p>
    <w:p w14:paraId="3CF6E903" w14:textId="4A2714AC" w:rsidR="00805B75" w:rsidRPr="00F52F98" w:rsidRDefault="007104EB" w:rsidP="00F52F98">
      <w:r>
        <w:t xml:space="preserve">Overall, the </w:t>
      </w:r>
      <w:r w:rsidR="0081216D">
        <w:t xml:space="preserve">evaluator considered the </w:t>
      </w:r>
      <w:r>
        <w:t>evidence provided</w:t>
      </w:r>
      <w:r w:rsidR="00215777">
        <w:t xml:space="preserve"> in the ADAR</w:t>
      </w:r>
      <w:r>
        <w:t xml:space="preserve"> </w:t>
      </w:r>
      <w:r w:rsidR="0081216D">
        <w:t xml:space="preserve">was </w:t>
      </w:r>
      <w:r>
        <w:t>insufficient to support a claim of non-inferior</w:t>
      </w:r>
      <w:r w:rsidR="00831FD4">
        <w:t xml:space="preserve"> efficacy </w:t>
      </w:r>
      <w:r w:rsidR="0013553C">
        <w:t xml:space="preserve">and safety </w:t>
      </w:r>
      <w:r w:rsidR="00831FD4">
        <w:t xml:space="preserve">to </w:t>
      </w:r>
      <w:r w:rsidR="00831FD4" w:rsidRPr="00831FD4">
        <w:t>NovoSeven and FEIBA</w:t>
      </w:r>
      <w:r>
        <w:t>.</w:t>
      </w:r>
      <w:bookmarkStart w:id="52" w:name="_Toc69491425"/>
      <w:r w:rsidR="00805B75">
        <w:br w:type="page"/>
      </w:r>
    </w:p>
    <w:p w14:paraId="49E49F38" w14:textId="32BDF89A" w:rsidR="00772829" w:rsidRPr="00CE28E3" w:rsidRDefault="00C36633" w:rsidP="002A18BE">
      <w:pPr>
        <w:pStyle w:val="Heading2"/>
        <w:numPr>
          <w:ilvl w:val="0"/>
          <w:numId w:val="0"/>
        </w:numPr>
      </w:pPr>
      <w:r>
        <w:lastRenderedPageBreak/>
        <w:t>1</w:t>
      </w:r>
      <w:r w:rsidR="00746AEC">
        <w:t>3</w:t>
      </w:r>
      <w:r>
        <w:t>.</w:t>
      </w:r>
      <w:r>
        <w:tab/>
      </w:r>
      <w:r w:rsidR="00772829" w:rsidRPr="00CE28E3">
        <w:t>Economic evaluation</w:t>
      </w:r>
      <w:bookmarkEnd w:id="52"/>
    </w:p>
    <w:p w14:paraId="4639A502" w14:textId="53B0AC56" w:rsidR="00C70C5D" w:rsidRPr="00FC1E8C" w:rsidRDefault="00C70C5D" w:rsidP="00C70C5D">
      <w:bookmarkStart w:id="53" w:name="_Hlk123642834"/>
      <w:bookmarkStart w:id="54" w:name="_Toc69491427"/>
      <w:r w:rsidRPr="00FC1E8C">
        <w:t xml:space="preserve">The </w:t>
      </w:r>
      <w:r w:rsidRPr="00FC1E8C">
        <w:rPr>
          <w:iCs/>
        </w:rPr>
        <w:t>ADAR</w:t>
      </w:r>
      <w:r w:rsidRPr="00FC1E8C">
        <w:t xml:space="preserve"> adopted a cost-minimisation approach (CMA). Two CMAs were presented for each comparator separately, and then the proposed price per vial of Obizur was derived by weighting the respective cost-minimised prices by the observed distribution of use of each comparator (NovoSeven and FEIBA). The presentation of a CMA may only be reasonable if MSAC accept the clinical claims of non-inferiority. </w:t>
      </w:r>
      <w:bookmarkStart w:id="55" w:name="_Hlk123584178"/>
    </w:p>
    <w:bookmarkEnd w:id="55"/>
    <w:p w14:paraId="2C7C2AC0" w14:textId="22B433EE" w:rsidR="00C70C5D" w:rsidRPr="00FC1E8C" w:rsidRDefault="00C70C5D" w:rsidP="00C70C5D">
      <w:pPr>
        <w:spacing w:line="276" w:lineRule="auto"/>
      </w:pPr>
      <w:r w:rsidRPr="00FC1E8C">
        <w:t xml:space="preserve">The CMA considered the cost of medicines and additional costs (offsets) resulting from differences in treatment-specific monitoring and the management of thrombotic events. The prices for NovoSeven and FEIBA were taken from the NPPL </w:t>
      </w:r>
      <w:r>
        <w:t>(</w:t>
      </w:r>
      <w:r w:rsidRPr="00FC1E8C">
        <w:t>1 July 2022</w:t>
      </w:r>
      <w:r w:rsidR="00D558DF">
        <w:t>)</w:t>
      </w:r>
      <w:r w:rsidRPr="00FC1E8C">
        <w:t>. The CMA assumed no differences in prescribing or administration profiles between Obizur and either BPA. However, there may be differences in the duration of Obizur and BPA treatment, where Obizur may have a longer duration of treatment compared to NovoSeven (and shorter duration relative to FEIBA). As patients are required to remain in hospital until the acute bleeding episode is resolved, costs associated with differences in the duration of in-hospital stay may impact the price per vial of Obizur. However, the impact of differences in duration of treatment could not be tested during the evaluation as there is no specific</w:t>
      </w:r>
      <w:r>
        <w:t xml:space="preserve"> Australian refined diagnosis-related groups</w:t>
      </w:r>
      <w:r w:rsidRPr="00FC1E8C">
        <w:t xml:space="preserve"> </w:t>
      </w:r>
      <w:r>
        <w:t>(</w:t>
      </w:r>
      <w:r w:rsidRPr="00FC1E8C">
        <w:t>AR-DRG</w:t>
      </w:r>
      <w:r>
        <w:t>)</w:t>
      </w:r>
      <w:r w:rsidRPr="00FC1E8C">
        <w:t xml:space="preserve"> code for haemophilia admissions. The cost of monitoring and management of thrombotic events was informed by MBS and AR-DRGs, respectively. </w:t>
      </w:r>
    </w:p>
    <w:p w14:paraId="1141FEBC" w14:textId="5536E4E1" w:rsidR="00C70C5D" w:rsidRDefault="00C70C5D" w:rsidP="00C70C5D">
      <w:pPr>
        <w:spacing w:line="276" w:lineRule="auto"/>
      </w:pPr>
      <w:bookmarkStart w:id="56" w:name="_Ref119944537"/>
      <w:r w:rsidRPr="00FC1E8C">
        <w:t xml:space="preserve">The </w:t>
      </w:r>
      <w:proofErr w:type="spellStart"/>
      <w:r w:rsidRPr="00FC1E8C">
        <w:t>equi</w:t>
      </w:r>
      <w:proofErr w:type="spellEnd"/>
      <w:r w:rsidRPr="00FC1E8C">
        <w:t>-effective doses for Obizur and each BPA were derived from the average total dose administered for an acute bleeding episode per patient weighted across the respective clinical</w:t>
      </w:r>
      <w:r>
        <w:t xml:space="preserve"> studies. The </w:t>
      </w:r>
      <w:proofErr w:type="spellStart"/>
      <w:r>
        <w:t>equi</w:t>
      </w:r>
      <w:proofErr w:type="spellEnd"/>
      <w:r>
        <w:t xml:space="preserve">-effective doses for Obizur and each BPA proposed in ADAR are presented in </w:t>
      </w:r>
      <w:r>
        <w:fldChar w:fldCharType="begin"/>
      </w:r>
      <w:r>
        <w:instrText xml:space="preserve"> REF _Ref119944582 \h </w:instrText>
      </w:r>
      <w:r>
        <w:fldChar w:fldCharType="separate"/>
      </w:r>
      <w:r w:rsidR="00C25EB0" w:rsidRPr="00CE28E3">
        <w:t>Table</w:t>
      </w:r>
      <w:r w:rsidR="00C25EB0">
        <w:t> </w:t>
      </w:r>
      <w:r w:rsidR="00C25EB0">
        <w:rPr>
          <w:noProof/>
        </w:rPr>
        <w:t>12</w:t>
      </w:r>
      <w:r>
        <w:fldChar w:fldCharType="end"/>
      </w:r>
      <w:r>
        <w:t>.</w:t>
      </w:r>
    </w:p>
    <w:p w14:paraId="2BD62D58" w14:textId="23DF63ED" w:rsidR="00C70C5D" w:rsidRDefault="00C70C5D" w:rsidP="00C70C5D">
      <w:pPr>
        <w:pStyle w:val="Caption"/>
      </w:pPr>
      <w:bookmarkStart w:id="57" w:name="_Ref119944582"/>
      <w:r w:rsidRPr="00CE28E3">
        <w:t>Table</w:t>
      </w:r>
      <w:r>
        <w:t> </w:t>
      </w:r>
      <w:r>
        <w:fldChar w:fldCharType="begin"/>
      </w:r>
      <w:r>
        <w:instrText>SEQ Table \* ARABIC</w:instrText>
      </w:r>
      <w:r>
        <w:fldChar w:fldCharType="separate"/>
      </w:r>
      <w:r w:rsidR="00C25EB0">
        <w:rPr>
          <w:noProof/>
        </w:rPr>
        <w:t>12</w:t>
      </w:r>
      <w:r>
        <w:fldChar w:fldCharType="end"/>
      </w:r>
      <w:bookmarkEnd w:id="56"/>
      <w:bookmarkEnd w:id="57"/>
      <w:r>
        <w:t xml:space="preserve"> </w:t>
      </w:r>
      <w:proofErr w:type="spellStart"/>
      <w:r>
        <w:t>Equi</w:t>
      </w:r>
      <w:proofErr w:type="spellEnd"/>
      <w:r>
        <w:t>-effective doses: Obizur versus NovoSeven and FEIBA estimated in ADAR</w:t>
      </w:r>
    </w:p>
    <w:tbl>
      <w:tblPr>
        <w:tblStyle w:val="TableGrid1"/>
        <w:tblW w:w="5000" w:type="pct"/>
        <w:tblLook w:val="04A0" w:firstRow="1" w:lastRow="0" w:firstColumn="1" w:lastColumn="0" w:noHBand="0" w:noVBand="1"/>
        <w:tblCaption w:val="Equi-effective doses: Obizur versus NovoSeven and FEIBA estimated in ADAR"/>
        <w:tblDescription w:val="Presents the equi-effective doses of intervention and comparator estimated by the applicant"/>
      </w:tblPr>
      <w:tblGrid>
        <w:gridCol w:w="9016"/>
      </w:tblGrid>
      <w:tr w:rsidR="00C70C5D" w:rsidRPr="00122A09" w14:paraId="362C4CF3" w14:textId="77777777" w:rsidTr="00750623">
        <w:trPr>
          <w:cnfStyle w:val="100000000000" w:firstRow="1" w:lastRow="0" w:firstColumn="0" w:lastColumn="0" w:oddVBand="0" w:evenVBand="0" w:oddHBand="0" w:evenHBand="0" w:firstRowFirstColumn="0" w:firstRowLastColumn="0" w:lastRowFirstColumn="0" w:lastRowLastColumn="0"/>
          <w:trHeight w:val="197"/>
        </w:trPr>
        <w:tc>
          <w:tcPr>
            <w:tcW w:w="5000" w:type="pct"/>
            <w:shd w:val="clear" w:color="auto" w:fill="auto"/>
            <w:noWrap/>
            <w:vAlign w:val="center"/>
          </w:tcPr>
          <w:p w14:paraId="5296418A" w14:textId="6076D99C" w:rsidR="00C70C5D" w:rsidRPr="00BF65D4" w:rsidRDefault="00C70C5D" w:rsidP="00750623">
            <w:pPr>
              <w:pStyle w:val="TableText"/>
              <w:keepNext/>
              <w:jc w:val="center"/>
            </w:pPr>
            <w:r w:rsidRPr="00BF65D4">
              <w:t xml:space="preserve">Obizur </w:t>
            </w:r>
            <w:r w:rsidR="00572CBD">
              <w:t>[REDACTED]</w:t>
            </w:r>
            <w:r w:rsidRPr="00BF65D4">
              <w:t xml:space="preserve"> Units per episode ≡ NovoSeven </w:t>
            </w:r>
            <w:r w:rsidR="00572CBD">
              <w:t>[REDACTED]</w:t>
            </w:r>
            <w:r w:rsidRPr="00BF65D4">
              <w:t xml:space="preserve"> µg per episode</w:t>
            </w:r>
          </w:p>
          <w:p w14:paraId="695D2A4A" w14:textId="3D0E67DF" w:rsidR="00C70C5D" w:rsidRPr="00122A09" w:rsidRDefault="00C70C5D" w:rsidP="00750623">
            <w:pPr>
              <w:pStyle w:val="TableText"/>
              <w:keepNext/>
              <w:jc w:val="center"/>
              <w:rPr>
                <w:rFonts w:cs="Calibri"/>
                <w:color w:val="000000"/>
                <w:lang w:val="en-US"/>
              </w:rPr>
            </w:pPr>
            <w:r w:rsidRPr="00BF65D4">
              <w:t xml:space="preserve">Obizur </w:t>
            </w:r>
            <w:r w:rsidR="00572CBD">
              <w:t>[REDACTED]</w:t>
            </w:r>
            <w:r w:rsidRPr="00BF65D4">
              <w:t xml:space="preserve"> Units per episode ≡ FEIBA </w:t>
            </w:r>
            <w:r w:rsidR="00572CBD">
              <w:t>[REDACTED]</w:t>
            </w:r>
            <w:r w:rsidRPr="00BF65D4">
              <w:t xml:space="preserve"> Units per episode</w:t>
            </w:r>
          </w:p>
        </w:tc>
      </w:tr>
    </w:tbl>
    <w:p w14:paraId="5C90C79D" w14:textId="77777777" w:rsidR="00C70C5D" w:rsidRPr="00B175F5" w:rsidRDefault="00C70C5D" w:rsidP="00C70C5D">
      <w:pPr>
        <w:pStyle w:val="TableText"/>
        <w:keepNext/>
        <w:rPr>
          <w:sz w:val="18"/>
        </w:rPr>
      </w:pPr>
      <w:r w:rsidRPr="00B175F5">
        <w:rPr>
          <w:sz w:val="18"/>
        </w:rPr>
        <w:t>Source:</w:t>
      </w:r>
      <w:r>
        <w:rPr>
          <w:sz w:val="18"/>
        </w:rPr>
        <w:t xml:space="preserve"> Table 93, </w:t>
      </w:r>
      <w:proofErr w:type="spellStart"/>
      <w:r>
        <w:rPr>
          <w:sz w:val="18"/>
        </w:rPr>
        <w:t>pg</w:t>
      </w:r>
      <w:proofErr w:type="spellEnd"/>
      <w:r>
        <w:rPr>
          <w:sz w:val="18"/>
        </w:rPr>
        <w:t xml:space="preserve"> 143 and Table 104, </w:t>
      </w:r>
      <w:proofErr w:type="spellStart"/>
      <w:r>
        <w:rPr>
          <w:sz w:val="18"/>
        </w:rPr>
        <w:t>pg</w:t>
      </w:r>
      <w:proofErr w:type="spellEnd"/>
      <w:r>
        <w:rPr>
          <w:sz w:val="18"/>
        </w:rPr>
        <w:t xml:space="preserve"> 158 of the MSAC 1714 ADAR</w:t>
      </w:r>
    </w:p>
    <w:p w14:paraId="3946BADC" w14:textId="77777777" w:rsidR="00C70C5D" w:rsidRPr="00375BA1" w:rsidRDefault="00C70C5D" w:rsidP="0097066D">
      <w:pPr>
        <w:pStyle w:val="Heading3"/>
      </w:pPr>
      <w:r w:rsidRPr="00375BA1">
        <w:t xml:space="preserve">Uncertainties and errors in estimation of </w:t>
      </w:r>
      <w:proofErr w:type="spellStart"/>
      <w:r w:rsidRPr="00375BA1">
        <w:t>equi</w:t>
      </w:r>
      <w:proofErr w:type="spellEnd"/>
      <w:r w:rsidRPr="00375BA1">
        <w:t>-effective doses</w:t>
      </w:r>
    </w:p>
    <w:p w14:paraId="697B682E" w14:textId="77777777" w:rsidR="00C70C5D" w:rsidRPr="00375BA1" w:rsidRDefault="00C70C5D" w:rsidP="0097066D">
      <w:pPr>
        <w:pStyle w:val="Heading4"/>
      </w:pPr>
      <w:r w:rsidRPr="00375BA1">
        <w:t>Evidence base</w:t>
      </w:r>
    </w:p>
    <w:p w14:paraId="3E5899E2" w14:textId="6B4FDDFB" w:rsidR="00C70C5D" w:rsidRPr="00FC1E8C" w:rsidRDefault="00C70C5D" w:rsidP="0301EDCD">
      <w:pPr>
        <w:rPr>
          <w:rFonts w:asciiTheme="minorHAnsi" w:hAnsiTheme="minorHAnsi"/>
          <w:color w:val="0070C0"/>
        </w:rPr>
      </w:pPr>
      <w:r>
        <w:t>There is substantial variation in baseline patient characteristics such as site of the bleed, bleed severity and the proportion of patients undergoing prior lines of therapy in the included studies – both within a treatment (</w:t>
      </w:r>
      <w:r w:rsidR="6B1FAD69">
        <w:t>e.g.,</w:t>
      </w:r>
      <w:r>
        <w:t xml:space="preserve"> Obizur studies) and across treatments (</w:t>
      </w:r>
      <w:r w:rsidR="1E88060E">
        <w:t>e.g.,</w:t>
      </w:r>
      <w:r>
        <w:t xml:space="preserve"> Obizur vs NovoSeven studies). The ADAR established the </w:t>
      </w:r>
      <w:proofErr w:type="spellStart"/>
      <w:r>
        <w:t>equi</w:t>
      </w:r>
      <w:proofErr w:type="spellEnd"/>
      <w:r>
        <w:t xml:space="preserve">-effective doses without adjusting for differences in baseline patient characteristics which is likely to affect respective doses per patient. Therefore, the </w:t>
      </w:r>
      <w:proofErr w:type="spellStart"/>
      <w:r>
        <w:t>equi</w:t>
      </w:r>
      <w:proofErr w:type="spellEnd"/>
      <w:r>
        <w:t>-effective doses based on the studies included in the unadjusted naïve indirect comparisons are highly uncertain.</w:t>
      </w:r>
    </w:p>
    <w:p w14:paraId="68143F87" w14:textId="77777777" w:rsidR="00C70C5D" w:rsidRPr="00290EBE" w:rsidRDefault="00C70C5D" w:rsidP="0097066D">
      <w:pPr>
        <w:pStyle w:val="Heading4"/>
      </w:pPr>
      <w:r w:rsidRPr="00290EBE">
        <w:t>Dose of Obizur</w:t>
      </w:r>
    </w:p>
    <w:p w14:paraId="6BD6025F" w14:textId="49DEFD46" w:rsidR="00C70C5D" w:rsidRPr="00FC1E8C" w:rsidRDefault="00C70C5D" w:rsidP="00C70C5D">
      <w:r w:rsidRPr="00FC1E8C">
        <w:t xml:space="preserve">The Obizur PI recommends a starting dose of 200 U/kg administered intravenously, with dose adjustments every 4 to 12 hours based on clinical response and coagulant factor VIII (FVIII). The PI also suggests that initial dosing below the recommended 200 U/kg has been associated with lack of efficacy. Of the included Obizur studies, 3 out of 4 initiated Obizur at a dose of approximately 100 U/kg for most patients. The dose of Obizur would increase to </w:t>
      </w:r>
      <w:r w:rsidR="00572CBD">
        <w:t>[REDACTED]</w:t>
      </w:r>
      <w:r w:rsidRPr="00725EB9">
        <w:t xml:space="preserve"> </w:t>
      </w:r>
      <w:r w:rsidRPr="00FC1E8C">
        <w:lastRenderedPageBreak/>
        <w:t xml:space="preserve">units per episode if studies using loading doses consistent with the PI are used to derive the </w:t>
      </w:r>
      <w:proofErr w:type="spellStart"/>
      <w:r w:rsidRPr="00FC1E8C">
        <w:t>equi</w:t>
      </w:r>
      <w:proofErr w:type="spellEnd"/>
      <w:r w:rsidRPr="00FC1E8C">
        <w:t xml:space="preserve">-effective dose. </w:t>
      </w:r>
    </w:p>
    <w:p w14:paraId="0C25D8AC" w14:textId="77777777" w:rsidR="00C70C5D" w:rsidRPr="006D759E" w:rsidRDefault="00C70C5D" w:rsidP="0097066D">
      <w:pPr>
        <w:pStyle w:val="Heading4"/>
      </w:pPr>
      <w:r w:rsidRPr="006D759E">
        <w:t>Dose of NovoSeven</w:t>
      </w:r>
    </w:p>
    <w:p w14:paraId="22F5F02A" w14:textId="77777777" w:rsidR="00C70C5D" w:rsidRPr="00FC1E8C" w:rsidRDefault="00C70C5D" w:rsidP="00C70C5D">
      <w:r w:rsidRPr="00FC1E8C">
        <w:t>The ADAR considered Obizur dosing based only on episodes where bleeds were resolved. For NovoSeven, it is not clear if the dosing was based on those bleeding episodes which were resolved or if all treated bleeding episodes regardless of resolution of the bleed were considered. Dosing regardless of bleed resolution was used in at least one included study</w:t>
      </w:r>
      <w:r w:rsidRPr="00FC1E8C">
        <w:rPr>
          <w:rStyle w:val="FootnoteReference"/>
        </w:rPr>
        <w:footnoteReference w:id="17"/>
      </w:r>
      <w:r w:rsidRPr="00FC1E8C">
        <w:t xml:space="preserve">. This inconsistency in approach to derive </w:t>
      </w:r>
      <w:proofErr w:type="spellStart"/>
      <w:r w:rsidRPr="00FC1E8C">
        <w:t>equi</w:t>
      </w:r>
      <w:proofErr w:type="spellEnd"/>
      <w:r w:rsidRPr="00FC1E8C">
        <w:t>-effective doses is not reasonable.</w:t>
      </w:r>
    </w:p>
    <w:p w14:paraId="500B3F24" w14:textId="14ADA5EF" w:rsidR="00C70C5D" w:rsidRPr="003A476D" w:rsidRDefault="00C70C5D" w:rsidP="00C70C5D">
      <w:pPr>
        <w:rPr>
          <w:i/>
        </w:rPr>
      </w:pPr>
      <w:r w:rsidRPr="00FC1E8C">
        <w:t>One included study, Hay et al. 1997</w:t>
      </w:r>
      <w:r w:rsidRPr="00FC1E8C">
        <w:rPr>
          <w:rStyle w:val="FootnoteReference"/>
        </w:rPr>
        <w:footnoteReference w:id="18"/>
      </w:r>
      <w:r w:rsidRPr="00FC1E8C">
        <w:t>, reported an unusually high (153) number of infusions which are unlikely in current clinical practice. The dose per infusion (104.2 µg/kg) reported in another study (Hay et al. 2017</w:t>
      </w:r>
      <w:r w:rsidRPr="00FC1E8C">
        <w:rPr>
          <w:rStyle w:val="FootnoteReference"/>
        </w:rPr>
        <w:footnoteReference w:id="19"/>
      </w:r>
      <w:r w:rsidRPr="00FC1E8C">
        <w:t xml:space="preserve">) was only for initial dose. Therefore, the use of dosing information from these studies is uncertain. During the evaluation, </w:t>
      </w:r>
      <w:proofErr w:type="spellStart"/>
      <w:r w:rsidRPr="00FC1E8C">
        <w:t>equi</w:t>
      </w:r>
      <w:proofErr w:type="spellEnd"/>
      <w:r w:rsidRPr="00FC1E8C">
        <w:t>-effective doses of NovoSeven excluding these studies and including information from a study excluded by the ADAR</w:t>
      </w:r>
      <w:r w:rsidRPr="003A476D">
        <w:rPr>
          <w:i/>
        </w:rPr>
        <w:t xml:space="preserve"> </w:t>
      </w:r>
      <w:r w:rsidRPr="00FC1E8C">
        <w:t>(Borg et al. 2013</w:t>
      </w:r>
      <w:r w:rsidRPr="00FC1E8C">
        <w:rPr>
          <w:rStyle w:val="FootnoteReference"/>
        </w:rPr>
        <w:footnoteReference w:id="20"/>
      </w:r>
      <w:r w:rsidRPr="00FC1E8C">
        <w:t xml:space="preserve">) reduced the </w:t>
      </w:r>
      <w:proofErr w:type="spellStart"/>
      <w:r w:rsidRPr="00FC1E8C">
        <w:t>equi</w:t>
      </w:r>
      <w:proofErr w:type="spellEnd"/>
      <w:r w:rsidRPr="00FC1E8C">
        <w:t xml:space="preserve">-effective dose of NovoSeven from </w:t>
      </w:r>
      <w:r w:rsidR="007E2243">
        <w:t>[REDACTED</w:t>
      </w:r>
      <w:r w:rsidRPr="00FC1E8C">
        <w:t xml:space="preserve"> to </w:t>
      </w:r>
      <w:r w:rsidR="007E2243">
        <w:t>[REDACTED]</w:t>
      </w:r>
      <w:r w:rsidRPr="00FC1E8C">
        <w:t xml:space="preserve"> µg per episode.</w:t>
      </w:r>
    </w:p>
    <w:p w14:paraId="5A8237A5" w14:textId="77777777" w:rsidR="00C70C5D" w:rsidRPr="006D759E" w:rsidRDefault="00C70C5D" w:rsidP="0097066D">
      <w:pPr>
        <w:pStyle w:val="Heading4"/>
      </w:pPr>
      <w:r w:rsidRPr="006D759E">
        <w:t>Dose of FEIBA</w:t>
      </w:r>
    </w:p>
    <w:p w14:paraId="509DA08A" w14:textId="4EA48F1F" w:rsidR="00C70C5D" w:rsidRPr="00FC1E8C" w:rsidRDefault="00C70C5D" w:rsidP="00C70C5D">
      <w:r w:rsidRPr="00FC1E8C">
        <w:t>The ADAR excluded mean duration of treatment from Borg et al. 2015</w:t>
      </w:r>
      <w:r w:rsidRPr="00FC1E8C">
        <w:rPr>
          <w:rStyle w:val="FootnoteReference"/>
        </w:rPr>
        <w:footnoteReference w:id="21"/>
      </w:r>
      <w:r w:rsidRPr="00FC1E8C">
        <w:t xml:space="preserve"> (4.73 days; derived from median and IQR) in the calculations and assumed initial doses per infusion for average doses per infusion from Borg et al. 2015 and </w:t>
      </w:r>
      <w:proofErr w:type="spellStart"/>
      <w:r w:rsidRPr="00FC1E8C">
        <w:t>Baudo</w:t>
      </w:r>
      <w:proofErr w:type="spellEnd"/>
      <w:r w:rsidRPr="00FC1E8C">
        <w:t xml:space="preserve"> et al. 2012</w:t>
      </w:r>
      <w:r w:rsidRPr="00FC1E8C">
        <w:rPr>
          <w:rStyle w:val="FootnoteReference"/>
        </w:rPr>
        <w:footnoteReference w:id="22"/>
      </w:r>
      <w:r w:rsidRPr="00FC1E8C">
        <w:t xml:space="preserve"> which is inappropriate. The ADAR also incorrectly calculated infusions per day</w:t>
      </w:r>
      <w:r w:rsidRPr="00FC1E8C">
        <w:rPr>
          <w:rStyle w:val="FootnoteReference"/>
        </w:rPr>
        <w:footnoteReference w:id="23"/>
      </w:r>
      <w:r w:rsidRPr="00FC1E8C">
        <w:t xml:space="preserve">. During the evaluation, including the mean duration of treatment from Borg et al. 2015, correcting for error in calculation of infusions per day and estimating dose per infusion from Borg et al. 2015 and </w:t>
      </w:r>
      <w:proofErr w:type="spellStart"/>
      <w:r w:rsidRPr="00FC1E8C">
        <w:t>Baudo</w:t>
      </w:r>
      <w:proofErr w:type="spellEnd"/>
      <w:r w:rsidRPr="00FC1E8C">
        <w:t xml:space="preserve"> et al. 2012 resulted in a reduced dose of FEIBA per episode from </w:t>
      </w:r>
      <w:r w:rsidR="007E2243">
        <w:t>[REDACTED]</w:t>
      </w:r>
      <w:r w:rsidRPr="00FC1E8C">
        <w:t xml:space="preserve"> Units to </w:t>
      </w:r>
      <w:r w:rsidR="007E2243">
        <w:t>[REDACTED]</w:t>
      </w:r>
      <w:r w:rsidRPr="00FC1E8C">
        <w:t xml:space="preserve"> Units. </w:t>
      </w:r>
    </w:p>
    <w:p w14:paraId="4A24A1AD" w14:textId="77777777" w:rsidR="00C70C5D" w:rsidRPr="00B878E3" w:rsidRDefault="00C70C5D" w:rsidP="0097066D">
      <w:pPr>
        <w:pStyle w:val="Heading4"/>
      </w:pPr>
      <w:r w:rsidRPr="00B878E3">
        <w:t>Body weight</w:t>
      </w:r>
    </w:p>
    <w:p w14:paraId="7A5B57FD" w14:textId="77777777" w:rsidR="00C70C5D" w:rsidRPr="00FC1E8C" w:rsidRDefault="00C70C5D" w:rsidP="00C70C5D">
      <w:r w:rsidRPr="00FC1E8C">
        <w:t xml:space="preserve">Weighted average body weight (73.1 kg) was derived based on 5 studies (OBI-1-301, Study 241302, </w:t>
      </w:r>
      <w:proofErr w:type="spellStart"/>
      <w:r w:rsidRPr="00FC1E8C">
        <w:t>Baudo</w:t>
      </w:r>
      <w:proofErr w:type="spellEnd"/>
      <w:r w:rsidRPr="00FC1E8C">
        <w:t xml:space="preserve"> et al. 2012, Borg et al. 2013 and ACQUI-7). Mean body weight of patients included in these studies ranged from 63.62 kg to 73.40 kg. None of the studies included </w:t>
      </w:r>
      <w:r w:rsidRPr="00FC1E8C">
        <w:lastRenderedPageBreak/>
        <w:t>Australian population and it is uncertain if the weighted average body weight was representative of Australian population with AHA.</w:t>
      </w:r>
    </w:p>
    <w:p w14:paraId="1D4B8591" w14:textId="6A04606E" w:rsidR="00C70C5D" w:rsidRDefault="00C70C5D" w:rsidP="00C70C5D">
      <w:pPr>
        <w:pStyle w:val="Caption"/>
      </w:pPr>
      <w:bookmarkStart w:id="58" w:name="_Ref120536576"/>
      <w:r w:rsidRPr="00CE28E3">
        <w:t>Table</w:t>
      </w:r>
      <w:r>
        <w:t> </w:t>
      </w:r>
      <w:r>
        <w:fldChar w:fldCharType="begin"/>
      </w:r>
      <w:r>
        <w:instrText>SEQ Table \* ARABIC</w:instrText>
      </w:r>
      <w:r>
        <w:fldChar w:fldCharType="separate"/>
      </w:r>
      <w:r w:rsidR="00C25EB0">
        <w:rPr>
          <w:noProof/>
        </w:rPr>
        <w:t>13</w:t>
      </w:r>
      <w:r>
        <w:fldChar w:fldCharType="end"/>
      </w:r>
      <w:bookmarkEnd w:id="58"/>
      <w:r>
        <w:t xml:space="preserve"> </w:t>
      </w:r>
      <w:proofErr w:type="spellStart"/>
      <w:r>
        <w:t>Equi</w:t>
      </w:r>
      <w:proofErr w:type="spellEnd"/>
      <w:r>
        <w:t>-effective doses: Obizur versus NovoSeven and FEIBA estimated during the commentary</w:t>
      </w:r>
    </w:p>
    <w:tbl>
      <w:tblPr>
        <w:tblStyle w:val="TableGrid1"/>
        <w:tblW w:w="5000" w:type="pct"/>
        <w:tblLook w:val="04A0" w:firstRow="1" w:lastRow="0" w:firstColumn="1" w:lastColumn="0" w:noHBand="0" w:noVBand="1"/>
        <w:tblCaption w:val="Equi-effective doses: Obizur versus NovoSeven and FEIBA estimated during the commentary"/>
        <w:tblDescription w:val="Presents the equi-effective doses of intervention and comparator estimated during the evaluation"/>
      </w:tblPr>
      <w:tblGrid>
        <w:gridCol w:w="9016"/>
      </w:tblGrid>
      <w:tr w:rsidR="00C70C5D" w:rsidRPr="00122A09" w14:paraId="7D9CC845" w14:textId="77777777" w:rsidTr="00750623">
        <w:trPr>
          <w:cnfStyle w:val="100000000000" w:firstRow="1" w:lastRow="0" w:firstColumn="0" w:lastColumn="0" w:oddVBand="0" w:evenVBand="0" w:oddHBand="0" w:evenHBand="0" w:firstRowFirstColumn="0" w:firstRowLastColumn="0" w:lastRowFirstColumn="0" w:lastRowLastColumn="0"/>
          <w:trHeight w:val="197"/>
        </w:trPr>
        <w:tc>
          <w:tcPr>
            <w:tcW w:w="5000" w:type="pct"/>
            <w:shd w:val="clear" w:color="auto" w:fill="auto"/>
            <w:noWrap/>
            <w:vAlign w:val="center"/>
          </w:tcPr>
          <w:p w14:paraId="754FBA81" w14:textId="08DA545C" w:rsidR="00C70C5D" w:rsidRPr="00BF65D4" w:rsidRDefault="00C70C5D" w:rsidP="00750623">
            <w:pPr>
              <w:pStyle w:val="TableText"/>
              <w:keepNext/>
              <w:jc w:val="center"/>
            </w:pPr>
            <w:r w:rsidRPr="00BF65D4">
              <w:t xml:space="preserve">Obizur </w:t>
            </w:r>
            <w:r w:rsidR="00FC670C">
              <w:t>REDACTED</w:t>
            </w:r>
            <w:r w:rsidRPr="00BF65D4">
              <w:t xml:space="preserve"> Units per episode ≡ NovoSeven </w:t>
            </w:r>
            <w:r w:rsidR="00FC670C">
              <w:t>REDACTED</w:t>
            </w:r>
            <w:r w:rsidRPr="00BF65D4">
              <w:t xml:space="preserve"> µg per episode</w:t>
            </w:r>
          </w:p>
          <w:p w14:paraId="0EB2D4DD" w14:textId="348BE7DD" w:rsidR="00C70C5D" w:rsidRPr="00122A09" w:rsidRDefault="00C70C5D" w:rsidP="00750623">
            <w:pPr>
              <w:pStyle w:val="TableText"/>
              <w:keepNext/>
              <w:jc w:val="center"/>
              <w:rPr>
                <w:rFonts w:cs="Calibri"/>
                <w:color w:val="000000"/>
                <w:lang w:val="en-US"/>
              </w:rPr>
            </w:pPr>
            <w:r w:rsidRPr="00BF65D4">
              <w:t xml:space="preserve">Obizur </w:t>
            </w:r>
            <w:r w:rsidR="00FC670C">
              <w:t>REDACTED</w:t>
            </w:r>
            <w:r w:rsidRPr="00BF65D4">
              <w:t xml:space="preserve"> Units per episode ≡ FEIBA </w:t>
            </w:r>
            <w:r w:rsidR="00FC670C">
              <w:t>REDACTED</w:t>
            </w:r>
            <w:r w:rsidRPr="00BF65D4">
              <w:t xml:space="preserve"> Units per episode</w:t>
            </w:r>
          </w:p>
        </w:tc>
      </w:tr>
    </w:tbl>
    <w:p w14:paraId="51D4FB95" w14:textId="72C4747E" w:rsidR="00750623" w:rsidRDefault="00C70C5D" w:rsidP="00C70C5D">
      <w:pPr>
        <w:pStyle w:val="TableText"/>
        <w:keepNext/>
        <w:rPr>
          <w:sz w:val="18"/>
        </w:rPr>
      </w:pPr>
      <w:r w:rsidRPr="00B175F5">
        <w:rPr>
          <w:sz w:val="18"/>
        </w:rPr>
        <w:t>Source:</w:t>
      </w:r>
      <w:r>
        <w:rPr>
          <w:sz w:val="18"/>
        </w:rPr>
        <w:t xml:space="preserve"> </w:t>
      </w:r>
      <w:r w:rsidRPr="00596B55">
        <w:rPr>
          <w:sz w:val="18"/>
        </w:rPr>
        <w:t xml:space="preserve">Commentary Table 5, </w:t>
      </w:r>
      <w:proofErr w:type="spellStart"/>
      <w:r w:rsidRPr="00596B55">
        <w:rPr>
          <w:sz w:val="18"/>
        </w:rPr>
        <w:t>pg</w:t>
      </w:r>
      <w:proofErr w:type="spellEnd"/>
      <w:r w:rsidRPr="00596B55">
        <w:rPr>
          <w:sz w:val="18"/>
        </w:rPr>
        <w:t xml:space="preserve"> 161 and Commentary Table 7, </w:t>
      </w:r>
      <w:proofErr w:type="spellStart"/>
      <w:r w:rsidRPr="00596B55">
        <w:rPr>
          <w:sz w:val="18"/>
        </w:rPr>
        <w:t>pg</w:t>
      </w:r>
      <w:proofErr w:type="spellEnd"/>
      <w:r w:rsidRPr="00596B55">
        <w:rPr>
          <w:sz w:val="18"/>
        </w:rPr>
        <w:t xml:space="preserve"> 183 of the Commentary on MSAC 1714 ADAR</w:t>
      </w:r>
    </w:p>
    <w:p w14:paraId="7D5B4467" w14:textId="2E1C4417" w:rsidR="00750623" w:rsidRPr="00855D21" w:rsidRDefault="00750623" w:rsidP="00750623">
      <w:pPr>
        <w:pStyle w:val="Caption"/>
      </w:pPr>
      <w:r w:rsidRPr="00855D21">
        <w:t>Table </w:t>
      </w:r>
      <w:r>
        <w:fldChar w:fldCharType="begin"/>
      </w:r>
      <w:r>
        <w:instrText>SEQ Table \* ARABIC</w:instrText>
      </w:r>
      <w:r>
        <w:fldChar w:fldCharType="separate"/>
      </w:r>
      <w:r w:rsidR="00C25EB0">
        <w:rPr>
          <w:noProof/>
        </w:rPr>
        <w:t>14</w:t>
      </w:r>
      <w:r>
        <w:fldChar w:fldCharType="end"/>
      </w:r>
      <w:r w:rsidRPr="00855D21">
        <w:t xml:space="preserve"> Economic evaluation: Obizur versus NovoSeven </w:t>
      </w:r>
    </w:p>
    <w:tbl>
      <w:tblPr>
        <w:tblStyle w:val="TableGrid"/>
        <w:tblW w:w="0" w:type="auto"/>
        <w:tblLook w:val="04A0" w:firstRow="1" w:lastRow="0" w:firstColumn="1" w:lastColumn="0" w:noHBand="0" w:noVBand="1"/>
        <w:tblCaption w:val="Economic evaluation: Obizur versus NovoSeven "/>
        <w:tblDescription w:val="Presents the results of cost-minisation analyses of Obizue versus NovoSeven conducted by the applicant"/>
      </w:tblPr>
      <w:tblGrid>
        <w:gridCol w:w="1735"/>
        <w:gridCol w:w="1328"/>
        <w:gridCol w:w="1178"/>
        <w:gridCol w:w="1178"/>
        <w:gridCol w:w="1178"/>
        <w:gridCol w:w="1178"/>
        <w:gridCol w:w="1241"/>
      </w:tblGrid>
      <w:tr w:rsidR="00DE3DD0" w:rsidRPr="00855D21" w14:paraId="39EEC4A5" w14:textId="77777777" w:rsidTr="00750623">
        <w:trPr>
          <w:trHeight w:val="255"/>
          <w:tblHeader/>
        </w:trPr>
        <w:tc>
          <w:tcPr>
            <w:tcW w:w="1782" w:type="dxa"/>
            <w:vMerge w:val="restart"/>
            <w:noWrap/>
            <w:hideMark/>
          </w:tcPr>
          <w:p w14:paraId="315C1B14" w14:textId="77777777" w:rsidR="00750623" w:rsidRPr="004744AB" w:rsidRDefault="00750623" w:rsidP="004744AB">
            <w:pPr>
              <w:pStyle w:val="TableText"/>
              <w:keepNext/>
              <w:jc w:val="center"/>
            </w:pPr>
          </w:p>
        </w:tc>
        <w:tc>
          <w:tcPr>
            <w:tcW w:w="1363" w:type="dxa"/>
            <w:noWrap/>
            <w:hideMark/>
          </w:tcPr>
          <w:p w14:paraId="3587AB41" w14:textId="77777777" w:rsidR="00750623" w:rsidRPr="00685AED" w:rsidRDefault="00750623" w:rsidP="004744AB">
            <w:pPr>
              <w:pStyle w:val="TableText"/>
              <w:keepNext/>
              <w:jc w:val="center"/>
              <w:rPr>
                <w:b/>
              </w:rPr>
            </w:pPr>
            <w:r w:rsidRPr="00685AED">
              <w:rPr>
                <w:b/>
              </w:rPr>
              <w:t>Obizur</w:t>
            </w:r>
          </w:p>
        </w:tc>
        <w:tc>
          <w:tcPr>
            <w:tcW w:w="4598" w:type="dxa"/>
            <w:gridSpan w:val="4"/>
            <w:noWrap/>
          </w:tcPr>
          <w:p w14:paraId="30C1A00D" w14:textId="77777777" w:rsidR="00750623" w:rsidRPr="00685AED" w:rsidRDefault="00750623" w:rsidP="004744AB">
            <w:pPr>
              <w:pStyle w:val="TableText"/>
              <w:keepNext/>
              <w:jc w:val="center"/>
              <w:rPr>
                <w:b/>
              </w:rPr>
            </w:pPr>
            <w:r w:rsidRPr="00685AED">
              <w:rPr>
                <w:b/>
              </w:rPr>
              <w:t>NovoSeven</w:t>
            </w:r>
          </w:p>
        </w:tc>
        <w:tc>
          <w:tcPr>
            <w:tcW w:w="1273" w:type="dxa"/>
            <w:vMerge w:val="restart"/>
            <w:noWrap/>
            <w:vAlign w:val="center"/>
            <w:hideMark/>
          </w:tcPr>
          <w:p w14:paraId="0F25D87C" w14:textId="77777777" w:rsidR="00750623" w:rsidRPr="00685AED" w:rsidRDefault="00750623" w:rsidP="004744AB">
            <w:pPr>
              <w:pStyle w:val="TableText"/>
              <w:keepNext/>
              <w:jc w:val="center"/>
              <w:rPr>
                <w:b/>
              </w:rPr>
            </w:pPr>
            <w:r w:rsidRPr="00685AED">
              <w:rPr>
                <w:b/>
              </w:rPr>
              <w:t>Incremental</w:t>
            </w:r>
          </w:p>
        </w:tc>
      </w:tr>
      <w:tr w:rsidR="00DE3DD0" w:rsidRPr="00855D21" w14:paraId="342E4794" w14:textId="77777777" w:rsidTr="00750623">
        <w:trPr>
          <w:trHeight w:val="255"/>
          <w:tblHeader/>
        </w:trPr>
        <w:tc>
          <w:tcPr>
            <w:tcW w:w="1782" w:type="dxa"/>
            <w:vMerge/>
            <w:noWrap/>
            <w:hideMark/>
          </w:tcPr>
          <w:p w14:paraId="17FABF3E" w14:textId="77777777" w:rsidR="00750623" w:rsidRPr="004744AB" w:rsidRDefault="00750623" w:rsidP="004744AB">
            <w:pPr>
              <w:pStyle w:val="TableText"/>
              <w:keepNext/>
              <w:jc w:val="center"/>
            </w:pPr>
          </w:p>
        </w:tc>
        <w:tc>
          <w:tcPr>
            <w:tcW w:w="1363" w:type="dxa"/>
            <w:noWrap/>
            <w:hideMark/>
          </w:tcPr>
          <w:p w14:paraId="09876413" w14:textId="77777777" w:rsidR="00750623" w:rsidRPr="00685AED" w:rsidRDefault="00750623" w:rsidP="004744AB">
            <w:pPr>
              <w:pStyle w:val="TableText"/>
              <w:keepNext/>
              <w:jc w:val="center"/>
              <w:rPr>
                <w:b/>
              </w:rPr>
            </w:pPr>
            <w:r w:rsidRPr="00685AED">
              <w:rPr>
                <w:b/>
              </w:rPr>
              <w:t>500</w:t>
            </w:r>
          </w:p>
        </w:tc>
        <w:tc>
          <w:tcPr>
            <w:tcW w:w="1170" w:type="dxa"/>
            <w:noWrap/>
            <w:vAlign w:val="center"/>
            <w:hideMark/>
          </w:tcPr>
          <w:p w14:paraId="2A16E95F" w14:textId="77777777" w:rsidR="00750623" w:rsidRPr="00685AED" w:rsidRDefault="00750623" w:rsidP="004744AB">
            <w:pPr>
              <w:pStyle w:val="TableText"/>
              <w:keepNext/>
              <w:jc w:val="center"/>
              <w:rPr>
                <w:b/>
              </w:rPr>
            </w:pPr>
            <w:r w:rsidRPr="00685AED">
              <w:rPr>
                <w:b/>
              </w:rPr>
              <w:t>1 mg</w:t>
            </w:r>
          </w:p>
        </w:tc>
        <w:tc>
          <w:tcPr>
            <w:tcW w:w="1170" w:type="dxa"/>
            <w:noWrap/>
            <w:vAlign w:val="center"/>
          </w:tcPr>
          <w:p w14:paraId="4C03AB64" w14:textId="77777777" w:rsidR="00750623" w:rsidRPr="00685AED" w:rsidRDefault="00750623" w:rsidP="004744AB">
            <w:pPr>
              <w:pStyle w:val="TableText"/>
              <w:keepNext/>
              <w:jc w:val="center"/>
              <w:rPr>
                <w:b/>
              </w:rPr>
            </w:pPr>
            <w:r w:rsidRPr="00685AED">
              <w:rPr>
                <w:b/>
              </w:rPr>
              <w:t>2 mg</w:t>
            </w:r>
          </w:p>
        </w:tc>
        <w:tc>
          <w:tcPr>
            <w:tcW w:w="990" w:type="dxa"/>
            <w:noWrap/>
            <w:vAlign w:val="center"/>
          </w:tcPr>
          <w:p w14:paraId="43D2F8EA" w14:textId="77777777" w:rsidR="00750623" w:rsidRPr="00685AED" w:rsidRDefault="00750623" w:rsidP="004744AB">
            <w:pPr>
              <w:pStyle w:val="TableText"/>
              <w:keepNext/>
              <w:jc w:val="center"/>
              <w:rPr>
                <w:b/>
              </w:rPr>
            </w:pPr>
            <w:r w:rsidRPr="00685AED">
              <w:rPr>
                <w:b/>
              </w:rPr>
              <w:t>5 mg</w:t>
            </w:r>
          </w:p>
        </w:tc>
        <w:tc>
          <w:tcPr>
            <w:tcW w:w="1268" w:type="dxa"/>
            <w:vAlign w:val="center"/>
          </w:tcPr>
          <w:p w14:paraId="0FA3FDD4" w14:textId="77777777" w:rsidR="00750623" w:rsidRPr="00685AED" w:rsidRDefault="00750623" w:rsidP="004744AB">
            <w:pPr>
              <w:pStyle w:val="TableText"/>
              <w:keepNext/>
              <w:jc w:val="center"/>
              <w:rPr>
                <w:b/>
              </w:rPr>
            </w:pPr>
            <w:r w:rsidRPr="00685AED">
              <w:rPr>
                <w:b/>
              </w:rPr>
              <w:t>8 mg</w:t>
            </w:r>
          </w:p>
        </w:tc>
        <w:tc>
          <w:tcPr>
            <w:tcW w:w="1273" w:type="dxa"/>
            <w:vMerge/>
            <w:hideMark/>
          </w:tcPr>
          <w:p w14:paraId="214D792C" w14:textId="77777777" w:rsidR="00750623" w:rsidRPr="004744AB" w:rsidRDefault="00750623" w:rsidP="004744AB">
            <w:pPr>
              <w:pStyle w:val="TableText"/>
              <w:keepNext/>
              <w:jc w:val="center"/>
            </w:pPr>
          </w:p>
        </w:tc>
      </w:tr>
      <w:tr w:rsidR="00750623" w:rsidRPr="00855D21" w14:paraId="45E79323" w14:textId="77777777" w:rsidTr="00750623">
        <w:trPr>
          <w:trHeight w:val="255"/>
        </w:trPr>
        <w:tc>
          <w:tcPr>
            <w:tcW w:w="9016" w:type="dxa"/>
            <w:gridSpan w:val="7"/>
            <w:shd w:val="clear" w:color="auto" w:fill="auto"/>
          </w:tcPr>
          <w:p w14:paraId="6E7CD440" w14:textId="77777777" w:rsidR="00750623" w:rsidRPr="00685AED" w:rsidRDefault="00750623" w:rsidP="00685AED">
            <w:pPr>
              <w:pStyle w:val="TableText"/>
              <w:keepNext/>
              <w:rPr>
                <w:b/>
              </w:rPr>
            </w:pPr>
            <w:r w:rsidRPr="00685AED">
              <w:rPr>
                <w:b/>
              </w:rPr>
              <w:t>Medicines</w:t>
            </w:r>
          </w:p>
        </w:tc>
      </w:tr>
      <w:tr w:rsidR="00DE3DD0" w:rsidRPr="00855D21" w14:paraId="56E9C4D2" w14:textId="77777777" w:rsidTr="00750623">
        <w:trPr>
          <w:trHeight w:val="255"/>
        </w:trPr>
        <w:tc>
          <w:tcPr>
            <w:tcW w:w="1782" w:type="dxa"/>
            <w:noWrap/>
            <w:hideMark/>
          </w:tcPr>
          <w:p w14:paraId="6004712A" w14:textId="77777777" w:rsidR="00750623" w:rsidRPr="004744AB" w:rsidRDefault="00750623" w:rsidP="004744AB">
            <w:pPr>
              <w:pStyle w:val="TableText"/>
              <w:keepNext/>
              <w:jc w:val="center"/>
            </w:pPr>
            <w:r w:rsidRPr="004744AB">
              <w:t>Vials per episode</w:t>
            </w:r>
          </w:p>
        </w:tc>
        <w:tc>
          <w:tcPr>
            <w:tcW w:w="1363" w:type="dxa"/>
            <w:noWrap/>
          </w:tcPr>
          <w:p w14:paraId="25765517" w14:textId="28B7FAC1" w:rsidR="00750623" w:rsidRPr="00DE3DD0" w:rsidRDefault="00DE3DD0" w:rsidP="004744AB">
            <w:pPr>
              <w:pStyle w:val="TableText"/>
              <w:keepNext/>
              <w:jc w:val="center"/>
            </w:pPr>
            <w:r w:rsidRPr="00DE3DD0">
              <w:t>REDACTED</w:t>
            </w:r>
          </w:p>
        </w:tc>
        <w:tc>
          <w:tcPr>
            <w:tcW w:w="1170" w:type="dxa"/>
            <w:noWrap/>
          </w:tcPr>
          <w:p w14:paraId="47AB1E5C" w14:textId="351B9315" w:rsidR="00750623" w:rsidRPr="00DE3DD0" w:rsidRDefault="00DE3DD0" w:rsidP="004744AB">
            <w:pPr>
              <w:pStyle w:val="TableText"/>
              <w:keepNext/>
              <w:jc w:val="center"/>
            </w:pPr>
            <w:r w:rsidRPr="00DE3DD0">
              <w:t>REDACTED</w:t>
            </w:r>
          </w:p>
        </w:tc>
        <w:tc>
          <w:tcPr>
            <w:tcW w:w="1170" w:type="dxa"/>
            <w:noWrap/>
          </w:tcPr>
          <w:p w14:paraId="0AB88272" w14:textId="7DE665B7" w:rsidR="00750623" w:rsidRPr="00DE3DD0" w:rsidRDefault="00DE3DD0" w:rsidP="004744AB">
            <w:pPr>
              <w:pStyle w:val="TableText"/>
              <w:keepNext/>
              <w:jc w:val="center"/>
            </w:pPr>
            <w:r w:rsidRPr="00DE3DD0">
              <w:t>REDACTED</w:t>
            </w:r>
          </w:p>
        </w:tc>
        <w:tc>
          <w:tcPr>
            <w:tcW w:w="990" w:type="dxa"/>
            <w:noWrap/>
          </w:tcPr>
          <w:p w14:paraId="63710CC7" w14:textId="0AD91C90" w:rsidR="00750623" w:rsidRPr="00DE3DD0" w:rsidRDefault="00DE3DD0" w:rsidP="004744AB">
            <w:pPr>
              <w:pStyle w:val="TableText"/>
              <w:keepNext/>
              <w:jc w:val="center"/>
            </w:pPr>
            <w:r w:rsidRPr="00DE3DD0">
              <w:t>REDACTED</w:t>
            </w:r>
          </w:p>
        </w:tc>
        <w:tc>
          <w:tcPr>
            <w:tcW w:w="1268" w:type="dxa"/>
          </w:tcPr>
          <w:p w14:paraId="0304256F" w14:textId="3FA7D9EB" w:rsidR="00750623" w:rsidRPr="00DE3DD0" w:rsidRDefault="00DE3DD0" w:rsidP="004744AB">
            <w:pPr>
              <w:pStyle w:val="TableText"/>
              <w:keepNext/>
              <w:jc w:val="center"/>
            </w:pPr>
            <w:r w:rsidRPr="00DE3DD0">
              <w:t>REDACTED</w:t>
            </w:r>
          </w:p>
        </w:tc>
        <w:tc>
          <w:tcPr>
            <w:tcW w:w="1273" w:type="dxa"/>
            <w:vMerge w:val="restart"/>
            <w:noWrap/>
            <w:vAlign w:val="center"/>
          </w:tcPr>
          <w:p w14:paraId="511CBF75" w14:textId="77777777" w:rsidR="00750623" w:rsidRPr="004744AB" w:rsidRDefault="00750623" w:rsidP="004744AB">
            <w:pPr>
              <w:pStyle w:val="TableText"/>
              <w:keepNext/>
              <w:jc w:val="center"/>
            </w:pPr>
          </w:p>
        </w:tc>
      </w:tr>
      <w:tr w:rsidR="00DE3DD0" w:rsidRPr="00855D21" w14:paraId="7429C387" w14:textId="77777777" w:rsidTr="00750623">
        <w:trPr>
          <w:trHeight w:val="255"/>
        </w:trPr>
        <w:tc>
          <w:tcPr>
            <w:tcW w:w="1782" w:type="dxa"/>
            <w:tcBorders>
              <w:bottom w:val="single" w:sz="4" w:space="0" w:color="auto"/>
            </w:tcBorders>
            <w:noWrap/>
            <w:hideMark/>
          </w:tcPr>
          <w:p w14:paraId="61308A8C" w14:textId="25A9867B" w:rsidR="00750623" w:rsidRPr="004744AB" w:rsidRDefault="00750623" w:rsidP="004744AB">
            <w:pPr>
              <w:pStyle w:val="TableText"/>
              <w:keepNext/>
              <w:jc w:val="center"/>
            </w:pPr>
            <w:r w:rsidRPr="004744AB">
              <w:t>Price per vial</w:t>
            </w:r>
            <w:r w:rsidR="00DE3DD0">
              <w:t xml:space="preserve"> per episode</w:t>
            </w:r>
          </w:p>
        </w:tc>
        <w:tc>
          <w:tcPr>
            <w:tcW w:w="1363" w:type="dxa"/>
            <w:tcBorders>
              <w:bottom w:val="single" w:sz="4" w:space="0" w:color="auto"/>
            </w:tcBorders>
            <w:noWrap/>
          </w:tcPr>
          <w:p w14:paraId="1E400A08" w14:textId="255FD4FB" w:rsidR="00750623" w:rsidRPr="00DE3DD0" w:rsidRDefault="00750623" w:rsidP="004744AB">
            <w:pPr>
              <w:pStyle w:val="TableText"/>
              <w:keepNext/>
              <w:jc w:val="center"/>
            </w:pPr>
            <w:r w:rsidRPr="00DE3DD0">
              <w:t>$</w:t>
            </w:r>
            <w:r w:rsidR="00DE3DD0" w:rsidRPr="00DE3DD0">
              <w:t>REDACTED</w:t>
            </w:r>
          </w:p>
        </w:tc>
        <w:tc>
          <w:tcPr>
            <w:tcW w:w="1170" w:type="dxa"/>
            <w:tcBorders>
              <w:bottom w:val="single" w:sz="4" w:space="0" w:color="auto"/>
            </w:tcBorders>
            <w:noWrap/>
          </w:tcPr>
          <w:p w14:paraId="19CDA156" w14:textId="687A5508" w:rsidR="00750623" w:rsidRPr="00DE3DD0" w:rsidRDefault="00750623" w:rsidP="004744AB">
            <w:pPr>
              <w:pStyle w:val="TableText"/>
              <w:keepNext/>
              <w:jc w:val="center"/>
            </w:pPr>
            <w:r w:rsidRPr="00DE3DD0">
              <w:t>$</w:t>
            </w:r>
            <w:r w:rsidR="00DE3DD0" w:rsidRPr="00DE3DD0">
              <w:t>REDACTED</w:t>
            </w:r>
          </w:p>
        </w:tc>
        <w:tc>
          <w:tcPr>
            <w:tcW w:w="1170" w:type="dxa"/>
            <w:tcBorders>
              <w:bottom w:val="single" w:sz="4" w:space="0" w:color="auto"/>
            </w:tcBorders>
            <w:noWrap/>
          </w:tcPr>
          <w:p w14:paraId="00B31E36" w14:textId="381D086C" w:rsidR="00750623" w:rsidRPr="00DE3DD0" w:rsidRDefault="00750623" w:rsidP="004744AB">
            <w:pPr>
              <w:pStyle w:val="TableText"/>
              <w:keepNext/>
              <w:jc w:val="center"/>
            </w:pPr>
            <w:r w:rsidRPr="00DE3DD0">
              <w:t>$</w:t>
            </w:r>
            <w:r w:rsidR="00DE3DD0" w:rsidRPr="00DE3DD0">
              <w:t>REDACTED</w:t>
            </w:r>
          </w:p>
        </w:tc>
        <w:tc>
          <w:tcPr>
            <w:tcW w:w="990" w:type="dxa"/>
            <w:tcBorders>
              <w:bottom w:val="single" w:sz="4" w:space="0" w:color="auto"/>
            </w:tcBorders>
            <w:noWrap/>
          </w:tcPr>
          <w:p w14:paraId="729AB968" w14:textId="4CD8DC05" w:rsidR="00750623" w:rsidRPr="00DE3DD0" w:rsidRDefault="00750623" w:rsidP="004744AB">
            <w:pPr>
              <w:pStyle w:val="TableText"/>
              <w:keepNext/>
              <w:jc w:val="center"/>
            </w:pPr>
            <w:r w:rsidRPr="00DE3DD0">
              <w:t>$</w:t>
            </w:r>
            <w:r w:rsidR="00DE3DD0" w:rsidRPr="00DE3DD0">
              <w:t>REDACTED</w:t>
            </w:r>
          </w:p>
        </w:tc>
        <w:tc>
          <w:tcPr>
            <w:tcW w:w="1268" w:type="dxa"/>
            <w:tcBorders>
              <w:bottom w:val="single" w:sz="4" w:space="0" w:color="auto"/>
            </w:tcBorders>
          </w:tcPr>
          <w:p w14:paraId="34C7C90A" w14:textId="0707A085" w:rsidR="00750623" w:rsidRPr="00DE3DD0" w:rsidRDefault="00750623" w:rsidP="004744AB">
            <w:pPr>
              <w:pStyle w:val="TableText"/>
              <w:keepNext/>
              <w:jc w:val="center"/>
            </w:pPr>
            <w:r w:rsidRPr="00DE3DD0">
              <w:t>$</w:t>
            </w:r>
            <w:r w:rsidR="00DE3DD0" w:rsidRPr="00DE3DD0">
              <w:t>REDACTED</w:t>
            </w:r>
          </w:p>
        </w:tc>
        <w:tc>
          <w:tcPr>
            <w:tcW w:w="1273" w:type="dxa"/>
            <w:vMerge/>
            <w:noWrap/>
            <w:vAlign w:val="center"/>
          </w:tcPr>
          <w:p w14:paraId="6F784631" w14:textId="77777777" w:rsidR="00750623" w:rsidRPr="004744AB" w:rsidRDefault="00750623" w:rsidP="004744AB">
            <w:pPr>
              <w:pStyle w:val="TableText"/>
              <w:keepNext/>
              <w:jc w:val="center"/>
            </w:pPr>
          </w:p>
        </w:tc>
      </w:tr>
      <w:tr w:rsidR="00DE3DD0" w:rsidRPr="00855D21" w14:paraId="28362B53" w14:textId="77777777" w:rsidTr="00750623">
        <w:trPr>
          <w:trHeight w:val="255"/>
        </w:trPr>
        <w:tc>
          <w:tcPr>
            <w:tcW w:w="1782" w:type="dxa"/>
            <w:tcBorders>
              <w:bottom w:val="single" w:sz="4" w:space="0" w:color="auto"/>
            </w:tcBorders>
            <w:noWrap/>
            <w:hideMark/>
          </w:tcPr>
          <w:p w14:paraId="013F0A75" w14:textId="77777777" w:rsidR="00750623" w:rsidRPr="004744AB" w:rsidRDefault="00750623" w:rsidP="004744AB">
            <w:pPr>
              <w:pStyle w:val="TableText"/>
              <w:keepNext/>
              <w:jc w:val="center"/>
            </w:pPr>
            <w:r w:rsidRPr="004744AB">
              <w:t>Cost of vials per episode</w:t>
            </w:r>
          </w:p>
        </w:tc>
        <w:tc>
          <w:tcPr>
            <w:tcW w:w="1363" w:type="dxa"/>
            <w:tcBorders>
              <w:bottom w:val="single" w:sz="4" w:space="0" w:color="auto"/>
            </w:tcBorders>
            <w:noWrap/>
            <w:vAlign w:val="center"/>
          </w:tcPr>
          <w:p w14:paraId="6A80DA15" w14:textId="4AA5BFFE" w:rsidR="00750623" w:rsidRPr="00DE3DD0" w:rsidRDefault="00750623" w:rsidP="004744AB">
            <w:pPr>
              <w:pStyle w:val="TableText"/>
              <w:keepNext/>
              <w:jc w:val="center"/>
            </w:pPr>
            <w:r w:rsidRPr="00DE3DD0">
              <w:t>$</w:t>
            </w:r>
            <w:r w:rsidR="00DE3DD0" w:rsidRPr="00DE3DD0">
              <w:t>REDACTED</w:t>
            </w:r>
          </w:p>
        </w:tc>
        <w:tc>
          <w:tcPr>
            <w:tcW w:w="4598" w:type="dxa"/>
            <w:gridSpan w:val="4"/>
            <w:tcBorders>
              <w:bottom w:val="single" w:sz="4" w:space="0" w:color="auto"/>
            </w:tcBorders>
            <w:noWrap/>
            <w:vAlign w:val="center"/>
          </w:tcPr>
          <w:p w14:paraId="6C3B3E94" w14:textId="08E7A6E3" w:rsidR="00750623" w:rsidRPr="00DE3DD0" w:rsidRDefault="00750623" w:rsidP="004744AB">
            <w:pPr>
              <w:pStyle w:val="TableText"/>
              <w:keepNext/>
              <w:jc w:val="center"/>
            </w:pPr>
            <w:r w:rsidRPr="00DE3DD0">
              <w:t>$</w:t>
            </w:r>
            <w:r w:rsidR="00DE3DD0" w:rsidRPr="00DE3DD0">
              <w:t>REDACTED</w:t>
            </w:r>
          </w:p>
        </w:tc>
        <w:tc>
          <w:tcPr>
            <w:tcW w:w="1273" w:type="dxa"/>
            <w:vMerge/>
            <w:tcBorders>
              <w:bottom w:val="single" w:sz="4" w:space="0" w:color="auto"/>
            </w:tcBorders>
            <w:noWrap/>
            <w:vAlign w:val="center"/>
          </w:tcPr>
          <w:p w14:paraId="37DCAF19" w14:textId="77777777" w:rsidR="00750623" w:rsidRPr="004744AB" w:rsidRDefault="00750623" w:rsidP="004744AB">
            <w:pPr>
              <w:pStyle w:val="TableText"/>
              <w:keepNext/>
              <w:jc w:val="center"/>
            </w:pPr>
          </w:p>
        </w:tc>
      </w:tr>
      <w:tr w:rsidR="00DE3DD0" w:rsidRPr="00855D21" w14:paraId="62F9D73C" w14:textId="77777777" w:rsidTr="00750623">
        <w:trPr>
          <w:trHeight w:val="255"/>
        </w:trPr>
        <w:tc>
          <w:tcPr>
            <w:tcW w:w="1782" w:type="dxa"/>
            <w:tcBorders>
              <w:bottom w:val="single" w:sz="4" w:space="0" w:color="auto"/>
            </w:tcBorders>
            <w:noWrap/>
          </w:tcPr>
          <w:p w14:paraId="4128CF71" w14:textId="77777777" w:rsidR="00750623" w:rsidRPr="004744AB" w:rsidRDefault="00750623" w:rsidP="004744AB">
            <w:pPr>
              <w:pStyle w:val="TableText"/>
              <w:keepNext/>
              <w:jc w:val="center"/>
            </w:pPr>
            <w:r w:rsidRPr="004744AB">
              <w:t xml:space="preserve">Total </w:t>
            </w:r>
          </w:p>
        </w:tc>
        <w:tc>
          <w:tcPr>
            <w:tcW w:w="1363" w:type="dxa"/>
            <w:tcBorders>
              <w:bottom w:val="single" w:sz="4" w:space="0" w:color="auto"/>
            </w:tcBorders>
            <w:noWrap/>
            <w:vAlign w:val="center"/>
          </w:tcPr>
          <w:p w14:paraId="55AAF60B" w14:textId="39FA17B3" w:rsidR="00750623" w:rsidRPr="00DE3DD0" w:rsidRDefault="00750623" w:rsidP="004744AB">
            <w:pPr>
              <w:pStyle w:val="TableText"/>
              <w:keepNext/>
              <w:jc w:val="center"/>
            </w:pPr>
            <w:r w:rsidRPr="00DE3DD0">
              <w:t>$</w:t>
            </w:r>
            <w:r w:rsidR="00DE3DD0" w:rsidRPr="00DE3DD0">
              <w:t>REDACTED</w:t>
            </w:r>
          </w:p>
        </w:tc>
        <w:tc>
          <w:tcPr>
            <w:tcW w:w="4598" w:type="dxa"/>
            <w:gridSpan w:val="4"/>
            <w:tcBorders>
              <w:bottom w:val="single" w:sz="4" w:space="0" w:color="auto"/>
            </w:tcBorders>
            <w:noWrap/>
            <w:vAlign w:val="center"/>
          </w:tcPr>
          <w:p w14:paraId="1AADF597" w14:textId="2C852C2F" w:rsidR="00750623" w:rsidRPr="00DE3DD0" w:rsidRDefault="00750623" w:rsidP="004744AB">
            <w:pPr>
              <w:pStyle w:val="TableText"/>
              <w:keepNext/>
              <w:jc w:val="center"/>
            </w:pPr>
            <w:r w:rsidRPr="00DE3DD0">
              <w:t>$</w:t>
            </w:r>
            <w:r w:rsidR="00DE3DD0" w:rsidRPr="00DE3DD0">
              <w:t>REDACTED</w:t>
            </w:r>
          </w:p>
        </w:tc>
        <w:tc>
          <w:tcPr>
            <w:tcW w:w="1273" w:type="dxa"/>
            <w:tcBorders>
              <w:bottom w:val="single" w:sz="4" w:space="0" w:color="auto"/>
            </w:tcBorders>
            <w:noWrap/>
            <w:vAlign w:val="center"/>
          </w:tcPr>
          <w:p w14:paraId="1EB3636C" w14:textId="77777777" w:rsidR="00750623" w:rsidRPr="004744AB" w:rsidRDefault="00750623" w:rsidP="004744AB">
            <w:pPr>
              <w:pStyle w:val="TableText"/>
              <w:keepNext/>
              <w:jc w:val="center"/>
            </w:pPr>
            <w:r w:rsidRPr="004744AB">
              <w:t>-$573.58</w:t>
            </w:r>
          </w:p>
        </w:tc>
      </w:tr>
      <w:tr w:rsidR="00750623" w:rsidRPr="00855D21" w14:paraId="47723461" w14:textId="77777777" w:rsidTr="00750623">
        <w:trPr>
          <w:trHeight w:val="255"/>
        </w:trPr>
        <w:tc>
          <w:tcPr>
            <w:tcW w:w="9016" w:type="dxa"/>
            <w:gridSpan w:val="7"/>
            <w:tcBorders>
              <w:bottom w:val="single" w:sz="4" w:space="0" w:color="auto"/>
            </w:tcBorders>
            <w:shd w:val="clear" w:color="auto" w:fill="auto"/>
          </w:tcPr>
          <w:p w14:paraId="25C3110F" w14:textId="77777777" w:rsidR="00750623" w:rsidRPr="00DE3DD0" w:rsidRDefault="00750623" w:rsidP="00685AED">
            <w:pPr>
              <w:pStyle w:val="TableText"/>
              <w:keepNext/>
              <w:rPr>
                <w:b/>
              </w:rPr>
            </w:pPr>
            <w:r w:rsidRPr="00DE3DD0">
              <w:rPr>
                <w:b/>
              </w:rPr>
              <w:t>Monitoring</w:t>
            </w:r>
          </w:p>
        </w:tc>
      </w:tr>
      <w:tr w:rsidR="00DE3DD0" w:rsidRPr="00855D21" w14:paraId="6A0B612B" w14:textId="77777777" w:rsidTr="00750623">
        <w:trPr>
          <w:trHeight w:val="255"/>
        </w:trPr>
        <w:tc>
          <w:tcPr>
            <w:tcW w:w="1782" w:type="dxa"/>
            <w:tcBorders>
              <w:bottom w:val="single" w:sz="4" w:space="0" w:color="auto"/>
            </w:tcBorders>
            <w:noWrap/>
            <w:hideMark/>
          </w:tcPr>
          <w:p w14:paraId="03505578" w14:textId="77777777" w:rsidR="00750623" w:rsidRPr="004744AB" w:rsidRDefault="00750623" w:rsidP="004744AB">
            <w:pPr>
              <w:pStyle w:val="TableText"/>
              <w:keepNext/>
              <w:jc w:val="center"/>
            </w:pPr>
            <w:r w:rsidRPr="004744AB">
              <w:t>FVIII activity</w:t>
            </w:r>
          </w:p>
        </w:tc>
        <w:tc>
          <w:tcPr>
            <w:tcW w:w="1363" w:type="dxa"/>
            <w:tcBorders>
              <w:bottom w:val="single" w:sz="4" w:space="0" w:color="auto"/>
            </w:tcBorders>
            <w:noWrap/>
          </w:tcPr>
          <w:p w14:paraId="3BEB831C" w14:textId="0BFCE15E" w:rsidR="00750623" w:rsidRPr="00DE3DD0" w:rsidRDefault="00750623" w:rsidP="004744AB">
            <w:pPr>
              <w:pStyle w:val="TableText"/>
              <w:keepNext/>
              <w:jc w:val="center"/>
            </w:pPr>
            <w:r w:rsidRPr="00DE3DD0">
              <w:t>$</w:t>
            </w:r>
            <w:r w:rsidR="00DE3DD0" w:rsidRPr="00DE3DD0">
              <w:t>REDACTED</w:t>
            </w:r>
          </w:p>
        </w:tc>
        <w:tc>
          <w:tcPr>
            <w:tcW w:w="4598" w:type="dxa"/>
            <w:gridSpan w:val="4"/>
            <w:tcBorders>
              <w:bottom w:val="single" w:sz="4" w:space="0" w:color="auto"/>
            </w:tcBorders>
            <w:noWrap/>
          </w:tcPr>
          <w:p w14:paraId="55118A96" w14:textId="67AA61F1" w:rsidR="00750623" w:rsidRPr="00DE3DD0" w:rsidRDefault="00750623" w:rsidP="004744AB">
            <w:pPr>
              <w:pStyle w:val="TableText"/>
              <w:keepNext/>
              <w:jc w:val="center"/>
            </w:pPr>
            <w:r w:rsidRPr="00DE3DD0">
              <w:t>$</w:t>
            </w:r>
            <w:r w:rsidR="00DE3DD0" w:rsidRPr="00DE3DD0">
              <w:t>REDACTED</w:t>
            </w:r>
          </w:p>
        </w:tc>
        <w:tc>
          <w:tcPr>
            <w:tcW w:w="1273" w:type="dxa"/>
            <w:vMerge w:val="restart"/>
            <w:noWrap/>
          </w:tcPr>
          <w:p w14:paraId="1CFE7CED" w14:textId="77777777" w:rsidR="00750623" w:rsidRPr="004744AB" w:rsidRDefault="00750623" w:rsidP="004744AB">
            <w:pPr>
              <w:pStyle w:val="TableText"/>
              <w:keepNext/>
              <w:jc w:val="center"/>
            </w:pPr>
          </w:p>
        </w:tc>
      </w:tr>
      <w:tr w:rsidR="00DE3DD0" w:rsidRPr="00855D21" w14:paraId="461CB423" w14:textId="77777777" w:rsidTr="00750623">
        <w:trPr>
          <w:trHeight w:val="255"/>
        </w:trPr>
        <w:tc>
          <w:tcPr>
            <w:tcW w:w="1782" w:type="dxa"/>
            <w:tcBorders>
              <w:bottom w:val="single" w:sz="4" w:space="0" w:color="auto"/>
            </w:tcBorders>
            <w:noWrap/>
          </w:tcPr>
          <w:p w14:paraId="519B9CFD" w14:textId="77777777" w:rsidR="00750623" w:rsidRPr="004744AB" w:rsidRDefault="00750623" w:rsidP="004744AB">
            <w:pPr>
              <w:pStyle w:val="TableText"/>
              <w:keepNext/>
              <w:jc w:val="center"/>
            </w:pPr>
            <w:r w:rsidRPr="004744AB">
              <w:t>Inhibitor titres</w:t>
            </w:r>
          </w:p>
        </w:tc>
        <w:tc>
          <w:tcPr>
            <w:tcW w:w="1363" w:type="dxa"/>
            <w:tcBorders>
              <w:bottom w:val="single" w:sz="4" w:space="0" w:color="auto"/>
            </w:tcBorders>
            <w:noWrap/>
          </w:tcPr>
          <w:p w14:paraId="59E2851A" w14:textId="0E7C5177" w:rsidR="00750623" w:rsidRPr="00DE3DD0" w:rsidRDefault="00750623" w:rsidP="004744AB">
            <w:pPr>
              <w:pStyle w:val="TableText"/>
              <w:keepNext/>
              <w:jc w:val="center"/>
            </w:pPr>
            <w:r w:rsidRPr="00DE3DD0">
              <w:t>$</w:t>
            </w:r>
            <w:r w:rsidR="00DE3DD0" w:rsidRPr="00DE3DD0">
              <w:t>REDACTED</w:t>
            </w:r>
          </w:p>
        </w:tc>
        <w:tc>
          <w:tcPr>
            <w:tcW w:w="4598" w:type="dxa"/>
            <w:gridSpan w:val="4"/>
            <w:tcBorders>
              <w:bottom w:val="single" w:sz="4" w:space="0" w:color="auto"/>
            </w:tcBorders>
            <w:noWrap/>
          </w:tcPr>
          <w:p w14:paraId="62192590" w14:textId="155C00F8" w:rsidR="00750623" w:rsidRPr="00DE3DD0" w:rsidRDefault="00750623" w:rsidP="004744AB">
            <w:pPr>
              <w:pStyle w:val="TableText"/>
              <w:keepNext/>
              <w:jc w:val="center"/>
            </w:pPr>
            <w:r w:rsidRPr="00DE3DD0">
              <w:t>$</w:t>
            </w:r>
            <w:r w:rsidR="00DE3DD0" w:rsidRPr="00DE3DD0">
              <w:t>REDACTED</w:t>
            </w:r>
          </w:p>
        </w:tc>
        <w:tc>
          <w:tcPr>
            <w:tcW w:w="1273" w:type="dxa"/>
            <w:vMerge/>
            <w:tcBorders>
              <w:bottom w:val="single" w:sz="4" w:space="0" w:color="auto"/>
            </w:tcBorders>
            <w:noWrap/>
          </w:tcPr>
          <w:p w14:paraId="79C2ED76" w14:textId="77777777" w:rsidR="00750623" w:rsidRPr="004744AB" w:rsidRDefault="00750623" w:rsidP="004744AB">
            <w:pPr>
              <w:pStyle w:val="TableText"/>
              <w:keepNext/>
              <w:jc w:val="center"/>
            </w:pPr>
          </w:p>
        </w:tc>
      </w:tr>
      <w:tr w:rsidR="00DE3DD0" w:rsidRPr="00855D21" w14:paraId="4389B813" w14:textId="77777777" w:rsidTr="00750623">
        <w:trPr>
          <w:trHeight w:val="255"/>
        </w:trPr>
        <w:tc>
          <w:tcPr>
            <w:tcW w:w="1782" w:type="dxa"/>
            <w:tcBorders>
              <w:top w:val="single" w:sz="4" w:space="0" w:color="auto"/>
              <w:bottom w:val="single" w:sz="4" w:space="0" w:color="auto"/>
            </w:tcBorders>
            <w:noWrap/>
            <w:vAlign w:val="center"/>
            <w:hideMark/>
          </w:tcPr>
          <w:p w14:paraId="56378EAF" w14:textId="77777777" w:rsidR="00750623" w:rsidRPr="004744AB" w:rsidRDefault="00750623" w:rsidP="004744AB">
            <w:pPr>
              <w:pStyle w:val="TableText"/>
              <w:keepNext/>
              <w:jc w:val="center"/>
            </w:pPr>
            <w:r w:rsidRPr="004744AB">
              <w:t xml:space="preserve">Total </w:t>
            </w:r>
          </w:p>
        </w:tc>
        <w:tc>
          <w:tcPr>
            <w:tcW w:w="1363" w:type="dxa"/>
            <w:tcBorders>
              <w:top w:val="single" w:sz="4" w:space="0" w:color="auto"/>
              <w:bottom w:val="single" w:sz="4" w:space="0" w:color="auto"/>
            </w:tcBorders>
            <w:noWrap/>
          </w:tcPr>
          <w:p w14:paraId="2C69C5F6" w14:textId="059DF03B" w:rsidR="00750623" w:rsidRPr="00DE3DD0" w:rsidRDefault="00750623" w:rsidP="004744AB">
            <w:pPr>
              <w:pStyle w:val="TableText"/>
              <w:keepNext/>
              <w:jc w:val="center"/>
            </w:pPr>
            <w:r w:rsidRPr="00DE3DD0">
              <w:t>$</w:t>
            </w:r>
            <w:r w:rsidR="00DE3DD0" w:rsidRPr="00DE3DD0">
              <w:t>REDACTED</w:t>
            </w:r>
          </w:p>
        </w:tc>
        <w:tc>
          <w:tcPr>
            <w:tcW w:w="4598" w:type="dxa"/>
            <w:gridSpan w:val="4"/>
            <w:tcBorders>
              <w:top w:val="single" w:sz="4" w:space="0" w:color="auto"/>
              <w:bottom w:val="single" w:sz="4" w:space="0" w:color="auto"/>
            </w:tcBorders>
            <w:noWrap/>
          </w:tcPr>
          <w:p w14:paraId="70DC47E7" w14:textId="37C74D48" w:rsidR="00750623" w:rsidRPr="00DE3DD0" w:rsidRDefault="00750623" w:rsidP="004744AB">
            <w:pPr>
              <w:pStyle w:val="TableText"/>
              <w:keepNext/>
              <w:jc w:val="center"/>
            </w:pPr>
            <w:r w:rsidRPr="00DE3DD0">
              <w:t>$</w:t>
            </w:r>
            <w:r w:rsidR="00DE3DD0" w:rsidRPr="00DE3DD0">
              <w:t>REDACTED</w:t>
            </w:r>
          </w:p>
        </w:tc>
        <w:tc>
          <w:tcPr>
            <w:tcW w:w="1273" w:type="dxa"/>
            <w:tcBorders>
              <w:top w:val="single" w:sz="4" w:space="0" w:color="auto"/>
              <w:bottom w:val="single" w:sz="4" w:space="0" w:color="auto"/>
            </w:tcBorders>
            <w:noWrap/>
          </w:tcPr>
          <w:p w14:paraId="4DBF6B71" w14:textId="77777777" w:rsidR="00750623" w:rsidRPr="004744AB" w:rsidRDefault="00750623" w:rsidP="004744AB">
            <w:pPr>
              <w:pStyle w:val="TableText"/>
              <w:keepNext/>
              <w:jc w:val="center"/>
            </w:pPr>
            <w:r w:rsidRPr="004744AB">
              <w:t>$629.47</w:t>
            </w:r>
          </w:p>
        </w:tc>
      </w:tr>
      <w:tr w:rsidR="00750623" w:rsidRPr="00855D21" w14:paraId="40620B46" w14:textId="77777777" w:rsidTr="00750623">
        <w:trPr>
          <w:trHeight w:val="255"/>
        </w:trPr>
        <w:tc>
          <w:tcPr>
            <w:tcW w:w="9016" w:type="dxa"/>
            <w:gridSpan w:val="7"/>
            <w:tcBorders>
              <w:bottom w:val="single" w:sz="4" w:space="0" w:color="auto"/>
            </w:tcBorders>
            <w:shd w:val="clear" w:color="auto" w:fill="auto"/>
          </w:tcPr>
          <w:p w14:paraId="15678B92" w14:textId="77777777" w:rsidR="00750623" w:rsidRPr="00DE3DD0" w:rsidRDefault="00750623" w:rsidP="00685AED">
            <w:pPr>
              <w:pStyle w:val="TableText"/>
              <w:keepNext/>
              <w:rPr>
                <w:b/>
              </w:rPr>
            </w:pPr>
            <w:r w:rsidRPr="00DE3DD0">
              <w:rPr>
                <w:b/>
              </w:rPr>
              <w:t>Adverse events</w:t>
            </w:r>
          </w:p>
        </w:tc>
      </w:tr>
      <w:tr w:rsidR="00DE3DD0" w:rsidRPr="00855D21" w14:paraId="2A443680" w14:textId="77777777" w:rsidTr="00750623">
        <w:trPr>
          <w:trHeight w:val="255"/>
        </w:trPr>
        <w:tc>
          <w:tcPr>
            <w:tcW w:w="1782" w:type="dxa"/>
            <w:tcBorders>
              <w:bottom w:val="single" w:sz="4" w:space="0" w:color="auto"/>
            </w:tcBorders>
            <w:noWrap/>
            <w:hideMark/>
          </w:tcPr>
          <w:p w14:paraId="0C574EDB" w14:textId="77777777" w:rsidR="00750623" w:rsidRPr="004744AB" w:rsidRDefault="00750623" w:rsidP="004744AB">
            <w:pPr>
              <w:pStyle w:val="TableText"/>
              <w:keepNext/>
              <w:jc w:val="center"/>
            </w:pPr>
            <w:r w:rsidRPr="004744AB">
              <w:t>Thrombotic events</w:t>
            </w:r>
          </w:p>
        </w:tc>
        <w:tc>
          <w:tcPr>
            <w:tcW w:w="1363" w:type="dxa"/>
            <w:tcBorders>
              <w:bottom w:val="single" w:sz="4" w:space="0" w:color="auto"/>
            </w:tcBorders>
            <w:noWrap/>
          </w:tcPr>
          <w:p w14:paraId="0C78D38C" w14:textId="73ECA1F0" w:rsidR="00750623" w:rsidRPr="00DE3DD0" w:rsidRDefault="00750623" w:rsidP="004744AB">
            <w:pPr>
              <w:pStyle w:val="TableText"/>
              <w:keepNext/>
              <w:jc w:val="center"/>
            </w:pPr>
            <w:r w:rsidRPr="00DE3DD0">
              <w:t>$</w:t>
            </w:r>
            <w:r w:rsidR="00DE3DD0" w:rsidRPr="00DE3DD0">
              <w:t>REDACTED</w:t>
            </w:r>
          </w:p>
        </w:tc>
        <w:tc>
          <w:tcPr>
            <w:tcW w:w="4598" w:type="dxa"/>
            <w:gridSpan w:val="4"/>
            <w:tcBorders>
              <w:bottom w:val="single" w:sz="4" w:space="0" w:color="auto"/>
            </w:tcBorders>
            <w:noWrap/>
          </w:tcPr>
          <w:p w14:paraId="125846E1" w14:textId="15EC60E0" w:rsidR="00750623" w:rsidRPr="00DE3DD0" w:rsidRDefault="00750623" w:rsidP="004744AB">
            <w:pPr>
              <w:pStyle w:val="TableText"/>
              <w:keepNext/>
              <w:jc w:val="center"/>
            </w:pPr>
            <w:r w:rsidRPr="00DE3DD0">
              <w:t>$</w:t>
            </w:r>
            <w:r w:rsidR="00DE3DD0" w:rsidRPr="00DE3DD0">
              <w:t>REDACTED</w:t>
            </w:r>
          </w:p>
        </w:tc>
        <w:tc>
          <w:tcPr>
            <w:tcW w:w="1273" w:type="dxa"/>
            <w:tcBorders>
              <w:bottom w:val="single" w:sz="4" w:space="0" w:color="auto"/>
            </w:tcBorders>
            <w:noWrap/>
          </w:tcPr>
          <w:p w14:paraId="5FA3CEDF" w14:textId="77777777" w:rsidR="00750623" w:rsidRPr="004744AB" w:rsidRDefault="00750623" w:rsidP="004744AB">
            <w:pPr>
              <w:pStyle w:val="TableText"/>
              <w:keepNext/>
              <w:jc w:val="center"/>
            </w:pPr>
          </w:p>
        </w:tc>
      </w:tr>
      <w:tr w:rsidR="00DE3DD0" w:rsidRPr="00855D21" w14:paraId="77B3594C" w14:textId="77777777" w:rsidTr="00750623">
        <w:trPr>
          <w:trHeight w:val="255"/>
        </w:trPr>
        <w:tc>
          <w:tcPr>
            <w:tcW w:w="1782" w:type="dxa"/>
            <w:tcBorders>
              <w:top w:val="single" w:sz="4" w:space="0" w:color="auto"/>
              <w:bottom w:val="single" w:sz="4" w:space="0" w:color="auto"/>
            </w:tcBorders>
            <w:noWrap/>
            <w:vAlign w:val="center"/>
            <w:hideMark/>
          </w:tcPr>
          <w:p w14:paraId="15EB9F26" w14:textId="77777777" w:rsidR="00750623" w:rsidRPr="004744AB" w:rsidRDefault="00750623" w:rsidP="004744AB">
            <w:pPr>
              <w:pStyle w:val="TableText"/>
              <w:keepNext/>
              <w:jc w:val="center"/>
            </w:pPr>
            <w:r w:rsidRPr="004744AB">
              <w:t xml:space="preserve">Total </w:t>
            </w:r>
          </w:p>
        </w:tc>
        <w:tc>
          <w:tcPr>
            <w:tcW w:w="1363" w:type="dxa"/>
            <w:tcBorders>
              <w:top w:val="single" w:sz="4" w:space="0" w:color="auto"/>
              <w:bottom w:val="single" w:sz="4" w:space="0" w:color="auto"/>
            </w:tcBorders>
            <w:noWrap/>
          </w:tcPr>
          <w:p w14:paraId="0B4535B2" w14:textId="34829A3C" w:rsidR="00750623" w:rsidRPr="00DE3DD0" w:rsidRDefault="00750623" w:rsidP="004744AB">
            <w:pPr>
              <w:pStyle w:val="TableText"/>
              <w:keepNext/>
              <w:jc w:val="center"/>
            </w:pPr>
            <w:r w:rsidRPr="00DE3DD0">
              <w:t>$</w:t>
            </w:r>
            <w:r w:rsidR="00DE3DD0" w:rsidRPr="00DE3DD0">
              <w:t>REDACTED</w:t>
            </w:r>
          </w:p>
        </w:tc>
        <w:tc>
          <w:tcPr>
            <w:tcW w:w="4598" w:type="dxa"/>
            <w:gridSpan w:val="4"/>
            <w:tcBorders>
              <w:top w:val="single" w:sz="4" w:space="0" w:color="auto"/>
              <w:bottom w:val="single" w:sz="4" w:space="0" w:color="auto"/>
            </w:tcBorders>
            <w:noWrap/>
          </w:tcPr>
          <w:p w14:paraId="7929ACAD" w14:textId="11565440" w:rsidR="00750623" w:rsidRPr="00DE3DD0" w:rsidRDefault="00750623" w:rsidP="004744AB">
            <w:pPr>
              <w:pStyle w:val="TableText"/>
              <w:keepNext/>
              <w:jc w:val="center"/>
            </w:pPr>
            <w:r w:rsidRPr="00DE3DD0">
              <w:t>$</w:t>
            </w:r>
            <w:r w:rsidR="00DE3DD0" w:rsidRPr="00DE3DD0">
              <w:t>REDACTED</w:t>
            </w:r>
          </w:p>
        </w:tc>
        <w:tc>
          <w:tcPr>
            <w:tcW w:w="1273" w:type="dxa"/>
            <w:tcBorders>
              <w:top w:val="single" w:sz="4" w:space="0" w:color="auto"/>
              <w:bottom w:val="single" w:sz="4" w:space="0" w:color="auto"/>
            </w:tcBorders>
            <w:noWrap/>
          </w:tcPr>
          <w:p w14:paraId="4ED25FD5" w14:textId="77777777" w:rsidR="00750623" w:rsidRPr="004744AB" w:rsidRDefault="00750623" w:rsidP="004744AB">
            <w:pPr>
              <w:pStyle w:val="TableText"/>
              <w:keepNext/>
              <w:jc w:val="center"/>
            </w:pPr>
            <w:r w:rsidRPr="004744AB">
              <w:t>-$55.89</w:t>
            </w:r>
          </w:p>
        </w:tc>
      </w:tr>
      <w:tr w:rsidR="00750623" w:rsidRPr="00855D21" w14:paraId="5E67E810" w14:textId="77777777" w:rsidTr="00750623">
        <w:trPr>
          <w:trHeight w:val="255"/>
        </w:trPr>
        <w:tc>
          <w:tcPr>
            <w:tcW w:w="9016" w:type="dxa"/>
            <w:gridSpan w:val="7"/>
            <w:tcBorders>
              <w:top w:val="single" w:sz="4" w:space="0" w:color="auto"/>
              <w:bottom w:val="single" w:sz="4" w:space="0" w:color="auto"/>
            </w:tcBorders>
            <w:shd w:val="clear" w:color="auto" w:fill="auto"/>
          </w:tcPr>
          <w:p w14:paraId="3675C088" w14:textId="77777777" w:rsidR="00750623" w:rsidRPr="00DE3DD0" w:rsidRDefault="00750623" w:rsidP="00685AED">
            <w:pPr>
              <w:pStyle w:val="TableText"/>
              <w:keepNext/>
              <w:rPr>
                <w:b/>
              </w:rPr>
            </w:pPr>
            <w:r w:rsidRPr="00DE3DD0">
              <w:rPr>
                <w:b/>
              </w:rPr>
              <w:t>Total cost of treatment per bleeding episode</w:t>
            </w:r>
          </w:p>
        </w:tc>
      </w:tr>
      <w:tr w:rsidR="00DE3DD0" w:rsidRPr="0017612C" w14:paraId="7DB0EA47" w14:textId="77777777" w:rsidTr="00750623">
        <w:trPr>
          <w:trHeight w:val="255"/>
        </w:trPr>
        <w:tc>
          <w:tcPr>
            <w:tcW w:w="1782" w:type="dxa"/>
            <w:tcBorders>
              <w:top w:val="single" w:sz="4" w:space="0" w:color="auto"/>
            </w:tcBorders>
            <w:noWrap/>
            <w:vAlign w:val="center"/>
            <w:hideMark/>
          </w:tcPr>
          <w:p w14:paraId="533E92AA" w14:textId="77777777" w:rsidR="00750623" w:rsidRPr="004744AB" w:rsidRDefault="00750623" w:rsidP="004744AB">
            <w:pPr>
              <w:pStyle w:val="TableText"/>
              <w:keepNext/>
              <w:jc w:val="center"/>
            </w:pPr>
            <w:r w:rsidRPr="004744AB">
              <w:t xml:space="preserve">Total </w:t>
            </w:r>
          </w:p>
        </w:tc>
        <w:tc>
          <w:tcPr>
            <w:tcW w:w="1363" w:type="dxa"/>
            <w:tcBorders>
              <w:top w:val="single" w:sz="4" w:space="0" w:color="auto"/>
            </w:tcBorders>
            <w:noWrap/>
          </w:tcPr>
          <w:p w14:paraId="228D7055" w14:textId="6FC98A51" w:rsidR="00750623" w:rsidRPr="00DE3DD0" w:rsidRDefault="00750623" w:rsidP="004744AB">
            <w:pPr>
              <w:pStyle w:val="TableText"/>
              <w:keepNext/>
              <w:jc w:val="center"/>
            </w:pPr>
            <w:r w:rsidRPr="00DE3DD0">
              <w:t>$</w:t>
            </w:r>
            <w:r w:rsidR="00DE3DD0" w:rsidRPr="00DE3DD0">
              <w:t>REDACTED</w:t>
            </w:r>
          </w:p>
        </w:tc>
        <w:tc>
          <w:tcPr>
            <w:tcW w:w="4598" w:type="dxa"/>
            <w:gridSpan w:val="4"/>
            <w:tcBorders>
              <w:top w:val="single" w:sz="4" w:space="0" w:color="auto"/>
            </w:tcBorders>
            <w:noWrap/>
          </w:tcPr>
          <w:p w14:paraId="271B27ED" w14:textId="4F33714A" w:rsidR="00750623" w:rsidRPr="00DE3DD0" w:rsidRDefault="00750623" w:rsidP="004744AB">
            <w:pPr>
              <w:pStyle w:val="TableText"/>
              <w:keepNext/>
              <w:jc w:val="center"/>
            </w:pPr>
            <w:r w:rsidRPr="00DE3DD0">
              <w:t>$</w:t>
            </w:r>
            <w:r w:rsidR="00DE3DD0" w:rsidRPr="00DE3DD0">
              <w:t>REDACTED</w:t>
            </w:r>
          </w:p>
        </w:tc>
        <w:tc>
          <w:tcPr>
            <w:tcW w:w="1273" w:type="dxa"/>
            <w:tcBorders>
              <w:top w:val="single" w:sz="4" w:space="0" w:color="auto"/>
            </w:tcBorders>
            <w:noWrap/>
          </w:tcPr>
          <w:p w14:paraId="57D767AB" w14:textId="77777777" w:rsidR="00750623" w:rsidRPr="004744AB" w:rsidRDefault="00750623" w:rsidP="004744AB">
            <w:pPr>
              <w:pStyle w:val="TableText"/>
              <w:keepNext/>
              <w:jc w:val="center"/>
            </w:pPr>
            <w:r w:rsidRPr="004744AB">
              <w:t>$0.00</w:t>
            </w:r>
          </w:p>
        </w:tc>
      </w:tr>
    </w:tbl>
    <w:p w14:paraId="02B38611" w14:textId="65C08F31" w:rsidR="008D4F50" w:rsidRPr="008D4F50" w:rsidRDefault="00C70C5D" w:rsidP="008D4F50">
      <w:pPr>
        <w:pStyle w:val="TableText"/>
        <w:keepNext/>
        <w:rPr>
          <w:sz w:val="18"/>
        </w:rPr>
      </w:pPr>
      <w:r w:rsidRPr="004744AB">
        <w:rPr>
          <w:sz w:val="18"/>
        </w:rPr>
        <w:t xml:space="preserve">Source: Table 98, </w:t>
      </w:r>
      <w:proofErr w:type="spellStart"/>
      <w:r w:rsidRPr="004744AB">
        <w:rPr>
          <w:sz w:val="18"/>
        </w:rPr>
        <w:t>pg</w:t>
      </w:r>
      <w:proofErr w:type="spellEnd"/>
      <w:r w:rsidRPr="004744AB">
        <w:rPr>
          <w:sz w:val="18"/>
        </w:rPr>
        <w:t xml:space="preserve"> 148 of the MSAC 1714 ADAR</w:t>
      </w:r>
      <w:r w:rsidR="008D4F50">
        <w:br w:type="page"/>
      </w:r>
    </w:p>
    <w:p w14:paraId="6E11B125" w14:textId="69CA0FC3" w:rsidR="00C70C5D" w:rsidRDefault="00C70C5D" w:rsidP="00685AED">
      <w:pPr>
        <w:pStyle w:val="Caption"/>
        <w:keepLines/>
      </w:pPr>
      <w:r w:rsidRPr="00CE28E3">
        <w:lastRenderedPageBreak/>
        <w:t>Table</w:t>
      </w:r>
      <w:r>
        <w:t> </w:t>
      </w:r>
      <w:r>
        <w:fldChar w:fldCharType="begin"/>
      </w:r>
      <w:r>
        <w:instrText>SEQ Table \* ARABIC</w:instrText>
      </w:r>
      <w:r>
        <w:fldChar w:fldCharType="separate"/>
      </w:r>
      <w:r w:rsidR="00C25EB0">
        <w:rPr>
          <w:noProof/>
        </w:rPr>
        <w:t>15</w:t>
      </w:r>
      <w:r>
        <w:fldChar w:fldCharType="end"/>
      </w:r>
      <w:r>
        <w:t xml:space="preserve"> Economic evaluation: Obizur versus FEIBA </w:t>
      </w:r>
    </w:p>
    <w:tbl>
      <w:tblPr>
        <w:tblStyle w:val="TableGrid"/>
        <w:tblW w:w="0" w:type="auto"/>
        <w:tblLook w:val="04A0" w:firstRow="1" w:lastRow="0" w:firstColumn="1" w:lastColumn="0" w:noHBand="0" w:noVBand="1"/>
        <w:tblCaption w:val="Economic evaluation: Obizur versus FEIBA "/>
        <w:tblDescription w:val="Presents the results of cost-minisation analyses of Obizur versus FEIBA conducted by the applicant"/>
      </w:tblPr>
      <w:tblGrid>
        <w:gridCol w:w="1829"/>
        <w:gridCol w:w="2197"/>
        <w:gridCol w:w="1255"/>
        <w:gridCol w:w="1204"/>
        <w:gridCol w:w="1255"/>
        <w:gridCol w:w="1276"/>
      </w:tblGrid>
      <w:tr w:rsidR="00DE3DD0" w:rsidRPr="0017612C" w14:paraId="5843A28D" w14:textId="77777777" w:rsidTr="00685AED">
        <w:trPr>
          <w:cantSplit/>
          <w:trHeight w:val="255"/>
          <w:tblHeader/>
        </w:trPr>
        <w:tc>
          <w:tcPr>
            <w:tcW w:w="1838" w:type="dxa"/>
            <w:vMerge w:val="restart"/>
            <w:noWrap/>
            <w:hideMark/>
          </w:tcPr>
          <w:p w14:paraId="37C5C384" w14:textId="77777777" w:rsidR="00C70C5D" w:rsidRPr="00855D21" w:rsidRDefault="00C70C5D" w:rsidP="00685AED">
            <w:pPr>
              <w:spacing w:line="276" w:lineRule="auto"/>
              <w:rPr>
                <w:rFonts w:ascii="Arial Narrow" w:eastAsia="Times New Roman" w:hAnsi="Arial Narrow" w:cstheme="minorHAnsi"/>
                <w:b/>
                <w:color w:val="000000"/>
                <w:sz w:val="20"/>
                <w:szCs w:val="20"/>
                <w:lang w:val="en-US"/>
              </w:rPr>
            </w:pPr>
          </w:p>
        </w:tc>
        <w:tc>
          <w:tcPr>
            <w:tcW w:w="2207" w:type="dxa"/>
            <w:noWrap/>
            <w:hideMark/>
          </w:tcPr>
          <w:p w14:paraId="38EA6829" w14:textId="77777777" w:rsidR="00C70C5D" w:rsidRPr="00855D21" w:rsidRDefault="00C70C5D" w:rsidP="00685AED">
            <w:pPr>
              <w:spacing w:line="276" w:lineRule="auto"/>
              <w:jc w:val="center"/>
              <w:rPr>
                <w:rFonts w:ascii="Arial Narrow" w:eastAsia="Times New Roman" w:hAnsi="Arial Narrow" w:cstheme="minorHAnsi"/>
                <w:b/>
                <w:color w:val="000000"/>
                <w:sz w:val="20"/>
                <w:szCs w:val="20"/>
                <w:lang w:val="en-US"/>
              </w:rPr>
            </w:pPr>
            <w:r w:rsidRPr="00855D21">
              <w:rPr>
                <w:rFonts w:ascii="Arial Narrow" w:eastAsia="Times New Roman" w:hAnsi="Arial Narrow" w:cstheme="minorHAnsi"/>
                <w:b/>
                <w:color w:val="000000"/>
                <w:sz w:val="20"/>
                <w:szCs w:val="20"/>
                <w:lang w:val="en-US"/>
              </w:rPr>
              <w:t>Obizur</w:t>
            </w:r>
          </w:p>
        </w:tc>
        <w:tc>
          <w:tcPr>
            <w:tcW w:w="3690" w:type="dxa"/>
            <w:gridSpan w:val="3"/>
            <w:noWrap/>
            <w:hideMark/>
          </w:tcPr>
          <w:p w14:paraId="13AAB222" w14:textId="77777777" w:rsidR="00C70C5D" w:rsidRPr="00855D21" w:rsidRDefault="00C70C5D" w:rsidP="00685AED">
            <w:pPr>
              <w:spacing w:line="276" w:lineRule="auto"/>
              <w:jc w:val="center"/>
              <w:rPr>
                <w:rFonts w:ascii="Arial Narrow" w:eastAsia="Times New Roman" w:hAnsi="Arial Narrow" w:cstheme="minorHAnsi"/>
                <w:b/>
                <w:color w:val="000000"/>
                <w:sz w:val="20"/>
                <w:szCs w:val="20"/>
                <w:lang w:val="en-US"/>
              </w:rPr>
            </w:pPr>
            <w:r w:rsidRPr="00855D21">
              <w:rPr>
                <w:rFonts w:ascii="Arial Narrow" w:eastAsia="Times New Roman" w:hAnsi="Arial Narrow" w:cstheme="minorHAnsi"/>
                <w:b/>
                <w:color w:val="000000"/>
                <w:sz w:val="20"/>
                <w:szCs w:val="20"/>
                <w:lang w:val="en-US"/>
              </w:rPr>
              <w:t>FEIBA</w:t>
            </w:r>
          </w:p>
        </w:tc>
        <w:tc>
          <w:tcPr>
            <w:tcW w:w="1281" w:type="dxa"/>
            <w:vMerge w:val="restart"/>
            <w:noWrap/>
            <w:vAlign w:val="center"/>
            <w:hideMark/>
          </w:tcPr>
          <w:p w14:paraId="16806F89" w14:textId="77777777" w:rsidR="00C70C5D" w:rsidRPr="00855D21" w:rsidRDefault="00C70C5D" w:rsidP="00685AED">
            <w:pPr>
              <w:spacing w:line="276" w:lineRule="auto"/>
              <w:jc w:val="center"/>
              <w:rPr>
                <w:rFonts w:ascii="Arial Narrow" w:eastAsia="Times New Roman" w:hAnsi="Arial Narrow" w:cstheme="minorHAnsi"/>
                <w:b/>
                <w:color w:val="000000"/>
                <w:sz w:val="20"/>
                <w:szCs w:val="20"/>
                <w:lang w:val="en-US"/>
              </w:rPr>
            </w:pPr>
            <w:r w:rsidRPr="00855D21">
              <w:rPr>
                <w:rFonts w:ascii="Arial Narrow" w:eastAsia="Times New Roman" w:hAnsi="Arial Narrow" w:cstheme="minorHAnsi"/>
                <w:b/>
                <w:color w:val="000000"/>
                <w:sz w:val="20"/>
                <w:szCs w:val="20"/>
                <w:lang w:val="en-US"/>
              </w:rPr>
              <w:t>Incremental</w:t>
            </w:r>
          </w:p>
        </w:tc>
      </w:tr>
      <w:tr w:rsidR="00DE3DD0" w:rsidRPr="0017612C" w14:paraId="1C7857BD" w14:textId="77777777" w:rsidTr="00685AED">
        <w:trPr>
          <w:cantSplit/>
          <w:trHeight w:val="255"/>
          <w:tblHeader/>
        </w:trPr>
        <w:tc>
          <w:tcPr>
            <w:tcW w:w="1838" w:type="dxa"/>
            <w:vMerge/>
            <w:noWrap/>
            <w:hideMark/>
          </w:tcPr>
          <w:p w14:paraId="35BFD583" w14:textId="77777777" w:rsidR="00C70C5D" w:rsidRPr="00855D21" w:rsidRDefault="00C70C5D" w:rsidP="00685AED">
            <w:pPr>
              <w:spacing w:line="276" w:lineRule="auto"/>
              <w:rPr>
                <w:rFonts w:ascii="Arial Narrow" w:eastAsia="Times New Roman" w:hAnsi="Arial Narrow" w:cstheme="minorHAnsi"/>
                <w:color w:val="000000"/>
                <w:sz w:val="20"/>
                <w:szCs w:val="20"/>
                <w:lang w:val="en-US"/>
              </w:rPr>
            </w:pPr>
          </w:p>
        </w:tc>
        <w:tc>
          <w:tcPr>
            <w:tcW w:w="2207" w:type="dxa"/>
            <w:noWrap/>
            <w:hideMark/>
          </w:tcPr>
          <w:p w14:paraId="1B6ED7B6" w14:textId="77777777" w:rsidR="00C70C5D" w:rsidRPr="00855D21" w:rsidRDefault="00C70C5D" w:rsidP="00685AED">
            <w:pPr>
              <w:spacing w:line="276" w:lineRule="auto"/>
              <w:jc w:val="center"/>
              <w:rPr>
                <w:rFonts w:ascii="Arial Narrow" w:eastAsia="Times New Roman" w:hAnsi="Arial Narrow" w:cstheme="minorHAnsi"/>
                <w:b/>
                <w:color w:val="000000"/>
                <w:sz w:val="20"/>
                <w:szCs w:val="20"/>
                <w:lang w:val="en-US"/>
              </w:rPr>
            </w:pPr>
            <w:r w:rsidRPr="00855D21">
              <w:rPr>
                <w:rFonts w:ascii="Arial Narrow" w:eastAsia="Times New Roman" w:hAnsi="Arial Narrow" w:cstheme="minorHAnsi"/>
                <w:b/>
                <w:color w:val="000000"/>
                <w:sz w:val="20"/>
                <w:szCs w:val="20"/>
                <w:lang w:val="en-US"/>
              </w:rPr>
              <w:t>500</w:t>
            </w:r>
          </w:p>
        </w:tc>
        <w:tc>
          <w:tcPr>
            <w:tcW w:w="1260" w:type="dxa"/>
            <w:noWrap/>
            <w:hideMark/>
          </w:tcPr>
          <w:p w14:paraId="065621C9" w14:textId="77777777" w:rsidR="00C70C5D" w:rsidRPr="00855D21" w:rsidRDefault="00C70C5D" w:rsidP="00685AED">
            <w:pPr>
              <w:spacing w:line="276" w:lineRule="auto"/>
              <w:jc w:val="center"/>
              <w:rPr>
                <w:rFonts w:ascii="Arial Narrow" w:eastAsia="Times New Roman" w:hAnsi="Arial Narrow" w:cstheme="minorHAnsi"/>
                <w:b/>
                <w:color w:val="000000"/>
                <w:sz w:val="20"/>
                <w:szCs w:val="20"/>
                <w:lang w:val="en-US"/>
              </w:rPr>
            </w:pPr>
            <w:r w:rsidRPr="00855D21">
              <w:rPr>
                <w:rFonts w:ascii="Arial Narrow" w:eastAsia="Times New Roman" w:hAnsi="Arial Narrow" w:cstheme="minorHAnsi"/>
                <w:b/>
                <w:color w:val="000000"/>
                <w:sz w:val="20"/>
                <w:szCs w:val="20"/>
                <w:lang w:val="en-US"/>
              </w:rPr>
              <w:t>500 Units</w:t>
            </w:r>
          </w:p>
        </w:tc>
        <w:tc>
          <w:tcPr>
            <w:tcW w:w="1170" w:type="dxa"/>
            <w:noWrap/>
            <w:hideMark/>
          </w:tcPr>
          <w:p w14:paraId="315AC621" w14:textId="77777777" w:rsidR="00C70C5D" w:rsidRPr="00855D21" w:rsidRDefault="00C70C5D" w:rsidP="00685AED">
            <w:pPr>
              <w:spacing w:line="276" w:lineRule="auto"/>
              <w:jc w:val="center"/>
              <w:rPr>
                <w:rFonts w:ascii="Arial Narrow" w:eastAsia="Times New Roman" w:hAnsi="Arial Narrow" w:cstheme="minorHAnsi"/>
                <w:b/>
                <w:color w:val="000000"/>
                <w:sz w:val="20"/>
                <w:szCs w:val="20"/>
                <w:lang w:val="en-US"/>
              </w:rPr>
            </w:pPr>
            <w:r w:rsidRPr="00855D21">
              <w:rPr>
                <w:rFonts w:ascii="Arial Narrow" w:eastAsia="Times New Roman" w:hAnsi="Arial Narrow" w:cstheme="minorHAnsi"/>
                <w:b/>
                <w:color w:val="000000"/>
                <w:sz w:val="20"/>
                <w:szCs w:val="20"/>
                <w:lang w:val="en-US"/>
              </w:rPr>
              <w:t>1,000 Units</w:t>
            </w:r>
          </w:p>
        </w:tc>
        <w:tc>
          <w:tcPr>
            <w:tcW w:w="1260" w:type="dxa"/>
            <w:noWrap/>
            <w:hideMark/>
          </w:tcPr>
          <w:p w14:paraId="026FBCFA" w14:textId="77777777" w:rsidR="00C70C5D" w:rsidRPr="00855D21" w:rsidRDefault="00C70C5D" w:rsidP="00685AED">
            <w:pPr>
              <w:spacing w:line="276" w:lineRule="auto"/>
              <w:jc w:val="center"/>
              <w:rPr>
                <w:rFonts w:ascii="Arial Narrow" w:eastAsia="Times New Roman" w:hAnsi="Arial Narrow" w:cstheme="minorHAnsi"/>
                <w:b/>
                <w:color w:val="000000"/>
                <w:sz w:val="20"/>
                <w:szCs w:val="20"/>
                <w:lang w:val="en-US"/>
              </w:rPr>
            </w:pPr>
            <w:r w:rsidRPr="00855D21">
              <w:rPr>
                <w:rFonts w:ascii="Arial Narrow" w:eastAsia="Times New Roman" w:hAnsi="Arial Narrow" w:cstheme="minorHAnsi"/>
                <w:b/>
                <w:color w:val="000000"/>
                <w:sz w:val="20"/>
                <w:szCs w:val="20"/>
                <w:lang w:val="en-US"/>
              </w:rPr>
              <w:t>2,500 Units</w:t>
            </w:r>
          </w:p>
        </w:tc>
        <w:tc>
          <w:tcPr>
            <w:tcW w:w="1281" w:type="dxa"/>
            <w:vMerge/>
            <w:hideMark/>
          </w:tcPr>
          <w:p w14:paraId="13B18642" w14:textId="77777777" w:rsidR="00C70C5D" w:rsidRPr="00855D21" w:rsidRDefault="00C70C5D" w:rsidP="00685AED">
            <w:pPr>
              <w:spacing w:line="276" w:lineRule="auto"/>
              <w:rPr>
                <w:rFonts w:ascii="Arial Narrow" w:eastAsia="Times New Roman" w:hAnsi="Arial Narrow" w:cstheme="minorHAnsi"/>
                <w:color w:val="000000"/>
                <w:sz w:val="20"/>
                <w:szCs w:val="20"/>
                <w:lang w:val="en-US"/>
              </w:rPr>
            </w:pPr>
          </w:p>
        </w:tc>
      </w:tr>
      <w:tr w:rsidR="00C70C5D" w:rsidRPr="0017612C" w14:paraId="2FA51E92" w14:textId="77777777" w:rsidTr="00685AED">
        <w:trPr>
          <w:cantSplit/>
          <w:trHeight w:val="255"/>
        </w:trPr>
        <w:tc>
          <w:tcPr>
            <w:tcW w:w="9016" w:type="dxa"/>
            <w:gridSpan w:val="6"/>
            <w:shd w:val="clear" w:color="auto" w:fill="auto"/>
            <w:noWrap/>
            <w:hideMark/>
          </w:tcPr>
          <w:p w14:paraId="4FCABC42" w14:textId="77777777" w:rsidR="00C70C5D" w:rsidRPr="00855D21" w:rsidRDefault="00C70C5D" w:rsidP="00685AED">
            <w:pPr>
              <w:spacing w:line="276" w:lineRule="auto"/>
              <w:rPr>
                <w:rFonts w:ascii="Arial Narrow" w:eastAsia="Times New Roman" w:hAnsi="Arial Narrow" w:cstheme="minorHAnsi"/>
                <w:b/>
                <w:color w:val="000000"/>
                <w:sz w:val="20"/>
                <w:szCs w:val="20"/>
                <w:lang w:val="en-US"/>
              </w:rPr>
            </w:pPr>
            <w:r w:rsidRPr="00855D21">
              <w:rPr>
                <w:rFonts w:ascii="Arial Narrow" w:eastAsia="Times New Roman" w:hAnsi="Arial Narrow" w:cstheme="minorHAnsi"/>
                <w:b/>
                <w:color w:val="000000"/>
                <w:sz w:val="20"/>
                <w:szCs w:val="20"/>
                <w:lang w:val="en-US"/>
              </w:rPr>
              <w:t>Medicines</w:t>
            </w:r>
          </w:p>
        </w:tc>
      </w:tr>
      <w:tr w:rsidR="00DE3DD0" w:rsidRPr="0017612C" w14:paraId="573944FD" w14:textId="77777777" w:rsidTr="00685AED">
        <w:trPr>
          <w:cantSplit/>
          <w:trHeight w:val="255"/>
        </w:trPr>
        <w:tc>
          <w:tcPr>
            <w:tcW w:w="1838" w:type="dxa"/>
            <w:noWrap/>
            <w:hideMark/>
          </w:tcPr>
          <w:p w14:paraId="6C92A4C6" w14:textId="77777777" w:rsidR="00C70C5D" w:rsidRPr="00855D21" w:rsidRDefault="00C70C5D" w:rsidP="00685AED">
            <w:pPr>
              <w:spacing w:line="276" w:lineRule="auto"/>
              <w:rPr>
                <w:rFonts w:ascii="Arial Narrow" w:eastAsia="Times New Roman" w:hAnsi="Arial Narrow" w:cstheme="minorHAnsi"/>
                <w:color w:val="000000"/>
                <w:sz w:val="20"/>
                <w:szCs w:val="20"/>
                <w:lang w:val="en-US"/>
              </w:rPr>
            </w:pPr>
            <w:r w:rsidRPr="00855D21">
              <w:rPr>
                <w:rFonts w:ascii="Arial Narrow" w:eastAsia="Times New Roman" w:hAnsi="Arial Narrow" w:cstheme="minorHAnsi"/>
                <w:color w:val="000000"/>
                <w:sz w:val="20"/>
                <w:szCs w:val="20"/>
                <w:lang w:val="en-US"/>
              </w:rPr>
              <w:t>Vials per episode</w:t>
            </w:r>
          </w:p>
        </w:tc>
        <w:tc>
          <w:tcPr>
            <w:tcW w:w="2207" w:type="dxa"/>
            <w:noWrap/>
          </w:tcPr>
          <w:p w14:paraId="50C822AF" w14:textId="77574A61" w:rsidR="00C70C5D" w:rsidRPr="00DE3DD0" w:rsidRDefault="00DE3DD0"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REDACTED</w:t>
            </w:r>
          </w:p>
        </w:tc>
        <w:tc>
          <w:tcPr>
            <w:tcW w:w="1260" w:type="dxa"/>
            <w:noWrap/>
          </w:tcPr>
          <w:p w14:paraId="28E77D00" w14:textId="6ACD5F26" w:rsidR="00C70C5D" w:rsidRPr="00DE3DD0" w:rsidRDefault="00DE3DD0"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REDACTED</w:t>
            </w:r>
          </w:p>
        </w:tc>
        <w:tc>
          <w:tcPr>
            <w:tcW w:w="1170" w:type="dxa"/>
            <w:noWrap/>
          </w:tcPr>
          <w:p w14:paraId="53B33247" w14:textId="63C83501" w:rsidR="00C70C5D" w:rsidRPr="00DE3DD0" w:rsidRDefault="00DE3DD0"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REDACTED</w:t>
            </w:r>
          </w:p>
        </w:tc>
        <w:tc>
          <w:tcPr>
            <w:tcW w:w="1260" w:type="dxa"/>
            <w:noWrap/>
          </w:tcPr>
          <w:p w14:paraId="1C9CC05C" w14:textId="13A98551" w:rsidR="00C70C5D" w:rsidRPr="00DE3DD0" w:rsidRDefault="00DE3DD0"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REDACTED</w:t>
            </w:r>
          </w:p>
        </w:tc>
        <w:tc>
          <w:tcPr>
            <w:tcW w:w="1281" w:type="dxa"/>
            <w:noWrap/>
            <w:vAlign w:val="center"/>
          </w:tcPr>
          <w:p w14:paraId="448C58D9" w14:textId="77777777" w:rsidR="00C70C5D" w:rsidRPr="00855D21" w:rsidRDefault="00C70C5D" w:rsidP="00685AED">
            <w:pPr>
              <w:spacing w:line="276" w:lineRule="auto"/>
              <w:jc w:val="center"/>
              <w:rPr>
                <w:rFonts w:ascii="Arial Narrow" w:eastAsia="Times New Roman" w:hAnsi="Arial Narrow" w:cstheme="minorHAnsi"/>
                <w:color w:val="000000"/>
                <w:sz w:val="20"/>
                <w:szCs w:val="20"/>
                <w:lang w:val="en-US"/>
              </w:rPr>
            </w:pPr>
          </w:p>
        </w:tc>
      </w:tr>
      <w:tr w:rsidR="00DE3DD0" w:rsidRPr="0017612C" w14:paraId="62EFF3A9" w14:textId="77777777" w:rsidTr="00685AED">
        <w:trPr>
          <w:cantSplit/>
          <w:trHeight w:val="255"/>
        </w:trPr>
        <w:tc>
          <w:tcPr>
            <w:tcW w:w="1838" w:type="dxa"/>
            <w:tcBorders>
              <w:bottom w:val="single" w:sz="4" w:space="0" w:color="auto"/>
            </w:tcBorders>
            <w:noWrap/>
            <w:hideMark/>
          </w:tcPr>
          <w:p w14:paraId="4B1874AD" w14:textId="77777777" w:rsidR="00C70C5D" w:rsidRPr="00855D21" w:rsidRDefault="00C70C5D" w:rsidP="00685AED">
            <w:pPr>
              <w:spacing w:line="276" w:lineRule="auto"/>
              <w:rPr>
                <w:rFonts w:ascii="Arial Narrow" w:eastAsia="Times New Roman" w:hAnsi="Arial Narrow" w:cstheme="minorHAnsi"/>
                <w:color w:val="000000"/>
                <w:sz w:val="20"/>
                <w:szCs w:val="20"/>
                <w:lang w:val="en-US"/>
              </w:rPr>
            </w:pPr>
            <w:r w:rsidRPr="00855D21">
              <w:rPr>
                <w:rFonts w:ascii="Arial Narrow" w:eastAsia="Times New Roman" w:hAnsi="Arial Narrow" w:cstheme="minorHAnsi"/>
                <w:color w:val="000000"/>
                <w:sz w:val="20"/>
                <w:szCs w:val="20"/>
                <w:lang w:val="en-US"/>
              </w:rPr>
              <w:t>Price per vial</w:t>
            </w:r>
          </w:p>
        </w:tc>
        <w:tc>
          <w:tcPr>
            <w:tcW w:w="2207" w:type="dxa"/>
            <w:tcBorders>
              <w:bottom w:val="single" w:sz="4" w:space="0" w:color="auto"/>
            </w:tcBorders>
            <w:noWrap/>
          </w:tcPr>
          <w:p w14:paraId="0440F7BA" w14:textId="1184123E" w:rsidR="00C70C5D" w:rsidRPr="00DE3DD0" w:rsidRDefault="005E206D" w:rsidP="00685AED">
            <w:pPr>
              <w:spacing w:line="276" w:lineRule="auto"/>
              <w:jc w:val="center"/>
              <w:rPr>
                <w:rFonts w:ascii="Arial Narrow" w:eastAsia="Times New Roman" w:hAnsi="Arial Narrow" w:cstheme="minorHAnsi"/>
                <w:color w:val="000000"/>
                <w:sz w:val="20"/>
                <w:szCs w:val="20"/>
                <w:lang w:val="en-US"/>
              </w:rPr>
            </w:pPr>
            <w:r>
              <w:rPr>
                <w:rFonts w:ascii="Arial Narrow" w:hAnsi="Arial Narrow" w:cstheme="minorHAnsi"/>
                <w:sz w:val="20"/>
                <w:szCs w:val="20"/>
              </w:rPr>
              <w:t>REDACTED</w:t>
            </w:r>
          </w:p>
        </w:tc>
        <w:tc>
          <w:tcPr>
            <w:tcW w:w="1260" w:type="dxa"/>
            <w:tcBorders>
              <w:bottom w:val="single" w:sz="4" w:space="0" w:color="auto"/>
            </w:tcBorders>
            <w:noWrap/>
          </w:tcPr>
          <w:p w14:paraId="4B6C5D1B" w14:textId="77777777"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$1,200</w:t>
            </w:r>
          </w:p>
        </w:tc>
        <w:tc>
          <w:tcPr>
            <w:tcW w:w="1170" w:type="dxa"/>
            <w:tcBorders>
              <w:bottom w:val="single" w:sz="4" w:space="0" w:color="auto"/>
            </w:tcBorders>
            <w:noWrap/>
          </w:tcPr>
          <w:p w14:paraId="173CBA0A" w14:textId="77777777"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$2,400</w:t>
            </w:r>
          </w:p>
        </w:tc>
        <w:tc>
          <w:tcPr>
            <w:tcW w:w="1260" w:type="dxa"/>
            <w:tcBorders>
              <w:bottom w:val="single" w:sz="4" w:space="0" w:color="auto"/>
            </w:tcBorders>
            <w:noWrap/>
          </w:tcPr>
          <w:p w14:paraId="0FB9D453" w14:textId="77777777"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$6,000</w:t>
            </w:r>
          </w:p>
        </w:tc>
        <w:tc>
          <w:tcPr>
            <w:tcW w:w="1281" w:type="dxa"/>
            <w:tcBorders>
              <w:bottom w:val="single" w:sz="4" w:space="0" w:color="auto"/>
            </w:tcBorders>
            <w:noWrap/>
            <w:vAlign w:val="center"/>
          </w:tcPr>
          <w:p w14:paraId="67131A97" w14:textId="77777777" w:rsidR="00C70C5D" w:rsidRPr="00855D21" w:rsidRDefault="00C70C5D" w:rsidP="00685AED">
            <w:pPr>
              <w:spacing w:line="276" w:lineRule="auto"/>
              <w:jc w:val="center"/>
              <w:rPr>
                <w:rFonts w:ascii="Arial Narrow" w:eastAsia="Times New Roman" w:hAnsi="Arial Narrow" w:cstheme="minorHAnsi"/>
                <w:color w:val="000000"/>
                <w:sz w:val="20"/>
                <w:szCs w:val="20"/>
                <w:lang w:val="en-US"/>
              </w:rPr>
            </w:pPr>
          </w:p>
        </w:tc>
      </w:tr>
      <w:tr w:rsidR="00DE3DD0" w:rsidRPr="0017612C" w14:paraId="215E37BB" w14:textId="77777777" w:rsidTr="00685AED">
        <w:trPr>
          <w:cantSplit/>
          <w:trHeight w:val="255"/>
        </w:trPr>
        <w:tc>
          <w:tcPr>
            <w:tcW w:w="1838" w:type="dxa"/>
            <w:tcBorders>
              <w:bottom w:val="single" w:sz="4" w:space="0" w:color="auto"/>
            </w:tcBorders>
            <w:noWrap/>
            <w:hideMark/>
          </w:tcPr>
          <w:p w14:paraId="2A638E4F" w14:textId="77777777" w:rsidR="00C70C5D" w:rsidRPr="00855D21" w:rsidRDefault="00C70C5D" w:rsidP="00685AED">
            <w:pPr>
              <w:spacing w:line="276" w:lineRule="auto"/>
              <w:rPr>
                <w:rFonts w:ascii="Arial Narrow" w:eastAsia="Times New Roman" w:hAnsi="Arial Narrow" w:cstheme="minorHAnsi"/>
                <w:color w:val="000000"/>
                <w:sz w:val="20"/>
                <w:szCs w:val="20"/>
                <w:lang w:val="en-US"/>
              </w:rPr>
            </w:pPr>
            <w:r w:rsidRPr="00855D21">
              <w:rPr>
                <w:rFonts w:ascii="Arial Narrow" w:eastAsia="Times New Roman" w:hAnsi="Arial Narrow" w:cstheme="minorHAnsi"/>
                <w:color w:val="000000"/>
                <w:sz w:val="20"/>
                <w:szCs w:val="20"/>
                <w:lang w:val="en-US"/>
              </w:rPr>
              <w:t>Cost of vials per episode</w:t>
            </w:r>
          </w:p>
        </w:tc>
        <w:tc>
          <w:tcPr>
            <w:tcW w:w="2207" w:type="dxa"/>
            <w:tcBorders>
              <w:bottom w:val="single" w:sz="4" w:space="0" w:color="auto"/>
            </w:tcBorders>
            <w:noWrap/>
          </w:tcPr>
          <w:p w14:paraId="48574677" w14:textId="549F5739"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1260" w:type="dxa"/>
            <w:tcBorders>
              <w:bottom w:val="single" w:sz="4" w:space="0" w:color="auto"/>
            </w:tcBorders>
            <w:noWrap/>
          </w:tcPr>
          <w:p w14:paraId="57370DEF" w14:textId="7FE2186B"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1170" w:type="dxa"/>
            <w:tcBorders>
              <w:bottom w:val="single" w:sz="4" w:space="0" w:color="auto"/>
            </w:tcBorders>
            <w:noWrap/>
          </w:tcPr>
          <w:p w14:paraId="761E6755" w14:textId="1FCFC499"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1260" w:type="dxa"/>
            <w:tcBorders>
              <w:bottom w:val="single" w:sz="4" w:space="0" w:color="auto"/>
            </w:tcBorders>
            <w:noWrap/>
          </w:tcPr>
          <w:p w14:paraId="076F1C19" w14:textId="5C9E5C65"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1281" w:type="dxa"/>
            <w:tcBorders>
              <w:bottom w:val="single" w:sz="4" w:space="0" w:color="auto"/>
            </w:tcBorders>
            <w:noWrap/>
            <w:vAlign w:val="center"/>
          </w:tcPr>
          <w:p w14:paraId="4C959411" w14:textId="77777777" w:rsidR="00C70C5D" w:rsidRPr="00855D21" w:rsidRDefault="00C70C5D" w:rsidP="00685AED">
            <w:pPr>
              <w:spacing w:line="276" w:lineRule="auto"/>
              <w:jc w:val="center"/>
              <w:rPr>
                <w:rFonts w:ascii="Arial Narrow" w:eastAsia="Times New Roman" w:hAnsi="Arial Narrow" w:cstheme="minorHAnsi"/>
                <w:color w:val="000000"/>
                <w:sz w:val="20"/>
                <w:szCs w:val="20"/>
                <w:lang w:val="en-US"/>
              </w:rPr>
            </w:pPr>
          </w:p>
        </w:tc>
      </w:tr>
      <w:tr w:rsidR="00DE3DD0" w:rsidRPr="0017612C" w14:paraId="3C359E96" w14:textId="77777777" w:rsidTr="00685AED">
        <w:trPr>
          <w:cantSplit/>
          <w:trHeight w:val="255"/>
        </w:trPr>
        <w:tc>
          <w:tcPr>
            <w:tcW w:w="1838" w:type="dxa"/>
            <w:tcBorders>
              <w:top w:val="single" w:sz="4" w:space="0" w:color="auto"/>
            </w:tcBorders>
            <w:noWrap/>
            <w:vAlign w:val="center"/>
            <w:hideMark/>
          </w:tcPr>
          <w:p w14:paraId="368CB576" w14:textId="77777777" w:rsidR="00C70C5D" w:rsidRPr="00855D21" w:rsidRDefault="00C70C5D" w:rsidP="00685AED">
            <w:pPr>
              <w:spacing w:line="276" w:lineRule="auto"/>
              <w:rPr>
                <w:rFonts w:ascii="Arial Narrow" w:eastAsia="Times New Roman" w:hAnsi="Arial Narrow" w:cstheme="minorHAnsi"/>
                <w:color w:val="000000"/>
                <w:sz w:val="20"/>
                <w:szCs w:val="20"/>
                <w:lang w:val="en-US"/>
              </w:rPr>
            </w:pPr>
            <w:r w:rsidRPr="00855D21">
              <w:rPr>
                <w:rFonts w:ascii="Arial Narrow" w:eastAsia="Times New Roman" w:hAnsi="Arial Narrow" w:cstheme="minorHAnsi"/>
                <w:color w:val="000000"/>
                <w:sz w:val="20"/>
                <w:szCs w:val="20"/>
                <w:lang w:val="en-US"/>
              </w:rPr>
              <w:t>Total</w:t>
            </w:r>
          </w:p>
        </w:tc>
        <w:tc>
          <w:tcPr>
            <w:tcW w:w="2207" w:type="dxa"/>
            <w:tcBorders>
              <w:top w:val="single" w:sz="4" w:space="0" w:color="auto"/>
            </w:tcBorders>
            <w:noWrap/>
          </w:tcPr>
          <w:p w14:paraId="4F1A3001" w14:textId="619FCA6C"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3690" w:type="dxa"/>
            <w:gridSpan w:val="3"/>
            <w:tcBorders>
              <w:top w:val="single" w:sz="4" w:space="0" w:color="auto"/>
            </w:tcBorders>
            <w:noWrap/>
            <w:vAlign w:val="center"/>
          </w:tcPr>
          <w:p w14:paraId="3AB082C9" w14:textId="5DB60FAE"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eastAsia="Times New Roman" w:hAnsi="Arial Narrow" w:cstheme="minorHAnsi"/>
                <w:color w:val="000000"/>
                <w:sz w:val="20"/>
                <w:szCs w:val="20"/>
                <w:lang w:val="en-US"/>
              </w:rPr>
              <w:t>$</w:t>
            </w:r>
            <w:r w:rsidR="00DE3DD0" w:rsidRPr="00DE3DD0">
              <w:rPr>
                <w:rFonts w:ascii="Arial Narrow" w:eastAsia="Times New Roman" w:hAnsi="Arial Narrow" w:cstheme="minorHAnsi"/>
                <w:color w:val="000000"/>
                <w:sz w:val="20"/>
                <w:szCs w:val="20"/>
                <w:lang w:val="en-US"/>
              </w:rPr>
              <w:t>REDACTED</w:t>
            </w:r>
          </w:p>
        </w:tc>
        <w:tc>
          <w:tcPr>
            <w:tcW w:w="1281" w:type="dxa"/>
            <w:tcBorders>
              <w:top w:val="single" w:sz="4" w:space="0" w:color="auto"/>
            </w:tcBorders>
            <w:noWrap/>
            <w:vAlign w:val="center"/>
          </w:tcPr>
          <w:p w14:paraId="20962C7E" w14:textId="77777777" w:rsidR="00C70C5D" w:rsidRPr="00855D21" w:rsidRDefault="00C70C5D" w:rsidP="00685AED">
            <w:pPr>
              <w:spacing w:line="276" w:lineRule="auto"/>
              <w:jc w:val="center"/>
              <w:rPr>
                <w:rFonts w:ascii="Arial Narrow" w:eastAsia="Times New Roman" w:hAnsi="Arial Narrow" w:cstheme="minorHAnsi"/>
                <w:color w:val="000000"/>
                <w:sz w:val="20"/>
                <w:szCs w:val="20"/>
                <w:lang w:val="en-US"/>
              </w:rPr>
            </w:pPr>
            <w:r w:rsidRPr="00855D21">
              <w:rPr>
                <w:rFonts w:ascii="Arial Narrow" w:eastAsia="Times New Roman" w:hAnsi="Arial Narrow" w:cstheme="minorHAnsi"/>
                <w:color w:val="000000"/>
                <w:sz w:val="20"/>
                <w:szCs w:val="20"/>
                <w:lang w:val="en-US"/>
              </w:rPr>
              <w:t>-$414.33</w:t>
            </w:r>
          </w:p>
        </w:tc>
      </w:tr>
      <w:tr w:rsidR="00C70C5D" w:rsidRPr="0017612C" w14:paraId="73D578A9" w14:textId="77777777" w:rsidTr="00685AED">
        <w:trPr>
          <w:cantSplit/>
          <w:trHeight w:val="255"/>
        </w:trPr>
        <w:tc>
          <w:tcPr>
            <w:tcW w:w="9016" w:type="dxa"/>
            <w:gridSpan w:val="6"/>
            <w:tcBorders>
              <w:bottom w:val="single" w:sz="4" w:space="0" w:color="auto"/>
            </w:tcBorders>
            <w:shd w:val="clear" w:color="auto" w:fill="auto"/>
            <w:noWrap/>
            <w:hideMark/>
          </w:tcPr>
          <w:p w14:paraId="7011BEE6" w14:textId="77777777" w:rsidR="00C70C5D" w:rsidRPr="00DE3DD0" w:rsidRDefault="00C70C5D" w:rsidP="00685AED">
            <w:pPr>
              <w:spacing w:line="276" w:lineRule="auto"/>
              <w:rPr>
                <w:rFonts w:ascii="Arial Narrow" w:eastAsia="Times New Roman" w:hAnsi="Arial Narrow" w:cstheme="minorHAnsi"/>
                <w:b/>
                <w:color w:val="000000"/>
                <w:sz w:val="20"/>
                <w:szCs w:val="20"/>
                <w:lang w:val="en-US"/>
              </w:rPr>
            </w:pPr>
            <w:r w:rsidRPr="00DE3DD0">
              <w:rPr>
                <w:rFonts w:ascii="Arial Narrow" w:eastAsia="Times New Roman" w:hAnsi="Arial Narrow" w:cstheme="minorHAnsi"/>
                <w:b/>
                <w:color w:val="000000"/>
                <w:sz w:val="20"/>
                <w:szCs w:val="20"/>
                <w:lang w:val="en-US"/>
              </w:rPr>
              <w:t>Monitoring</w:t>
            </w:r>
          </w:p>
        </w:tc>
      </w:tr>
      <w:tr w:rsidR="00DE3DD0" w:rsidRPr="0017612C" w14:paraId="6CFB3B8A" w14:textId="77777777" w:rsidTr="00685AED">
        <w:trPr>
          <w:cantSplit/>
          <w:trHeight w:val="255"/>
        </w:trPr>
        <w:tc>
          <w:tcPr>
            <w:tcW w:w="1838" w:type="dxa"/>
            <w:tcBorders>
              <w:bottom w:val="single" w:sz="4" w:space="0" w:color="auto"/>
            </w:tcBorders>
            <w:noWrap/>
            <w:hideMark/>
          </w:tcPr>
          <w:p w14:paraId="5F82D604" w14:textId="77777777" w:rsidR="00C70C5D" w:rsidRPr="00855D21" w:rsidRDefault="00C70C5D" w:rsidP="00685AED">
            <w:pPr>
              <w:spacing w:line="276" w:lineRule="auto"/>
              <w:rPr>
                <w:rFonts w:ascii="Arial Narrow" w:eastAsia="Times New Roman" w:hAnsi="Arial Narrow" w:cstheme="minorHAnsi"/>
                <w:color w:val="000000"/>
                <w:sz w:val="20"/>
                <w:szCs w:val="20"/>
                <w:lang w:val="en-US"/>
              </w:rPr>
            </w:pPr>
            <w:r w:rsidRPr="00855D21">
              <w:rPr>
                <w:rFonts w:ascii="Arial Narrow" w:eastAsia="Times New Roman" w:hAnsi="Arial Narrow" w:cstheme="minorHAnsi"/>
                <w:color w:val="000000"/>
                <w:sz w:val="20"/>
                <w:szCs w:val="20"/>
                <w:lang w:val="en-US"/>
              </w:rPr>
              <w:t>FVIII activity</w:t>
            </w:r>
          </w:p>
        </w:tc>
        <w:tc>
          <w:tcPr>
            <w:tcW w:w="2207" w:type="dxa"/>
            <w:tcBorders>
              <w:bottom w:val="single" w:sz="4" w:space="0" w:color="auto"/>
            </w:tcBorders>
            <w:noWrap/>
          </w:tcPr>
          <w:p w14:paraId="39594393" w14:textId="5A9F5FC2"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3690" w:type="dxa"/>
            <w:gridSpan w:val="3"/>
            <w:tcBorders>
              <w:bottom w:val="single" w:sz="4" w:space="0" w:color="auto"/>
            </w:tcBorders>
            <w:noWrap/>
          </w:tcPr>
          <w:p w14:paraId="30823C5D" w14:textId="20BB6F02"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1281" w:type="dxa"/>
            <w:tcBorders>
              <w:bottom w:val="single" w:sz="4" w:space="0" w:color="auto"/>
            </w:tcBorders>
            <w:noWrap/>
          </w:tcPr>
          <w:p w14:paraId="0F528D16" w14:textId="77777777" w:rsidR="00C70C5D" w:rsidRPr="00855D21" w:rsidRDefault="00C70C5D" w:rsidP="00685AED">
            <w:pPr>
              <w:spacing w:line="276" w:lineRule="auto"/>
              <w:jc w:val="center"/>
              <w:rPr>
                <w:rFonts w:ascii="Arial Narrow" w:eastAsia="Times New Roman" w:hAnsi="Arial Narrow" w:cstheme="minorHAnsi"/>
                <w:color w:val="000000"/>
                <w:sz w:val="20"/>
                <w:szCs w:val="20"/>
                <w:lang w:val="en-US"/>
              </w:rPr>
            </w:pPr>
          </w:p>
        </w:tc>
      </w:tr>
      <w:tr w:rsidR="00DE3DD0" w:rsidRPr="0017612C" w14:paraId="22EAE470" w14:textId="77777777" w:rsidTr="00685AED">
        <w:trPr>
          <w:cantSplit/>
          <w:trHeight w:val="255"/>
        </w:trPr>
        <w:tc>
          <w:tcPr>
            <w:tcW w:w="1838" w:type="dxa"/>
            <w:tcBorders>
              <w:top w:val="single" w:sz="4" w:space="0" w:color="auto"/>
              <w:bottom w:val="single" w:sz="4" w:space="0" w:color="auto"/>
            </w:tcBorders>
            <w:noWrap/>
            <w:vAlign w:val="center"/>
            <w:hideMark/>
          </w:tcPr>
          <w:p w14:paraId="7D27FFF6" w14:textId="77777777" w:rsidR="00C70C5D" w:rsidRPr="00855D21" w:rsidRDefault="00C70C5D" w:rsidP="00685AED">
            <w:pPr>
              <w:spacing w:line="276" w:lineRule="auto"/>
              <w:rPr>
                <w:rFonts w:ascii="Arial Narrow" w:eastAsia="Times New Roman" w:hAnsi="Arial Narrow" w:cstheme="minorHAnsi"/>
                <w:color w:val="000000"/>
                <w:sz w:val="20"/>
                <w:szCs w:val="20"/>
                <w:lang w:val="en-US"/>
              </w:rPr>
            </w:pPr>
            <w:r w:rsidRPr="00855D21">
              <w:rPr>
                <w:rFonts w:ascii="Arial Narrow" w:eastAsia="Times New Roman" w:hAnsi="Arial Narrow" w:cstheme="minorHAnsi"/>
                <w:color w:val="000000"/>
                <w:sz w:val="20"/>
                <w:szCs w:val="20"/>
                <w:lang w:val="en-US"/>
              </w:rPr>
              <w:t xml:space="preserve">Inhibitor </w:t>
            </w:r>
            <w:proofErr w:type="spellStart"/>
            <w:r w:rsidRPr="00855D21">
              <w:rPr>
                <w:rFonts w:ascii="Arial Narrow" w:eastAsia="Times New Roman" w:hAnsi="Arial Narrow" w:cstheme="minorHAnsi"/>
                <w:color w:val="000000"/>
                <w:sz w:val="20"/>
                <w:szCs w:val="20"/>
                <w:lang w:val="en-US"/>
              </w:rPr>
              <w:t>titres</w:t>
            </w:r>
            <w:proofErr w:type="spellEnd"/>
          </w:p>
        </w:tc>
        <w:tc>
          <w:tcPr>
            <w:tcW w:w="2207" w:type="dxa"/>
            <w:tcBorders>
              <w:top w:val="single" w:sz="4" w:space="0" w:color="auto"/>
              <w:bottom w:val="single" w:sz="4" w:space="0" w:color="auto"/>
            </w:tcBorders>
            <w:noWrap/>
          </w:tcPr>
          <w:p w14:paraId="029370B0" w14:textId="42FBD747"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3690" w:type="dxa"/>
            <w:gridSpan w:val="3"/>
            <w:tcBorders>
              <w:top w:val="single" w:sz="4" w:space="0" w:color="auto"/>
              <w:bottom w:val="single" w:sz="4" w:space="0" w:color="auto"/>
            </w:tcBorders>
            <w:noWrap/>
          </w:tcPr>
          <w:p w14:paraId="6D56CE33" w14:textId="4C401435"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1281" w:type="dxa"/>
            <w:tcBorders>
              <w:top w:val="single" w:sz="4" w:space="0" w:color="auto"/>
              <w:bottom w:val="single" w:sz="4" w:space="0" w:color="auto"/>
            </w:tcBorders>
            <w:noWrap/>
          </w:tcPr>
          <w:p w14:paraId="3631788F" w14:textId="77777777" w:rsidR="00C70C5D" w:rsidRPr="00855D21" w:rsidRDefault="00C70C5D" w:rsidP="00685AED">
            <w:pPr>
              <w:spacing w:line="276" w:lineRule="auto"/>
              <w:jc w:val="center"/>
              <w:rPr>
                <w:rFonts w:ascii="Arial Narrow" w:eastAsia="Times New Roman" w:hAnsi="Arial Narrow" w:cstheme="minorHAnsi"/>
                <w:color w:val="000000"/>
                <w:sz w:val="20"/>
                <w:szCs w:val="20"/>
                <w:lang w:val="en-US"/>
              </w:rPr>
            </w:pPr>
          </w:p>
        </w:tc>
      </w:tr>
      <w:tr w:rsidR="00DE3DD0" w:rsidRPr="0017612C" w14:paraId="1B35AF37" w14:textId="77777777" w:rsidTr="00685AED">
        <w:trPr>
          <w:cantSplit/>
          <w:trHeight w:val="255"/>
        </w:trPr>
        <w:tc>
          <w:tcPr>
            <w:tcW w:w="1838" w:type="dxa"/>
            <w:tcBorders>
              <w:top w:val="single" w:sz="4" w:space="0" w:color="auto"/>
              <w:bottom w:val="single" w:sz="4" w:space="0" w:color="auto"/>
            </w:tcBorders>
            <w:noWrap/>
            <w:vAlign w:val="center"/>
          </w:tcPr>
          <w:p w14:paraId="284A520A" w14:textId="77777777" w:rsidR="00C70C5D" w:rsidRPr="00855D21" w:rsidRDefault="00C70C5D" w:rsidP="00685AED">
            <w:pPr>
              <w:spacing w:line="276" w:lineRule="auto"/>
              <w:rPr>
                <w:rFonts w:ascii="Arial Narrow" w:eastAsia="Times New Roman" w:hAnsi="Arial Narrow" w:cstheme="minorHAnsi"/>
                <w:color w:val="000000"/>
                <w:sz w:val="20"/>
                <w:szCs w:val="20"/>
                <w:lang w:val="en-US"/>
              </w:rPr>
            </w:pPr>
            <w:r w:rsidRPr="00855D21">
              <w:rPr>
                <w:rFonts w:ascii="Arial Narrow" w:eastAsia="Times New Roman" w:hAnsi="Arial Narrow" w:cstheme="minorHAnsi"/>
                <w:color w:val="000000"/>
                <w:sz w:val="20"/>
                <w:szCs w:val="20"/>
                <w:lang w:val="en-US"/>
              </w:rPr>
              <w:t xml:space="preserve">Total </w:t>
            </w:r>
          </w:p>
        </w:tc>
        <w:tc>
          <w:tcPr>
            <w:tcW w:w="2207" w:type="dxa"/>
            <w:tcBorders>
              <w:top w:val="single" w:sz="4" w:space="0" w:color="auto"/>
              <w:bottom w:val="single" w:sz="4" w:space="0" w:color="auto"/>
            </w:tcBorders>
            <w:noWrap/>
          </w:tcPr>
          <w:p w14:paraId="463A09B2" w14:textId="1E9AB700"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3690" w:type="dxa"/>
            <w:gridSpan w:val="3"/>
            <w:tcBorders>
              <w:top w:val="single" w:sz="4" w:space="0" w:color="auto"/>
              <w:bottom w:val="single" w:sz="4" w:space="0" w:color="auto"/>
            </w:tcBorders>
            <w:noWrap/>
          </w:tcPr>
          <w:p w14:paraId="3B92D71E" w14:textId="66A0B63A"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1281" w:type="dxa"/>
            <w:tcBorders>
              <w:top w:val="single" w:sz="4" w:space="0" w:color="auto"/>
              <w:bottom w:val="single" w:sz="4" w:space="0" w:color="auto"/>
            </w:tcBorders>
            <w:noWrap/>
          </w:tcPr>
          <w:p w14:paraId="0B53717E" w14:textId="77777777" w:rsidR="00C70C5D" w:rsidRPr="00855D21" w:rsidRDefault="00C70C5D" w:rsidP="00685AED">
            <w:pPr>
              <w:spacing w:line="276" w:lineRule="auto"/>
              <w:jc w:val="center"/>
              <w:rPr>
                <w:rFonts w:ascii="Arial Narrow" w:eastAsia="Times New Roman" w:hAnsi="Arial Narrow" w:cstheme="minorHAnsi"/>
                <w:color w:val="000000"/>
                <w:sz w:val="20"/>
                <w:szCs w:val="20"/>
                <w:lang w:val="en-US"/>
              </w:rPr>
            </w:pPr>
            <w:r w:rsidRPr="00855D21">
              <w:rPr>
                <w:rFonts w:ascii="Arial Narrow" w:eastAsia="Times New Roman" w:hAnsi="Arial Narrow" w:cstheme="minorHAnsi"/>
                <w:color w:val="000000"/>
                <w:sz w:val="20"/>
                <w:szCs w:val="20"/>
                <w:lang w:val="en-US"/>
              </w:rPr>
              <w:t>$571.85</w:t>
            </w:r>
          </w:p>
        </w:tc>
      </w:tr>
      <w:tr w:rsidR="00C70C5D" w:rsidRPr="0017612C" w14:paraId="1F0FC036" w14:textId="77777777" w:rsidTr="00685AED">
        <w:trPr>
          <w:cantSplit/>
          <w:trHeight w:val="255"/>
        </w:trPr>
        <w:tc>
          <w:tcPr>
            <w:tcW w:w="9016" w:type="dxa"/>
            <w:gridSpan w:val="6"/>
            <w:tcBorders>
              <w:bottom w:val="single" w:sz="4" w:space="0" w:color="auto"/>
            </w:tcBorders>
            <w:shd w:val="clear" w:color="auto" w:fill="auto"/>
            <w:noWrap/>
            <w:hideMark/>
          </w:tcPr>
          <w:p w14:paraId="758F8C8C" w14:textId="77777777" w:rsidR="00C70C5D" w:rsidRPr="00DE3DD0" w:rsidRDefault="00C70C5D" w:rsidP="00685AED">
            <w:pPr>
              <w:spacing w:line="276" w:lineRule="auto"/>
              <w:rPr>
                <w:rFonts w:ascii="Arial Narrow" w:eastAsia="Times New Roman" w:hAnsi="Arial Narrow" w:cstheme="minorHAnsi"/>
                <w:b/>
                <w:color w:val="000000"/>
                <w:sz w:val="20"/>
                <w:szCs w:val="20"/>
                <w:lang w:val="en-US"/>
              </w:rPr>
            </w:pPr>
            <w:r w:rsidRPr="00DE3DD0">
              <w:rPr>
                <w:rFonts w:ascii="Arial Narrow" w:eastAsia="Times New Roman" w:hAnsi="Arial Narrow" w:cstheme="minorHAnsi"/>
                <w:b/>
                <w:color w:val="000000"/>
                <w:sz w:val="20"/>
                <w:szCs w:val="20"/>
                <w:lang w:val="en-US"/>
              </w:rPr>
              <w:t>Adverse events</w:t>
            </w:r>
          </w:p>
        </w:tc>
      </w:tr>
      <w:tr w:rsidR="00DE3DD0" w:rsidRPr="0017612C" w14:paraId="4941C717" w14:textId="77777777" w:rsidTr="00685AED">
        <w:trPr>
          <w:cantSplit/>
          <w:trHeight w:val="255"/>
        </w:trPr>
        <w:tc>
          <w:tcPr>
            <w:tcW w:w="1838" w:type="dxa"/>
            <w:tcBorders>
              <w:bottom w:val="single" w:sz="4" w:space="0" w:color="auto"/>
            </w:tcBorders>
            <w:noWrap/>
            <w:hideMark/>
          </w:tcPr>
          <w:p w14:paraId="3A4D9A14" w14:textId="77777777" w:rsidR="00C70C5D" w:rsidRPr="00855D21" w:rsidRDefault="00C70C5D" w:rsidP="00685AED">
            <w:pPr>
              <w:spacing w:line="276" w:lineRule="auto"/>
              <w:rPr>
                <w:rFonts w:ascii="Arial Narrow" w:eastAsia="Times New Roman" w:hAnsi="Arial Narrow" w:cstheme="minorHAnsi"/>
                <w:color w:val="000000"/>
                <w:sz w:val="20"/>
                <w:szCs w:val="20"/>
                <w:lang w:val="en-US"/>
              </w:rPr>
            </w:pPr>
            <w:r w:rsidRPr="00855D21">
              <w:rPr>
                <w:rFonts w:ascii="Arial Narrow" w:eastAsia="Times New Roman" w:hAnsi="Arial Narrow" w:cstheme="minorHAnsi"/>
                <w:color w:val="000000"/>
                <w:sz w:val="20"/>
                <w:szCs w:val="20"/>
                <w:lang w:val="en-US"/>
              </w:rPr>
              <w:t>Thrombotic events</w:t>
            </w:r>
          </w:p>
        </w:tc>
        <w:tc>
          <w:tcPr>
            <w:tcW w:w="2207" w:type="dxa"/>
            <w:tcBorders>
              <w:bottom w:val="single" w:sz="4" w:space="0" w:color="auto"/>
            </w:tcBorders>
            <w:noWrap/>
          </w:tcPr>
          <w:p w14:paraId="4E1CCF86" w14:textId="6127CD43"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3690" w:type="dxa"/>
            <w:gridSpan w:val="3"/>
            <w:tcBorders>
              <w:bottom w:val="single" w:sz="4" w:space="0" w:color="auto"/>
            </w:tcBorders>
            <w:noWrap/>
          </w:tcPr>
          <w:p w14:paraId="425234DA" w14:textId="7AA10DAF"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1281" w:type="dxa"/>
            <w:tcBorders>
              <w:bottom w:val="single" w:sz="4" w:space="0" w:color="auto"/>
            </w:tcBorders>
            <w:noWrap/>
          </w:tcPr>
          <w:p w14:paraId="66C25B9F" w14:textId="77777777" w:rsidR="00C70C5D" w:rsidRPr="00855D21" w:rsidRDefault="00C70C5D" w:rsidP="00685AED">
            <w:pPr>
              <w:spacing w:line="276" w:lineRule="auto"/>
              <w:jc w:val="center"/>
              <w:rPr>
                <w:rFonts w:ascii="Arial Narrow" w:eastAsia="Times New Roman" w:hAnsi="Arial Narrow" w:cstheme="minorHAnsi"/>
                <w:color w:val="000000"/>
                <w:sz w:val="20"/>
                <w:szCs w:val="20"/>
                <w:lang w:val="en-US"/>
              </w:rPr>
            </w:pPr>
          </w:p>
        </w:tc>
      </w:tr>
      <w:tr w:rsidR="00DE3DD0" w:rsidRPr="0017612C" w14:paraId="4697A85E" w14:textId="77777777" w:rsidTr="00685AED">
        <w:trPr>
          <w:cantSplit/>
          <w:trHeight w:val="255"/>
        </w:trPr>
        <w:tc>
          <w:tcPr>
            <w:tcW w:w="1838" w:type="dxa"/>
            <w:tcBorders>
              <w:top w:val="single" w:sz="4" w:space="0" w:color="auto"/>
              <w:bottom w:val="single" w:sz="4" w:space="0" w:color="auto"/>
            </w:tcBorders>
            <w:noWrap/>
            <w:vAlign w:val="center"/>
            <w:hideMark/>
          </w:tcPr>
          <w:p w14:paraId="7B7F9F82" w14:textId="77777777" w:rsidR="00C70C5D" w:rsidRPr="00855D21" w:rsidRDefault="00C70C5D" w:rsidP="00685AED">
            <w:pPr>
              <w:spacing w:line="276" w:lineRule="auto"/>
              <w:rPr>
                <w:rFonts w:ascii="Arial Narrow" w:eastAsia="Times New Roman" w:hAnsi="Arial Narrow" w:cstheme="minorHAnsi"/>
                <w:color w:val="000000"/>
                <w:sz w:val="20"/>
                <w:szCs w:val="20"/>
                <w:lang w:val="en-US"/>
              </w:rPr>
            </w:pPr>
            <w:r w:rsidRPr="00855D21">
              <w:rPr>
                <w:rFonts w:ascii="Arial Narrow" w:eastAsia="Times New Roman" w:hAnsi="Arial Narrow" w:cstheme="minorHAnsi"/>
                <w:color w:val="000000"/>
                <w:sz w:val="20"/>
                <w:szCs w:val="20"/>
                <w:lang w:val="en-US"/>
              </w:rPr>
              <w:t xml:space="preserve">Total </w:t>
            </w:r>
          </w:p>
        </w:tc>
        <w:tc>
          <w:tcPr>
            <w:tcW w:w="2207" w:type="dxa"/>
            <w:tcBorders>
              <w:top w:val="single" w:sz="4" w:space="0" w:color="auto"/>
              <w:bottom w:val="single" w:sz="4" w:space="0" w:color="auto"/>
            </w:tcBorders>
            <w:noWrap/>
          </w:tcPr>
          <w:p w14:paraId="6A173C7A" w14:textId="2B26627A"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3690" w:type="dxa"/>
            <w:gridSpan w:val="3"/>
            <w:tcBorders>
              <w:top w:val="single" w:sz="4" w:space="0" w:color="auto"/>
              <w:bottom w:val="single" w:sz="4" w:space="0" w:color="auto"/>
            </w:tcBorders>
            <w:noWrap/>
          </w:tcPr>
          <w:p w14:paraId="18781713" w14:textId="66A5F823"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hAnsi="Arial Narrow" w:cstheme="minorHAnsi"/>
                <w:sz w:val="20"/>
                <w:szCs w:val="20"/>
              </w:rPr>
              <w:t>$</w:t>
            </w:r>
            <w:r w:rsidR="00DE3DD0" w:rsidRPr="00DE3DD0">
              <w:rPr>
                <w:rFonts w:ascii="Arial Narrow" w:hAnsi="Arial Narrow" w:cstheme="minorHAnsi"/>
                <w:sz w:val="20"/>
                <w:szCs w:val="20"/>
              </w:rPr>
              <w:t>REDACTED</w:t>
            </w:r>
          </w:p>
        </w:tc>
        <w:tc>
          <w:tcPr>
            <w:tcW w:w="1281" w:type="dxa"/>
            <w:tcBorders>
              <w:top w:val="single" w:sz="4" w:space="0" w:color="auto"/>
              <w:bottom w:val="single" w:sz="4" w:space="0" w:color="auto"/>
            </w:tcBorders>
            <w:noWrap/>
          </w:tcPr>
          <w:p w14:paraId="5219E5F4" w14:textId="77777777" w:rsidR="00C70C5D" w:rsidRPr="00855D21" w:rsidRDefault="00C70C5D" w:rsidP="00685AED">
            <w:pPr>
              <w:spacing w:line="276" w:lineRule="auto"/>
              <w:jc w:val="center"/>
              <w:rPr>
                <w:rFonts w:ascii="Arial Narrow" w:eastAsia="Times New Roman" w:hAnsi="Arial Narrow" w:cstheme="minorHAnsi"/>
                <w:color w:val="000000"/>
                <w:sz w:val="20"/>
                <w:szCs w:val="20"/>
                <w:lang w:val="en-US"/>
              </w:rPr>
            </w:pPr>
            <w:r w:rsidRPr="00855D21">
              <w:rPr>
                <w:rFonts w:ascii="Arial Narrow" w:eastAsia="Times New Roman" w:hAnsi="Arial Narrow" w:cstheme="minorHAnsi"/>
                <w:color w:val="000000"/>
                <w:sz w:val="20"/>
                <w:szCs w:val="20"/>
                <w:lang w:val="en-US"/>
              </w:rPr>
              <w:t>-$157.52</w:t>
            </w:r>
          </w:p>
        </w:tc>
      </w:tr>
      <w:tr w:rsidR="00C70C5D" w:rsidRPr="0017612C" w14:paraId="2FBB94A5" w14:textId="77777777" w:rsidTr="00685AED">
        <w:trPr>
          <w:cantSplit/>
          <w:trHeight w:val="255"/>
        </w:trPr>
        <w:tc>
          <w:tcPr>
            <w:tcW w:w="9016" w:type="dxa"/>
            <w:gridSpan w:val="6"/>
            <w:tcBorders>
              <w:top w:val="single" w:sz="4" w:space="0" w:color="auto"/>
              <w:bottom w:val="single" w:sz="4" w:space="0" w:color="auto"/>
            </w:tcBorders>
            <w:shd w:val="clear" w:color="auto" w:fill="auto"/>
            <w:noWrap/>
            <w:vAlign w:val="center"/>
          </w:tcPr>
          <w:p w14:paraId="4322F91D" w14:textId="77777777" w:rsidR="00C70C5D" w:rsidRPr="00DE3DD0" w:rsidRDefault="00C70C5D" w:rsidP="00685AED">
            <w:pPr>
              <w:spacing w:line="276" w:lineRule="auto"/>
              <w:rPr>
                <w:rFonts w:ascii="Arial Narrow" w:eastAsia="Times New Roman" w:hAnsi="Arial Narrow" w:cstheme="minorHAnsi"/>
                <w:b/>
                <w:color w:val="000000"/>
                <w:sz w:val="20"/>
                <w:szCs w:val="20"/>
                <w:lang w:val="en-US"/>
              </w:rPr>
            </w:pPr>
            <w:r w:rsidRPr="00DE3DD0">
              <w:rPr>
                <w:rFonts w:ascii="Arial Narrow" w:eastAsia="Times New Roman" w:hAnsi="Arial Narrow" w:cstheme="minorHAnsi"/>
                <w:b/>
                <w:color w:val="000000"/>
                <w:sz w:val="20"/>
                <w:szCs w:val="20"/>
                <w:lang w:val="en-US"/>
              </w:rPr>
              <w:t>Total cost of treatment per bleeding episode</w:t>
            </w:r>
          </w:p>
        </w:tc>
      </w:tr>
      <w:tr w:rsidR="00DE3DD0" w:rsidRPr="0017612C" w14:paraId="4C631245" w14:textId="77777777" w:rsidTr="00685AED">
        <w:trPr>
          <w:cantSplit/>
          <w:trHeight w:val="255"/>
        </w:trPr>
        <w:tc>
          <w:tcPr>
            <w:tcW w:w="1838" w:type="dxa"/>
            <w:tcBorders>
              <w:top w:val="single" w:sz="4" w:space="0" w:color="auto"/>
            </w:tcBorders>
            <w:noWrap/>
            <w:vAlign w:val="center"/>
            <w:hideMark/>
          </w:tcPr>
          <w:p w14:paraId="4A423FE1" w14:textId="77777777" w:rsidR="00C70C5D" w:rsidRPr="00855D21" w:rsidRDefault="00C70C5D" w:rsidP="00685AED">
            <w:pPr>
              <w:spacing w:line="276" w:lineRule="auto"/>
              <w:rPr>
                <w:rFonts w:ascii="Arial Narrow" w:eastAsia="Times New Roman" w:hAnsi="Arial Narrow" w:cstheme="minorHAnsi"/>
                <w:color w:val="000000"/>
                <w:sz w:val="20"/>
                <w:szCs w:val="20"/>
                <w:lang w:val="en-US"/>
              </w:rPr>
            </w:pPr>
            <w:r w:rsidRPr="00855D21">
              <w:rPr>
                <w:rFonts w:ascii="Arial Narrow" w:eastAsia="Times New Roman" w:hAnsi="Arial Narrow" w:cstheme="minorHAnsi"/>
                <w:color w:val="000000"/>
                <w:sz w:val="20"/>
                <w:szCs w:val="20"/>
                <w:lang w:val="en-US"/>
              </w:rPr>
              <w:t xml:space="preserve">Total </w:t>
            </w:r>
          </w:p>
        </w:tc>
        <w:tc>
          <w:tcPr>
            <w:tcW w:w="2207" w:type="dxa"/>
            <w:tcBorders>
              <w:top w:val="single" w:sz="4" w:space="0" w:color="auto"/>
            </w:tcBorders>
            <w:noWrap/>
          </w:tcPr>
          <w:p w14:paraId="6A996E95" w14:textId="4C138212"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eastAsia="Times New Roman" w:hAnsi="Arial Narrow" w:cstheme="minorHAnsi"/>
                <w:color w:val="000000"/>
                <w:sz w:val="20"/>
                <w:szCs w:val="20"/>
                <w:lang w:val="en-US"/>
              </w:rPr>
              <w:t>$</w:t>
            </w:r>
            <w:r w:rsidR="00DE3DD0" w:rsidRPr="00DE3DD0">
              <w:rPr>
                <w:rFonts w:ascii="Arial Narrow" w:eastAsia="Times New Roman" w:hAnsi="Arial Narrow" w:cstheme="minorHAnsi"/>
                <w:color w:val="000000"/>
                <w:sz w:val="20"/>
                <w:szCs w:val="20"/>
                <w:lang w:val="en-US"/>
              </w:rPr>
              <w:t>REDACTED</w:t>
            </w:r>
          </w:p>
        </w:tc>
        <w:tc>
          <w:tcPr>
            <w:tcW w:w="3690" w:type="dxa"/>
            <w:gridSpan w:val="3"/>
            <w:tcBorders>
              <w:top w:val="single" w:sz="4" w:space="0" w:color="auto"/>
            </w:tcBorders>
            <w:noWrap/>
          </w:tcPr>
          <w:p w14:paraId="1B342DC9" w14:textId="7CE0FD6E" w:rsidR="00C70C5D" w:rsidRPr="00DE3DD0" w:rsidRDefault="00C70C5D" w:rsidP="00685AED">
            <w:pPr>
              <w:spacing w:line="276" w:lineRule="auto"/>
              <w:jc w:val="center"/>
              <w:rPr>
                <w:rFonts w:ascii="Arial Narrow" w:eastAsia="Times New Roman" w:hAnsi="Arial Narrow" w:cstheme="minorHAnsi"/>
                <w:color w:val="000000"/>
                <w:sz w:val="20"/>
                <w:szCs w:val="20"/>
                <w:lang w:val="en-US"/>
              </w:rPr>
            </w:pPr>
            <w:r w:rsidRPr="00DE3DD0">
              <w:rPr>
                <w:rFonts w:ascii="Arial Narrow" w:eastAsia="Times New Roman" w:hAnsi="Arial Narrow" w:cstheme="minorHAnsi"/>
                <w:color w:val="000000"/>
                <w:sz w:val="20"/>
                <w:szCs w:val="20"/>
                <w:lang w:val="en-US"/>
              </w:rPr>
              <w:t>$</w:t>
            </w:r>
            <w:r w:rsidR="00DE3DD0" w:rsidRPr="00DE3DD0">
              <w:rPr>
                <w:rFonts w:ascii="Arial Narrow" w:eastAsia="Times New Roman" w:hAnsi="Arial Narrow" w:cstheme="minorHAnsi"/>
                <w:color w:val="000000"/>
                <w:sz w:val="20"/>
                <w:szCs w:val="20"/>
                <w:lang w:val="en-US"/>
              </w:rPr>
              <w:t>REDACTED</w:t>
            </w:r>
          </w:p>
        </w:tc>
        <w:tc>
          <w:tcPr>
            <w:tcW w:w="1281" w:type="dxa"/>
            <w:tcBorders>
              <w:top w:val="single" w:sz="4" w:space="0" w:color="auto"/>
            </w:tcBorders>
            <w:noWrap/>
          </w:tcPr>
          <w:p w14:paraId="3BCD41D3" w14:textId="77777777" w:rsidR="00C70C5D" w:rsidRPr="00855D21" w:rsidRDefault="00C70C5D" w:rsidP="00685AED">
            <w:pPr>
              <w:spacing w:line="276" w:lineRule="auto"/>
              <w:jc w:val="center"/>
              <w:rPr>
                <w:rFonts w:ascii="Arial Narrow" w:eastAsia="Times New Roman" w:hAnsi="Arial Narrow" w:cstheme="minorHAnsi"/>
                <w:color w:val="000000"/>
                <w:sz w:val="20"/>
                <w:szCs w:val="20"/>
                <w:lang w:val="en-US"/>
              </w:rPr>
            </w:pPr>
            <w:r w:rsidRPr="00855D21">
              <w:rPr>
                <w:rFonts w:ascii="Arial Narrow" w:eastAsia="Times New Roman" w:hAnsi="Arial Narrow" w:cstheme="minorHAnsi"/>
                <w:color w:val="000000"/>
                <w:sz w:val="20"/>
                <w:szCs w:val="20"/>
                <w:lang w:val="en-US"/>
              </w:rPr>
              <w:t>$0.00</w:t>
            </w:r>
          </w:p>
        </w:tc>
      </w:tr>
    </w:tbl>
    <w:p w14:paraId="0FC0BA02" w14:textId="77777777" w:rsidR="00C70C5D" w:rsidRDefault="00C70C5D" w:rsidP="00C70C5D">
      <w:pPr>
        <w:pStyle w:val="TableText"/>
        <w:keepNext/>
        <w:rPr>
          <w:sz w:val="18"/>
        </w:rPr>
      </w:pPr>
      <w:r w:rsidRPr="00B175F5">
        <w:rPr>
          <w:sz w:val="18"/>
        </w:rPr>
        <w:t>Source:</w:t>
      </w:r>
      <w:r>
        <w:rPr>
          <w:sz w:val="18"/>
        </w:rPr>
        <w:t xml:space="preserve"> Table 110, </w:t>
      </w:r>
      <w:proofErr w:type="spellStart"/>
      <w:r>
        <w:rPr>
          <w:sz w:val="18"/>
        </w:rPr>
        <w:t>pg</w:t>
      </w:r>
      <w:proofErr w:type="spellEnd"/>
      <w:r>
        <w:rPr>
          <w:sz w:val="18"/>
        </w:rPr>
        <w:t xml:space="preserve"> 164 of the MSAC 1714 ADAR</w:t>
      </w:r>
    </w:p>
    <w:p w14:paraId="4A0990D3" w14:textId="51ED699E" w:rsidR="341DB895" w:rsidRPr="008D4F50" w:rsidRDefault="22D80F42" w:rsidP="008D4F50">
      <w:pPr>
        <w:spacing w:before="240"/>
      </w:pPr>
      <w:r>
        <w:t xml:space="preserve">The ADAR proposed a confidential price </w:t>
      </w:r>
      <w:r w:rsidRPr="007E2243">
        <w:t>of $</w:t>
      </w:r>
      <w:r w:rsidR="007E2243" w:rsidRPr="007E2243">
        <w:t>[REDACTED]</w:t>
      </w:r>
      <w:r w:rsidRPr="007E2243">
        <w:t xml:space="preserve"> for Obizur 500 U vial by weighing the cost per vial that resulted from the CMAs versus NovoSeven ($</w:t>
      </w:r>
      <w:r w:rsidR="007E2243" w:rsidRPr="007E2243">
        <w:t>[REDACTED]</w:t>
      </w:r>
      <w:r w:rsidRPr="007E2243">
        <w:t>) and FEIBA ($</w:t>
      </w:r>
      <w:r w:rsidR="007E2243" w:rsidRPr="007E2243">
        <w:t>[REDACTED]</w:t>
      </w:r>
      <w:r w:rsidRPr="007E2243">
        <w:t xml:space="preserve">) with the current market share of NovoSeven (78%) and FEIBA (22%). </w:t>
      </w:r>
      <w:r w:rsidR="418FEE3D" w:rsidRPr="007E2243">
        <w:t xml:space="preserve">Applying the 1 January 2023 NPPL </w:t>
      </w:r>
      <w:r w:rsidR="7026C049" w:rsidRPr="007E2243">
        <w:t>updated prices of NovoSeven and FEIBA results in a lower cost-minimised price of $</w:t>
      </w:r>
      <w:r w:rsidR="007E2243" w:rsidRPr="007E2243">
        <w:t>[REDACTED]</w:t>
      </w:r>
      <w:r w:rsidR="7026C049" w:rsidRPr="007E2243">
        <w:t xml:space="preserve"> (versus NovoSeven (</w:t>
      </w:r>
      <w:r w:rsidR="007E2243" w:rsidRPr="007E2243">
        <w:t>$[REDACTED]</w:t>
      </w:r>
      <w:r w:rsidR="7026C049" w:rsidRPr="007E2243">
        <w:t>) and FEIBA ($</w:t>
      </w:r>
      <w:r w:rsidR="007E2243" w:rsidRPr="007E2243">
        <w:t>[REDACTED</w:t>
      </w:r>
      <w:r w:rsidR="007E2243">
        <w:t>]</w:t>
      </w:r>
      <w:r w:rsidR="7026C049">
        <w:t>))</w:t>
      </w:r>
      <w:r w:rsidR="204B0B85">
        <w:t>.</w:t>
      </w:r>
      <w:r w:rsidR="7026C049">
        <w:t xml:space="preserve"> </w:t>
      </w:r>
      <w:r>
        <w:t>Information on the current market share of NovoSeven and FEIBA were based on utilisation as reported in the ABDR Annual report (2019-2020). A total of seven patients received treatment with NovoSeven and less than five patients received treatment with FEIBA. As exact numbers of patients receiving treatment with FEIBA is unclear, the ADAR assumed that two patients were treated with FEIBA. Therefore, changes in the number of patients treated with FEIBA will affect market share estimates and thus the price per vial of Obizur.</w:t>
      </w:r>
    </w:p>
    <w:p w14:paraId="7C9A5FC5" w14:textId="77777777" w:rsidR="00C70C5D" w:rsidRPr="00546EA2" w:rsidRDefault="00C70C5D" w:rsidP="0097066D">
      <w:pPr>
        <w:pStyle w:val="Heading3"/>
      </w:pPr>
      <w:r w:rsidRPr="00546EA2">
        <w:t>Sensitivity Analyses</w:t>
      </w:r>
    </w:p>
    <w:p w14:paraId="4959058C" w14:textId="77777777" w:rsidR="00C70C5D" w:rsidRPr="00764D4F" w:rsidRDefault="00C70C5D" w:rsidP="00C70C5D">
      <w:pPr>
        <w:rPr>
          <w:rStyle w:val="InstructionaltextChar"/>
          <w:color w:val="auto"/>
        </w:rPr>
      </w:pPr>
      <w:r w:rsidRPr="00CE28E3">
        <w:t xml:space="preserve">The results of key sensitivity analyses </w:t>
      </w:r>
      <w:r>
        <w:t xml:space="preserve">performed during the evaluation </w:t>
      </w:r>
      <w:r w:rsidRPr="00CE28E3">
        <w:t xml:space="preserve">are </w:t>
      </w:r>
      <w:r>
        <w:t>presented</w:t>
      </w:r>
      <w:r w:rsidRPr="00CE28E3">
        <w:t xml:space="preserve"> below. </w:t>
      </w:r>
    </w:p>
    <w:p w14:paraId="7736A4CC" w14:textId="65685780" w:rsidR="00C70C5D" w:rsidRPr="00104067" w:rsidRDefault="00C70C5D" w:rsidP="00104067">
      <w:pPr>
        <w:pStyle w:val="Caption"/>
        <w:keepLines/>
      </w:pPr>
      <w:r w:rsidRPr="00084220">
        <w:lastRenderedPageBreak/>
        <w:t>Table </w:t>
      </w:r>
      <w:r w:rsidRPr="00104067">
        <w:fldChar w:fldCharType="begin"/>
      </w:r>
      <w:r w:rsidRPr="00084220">
        <w:instrText xml:space="preserve"> SEQ Table \* ARABIC </w:instrText>
      </w:r>
      <w:r w:rsidRPr="00104067">
        <w:fldChar w:fldCharType="separate"/>
      </w:r>
      <w:r w:rsidR="00C25EB0">
        <w:rPr>
          <w:noProof/>
        </w:rPr>
        <w:t>16</w:t>
      </w:r>
      <w:r w:rsidRPr="00104067">
        <w:fldChar w:fldCharType="end"/>
      </w:r>
      <w:r w:rsidRPr="00084220">
        <w:t xml:space="preserve"> Results of the sensitivity analyses performed during the evaluation</w:t>
      </w:r>
      <w:r>
        <w:t xml:space="preserve"> – Obizur versus NovoSeven</w:t>
      </w:r>
    </w:p>
    <w:tbl>
      <w:tblPr>
        <w:tblStyle w:val="TableGrid"/>
        <w:tblW w:w="5000" w:type="pct"/>
        <w:tblLook w:val="04A0" w:firstRow="1" w:lastRow="0" w:firstColumn="1" w:lastColumn="0" w:noHBand="0" w:noVBand="1"/>
        <w:tblCaption w:val="Results of the sensitivity analyses performed during the evaluation – Obizur versus NovoSeven"/>
      </w:tblPr>
      <w:tblGrid>
        <w:gridCol w:w="1805"/>
        <w:gridCol w:w="1805"/>
        <w:gridCol w:w="1803"/>
        <w:gridCol w:w="1803"/>
        <w:gridCol w:w="1800"/>
      </w:tblGrid>
      <w:tr w:rsidR="00C70C5D" w:rsidRPr="0007009D" w14:paraId="3912539C" w14:textId="77777777" w:rsidTr="00750623">
        <w:tc>
          <w:tcPr>
            <w:tcW w:w="1001" w:type="pct"/>
            <w:vAlign w:val="center"/>
          </w:tcPr>
          <w:p w14:paraId="065D1741" w14:textId="77777777" w:rsidR="00C70C5D" w:rsidRPr="00084220" w:rsidRDefault="00C70C5D" w:rsidP="00750623">
            <w:pPr>
              <w:pStyle w:val="TableText"/>
              <w:keepNext/>
              <w:jc w:val="center"/>
            </w:pPr>
          </w:p>
        </w:tc>
        <w:tc>
          <w:tcPr>
            <w:tcW w:w="1001" w:type="pct"/>
            <w:vAlign w:val="center"/>
          </w:tcPr>
          <w:p w14:paraId="3C51D6E1" w14:textId="77777777" w:rsidR="00C70C5D" w:rsidRPr="002202DC" w:rsidRDefault="00C70C5D" w:rsidP="00750623">
            <w:pPr>
              <w:pStyle w:val="TableText"/>
              <w:keepNext/>
              <w:jc w:val="center"/>
              <w:rPr>
                <w:b/>
              </w:rPr>
            </w:pPr>
            <w:r>
              <w:rPr>
                <w:b/>
              </w:rPr>
              <w:t>Dose per episode – Obizur (U)</w:t>
            </w:r>
          </w:p>
        </w:tc>
        <w:tc>
          <w:tcPr>
            <w:tcW w:w="1000" w:type="pct"/>
            <w:vAlign w:val="center"/>
          </w:tcPr>
          <w:p w14:paraId="2AAD4D68" w14:textId="77777777" w:rsidR="00C70C5D" w:rsidRPr="002202DC" w:rsidRDefault="00C70C5D" w:rsidP="00750623">
            <w:pPr>
              <w:pStyle w:val="TableText"/>
              <w:keepNext/>
              <w:jc w:val="center"/>
              <w:rPr>
                <w:b/>
              </w:rPr>
            </w:pPr>
            <w:r>
              <w:rPr>
                <w:b/>
              </w:rPr>
              <w:t>Dose per episode – NovoSeven (</w:t>
            </w:r>
            <w:r w:rsidRPr="00203F2C">
              <w:rPr>
                <w:b/>
              </w:rPr>
              <w:t>µg</w:t>
            </w:r>
            <w:r>
              <w:rPr>
                <w:b/>
              </w:rPr>
              <w:t>)</w:t>
            </w:r>
          </w:p>
        </w:tc>
        <w:tc>
          <w:tcPr>
            <w:tcW w:w="1000" w:type="pct"/>
            <w:vAlign w:val="center"/>
          </w:tcPr>
          <w:p w14:paraId="557F5630" w14:textId="77777777" w:rsidR="00C70C5D" w:rsidRPr="002202DC" w:rsidRDefault="00C70C5D" w:rsidP="00750623">
            <w:pPr>
              <w:pStyle w:val="TableText"/>
              <w:keepNext/>
              <w:jc w:val="center"/>
              <w:rPr>
                <w:b/>
              </w:rPr>
            </w:pPr>
            <w:r w:rsidRPr="002202DC">
              <w:rPr>
                <w:b/>
              </w:rPr>
              <w:t>Cost-minimised price per vial for Obizur</w:t>
            </w:r>
          </w:p>
        </w:tc>
        <w:tc>
          <w:tcPr>
            <w:tcW w:w="998" w:type="pct"/>
            <w:vAlign w:val="center"/>
          </w:tcPr>
          <w:p w14:paraId="111A4D40" w14:textId="77777777" w:rsidR="00C70C5D" w:rsidRPr="002202DC" w:rsidRDefault="00C70C5D" w:rsidP="00750623">
            <w:pPr>
              <w:pStyle w:val="TableText"/>
              <w:keepNext/>
              <w:jc w:val="center"/>
              <w:rPr>
                <w:b/>
              </w:rPr>
            </w:pPr>
            <w:r>
              <w:rPr>
                <w:b/>
              </w:rPr>
              <w:t>C</w:t>
            </w:r>
            <w:r w:rsidRPr="002202DC">
              <w:rPr>
                <w:b/>
              </w:rPr>
              <w:t>hange</w:t>
            </w:r>
            <w:r>
              <w:rPr>
                <w:b/>
              </w:rPr>
              <w:t xml:space="preserve"> in price per vial</w:t>
            </w:r>
          </w:p>
        </w:tc>
      </w:tr>
      <w:tr w:rsidR="00C70C5D" w:rsidRPr="0007009D" w14:paraId="6A76C606" w14:textId="77777777" w:rsidTr="00750623">
        <w:tc>
          <w:tcPr>
            <w:tcW w:w="1001" w:type="pct"/>
            <w:vAlign w:val="center"/>
          </w:tcPr>
          <w:p w14:paraId="0F1E6CD4" w14:textId="77777777" w:rsidR="00C70C5D" w:rsidRPr="003412DC" w:rsidRDefault="00C70C5D" w:rsidP="00750623">
            <w:pPr>
              <w:pStyle w:val="TableText"/>
              <w:keepNext/>
              <w:rPr>
                <w:b/>
              </w:rPr>
            </w:pPr>
            <w:r w:rsidRPr="003412DC">
              <w:rPr>
                <w:b/>
              </w:rPr>
              <w:t>Base case</w:t>
            </w:r>
          </w:p>
        </w:tc>
        <w:tc>
          <w:tcPr>
            <w:tcW w:w="1001" w:type="pct"/>
            <w:vAlign w:val="center"/>
          </w:tcPr>
          <w:p w14:paraId="1D41BCBC" w14:textId="1399F215" w:rsidR="00C70C5D" w:rsidRPr="001751D9" w:rsidRDefault="001B2FA0" w:rsidP="00750623">
            <w:pPr>
              <w:pStyle w:val="TableText"/>
              <w:keepNext/>
              <w:jc w:val="center"/>
            </w:pPr>
            <w:r w:rsidRPr="001751D9">
              <w:t>REDACTED</w:t>
            </w:r>
          </w:p>
        </w:tc>
        <w:tc>
          <w:tcPr>
            <w:tcW w:w="1000" w:type="pct"/>
            <w:vAlign w:val="center"/>
          </w:tcPr>
          <w:p w14:paraId="7DF24937" w14:textId="13E8CA60" w:rsidR="00C70C5D" w:rsidRPr="001751D9" w:rsidRDefault="001B2FA0" w:rsidP="00750623">
            <w:pPr>
              <w:pStyle w:val="TableText"/>
              <w:keepNext/>
              <w:jc w:val="center"/>
            </w:pPr>
            <w:r w:rsidRPr="001751D9">
              <w:t>REDACTED</w:t>
            </w:r>
          </w:p>
        </w:tc>
        <w:tc>
          <w:tcPr>
            <w:tcW w:w="1000" w:type="pct"/>
            <w:vAlign w:val="center"/>
          </w:tcPr>
          <w:p w14:paraId="52EFC9C7" w14:textId="3073CB78" w:rsidR="00C70C5D" w:rsidRPr="001751D9" w:rsidRDefault="00C70C5D" w:rsidP="00750623">
            <w:pPr>
              <w:pStyle w:val="TableText"/>
              <w:keepNext/>
              <w:jc w:val="center"/>
            </w:pPr>
            <w:r w:rsidRPr="001751D9">
              <w:t>$</w:t>
            </w:r>
            <w:r w:rsidR="001B2FA0" w:rsidRPr="001751D9">
              <w:t>REDACTED</w:t>
            </w:r>
          </w:p>
        </w:tc>
        <w:tc>
          <w:tcPr>
            <w:tcW w:w="998" w:type="pct"/>
            <w:vAlign w:val="center"/>
          </w:tcPr>
          <w:p w14:paraId="541CA870" w14:textId="77777777" w:rsidR="00C70C5D" w:rsidRPr="00084220" w:rsidRDefault="00C70C5D" w:rsidP="00750623">
            <w:pPr>
              <w:pStyle w:val="TableText"/>
              <w:keepNext/>
              <w:jc w:val="center"/>
            </w:pPr>
            <w:r w:rsidRPr="00084220">
              <w:t>_</w:t>
            </w:r>
          </w:p>
        </w:tc>
      </w:tr>
      <w:tr w:rsidR="00C70C5D" w:rsidRPr="0007009D" w14:paraId="09204202" w14:textId="77777777" w:rsidTr="00750623">
        <w:tc>
          <w:tcPr>
            <w:tcW w:w="1001" w:type="pct"/>
            <w:vAlign w:val="center"/>
          </w:tcPr>
          <w:p w14:paraId="6997BF40" w14:textId="77777777" w:rsidR="00C70C5D" w:rsidRPr="003412DC" w:rsidRDefault="00C70C5D" w:rsidP="00750623">
            <w:pPr>
              <w:pStyle w:val="TableText"/>
              <w:keepNext/>
              <w:rPr>
                <w:b/>
              </w:rPr>
            </w:pPr>
            <w:r>
              <w:rPr>
                <w:b/>
              </w:rPr>
              <w:t>Sensitivity analyses</w:t>
            </w:r>
          </w:p>
        </w:tc>
        <w:tc>
          <w:tcPr>
            <w:tcW w:w="1001" w:type="pct"/>
            <w:vAlign w:val="center"/>
          </w:tcPr>
          <w:p w14:paraId="7D90E9BD" w14:textId="77777777" w:rsidR="00C70C5D" w:rsidRPr="001751D9" w:rsidRDefault="00C70C5D" w:rsidP="00750623">
            <w:pPr>
              <w:pStyle w:val="TableText"/>
              <w:keepNext/>
              <w:jc w:val="center"/>
            </w:pPr>
          </w:p>
        </w:tc>
        <w:tc>
          <w:tcPr>
            <w:tcW w:w="1000" w:type="pct"/>
            <w:vAlign w:val="center"/>
          </w:tcPr>
          <w:p w14:paraId="3B6402A7" w14:textId="77777777" w:rsidR="00C70C5D" w:rsidRPr="001751D9" w:rsidRDefault="00C70C5D" w:rsidP="00750623">
            <w:pPr>
              <w:pStyle w:val="TableText"/>
              <w:keepNext/>
              <w:jc w:val="center"/>
            </w:pPr>
          </w:p>
        </w:tc>
        <w:tc>
          <w:tcPr>
            <w:tcW w:w="1000" w:type="pct"/>
            <w:vAlign w:val="center"/>
          </w:tcPr>
          <w:p w14:paraId="06C6986A" w14:textId="77777777" w:rsidR="00C70C5D" w:rsidRPr="001751D9" w:rsidRDefault="00C70C5D" w:rsidP="00750623">
            <w:pPr>
              <w:pStyle w:val="TableText"/>
              <w:keepNext/>
              <w:jc w:val="center"/>
            </w:pPr>
          </w:p>
        </w:tc>
        <w:tc>
          <w:tcPr>
            <w:tcW w:w="998" w:type="pct"/>
            <w:vAlign w:val="center"/>
          </w:tcPr>
          <w:p w14:paraId="0BD1C286" w14:textId="77777777" w:rsidR="00C70C5D" w:rsidRPr="00084220" w:rsidRDefault="00C70C5D" w:rsidP="00750623">
            <w:pPr>
              <w:pStyle w:val="TableText"/>
              <w:keepNext/>
              <w:jc w:val="center"/>
            </w:pPr>
          </w:p>
        </w:tc>
      </w:tr>
      <w:tr w:rsidR="00C70C5D" w:rsidRPr="0007009D" w14:paraId="0E587DD9" w14:textId="77777777" w:rsidTr="00750623">
        <w:tc>
          <w:tcPr>
            <w:tcW w:w="1001" w:type="pct"/>
            <w:vAlign w:val="center"/>
          </w:tcPr>
          <w:p w14:paraId="35910A76" w14:textId="77777777" w:rsidR="00C70C5D" w:rsidRPr="00084220" w:rsidRDefault="00C70C5D" w:rsidP="00750623">
            <w:pPr>
              <w:pStyle w:val="TableText"/>
              <w:keepNext/>
            </w:pPr>
            <w:r w:rsidRPr="003412DC">
              <w:rPr>
                <w:b/>
              </w:rPr>
              <w:t>A.</w:t>
            </w:r>
            <w:r>
              <w:t xml:space="preserve"> </w:t>
            </w:r>
            <w:r w:rsidRPr="00084220">
              <w:t>Initial dose of Obizur – include</w:t>
            </w:r>
            <w:r>
              <w:t>d</w:t>
            </w:r>
            <w:r w:rsidRPr="00084220">
              <w:t xml:space="preserve"> studies only with 200 U/kg initial dosing</w:t>
            </w:r>
          </w:p>
        </w:tc>
        <w:tc>
          <w:tcPr>
            <w:tcW w:w="1001" w:type="pct"/>
            <w:vAlign w:val="center"/>
          </w:tcPr>
          <w:p w14:paraId="184B3280" w14:textId="655186CB" w:rsidR="00C70C5D" w:rsidRPr="001751D9" w:rsidRDefault="001B2FA0" w:rsidP="00750623">
            <w:pPr>
              <w:pStyle w:val="TableText"/>
              <w:keepNext/>
              <w:jc w:val="center"/>
            </w:pPr>
            <w:r w:rsidRPr="001751D9">
              <w:t>REDACTED</w:t>
            </w:r>
          </w:p>
        </w:tc>
        <w:tc>
          <w:tcPr>
            <w:tcW w:w="1000" w:type="pct"/>
            <w:vAlign w:val="center"/>
          </w:tcPr>
          <w:p w14:paraId="17DD25FB" w14:textId="03AD0F8A" w:rsidR="00C70C5D" w:rsidRPr="001751D9" w:rsidRDefault="001B2FA0" w:rsidP="00750623">
            <w:pPr>
              <w:pStyle w:val="TableText"/>
              <w:keepNext/>
              <w:jc w:val="center"/>
            </w:pPr>
            <w:r w:rsidRPr="001751D9">
              <w:t>REDACTED</w:t>
            </w:r>
          </w:p>
        </w:tc>
        <w:tc>
          <w:tcPr>
            <w:tcW w:w="1000" w:type="pct"/>
            <w:vAlign w:val="center"/>
          </w:tcPr>
          <w:p w14:paraId="1A06BA9E" w14:textId="3FF7D4DD" w:rsidR="00C70C5D" w:rsidRPr="001751D9" w:rsidRDefault="00C70C5D" w:rsidP="00750623">
            <w:pPr>
              <w:pStyle w:val="TableText"/>
              <w:keepNext/>
              <w:jc w:val="center"/>
            </w:pPr>
            <w:r w:rsidRPr="001751D9">
              <w:t>$</w:t>
            </w:r>
            <w:r w:rsidR="001B2FA0" w:rsidRPr="001751D9">
              <w:t>REDACTED</w:t>
            </w:r>
          </w:p>
        </w:tc>
        <w:tc>
          <w:tcPr>
            <w:tcW w:w="998" w:type="pct"/>
            <w:vAlign w:val="center"/>
          </w:tcPr>
          <w:p w14:paraId="0F320E3A" w14:textId="77777777" w:rsidR="00C70C5D" w:rsidRPr="00084220" w:rsidRDefault="00C70C5D" w:rsidP="00750623">
            <w:pPr>
              <w:pStyle w:val="TableText"/>
              <w:keepNext/>
              <w:jc w:val="center"/>
            </w:pPr>
            <w:r w:rsidRPr="00084220">
              <w:t>-49%</w:t>
            </w:r>
          </w:p>
        </w:tc>
      </w:tr>
      <w:tr w:rsidR="00C70C5D" w:rsidRPr="0007009D" w14:paraId="5BA216EA" w14:textId="77777777" w:rsidTr="00750623">
        <w:tc>
          <w:tcPr>
            <w:tcW w:w="1001" w:type="pct"/>
            <w:vAlign w:val="center"/>
          </w:tcPr>
          <w:p w14:paraId="73E098D7" w14:textId="77777777" w:rsidR="00C70C5D" w:rsidRPr="00084220" w:rsidRDefault="00C70C5D" w:rsidP="00750623">
            <w:pPr>
              <w:pStyle w:val="TableText"/>
              <w:keepNext/>
            </w:pPr>
            <w:r>
              <w:rPr>
                <w:b/>
              </w:rPr>
              <w:t>B</w:t>
            </w:r>
            <w:r w:rsidRPr="003412DC">
              <w:rPr>
                <w:b/>
              </w:rPr>
              <w:t>.</w:t>
            </w:r>
            <w:r>
              <w:t xml:space="preserve"> </w:t>
            </w:r>
            <w:r w:rsidRPr="00084220">
              <w:t>Exclusion of studies Hay et al. 1997 and Hay et al. 2017</w:t>
            </w:r>
          </w:p>
        </w:tc>
        <w:tc>
          <w:tcPr>
            <w:tcW w:w="1001" w:type="pct"/>
            <w:vAlign w:val="center"/>
          </w:tcPr>
          <w:p w14:paraId="0A5453FD" w14:textId="21AE092A" w:rsidR="00C70C5D" w:rsidRPr="001751D9" w:rsidRDefault="001B2FA0" w:rsidP="00750623">
            <w:pPr>
              <w:pStyle w:val="TableText"/>
              <w:keepNext/>
              <w:jc w:val="center"/>
            </w:pPr>
            <w:r w:rsidRPr="001751D9">
              <w:t>REDACTED</w:t>
            </w:r>
          </w:p>
        </w:tc>
        <w:tc>
          <w:tcPr>
            <w:tcW w:w="1000" w:type="pct"/>
            <w:vAlign w:val="center"/>
          </w:tcPr>
          <w:p w14:paraId="6026C954" w14:textId="2CA252CC" w:rsidR="00C70C5D" w:rsidRPr="001751D9" w:rsidRDefault="001B2FA0" w:rsidP="00750623">
            <w:pPr>
              <w:pStyle w:val="TableText"/>
              <w:keepNext/>
              <w:jc w:val="center"/>
            </w:pPr>
            <w:r w:rsidRPr="001751D9">
              <w:t>REDACTED</w:t>
            </w:r>
          </w:p>
        </w:tc>
        <w:tc>
          <w:tcPr>
            <w:tcW w:w="1000" w:type="pct"/>
            <w:vAlign w:val="center"/>
          </w:tcPr>
          <w:p w14:paraId="4B06931A" w14:textId="77CAAB81" w:rsidR="00C70C5D" w:rsidRPr="001751D9" w:rsidRDefault="00C70C5D" w:rsidP="00750623">
            <w:pPr>
              <w:pStyle w:val="TableText"/>
              <w:keepNext/>
              <w:jc w:val="center"/>
            </w:pPr>
            <w:r w:rsidRPr="001751D9">
              <w:t>$</w:t>
            </w:r>
            <w:r w:rsidR="001B2FA0" w:rsidRPr="001751D9">
              <w:t>REDACTED</w:t>
            </w:r>
          </w:p>
        </w:tc>
        <w:tc>
          <w:tcPr>
            <w:tcW w:w="998" w:type="pct"/>
            <w:vAlign w:val="center"/>
          </w:tcPr>
          <w:p w14:paraId="56462263" w14:textId="77777777" w:rsidR="00C70C5D" w:rsidRPr="00084220" w:rsidRDefault="00C70C5D" w:rsidP="00750623">
            <w:pPr>
              <w:pStyle w:val="TableText"/>
              <w:keepNext/>
              <w:jc w:val="center"/>
            </w:pPr>
            <w:r w:rsidRPr="00084220">
              <w:t>-58%</w:t>
            </w:r>
          </w:p>
        </w:tc>
      </w:tr>
      <w:tr w:rsidR="0016391C" w:rsidRPr="0007009D" w14:paraId="56285A47" w14:textId="77777777" w:rsidTr="00750623">
        <w:tc>
          <w:tcPr>
            <w:tcW w:w="1001" w:type="pct"/>
            <w:vAlign w:val="center"/>
          </w:tcPr>
          <w:p w14:paraId="290C4693" w14:textId="1177916A" w:rsidR="0016391C" w:rsidRPr="00374097" w:rsidRDefault="0016391C" w:rsidP="0016391C">
            <w:pPr>
              <w:pStyle w:val="TableText"/>
              <w:keepNext/>
              <w:rPr>
                <w:b/>
                <w:vertAlign w:val="superscript"/>
              </w:rPr>
            </w:pPr>
            <w:r>
              <w:rPr>
                <w:b/>
              </w:rPr>
              <w:t xml:space="preserve">C. </w:t>
            </w:r>
            <w:r w:rsidR="003351C6">
              <w:rPr>
                <w:b/>
              </w:rPr>
              <w:t>Using u</w:t>
            </w:r>
            <w:r>
              <w:rPr>
                <w:b/>
              </w:rPr>
              <w:t xml:space="preserve">pdated NovoSeven </w:t>
            </w:r>
            <w:proofErr w:type="spellStart"/>
            <w:r>
              <w:rPr>
                <w:b/>
              </w:rPr>
              <w:t>prices</w:t>
            </w:r>
            <w:r w:rsidR="00CB38D1">
              <w:rPr>
                <w:b/>
                <w:vertAlign w:val="superscript"/>
              </w:rPr>
              <w:t>a</w:t>
            </w:r>
            <w:proofErr w:type="spellEnd"/>
          </w:p>
        </w:tc>
        <w:tc>
          <w:tcPr>
            <w:tcW w:w="1001" w:type="pct"/>
            <w:vAlign w:val="center"/>
          </w:tcPr>
          <w:p w14:paraId="56FC2EF2" w14:textId="35226707" w:rsidR="0016391C" w:rsidRPr="001751D9" w:rsidRDefault="001B2FA0" w:rsidP="0016391C">
            <w:pPr>
              <w:pStyle w:val="TableText"/>
              <w:keepNext/>
              <w:jc w:val="center"/>
            </w:pPr>
            <w:r w:rsidRPr="001751D9">
              <w:t>REDACTED</w:t>
            </w:r>
          </w:p>
        </w:tc>
        <w:tc>
          <w:tcPr>
            <w:tcW w:w="1000" w:type="pct"/>
            <w:vAlign w:val="center"/>
          </w:tcPr>
          <w:p w14:paraId="23A1E6F0" w14:textId="03D7586E" w:rsidR="0016391C" w:rsidRPr="001751D9" w:rsidRDefault="001B2FA0" w:rsidP="0016391C">
            <w:pPr>
              <w:pStyle w:val="TableText"/>
              <w:keepNext/>
              <w:jc w:val="center"/>
            </w:pPr>
            <w:r w:rsidRPr="001751D9">
              <w:t>REDACTED</w:t>
            </w:r>
          </w:p>
        </w:tc>
        <w:tc>
          <w:tcPr>
            <w:tcW w:w="1000" w:type="pct"/>
            <w:vAlign w:val="center"/>
          </w:tcPr>
          <w:p w14:paraId="152543AE" w14:textId="34C22DDA" w:rsidR="0016391C" w:rsidRPr="001751D9" w:rsidRDefault="0016391C" w:rsidP="0016391C">
            <w:pPr>
              <w:pStyle w:val="TableText"/>
              <w:keepNext/>
              <w:jc w:val="center"/>
            </w:pPr>
            <w:r w:rsidRPr="001751D9">
              <w:t>$</w:t>
            </w:r>
            <w:r w:rsidR="001B2FA0" w:rsidRPr="001751D9">
              <w:t>REDACTED</w:t>
            </w:r>
          </w:p>
        </w:tc>
        <w:tc>
          <w:tcPr>
            <w:tcW w:w="998" w:type="pct"/>
            <w:vAlign w:val="center"/>
          </w:tcPr>
          <w:p w14:paraId="51A2306B" w14:textId="6B5177BC" w:rsidR="0016391C" w:rsidRPr="00084220" w:rsidRDefault="0016391C" w:rsidP="0016391C">
            <w:pPr>
              <w:pStyle w:val="TableText"/>
              <w:keepNext/>
              <w:jc w:val="center"/>
            </w:pPr>
            <w:r>
              <w:t>-8%</w:t>
            </w:r>
          </w:p>
        </w:tc>
      </w:tr>
      <w:tr w:rsidR="0016391C" w:rsidRPr="0007009D" w14:paraId="29D2B865" w14:textId="77777777" w:rsidTr="00750623">
        <w:tc>
          <w:tcPr>
            <w:tcW w:w="1001" w:type="pct"/>
            <w:vAlign w:val="center"/>
          </w:tcPr>
          <w:p w14:paraId="7455FEDF" w14:textId="77777777" w:rsidR="0016391C" w:rsidRPr="003412DC" w:rsidRDefault="0016391C" w:rsidP="0016391C">
            <w:pPr>
              <w:pStyle w:val="TableText"/>
              <w:keepNext/>
              <w:rPr>
                <w:b/>
              </w:rPr>
            </w:pPr>
            <w:r>
              <w:rPr>
                <w:b/>
              </w:rPr>
              <w:t>A + B</w:t>
            </w:r>
          </w:p>
        </w:tc>
        <w:tc>
          <w:tcPr>
            <w:tcW w:w="1001" w:type="pct"/>
            <w:vAlign w:val="center"/>
          </w:tcPr>
          <w:p w14:paraId="221FB87C" w14:textId="47233A30" w:rsidR="0016391C" w:rsidRPr="001751D9" w:rsidRDefault="001B2FA0" w:rsidP="0016391C">
            <w:pPr>
              <w:pStyle w:val="TableText"/>
              <w:keepNext/>
              <w:jc w:val="center"/>
            </w:pPr>
            <w:r w:rsidRPr="001751D9">
              <w:t>REDACTED</w:t>
            </w:r>
          </w:p>
        </w:tc>
        <w:tc>
          <w:tcPr>
            <w:tcW w:w="1000" w:type="pct"/>
            <w:vAlign w:val="center"/>
          </w:tcPr>
          <w:p w14:paraId="35F5301C" w14:textId="2D7C10FD" w:rsidR="0016391C" w:rsidRPr="001751D9" w:rsidRDefault="001B2FA0" w:rsidP="0016391C">
            <w:pPr>
              <w:pStyle w:val="TableText"/>
              <w:keepNext/>
              <w:jc w:val="center"/>
            </w:pPr>
            <w:r w:rsidRPr="001751D9">
              <w:t>REDACTED</w:t>
            </w:r>
          </w:p>
        </w:tc>
        <w:tc>
          <w:tcPr>
            <w:tcW w:w="1000" w:type="pct"/>
            <w:vAlign w:val="center"/>
          </w:tcPr>
          <w:p w14:paraId="1A436B74" w14:textId="43C21E8D" w:rsidR="0016391C" w:rsidRPr="001751D9" w:rsidRDefault="0016391C" w:rsidP="0016391C">
            <w:pPr>
              <w:pStyle w:val="TableText"/>
              <w:keepNext/>
              <w:jc w:val="center"/>
            </w:pPr>
            <w:r w:rsidRPr="001751D9">
              <w:t>$</w:t>
            </w:r>
            <w:r w:rsidR="001B2FA0" w:rsidRPr="001751D9">
              <w:t>REDACTED</w:t>
            </w:r>
          </w:p>
        </w:tc>
        <w:tc>
          <w:tcPr>
            <w:tcW w:w="998" w:type="pct"/>
            <w:vAlign w:val="center"/>
          </w:tcPr>
          <w:p w14:paraId="277E0D58" w14:textId="77777777" w:rsidR="0016391C" w:rsidRPr="00084220" w:rsidRDefault="0016391C" w:rsidP="0016391C">
            <w:pPr>
              <w:pStyle w:val="TableText"/>
              <w:keepNext/>
              <w:jc w:val="center"/>
            </w:pPr>
            <w:r>
              <w:t>-79%</w:t>
            </w:r>
          </w:p>
        </w:tc>
      </w:tr>
      <w:tr w:rsidR="0016391C" w:rsidRPr="0007009D" w14:paraId="3B13F9CE" w14:textId="77777777" w:rsidTr="00750623">
        <w:tc>
          <w:tcPr>
            <w:tcW w:w="1001" w:type="pct"/>
            <w:vAlign w:val="center"/>
          </w:tcPr>
          <w:p w14:paraId="6A145B41" w14:textId="62D1A0A0" w:rsidR="0016391C" w:rsidRDefault="0016391C" w:rsidP="0016391C">
            <w:pPr>
              <w:pStyle w:val="TableText"/>
              <w:keepNext/>
              <w:rPr>
                <w:b/>
              </w:rPr>
            </w:pPr>
            <w:r>
              <w:rPr>
                <w:b/>
              </w:rPr>
              <w:t>A+B+C</w:t>
            </w:r>
          </w:p>
        </w:tc>
        <w:tc>
          <w:tcPr>
            <w:tcW w:w="1001" w:type="pct"/>
            <w:vAlign w:val="center"/>
          </w:tcPr>
          <w:p w14:paraId="29FDCD1E" w14:textId="091AE4BD" w:rsidR="0016391C" w:rsidRPr="001751D9" w:rsidRDefault="001B2FA0" w:rsidP="0016391C">
            <w:pPr>
              <w:pStyle w:val="TableText"/>
              <w:keepNext/>
              <w:jc w:val="center"/>
            </w:pPr>
            <w:r w:rsidRPr="001751D9">
              <w:t>REDACTED</w:t>
            </w:r>
          </w:p>
        </w:tc>
        <w:tc>
          <w:tcPr>
            <w:tcW w:w="1000" w:type="pct"/>
            <w:vAlign w:val="center"/>
          </w:tcPr>
          <w:p w14:paraId="08B2BF16" w14:textId="67C5CE25" w:rsidR="0016391C" w:rsidRPr="001751D9" w:rsidRDefault="001B2FA0" w:rsidP="0016391C">
            <w:pPr>
              <w:pStyle w:val="TableText"/>
              <w:keepNext/>
              <w:jc w:val="center"/>
            </w:pPr>
            <w:r w:rsidRPr="001751D9">
              <w:t>REDACTED</w:t>
            </w:r>
          </w:p>
        </w:tc>
        <w:tc>
          <w:tcPr>
            <w:tcW w:w="1000" w:type="pct"/>
            <w:vAlign w:val="center"/>
          </w:tcPr>
          <w:p w14:paraId="4C595189" w14:textId="65537AD9" w:rsidR="0016391C" w:rsidRPr="001751D9" w:rsidRDefault="0016391C" w:rsidP="0016391C">
            <w:pPr>
              <w:pStyle w:val="TableText"/>
              <w:keepNext/>
              <w:jc w:val="center"/>
            </w:pPr>
            <w:r w:rsidRPr="001751D9">
              <w:t>$</w:t>
            </w:r>
            <w:r w:rsidR="001B2FA0" w:rsidRPr="001751D9">
              <w:t>REDACTED</w:t>
            </w:r>
          </w:p>
        </w:tc>
        <w:tc>
          <w:tcPr>
            <w:tcW w:w="998" w:type="pct"/>
            <w:vAlign w:val="center"/>
          </w:tcPr>
          <w:p w14:paraId="1999C47F" w14:textId="05A1A503" w:rsidR="0016391C" w:rsidRDefault="0016391C" w:rsidP="0016391C">
            <w:pPr>
              <w:pStyle w:val="TableText"/>
              <w:keepNext/>
              <w:jc w:val="center"/>
            </w:pPr>
            <w:r>
              <w:t>-80%</w:t>
            </w:r>
          </w:p>
        </w:tc>
      </w:tr>
    </w:tbl>
    <w:p w14:paraId="13F8C2DA" w14:textId="1FA2892E" w:rsidR="00C70C5D" w:rsidRDefault="00C70C5D" w:rsidP="00C70C5D">
      <w:pPr>
        <w:pStyle w:val="TableText"/>
        <w:keepNext/>
        <w:rPr>
          <w:sz w:val="18"/>
        </w:rPr>
      </w:pPr>
      <w:bookmarkStart w:id="59" w:name="_Hlk119937058"/>
      <w:r w:rsidRPr="004D12A4">
        <w:rPr>
          <w:sz w:val="18"/>
        </w:rPr>
        <w:t xml:space="preserve">Source: </w:t>
      </w:r>
      <w:r w:rsidRPr="00E75499">
        <w:rPr>
          <w:sz w:val="18"/>
        </w:rPr>
        <w:t xml:space="preserve">Commentary Table 6, </w:t>
      </w:r>
      <w:proofErr w:type="spellStart"/>
      <w:r w:rsidRPr="00E75499">
        <w:rPr>
          <w:sz w:val="18"/>
        </w:rPr>
        <w:t>pg</w:t>
      </w:r>
      <w:proofErr w:type="spellEnd"/>
      <w:r w:rsidRPr="00E75499">
        <w:rPr>
          <w:sz w:val="18"/>
        </w:rPr>
        <w:t xml:space="preserve"> 170 of the Commentary on MSAC 1714 ADAR</w:t>
      </w:r>
    </w:p>
    <w:p w14:paraId="3975705E" w14:textId="47F5FBA9" w:rsidR="00CB38D1" w:rsidRPr="00266D3B" w:rsidRDefault="00CB38D1" w:rsidP="0301EDCD">
      <w:pPr>
        <w:pStyle w:val="TableText"/>
        <w:keepNext/>
        <w:rPr>
          <w:sz w:val="18"/>
          <w:szCs w:val="18"/>
        </w:rPr>
      </w:pPr>
      <w:bookmarkStart w:id="60" w:name="_Int_zIzDQXXc"/>
      <w:proofErr w:type="spellStart"/>
      <w:r w:rsidRPr="0301EDCD">
        <w:rPr>
          <w:sz w:val="18"/>
          <w:szCs w:val="18"/>
          <w:vertAlign w:val="superscript"/>
        </w:rPr>
        <w:t>a</w:t>
      </w:r>
      <w:bookmarkEnd w:id="60"/>
      <w:proofErr w:type="spellEnd"/>
      <w:r w:rsidRPr="0301EDCD">
        <w:rPr>
          <w:sz w:val="18"/>
          <w:szCs w:val="18"/>
        </w:rPr>
        <w:t xml:space="preserve"> Prices of NovoSeven updated </w:t>
      </w:r>
      <w:bookmarkStart w:id="61" w:name="_Int_T3OMgIS7"/>
      <w:proofErr w:type="gramStart"/>
      <w:r w:rsidRPr="0301EDCD">
        <w:rPr>
          <w:sz w:val="18"/>
          <w:szCs w:val="18"/>
        </w:rPr>
        <w:t>at</w:t>
      </w:r>
      <w:bookmarkEnd w:id="61"/>
      <w:proofErr w:type="gramEnd"/>
      <w:r w:rsidRPr="0301EDCD">
        <w:rPr>
          <w:sz w:val="18"/>
          <w:szCs w:val="18"/>
        </w:rPr>
        <w:t xml:space="preserve"> 01 January 2023</w:t>
      </w:r>
    </w:p>
    <w:p w14:paraId="49AA3575" w14:textId="1ABCDD56" w:rsidR="00C70C5D" w:rsidRPr="00104067" w:rsidRDefault="00C70C5D" w:rsidP="00104067">
      <w:pPr>
        <w:pStyle w:val="Caption"/>
        <w:keepLines/>
      </w:pPr>
      <w:bookmarkStart w:id="62" w:name="_Ref69726347"/>
      <w:bookmarkEnd w:id="59"/>
      <w:r w:rsidRPr="00084220">
        <w:t>Table </w:t>
      </w:r>
      <w:r w:rsidRPr="00104067">
        <w:fldChar w:fldCharType="begin"/>
      </w:r>
      <w:r w:rsidRPr="00084220">
        <w:instrText xml:space="preserve"> SEQ Table \* ARABIC </w:instrText>
      </w:r>
      <w:r w:rsidRPr="00104067">
        <w:fldChar w:fldCharType="separate"/>
      </w:r>
      <w:r w:rsidR="00C25EB0">
        <w:rPr>
          <w:noProof/>
        </w:rPr>
        <w:t>17</w:t>
      </w:r>
      <w:r w:rsidRPr="00104067">
        <w:fldChar w:fldCharType="end"/>
      </w:r>
      <w:bookmarkStart w:id="63" w:name="_Toc69491426"/>
      <w:bookmarkEnd w:id="62"/>
      <w:r w:rsidRPr="00084220">
        <w:t xml:space="preserve"> Results of the sensitivity analyses performed during the evaluation</w:t>
      </w:r>
      <w:r>
        <w:t xml:space="preserve"> – Obizur versus FEIBA</w:t>
      </w:r>
    </w:p>
    <w:tbl>
      <w:tblPr>
        <w:tblStyle w:val="TableGrid"/>
        <w:tblW w:w="5000" w:type="pct"/>
        <w:tblLook w:val="04A0" w:firstRow="1" w:lastRow="0" w:firstColumn="1" w:lastColumn="0" w:noHBand="0" w:noVBand="1"/>
        <w:tblCaption w:val="Results of the sensitivity analyses performed during the evaluation – Obizur versus FEIBA"/>
      </w:tblPr>
      <w:tblGrid>
        <w:gridCol w:w="1805"/>
        <w:gridCol w:w="1805"/>
        <w:gridCol w:w="1805"/>
        <w:gridCol w:w="1803"/>
        <w:gridCol w:w="1798"/>
      </w:tblGrid>
      <w:tr w:rsidR="00C70C5D" w:rsidRPr="0007009D" w14:paraId="567F55AB" w14:textId="77777777" w:rsidTr="00750623">
        <w:tc>
          <w:tcPr>
            <w:tcW w:w="1001" w:type="pct"/>
            <w:vAlign w:val="center"/>
          </w:tcPr>
          <w:p w14:paraId="21D1B268" w14:textId="77777777" w:rsidR="00C70C5D" w:rsidRPr="00084220" w:rsidRDefault="00C70C5D" w:rsidP="00750623">
            <w:pPr>
              <w:pStyle w:val="TableText"/>
              <w:keepNext/>
              <w:jc w:val="center"/>
            </w:pPr>
          </w:p>
        </w:tc>
        <w:tc>
          <w:tcPr>
            <w:tcW w:w="1001" w:type="pct"/>
            <w:vAlign w:val="center"/>
          </w:tcPr>
          <w:p w14:paraId="04B5FEA6" w14:textId="77777777" w:rsidR="00C70C5D" w:rsidRPr="002202DC" w:rsidRDefault="00C70C5D" w:rsidP="00750623">
            <w:pPr>
              <w:pStyle w:val="TableText"/>
              <w:keepNext/>
              <w:jc w:val="center"/>
              <w:rPr>
                <w:b/>
              </w:rPr>
            </w:pPr>
            <w:r>
              <w:rPr>
                <w:b/>
              </w:rPr>
              <w:t>Dose per episode – Obizur (U)</w:t>
            </w:r>
          </w:p>
        </w:tc>
        <w:tc>
          <w:tcPr>
            <w:tcW w:w="1001" w:type="pct"/>
            <w:vAlign w:val="center"/>
          </w:tcPr>
          <w:p w14:paraId="54F6E8FD" w14:textId="77777777" w:rsidR="00C70C5D" w:rsidRPr="002202DC" w:rsidRDefault="00C70C5D" w:rsidP="00750623">
            <w:pPr>
              <w:pStyle w:val="TableText"/>
              <w:keepNext/>
              <w:jc w:val="center"/>
              <w:rPr>
                <w:b/>
              </w:rPr>
            </w:pPr>
            <w:r>
              <w:rPr>
                <w:b/>
              </w:rPr>
              <w:t>Dose per episode – FEIBA (U)</w:t>
            </w:r>
          </w:p>
        </w:tc>
        <w:tc>
          <w:tcPr>
            <w:tcW w:w="1000" w:type="pct"/>
            <w:vAlign w:val="center"/>
          </w:tcPr>
          <w:p w14:paraId="1F552514" w14:textId="77777777" w:rsidR="00C70C5D" w:rsidRPr="002202DC" w:rsidRDefault="00C70C5D" w:rsidP="00750623">
            <w:pPr>
              <w:pStyle w:val="TableText"/>
              <w:keepNext/>
              <w:jc w:val="center"/>
              <w:rPr>
                <w:b/>
              </w:rPr>
            </w:pPr>
            <w:r w:rsidRPr="002202DC">
              <w:rPr>
                <w:b/>
              </w:rPr>
              <w:t>Cost-minimised price per vial for Obizur</w:t>
            </w:r>
          </w:p>
        </w:tc>
        <w:tc>
          <w:tcPr>
            <w:tcW w:w="997" w:type="pct"/>
            <w:vAlign w:val="center"/>
          </w:tcPr>
          <w:p w14:paraId="207C2AB6" w14:textId="77777777" w:rsidR="00C70C5D" w:rsidRPr="002202DC" w:rsidRDefault="00C70C5D" w:rsidP="00750623">
            <w:pPr>
              <w:pStyle w:val="TableText"/>
              <w:keepNext/>
              <w:jc w:val="center"/>
              <w:rPr>
                <w:b/>
              </w:rPr>
            </w:pPr>
            <w:r>
              <w:rPr>
                <w:b/>
              </w:rPr>
              <w:t>C</w:t>
            </w:r>
            <w:r w:rsidRPr="002202DC">
              <w:rPr>
                <w:b/>
              </w:rPr>
              <w:t>hange</w:t>
            </w:r>
            <w:r>
              <w:rPr>
                <w:b/>
              </w:rPr>
              <w:t xml:space="preserve"> in price per vial</w:t>
            </w:r>
          </w:p>
        </w:tc>
      </w:tr>
      <w:tr w:rsidR="00C70C5D" w:rsidRPr="0007009D" w14:paraId="6824E01E" w14:textId="77777777" w:rsidTr="00750623">
        <w:tc>
          <w:tcPr>
            <w:tcW w:w="1001" w:type="pct"/>
            <w:vAlign w:val="center"/>
          </w:tcPr>
          <w:p w14:paraId="6E065AE2" w14:textId="77777777" w:rsidR="00C70C5D" w:rsidRPr="00084220" w:rsidRDefault="00C70C5D" w:rsidP="00750623">
            <w:pPr>
              <w:pStyle w:val="TableText"/>
              <w:keepNext/>
            </w:pPr>
            <w:r w:rsidRPr="003412DC">
              <w:rPr>
                <w:b/>
              </w:rPr>
              <w:t>Base case</w:t>
            </w:r>
          </w:p>
        </w:tc>
        <w:tc>
          <w:tcPr>
            <w:tcW w:w="1001" w:type="pct"/>
            <w:vAlign w:val="center"/>
          </w:tcPr>
          <w:p w14:paraId="04D9812C" w14:textId="335810DA" w:rsidR="00C70C5D" w:rsidRPr="00FC670C" w:rsidRDefault="00FC670C" w:rsidP="00750623">
            <w:pPr>
              <w:pStyle w:val="TableText"/>
              <w:keepNext/>
              <w:jc w:val="center"/>
            </w:pPr>
            <w:r w:rsidRPr="00FC670C">
              <w:t>REDACTED</w:t>
            </w:r>
          </w:p>
        </w:tc>
        <w:tc>
          <w:tcPr>
            <w:tcW w:w="1001" w:type="pct"/>
            <w:vAlign w:val="center"/>
          </w:tcPr>
          <w:p w14:paraId="273D2C35" w14:textId="548B5003" w:rsidR="00C70C5D" w:rsidRPr="00FC670C" w:rsidRDefault="00FC670C" w:rsidP="00750623">
            <w:pPr>
              <w:pStyle w:val="TableText"/>
              <w:keepNext/>
              <w:jc w:val="center"/>
            </w:pPr>
            <w:r w:rsidRPr="00FC670C">
              <w:t>REDACTED</w:t>
            </w:r>
          </w:p>
        </w:tc>
        <w:tc>
          <w:tcPr>
            <w:tcW w:w="1000" w:type="pct"/>
            <w:vAlign w:val="center"/>
          </w:tcPr>
          <w:p w14:paraId="70D5C212" w14:textId="574B3F44" w:rsidR="00C70C5D" w:rsidRPr="00FC670C" w:rsidRDefault="00C70C5D" w:rsidP="00750623">
            <w:pPr>
              <w:pStyle w:val="TableText"/>
              <w:keepNext/>
              <w:jc w:val="center"/>
            </w:pPr>
            <w:r w:rsidRPr="00FC670C">
              <w:t>$</w:t>
            </w:r>
            <w:r w:rsidR="00FC670C" w:rsidRPr="00FC670C">
              <w:t>REDACTED</w:t>
            </w:r>
          </w:p>
        </w:tc>
        <w:tc>
          <w:tcPr>
            <w:tcW w:w="997" w:type="pct"/>
            <w:vAlign w:val="center"/>
          </w:tcPr>
          <w:p w14:paraId="53831E0E" w14:textId="77777777" w:rsidR="00C70C5D" w:rsidRPr="00084220" w:rsidRDefault="00C70C5D" w:rsidP="00750623">
            <w:pPr>
              <w:pStyle w:val="TableText"/>
              <w:keepNext/>
              <w:jc w:val="center"/>
            </w:pPr>
            <w:r w:rsidRPr="00084220">
              <w:t>_</w:t>
            </w:r>
          </w:p>
        </w:tc>
      </w:tr>
      <w:tr w:rsidR="00C70C5D" w:rsidRPr="0007009D" w14:paraId="7E95D637" w14:textId="77777777" w:rsidTr="00750623">
        <w:tc>
          <w:tcPr>
            <w:tcW w:w="1001" w:type="pct"/>
            <w:vAlign w:val="center"/>
          </w:tcPr>
          <w:p w14:paraId="69B6C15A" w14:textId="77777777" w:rsidR="00C70C5D" w:rsidRPr="003412DC" w:rsidRDefault="00C70C5D" w:rsidP="00750623">
            <w:pPr>
              <w:pStyle w:val="TableText"/>
              <w:keepNext/>
              <w:rPr>
                <w:b/>
              </w:rPr>
            </w:pPr>
            <w:r>
              <w:rPr>
                <w:b/>
              </w:rPr>
              <w:t>Sensitivity analyses</w:t>
            </w:r>
          </w:p>
        </w:tc>
        <w:tc>
          <w:tcPr>
            <w:tcW w:w="1001" w:type="pct"/>
            <w:vAlign w:val="center"/>
          </w:tcPr>
          <w:p w14:paraId="23248D76" w14:textId="77777777" w:rsidR="00C70C5D" w:rsidRPr="00FC670C" w:rsidRDefault="00C70C5D" w:rsidP="00750623">
            <w:pPr>
              <w:pStyle w:val="TableText"/>
              <w:keepNext/>
              <w:jc w:val="center"/>
            </w:pPr>
          </w:p>
        </w:tc>
        <w:tc>
          <w:tcPr>
            <w:tcW w:w="1001" w:type="pct"/>
            <w:vAlign w:val="center"/>
          </w:tcPr>
          <w:p w14:paraId="4C53B3B2" w14:textId="77777777" w:rsidR="00C70C5D" w:rsidRPr="00FC670C" w:rsidRDefault="00C70C5D" w:rsidP="00750623">
            <w:pPr>
              <w:pStyle w:val="TableText"/>
              <w:keepNext/>
              <w:jc w:val="center"/>
            </w:pPr>
          </w:p>
        </w:tc>
        <w:tc>
          <w:tcPr>
            <w:tcW w:w="1000" w:type="pct"/>
            <w:vAlign w:val="center"/>
          </w:tcPr>
          <w:p w14:paraId="4221869C" w14:textId="77777777" w:rsidR="00C70C5D" w:rsidRPr="00FC670C" w:rsidRDefault="00C70C5D" w:rsidP="00750623">
            <w:pPr>
              <w:pStyle w:val="TableText"/>
              <w:keepNext/>
              <w:jc w:val="center"/>
            </w:pPr>
          </w:p>
        </w:tc>
        <w:tc>
          <w:tcPr>
            <w:tcW w:w="997" w:type="pct"/>
            <w:vAlign w:val="center"/>
          </w:tcPr>
          <w:p w14:paraId="1B35EB70" w14:textId="77777777" w:rsidR="00C70C5D" w:rsidRPr="00084220" w:rsidRDefault="00C70C5D" w:rsidP="00750623">
            <w:pPr>
              <w:pStyle w:val="TableText"/>
              <w:keepNext/>
              <w:jc w:val="center"/>
            </w:pPr>
          </w:p>
        </w:tc>
      </w:tr>
      <w:tr w:rsidR="00C70C5D" w:rsidRPr="0007009D" w14:paraId="64000527" w14:textId="77777777" w:rsidTr="00750623">
        <w:tc>
          <w:tcPr>
            <w:tcW w:w="1001" w:type="pct"/>
            <w:vAlign w:val="center"/>
          </w:tcPr>
          <w:p w14:paraId="5547F477" w14:textId="77777777" w:rsidR="00C70C5D" w:rsidRPr="00084220" w:rsidRDefault="00C70C5D" w:rsidP="00750623">
            <w:pPr>
              <w:pStyle w:val="TableText"/>
              <w:keepNext/>
            </w:pPr>
            <w:r w:rsidRPr="003412DC">
              <w:rPr>
                <w:b/>
              </w:rPr>
              <w:t>A.</w:t>
            </w:r>
            <w:r>
              <w:t xml:space="preserve"> </w:t>
            </w:r>
            <w:r w:rsidRPr="00084220">
              <w:t>Initial dose of Obizur – include</w:t>
            </w:r>
            <w:r>
              <w:t>d</w:t>
            </w:r>
            <w:r w:rsidRPr="00084220">
              <w:t xml:space="preserve"> studies only with 200 U/kg initial dosing</w:t>
            </w:r>
          </w:p>
        </w:tc>
        <w:tc>
          <w:tcPr>
            <w:tcW w:w="1001" w:type="pct"/>
            <w:vAlign w:val="center"/>
          </w:tcPr>
          <w:p w14:paraId="447A5611" w14:textId="7CC6EF56" w:rsidR="00C70C5D" w:rsidRPr="00FC670C" w:rsidRDefault="00FC670C" w:rsidP="00750623">
            <w:pPr>
              <w:pStyle w:val="TableText"/>
              <w:keepNext/>
              <w:jc w:val="center"/>
            </w:pPr>
            <w:r w:rsidRPr="00FC670C">
              <w:t>REDACTED</w:t>
            </w:r>
          </w:p>
        </w:tc>
        <w:tc>
          <w:tcPr>
            <w:tcW w:w="1001" w:type="pct"/>
            <w:vAlign w:val="center"/>
          </w:tcPr>
          <w:p w14:paraId="2444A60A" w14:textId="76D8BC10" w:rsidR="00C70C5D" w:rsidRPr="00FC670C" w:rsidRDefault="00FC670C" w:rsidP="00750623">
            <w:pPr>
              <w:pStyle w:val="TableText"/>
              <w:keepNext/>
              <w:jc w:val="center"/>
            </w:pPr>
            <w:r w:rsidRPr="00FC670C">
              <w:t>REDACTED</w:t>
            </w:r>
          </w:p>
        </w:tc>
        <w:tc>
          <w:tcPr>
            <w:tcW w:w="1000" w:type="pct"/>
            <w:vAlign w:val="center"/>
          </w:tcPr>
          <w:p w14:paraId="78A29BA1" w14:textId="4C62BBFF" w:rsidR="00C70C5D" w:rsidRPr="00FC670C" w:rsidRDefault="00C70C5D" w:rsidP="00750623">
            <w:pPr>
              <w:pStyle w:val="TableText"/>
              <w:keepNext/>
              <w:jc w:val="center"/>
            </w:pPr>
            <w:r w:rsidRPr="00FC670C">
              <w:t>$</w:t>
            </w:r>
            <w:r w:rsidR="00FC670C" w:rsidRPr="00FC670C">
              <w:t>REDACTED</w:t>
            </w:r>
          </w:p>
        </w:tc>
        <w:tc>
          <w:tcPr>
            <w:tcW w:w="997" w:type="pct"/>
            <w:vAlign w:val="center"/>
          </w:tcPr>
          <w:p w14:paraId="11397311" w14:textId="77777777" w:rsidR="00C70C5D" w:rsidRPr="00084220" w:rsidRDefault="00C70C5D" w:rsidP="00750623">
            <w:pPr>
              <w:pStyle w:val="TableText"/>
              <w:keepNext/>
              <w:jc w:val="center"/>
            </w:pPr>
            <w:r w:rsidRPr="00084220">
              <w:t>-49%</w:t>
            </w:r>
          </w:p>
        </w:tc>
      </w:tr>
      <w:tr w:rsidR="00C70C5D" w:rsidRPr="0007009D" w14:paraId="51F2158F" w14:textId="77777777" w:rsidTr="00750623">
        <w:tc>
          <w:tcPr>
            <w:tcW w:w="1001" w:type="pct"/>
            <w:vAlign w:val="center"/>
          </w:tcPr>
          <w:p w14:paraId="6FD288EC" w14:textId="77777777" w:rsidR="00C70C5D" w:rsidRPr="00084220" w:rsidRDefault="00C70C5D" w:rsidP="00750623">
            <w:pPr>
              <w:pStyle w:val="TableText"/>
              <w:keepNext/>
            </w:pPr>
            <w:r>
              <w:rPr>
                <w:b/>
              </w:rPr>
              <w:t>B</w:t>
            </w:r>
            <w:r w:rsidRPr="00816F5E">
              <w:rPr>
                <w:b/>
              </w:rPr>
              <w:t>.</w:t>
            </w:r>
            <w:r>
              <w:t xml:space="preserve"> </w:t>
            </w:r>
            <w:r w:rsidRPr="00084220">
              <w:t>Revised dose of FEIBA</w:t>
            </w:r>
          </w:p>
        </w:tc>
        <w:tc>
          <w:tcPr>
            <w:tcW w:w="1001" w:type="pct"/>
            <w:vAlign w:val="center"/>
          </w:tcPr>
          <w:p w14:paraId="7ADBCB2E" w14:textId="02D30EC4" w:rsidR="00C70C5D" w:rsidRPr="00FC670C" w:rsidRDefault="00FC670C" w:rsidP="00750623">
            <w:pPr>
              <w:pStyle w:val="TableText"/>
              <w:keepNext/>
              <w:jc w:val="center"/>
            </w:pPr>
            <w:r w:rsidRPr="00FC670C">
              <w:t>REDACTED</w:t>
            </w:r>
          </w:p>
        </w:tc>
        <w:tc>
          <w:tcPr>
            <w:tcW w:w="1001" w:type="pct"/>
            <w:vAlign w:val="center"/>
          </w:tcPr>
          <w:p w14:paraId="5D0E90E1" w14:textId="75EA229B" w:rsidR="00C70C5D" w:rsidRPr="00FC670C" w:rsidRDefault="00FC670C" w:rsidP="00750623">
            <w:pPr>
              <w:pStyle w:val="TableText"/>
              <w:keepNext/>
              <w:jc w:val="center"/>
            </w:pPr>
            <w:r w:rsidRPr="00FC670C">
              <w:t>REDACTED</w:t>
            </w:r>
          </w:p>
        </w:tc>
        <w:tc>
          <w:tcPr>
            <w:tcW w:w="1000" w:type="pct"/>
            <w:vAlign w:val="center"/>
          </w:tcPr>
          <w:p w14:paraId="12D8FA9B" w14:textId="2641895A" w:rsidR="00C70C5D" w:rsidRPr="00FC670C" w:rsidRDefault="00C70C5D" w:rsidP="00750623">
            <w:pPr>
              <w:pStyle w:val="TableText"/>
              <w:keepNext/>
              <w:jc w:val="center"/>
            </w:pPr>
            <w:r w:rsidRPr="00FC670C">
              <w:t>$</w:t>
            </w:r>
            <w:r w:rsidR="00FC670C" w:rsidRPr="00FC670C">
              <w:t>REDACTED</w:t>
            </w:r>
          </w:p>
        </w:tc>
        <w:tc>
          <w:tcPr>
            <w:tcW w:w="997" w:type="pct"/>
            <w:vAlign w:val="center"/>
          </w:tcPr>
          <w:p w14:paraId="2912D13F" w14:textId="77777777" w:rsidR="00C70C5D" w:rsidRPr="00084220" w:rsidRDefault="00C70C5D" w:rsidP="00750623">
            <w:pPr>
              <w:pStyle w:val="TableText"/>
              <w:keepNext/>
              <w:jc w:val="center"/>
            </w:pPr>
            <w:r w:rsidRPr="00084220">
              <w:t>-23%</w:t>
            </w:r>
          </w:p>
        </w:tc>
      </w:tr>
      <w:tr w:rsidR="0090331A" w:rsidRPr="0007009D" w14:paraId="0E519198" w14:textId="77777777" w:rsidTr="00750623">
        <w:tc>
          <w:tcPr>
            <w:tcW w:w="1001" w:type="pct"/>
            <w:vAlign w:val="center"/>
          </w:tcPr>
          <w:p w14:paraId="39EA8E29" w14:textId="31067677" w:rsidR="0090331A" w:rsidRPr="00374097" w:rsidRDefault="003351C6" w:rsidP="0090331A">
            <w:pPr>
              <w:pStyle w:val="TableText"/>
              <w:keepNext/>
              <w:rPr>
                <w:b/>
                <w:vertAlign w:val="superscript"/>
              </w:rPr>
            </w:pPr>
            <w:r>
              <w:rPr>
                <w:b/>
              </w:rPr>
              <w:t>Using u</w:t>
            </w:r>
            <w:r w:rsidR="0090331A">
              <w:rPr>
                <w:b/>
              </w:rPr>
              <w:t xml:space="preserve">pdated FEIBA </w:t>
            </w:r>
            <w:proofErr w:type="spellStart"/>
            <w:r w:rsidR="0090331A">
              <w:rPr>
                <w:b/>
              </w:rPr>
              <w:t>prices</w:t>
            </w:r>
            <w:r w:rsidR="00CB38D1">
              <w:rPr>
                <w:b/>
                <w:vertAlign w:val="superscript"/>
              </w:rPr>
              <w:t>a</w:t>
            </w:r>
            <w:proofErr w:type="spellEnd"/>
          </w:p>
        </w:tc>
        <w:tc>
          <w:tcPr>
            <w:tcW w:w="1001" w:type="pct"/>
            <w:vAlign w:val="center"/>
          </w:tcPr>
          <w:p w14:paraId="765C9508" w14:textId="3B3F0EDF" w:rsidR="0090331A" w:rsidRPr="00FC670C" w:rsidRDefault="00FC670C" w:rsidP="0090331A">
            <w:pPr>
              <w:pStyle w:val="TableText"/>
              <w:keepNext/>
              <w:jc w:val="center"/>
            </w:pPr>
            <w:r w:rsidRPr="00FC670C">
              <w:t>REDACTED</w:t>
            </w:r>
          </w:p>
        </w:tc>
        <w:tc>
          <w:tcPr>
            <w:tcW w:w="1001" w:type="pct"/>
            <w:vAlign w:val="center"/>
          </w:tcPr>
          <w:p w14:paraId="58CE4173" w14:textId="7D2A5E4B" w:rsidR="0090331A" w:rsidRPr="00FC670C" w:rsidRDefault="00FC670C" w:rsidP="0090331A">
            <w:pPr>
              <w:pStyle w:val="TableText"/>
              <w:keepNext/>
              <w:jc w:val="center"/>
            </w:pPr>
            <w:r w:rsidRPr="00FC670C">
              <w:t>REDACTED</w:t>
            </w:r>
          </w:p>
        </w:tc>
        <w:tc>
          <w:tcPr>
            <w:tcW w:w="1000" w:type="pct"/>
            <w:vAlign w:val="center"/>
          </w:tcPr>
          <w:p w14:paraId="7BB1C831" w14:textId="3C75DB02" w:rsidR="0090331A" w:rsidRPr="00FC670C" w:rsidRDefault="0090331A" w:rsidP="0090331A">
            <w:pPr>
              <w:pStyle w:val="TableText"/>
              <w:keepNext/>
              <w:jc w:val="center"/>
            </w:pPr>
            <w:r w:rsidRPr="00FC670C">
              <w:t>$</w:t>
            </w:r>
            <w:r w:rsidR="00FC670C" w:rsidRPr="00FC670C">
              <w:t>REDACTED</w:t>
            </w:r>
          </w:p>
        </w:tc>
        <w:tc>
          <w:tcPr>
            <w:tcW w:w="997" w:type="pct"/>
            <w:vAlign w:val="center"/>
          </w:tcPr>
          <w:p w14:paraId="6E5A03D2" w14:textId="3EB92F39" w:rsidR="0090331A" w:rsidRPr="00084220" w:rsidRDefault="0090331A" w:rsidP="0090331A">
            <w:pPr>
              <w:pStyle w:val="TableText"/>
              <w:keepNext/>
              <w:jc w:val="center"/>
            </w:pPr>
            <w:r>
              <w:t>-5%</w:t>
            </w:r>
          </w:p>
        </w:tc>
      </w:tr>
      <w:tr w:rsidR="0090331A" w:rsidRPr="0007009D" w14:paraId="687032EC" w14:textId="77777777" w:rsidTr="00750623">
        <w:tc>
          <w:tcPr>
            <w:tcW w:w="1001" w:type="pct"/>
            <w:vAlign w:val="center"/>
          </w:tcPr>
          <w:p w14:paraId="4F31E737" w14:textId="77777777" w:rsidR="0090331A" w:rsidRPr="00816F5E" w:rsidRDefault="0090331A" w:rsidP="0090331A">
            <w:pPr>
              <w:pStyle w:val="TableText"/>
              <w:keepNext/>
              <w:rPr>
                <w:b/>
              </w:rPr>
            </w:pPr>
            <w:r w:rsidRPr="00816F5E">
              <w:rPr>
                <w:b/>
              </w:rPr>
              <w:t xml:space="preserve">A + </w:t>
            </w:r>
            <w:r>
              <w:rPr>
                <w:b/>
              </w:rPr>
              <w:t>B</w:t>
            </w:r>
          </w:p>
        </w:tc>
        <w:tc>
          <w:tcPr>
            <w:tcW w:w="1001" w:type="pct"/>
            <w:vAlign w:val="center"/>
          </w:tcPr>
          <w:p w14:paraId="488001C5" w14:textId="53AF76D2" w:rsidR="0090331A" w:rsidRPr="00FC670C" w:rsidRDefault="00FC670C" w:rsidP="0090331A">
            <w:pPr>
              <w:pStyle w:val="TableText"/>
              <w:keepNext/>
              <w:jc w:val="center"/>
            </w:pPr>
            <w:r w:rsidRPr="00FC670C">
              <w:t>REDACTED</w:t>
            </w:r>
          </w:p>
        </w:tc>
        <w:tc>
          <w:tcPr>
            <w:tcW w:w="1001" w:type="pct"/>
            <w:vAlign w:val="center"/>
          </w:tcPr>
          <w:p w14:paraId="71D0C5C5" w14:textId="0D6E3F0B" w:rsidR="0090331A" w:rsidRPr="00FC670C" w:rsidRDefault="00FC670C" w:rsidP="0090331A">
            <w:pPr>
              <w:pStyle w:val="TableText"/>
              <w:keepNext/>
              <w:jc w:val="center"/>
            </w:pPr>
            <w:r w:rsidRPr="00FC670C">
              <w:t>REDACTED</w:t>
            </w:r>
          </w:p>
        </w:tc>
        <w:tc>
          <w:tcPr>
            <w:tcW w:w="1000" w:type="pct"/>
            <w:vAlign w:val="center"/>
          </w:tcPr>
          <w:p w14:paraId="71400349" w14:textId="013C0408" w:rsidR="0090331A" w:rsidRPr="00FC670C" w:rsidRDefault="0090331A" w:rsidP="0090331A">
            <w:pPr>
              <w:pStyle w:val="TableText"/>
              <w:keepNext/>
              <w:jc w:val="center"/>
            </w:pPr>
            <w:r w:rsidRPr="00FC670C">
              <w:t>$</w:t>
            </w:r>
            <w:r w:rsidR="00FC670C" w:rsidRPr="00FC670C">
              <w:t>REDACTED</w:t>
            </w:r>
          </w:p>
        </w:tc>
        <w:tc>
          <w:tcPr>
            <w:tcW w:w="997" w:type="pct"/>
            <w:vAlign w:val="center"/>
          </w:tcPr>
          <w:p w14:paraId="3FCAF6F0" w14:textId="77777777" w:rsidR="0090331A" w:rsidRPr="00084220" w:rsidRDefault="0090331A" w:rsidP="0090331A">
            <w:pPr>
              <w:pStyle w:val="TableText"/>
              <w:keepNext/>
              <w:jc w:val="center"/>
            </w:pPr>
            <w:r>
              <w:t>-61%</w:t>
            </w:r>
          </w:p>
        </w:tc>
      </w:tr>
      <w:tr w:rsidR="0090331A" w:rsidRPr="0007009D" w14:paraId="5C3FF730" w14:textId="77777777" w:rsidTr="00750623">
        <w:tc>
          <w:tcPr>
            <w:tcW w:w="1001" w:type="pct"/>
            <w:vAlign w:val="center"/>
          </w:tcPr>
          <w:p w14:paraId="0981B2C9" w14:textId="7E0A1BBC" w:rsidR="0090331A" w:rsidRPr="00816F5E" w:rsidRDefault="0090331A" w:rsidP="0090331A">
            <w:pPr>
              <w:pStyle w:val="TableText"/>
              <w:keepNext/>
              <w:rPr>
                <w:b/>
              </w:rPr>
            </w:pPr>
            <w:r>
              <w:rPr>
                <w:b/>
              </w:rPr>
              <w:t>A+B+C</w:t>
            </w:r>
          </w:p>
        </w:tc>
        <w:tc>
          <w:tcPr>
            <w:tcW w:w="1001" w:type="pct"/>
            <w:vAlign w:val="center"/>
          </w:tcPr>
          <w:p w14:paraId="4FB47EE4" w14:textId="76734C98" w:rsidR="0090331A" w:rsidRPr="00FC670C" w:rsidRDefault="00FC670C" w:rsidP="0090331A">
            <w:pPr>
              <w:pStyle w:val="TableText"/>
              <w:keepNext/>
              <w:jc w:val="center"/>
            </w:pPr>
            <w:r w:rsidRPr="00FC670C">
              <w:t>REDACTED</w:t>
            </w:r>
          </w:p>
        </w:tc>
        <w:tc>
          <w:tcPr>
            <w:tcW w:w="1001" w:type="pct"/>
            <w:vAlign w:val="center"/>
          </w:tcPr>
          <w:p w14:paraId="5A74E1AB" w14:textId="404E4B12" w:rsidR="0090331A" w:rsidRPr="00FC670C" w:rsidRDefault="00FC670C" w:rsidP="0090331A">
            <w:pPr>
              <w:pStyle w:val="TableText"/>
              <w:keepNext/>
              <w:jc w:val="center"/>
            </w:pPr>
            <w:r w:rsidRPr="00FC670C">
              <w:t>REDACTED</w:t>
            </w:r>
          </w:p>
        </w:tc>
        <w:tc>
          <w:tcPr>
            <w:tcW w:w="1000" w:type="pct"/>
            <w:vAlign w:val="center"/>
          </w:tcPr>
          <w:p w14:paraId="51024C17" w14:textId="7EB19649" w:rsidR="0090331A" w:rsidRPr="00FC670C" w:rsidRDefault="0090331A" w:rsidP="0090331A">
            <w:pPr>
              <w:pStyle w:val="TableText"/>
              <w:keepNext/>
              <w:jc w:val="center"/>
            </w:pPr>
            <w:r w:rsidRPr="00FC670C">
              <w:t>$</w:t>
            </w:r>
            <w:r w:rsidR="00FC670C" w:rsidRPr="00FC670C">
              <w:t>REDACTED</w:t>
            </w:r>
          </w:p>
        </w:tc>
        <w:tc>
          <w:tcPr>
            <w:tcW w:w="997" w:type="pct"/>
            <w:vAlign w:val="center"/>
          </w:tcPr>
          <w:p w14:paraId="602DE891" w14:textId="7671B194" w:rsidR="0090331A" w:rsidRDefault="0090331A" w:rsidP="0090331A">
            <w:pPr>
              <w:pStyle w:val="TableText"/>
              <w:keepNext/>
              <w:jc w:val="center"/>
            </w:pPr>
            <w:r>
              <w:t>-63%</w:t>
            </w:r>
          </w:p>
        </w:tc>
      </w:tr>
    </w:tbl>
    <w:p w14:paraId="335E6A7E" w14:textId="0016725D" w:rsidR="00C70C5D" w:rsidRDefault="00C70C5D" w:rsidP="00C70C5D">
      <w:pPr>
        <w:pStyle w:val="TableText"/>
        <w:keepNext/>
        <w:rPr>
          <w:sz w:val="18"/>
        </w:rPr>
      </w:pPr>
      <w:r w:rsidRPr="004D12A4">
        <w:rPr>
          <w:sz w:val="18"/>
        </w:rPr>
        <w:t xml:space="preserve">Source: </w:t>
      </w:r>
      <w:r w:rsidRPr="00596B55">
        <w:rPr>
          <w:sz w:val="18"/>
        </w:rPr>
        <w:t xml:space="preserve">Commentary Table 8, </w:t>
      </w:r>
      <w:proofErr w:type="spellStart"/>
      <w:r w:rsidRPr="00596B55">
        <w:rPr>
          <w:sz w:val="18"/>
        </w:rPr>
        <w:t>pg</w:t>
      </w:r>
      <w:proofErr w:type="spellEnd"/>
      <w:r w:rsidRPr="00596B55">
        <w:rPr>
          <w:sz w:val="18"/>
        </w:rPr>
        <w:t xml:space="preserve"> 190 of the Commentary on MSAC 1714 ADAR</w:t>
      </w:r>
    </w:p>
    <w:p w14:paraId="782E0D55" w14:textId="304175E2" w:rsidR="00CB38D1" w:rsidRPr="00374097" w:rsidRDefault="00CB38D1" w:rsidP="0301EDCD">
      <w:pPr>
        <w:pStyle w:val="TableText"/>
        <w:keepNext/>
        <w:rPr>
          <w:sz w:val="18"/>
          <w:szCs w:val="18"/>
        </w:rPr>
      </w:pPr>
      <w:bookmarkStart w:id="64" w:name="_Int_fQFFgrS8"/>
      <w:proofErr w:type="spellStart"/>
      <w:r w:rsidRPr="0301EDCD">
        <w:rPr>
          <w:sz w:val="18"/>
          <w:szCs w:val="18"/>
          <w:vertAlign w:val="superscript"/>
        </w:rPr>
        <w:t>a</w:t>
      </w:r>
      <w:bookmarkEnd w:id="64"/>
      <w:proofErr w:type="spellEnd"/>
      <w:r w:rsidRPr="0301EDCD">
        <w:rPr>
          <w:sz w:val="18"/>
          <w:szCs w:val="18"/>
        </w:rPr>
        <w:t xml:space="preserve"> Prices of FEIBA updated </w:t>
      </w:r>
      <w:bookmarkStart w:id="65" w:name="_Int_O4ijUllZ"/>
      <w:proofErr w:type="gramStart"/>
      <w:r w:rsidRPr="0301EDCD">
        <w:rPr>
          <w:sz w:val="18"/>
          <w:szCs w:val="18"/>
        </w:rPr>
        <w:t>at</w:t>
      </w:r>
      <w:bookmarkEnd w:id="65"/>
      <w:proofErr w:type="gramEnd"/>
      <w:r w:rsidRPr="0301EDCD">
        <w:rPr>
          <w:sz w:val="18"/>
          <w:szCs w:val="18"/>
        </w:rPr>
        <w:t xml:space="preserve"> 01 January 2023</w:t>
      </w:r>
    </w:p>
    <w:p w14:paraId="482826AF" w14:textId="77C8E06A" w:rsidR="00C70C5D" w:rsidRDefault="00C70C5D" w:rsidP="00C70C5D">
      <w:pPr>
        <w:pStyle w:val="Heading2"/>
        <w:numPr>
          <w:ilvl w:val="0"/>
          <w:numId w:val="0"/>
        </w:numPr>
      </w:pPr>
      <w:r>
        <w:t>1</w:t>
      </w:r>
      <w:r w:rsidR="00746AEC">
        <w:t>4</w:t>
      </w:r>
      <w:r>
        <w:t>.</w:t>
      </w:r>
      <w:r>
        <w:tab/>
      </w:r>
      <w:r w:rsidRPr="00CE28E3">
        <w:t>Financial/budgetary impacts</w:t>
      </w:r>
      <w:bookmarkEnd w:id="63"/>
    </w:p>
    <w:p w14:paraId="4760E948" w14:textId="77777777" w:rsidR="00C70C5D" w:rsidRPr="00FC1E8C" w:rsidRDefault="00C70C5D" w:rsidP="00C70C5D">
      <w:r w:rsidRPr="00FC1E8C">
        <w:t>An epidemiological approach was used to estimate the total number of patients with AHA who receive treatment for acute bleeding episodes. The total number of patients who are treated for a bleeding episode was extrapolated from the ABDR Annual report (2019-2020). Also derived from this source was the proportion of patients who received treatment with a BPA (75%). Of the 75% treated with a BPA, market share estimates of NovoSeven (78%) and FEIBA (22%) were based on observed utilisation (as reported in the ABDR Annual report 2019-2020). Given small numbers of patients treated with FEIBA, the number of patients receiving FEIBA was assumed. Uncertainty with this approach has been described in Section 11.</w:t>
      </w:r>
    </w:p>
    <w:p w14:paraId="6BE24399" w14:textId="72FE7B99" w:rsidR="00C70C5D" w:rsidRDefault="00C70C5D" w:rsidP="00C70C5D">
      <w:r w:rsidRPr="00FC1E8C">
        <w:lastRenderedPageBreak/>
        <w:t xml:space="preserve">The base case analysis applied a bleeding rate of 4.68 per year as reported in Holstein et al. (2020) to estimate the number of bleeding episodes per patient treated each year. The estimated bleeding rate, as derived from the literature is uncertain. If the dose per bleed derived from Section 3 of </w:t>
      </w:r>
      <w:r>
        <w:t xml:space="preserve">the </w:t>
      </w:r>
      <w:r w:rsidRPr="00FC1E8C">
        <w:t>ADAR is considered, the number of bleeds per year is inconsistent with the</w:t>
      </w:r>
      <w:r w:rsidRPr="008B08BA">
        <w:rPr>
          <w:i/>
        </w:rPr>
        <w:t xml:space="preserve"> </w:t>
      </w:r>
      <w:r w:rsidRPr="00FC1E8C">
        <w:t>dispensed</w:t>
      </w:r>
      <w:r>
        <w:t xml:space="preserve"> amounts of</w:t>
      </w:r>
      <w:r w:rsidRPr="00FC1E8C">
        <w:t xml:space="preserve"> BPAs</w:t>
      </w:r>
      <w:r>
        <w:t xml:space="preserve"> from the ABDR</w:t>
      </w:r>
      <w:r w:rsidRPr="00FC1E8C">
        <w:t xml:space="preserve">. </w:t>
      </w:r>
      <w:r>
        <w:t xml:space="preserve">Based on the ADAR estimated dose per bleed and average annual dispensed dose from the ABDR for NovoSeven and FEIBA, the number of bleeds per year was estimated to be </w:t>
      </w:r>
      <w:r w:rsidR="00797A56">
        <w:t>[REDACTED]</w:t>
      </w:r>
      <w:r>
        <w:rPr>
          <w:rStyle w:val="FootnoteReference"/>
        </w:rPr>
        <w:footnoteReference w:id="24"/>
      </w:r>
      <w:r>
        <w:t xml:space="preserve"> and </w:t>
      </w:r>
      <w:r w:rsidR="00797A56">
        <w:t>[REDACTED]</w:t>
      </w:r>
      <w:r>
        <w:rPr>
          <w:rStyle w:val="FootnoteReference"/>
        </w:rPr>
        <w:footnoteReference w:id="25"/>
      </w:r>
      <w:r>
        <w:t xml:space="preserve"> respectively. </w:t>
      </w:r>
    </w:p>
    <w:p w14:paraId="6248399E" w14:textId="35322F9B" w:rsidR="00C70C5D" w:rsidRPr="00FE3815" w:rsidRDefault="00C70C5D" w:rsidP="00C70C5D">
      <w:r w:rsidRPr="00FC1E8C">
        <w:t xml:space="preserve">Alternatively, the number of bleeds per year </w:t>
      </w:r>
      <w:r>
        <w:t xml:space="preserve">used in the base case </w:t>
      </w:r>
      <w:r w:rsidRPr="00FC1E8C">
        <w:t xml:space="preserve">may be accurate and the dose per bleed may be inaccurate. Using the ADAR’s approach to estimating the total dose of BPAs used, applied to the </w:t>
      </w:r>
      <w:r>
        <w:t>ABDR</w:t>
      </w:r>
      <w:r w:rsidRPr="00FC1E8C">
        <w:t xml:space="preserve"> data for actual dispensed amounts, the ADAR predicts more than double the amount of NovoSeven, and 4 times the amount of FEIBA than was </w:t>
      </w:r>
      <w:proofErr w:type="gramStart"/>
      <w:r w:rsidRPr="00FC1E8C">
        <w:t>actually dispensed</w:t>
      </w:r>
      <w:proofErr w:type="gramEnd"/>
      <w:r w:rsidRPr="00FC1E8C">
        <w:t xml:space="preserve"> (</w:t>
      </w:r>
      <w:r w:rsidRPr="00FC1E8C">
        <w:fldChar w:fldCharType="begin"/>
      </w:r>
      <w:r w:rsidRPr="00FC1E8C">
        <w:instrText xml:space="preserve"> REF _Ref120536541 \h  \* MERGEFORMAT </w:instrText>
      </w:r>
      <w:r w:rsidRPr="00FC1E8C">
        <w:fldChar w:fldCharType="separate"/>
      </w:r>
      <w:r w:rsidR="00C25EB0" w:rsidRPr="004D6527">
        <w:t>Table </w:t>
      </w:r>
      <w:r w:rsidR="00C25EB0">
        <w:t>18</w:t>
      </w:r>
      <w:r w:rsidRPr="00FC1E8C">
        <w:fldChar w:fldCharType="end"/>
      </w:r>
      <w:r w:rsidRPr="00FC1E8C">
        <w:t>). This suggests that the average dose per bleed and/or the number of bleeds per year has been overestimated. Dose per bleed estimated during the commentary (</w:t>
      </w:r>
      <w:r w:rsidRPr="00FC1E8C">
        <w:fldChar w:fldCharType="begin"/>
      </w:r>
      <w:r w:rsidRPr="00FC1E8C">
        <w:instrText xml:space="preserve"> REF _Ref120536576 \h </w:instrText>
      </w:r>
      <w:r>
        <w:instrText xml:space="preserve"> \* MERGEFORMAT </w:instrText>
      </w:r>
      <w:r w:rsidRPr="00FC1E8C">
        <w:fldChar w:fldCharType="separate"/>
      </w:r>
      <w:r w:rsidR="00C25EB0" w:rsidRPr="00CE28E3">
        <w:t>Tab</w:t>
      </w:r>
      <w:r w:rsidR="00C25EB0" w:rsidRPr="00CE28E3">
        <w:t>l</w:t>
      </w:r>
      <w:r w:rsidR="00C25EB0" w:rsidRPr="00CE28E3">
        <w:t>e</w:t>
      </w:r>
      <w:r w:rsidR="00C25EB0">
        <w:t> 13</w:t>
      </w:r>
      <w:r w:rsidRPr="00FC1E8C">
        <w:fldChar w:fldCharType="end"/>
      </w:r>
      <w:r w:rsidRPr="00FC1E8C">
        <w:t xml:space="preserve">) also suggested </w:t>
      </w:r>
      <w:r>
        <w:t xml:space="preserve">the </w:t>
      </w:r>
      <w:r w:rsidRPr="00FC1E8C">
        <w:t>ADAR might have overestimated the dose per bleed for NovoSeven and FEIBA.</w:t>
      </w:r>
      <w:r w:rsidRPr="00FE3815">
        <w:t xml:space="preserve"> </w:t>
      </w:r>
      <w:r>
        <w:t xml:space="preserve">While the uncertainty in the estimation of bleeds per patient per year had only a </w:t>
      </w:r>
      <w:r w:rsidRPr="00DA564E">
        <w:t>minor</w:t>
      </w:r>
      <w:r>
        <w:t xml:space="preserve"> impact on net financial estimates (Scenario 2, </w:t>
      </w:r>
      <w:r>
        <w:fldChar w:fldCharType="begin"/>
      </w:r>
      <w:r>
        <w:instrText xml:space="preserve"> REF _Ref120536602 \h  \* MERGEFORMAT </w:instrText>
      </w:r>
      <w:r>
        <w:fldChar w:fldCharType="separate"/>
      </w:r>
      <w:r w:rsidR="00C25EB0" w:rsidRPr="00C25EB0">
        <w:t>Table 19</w:t>
      </w:r>
      <w:r>
        <w:fldChar w:fldCharType="end"/>
      </w:r>
      <w:r>
        <w:t xml:space="preserve">), uncertainty in the estimation of the dose per bleed resulted in a substantial increase in the net costs (Scenario 3, </w:t>
      </w:r>
      <w:r>
        <w:fldChar w:fldCharType="begin"/>
      </w:r>
      <w:r>
        <w:instrText xml:space="preserve"> REF _Ref120536602 \h  \* MERGEFORMAT </w:instrText>
      </w:r>
      <w:r>
        <w:fldChar w:fldCharType="separate"/>
      </w:r>
      <w:r w:rsidR="00C25EB0" w:rsidRPr="00C25EB0">
        <w:t>Table 19</w:t>
      </w:r>
      <w:r>
        <w:fldChar w:fldCharType="end"/>
      </w:r>
      <w:r>
        <w:t>).</w:t>
      </w:r>
    </w:p>
    <w:p w14:paraId="07D7581D" w14:textId="6D7ECED6" w:rsidR="00C70C5D" w:rsidRPr="00923660" w:rsidRDefault="00C70C5D" w:rsidP="00C70C5D">
      <w:pPr>
        <w:pStyle w:val="Caption"/>
      </w:pPr>
      <w:bookmarkStart w:id="66" w:name="_Ref120536541"/>
      <w:r w:rsidRPr="004D6527">
        <w:t>Table </w:t>
      </w:r>
      <w:r>
        <w:fldChar w:fldCharType="begin"/>
      </w:r>
      <w:r>
        <w:instrText>SEQ Table \* ARABIC</w:instrText>
      </w:r>
      <w:r>
        <w:fldChar w:fldCharType="separate"/>
      </w:r>
      <w:r w:rsidR="00C25EB0">
        <w:rPr>
          <w:noProof/>
        </w:rPr>
        <w:t>18</w:t>
      </w:r>
      <w:r>
        <w:fldChar w:fldCharType="end"/>
      </w:r>
      <w:bookmarkEnd w:id="66"/>
      <w:r w:rsidRPr="004D6527">
        <w:t xml:space="preserve"> Discrepancy</w:t>
      </w:r>
      <w:r w:rsidRPr="00923660">
        <w:t xml:space="preserve"> between the annual dispensed dose of NovoSeven and FEIBA, and that predicted in the ADAR based on the proposed dose per bleed and the number of bleeds per year</w:t>
      </w:r>
    </w:p>
    <w:tbl>
      <w:tblPr>
        <w:tblStyle w:val="TableGrid"/>
        <w:tblW w:w="5000" w:type="pct"/>
        <w:tblLook w:val="04A0" w:firstRow="1" w:lastRow="0" w:firstColumn="1" w:lastColumn="0" w:noHBand="0" w:noVBand="1"/>
        <w:tblCaption w:val="Discrepancy between the annual dispensed dose of NovoSeven and FEIBA, and that predicted in the ADAR based on the proposed dose per bleed and the number of bleeds per year"/>
      </w:tblPr>
      <w:tblGrid>
        <w:gridCol w:w="869"/>
        <w:gridCol w:w="2954"/>
        <w:gridCol w:w="1984"/>
        <w:gridCol w:w="1843"/>
        <w:gridCol w:w="1366"/>
      </w:tblGrid>
      <w:tr w:rsidR="00C70C5D" w:rsidRPr="00923660" w14:paraId="15EE03DE" w14:textId="77777777" w:rsidTr="00750623">
        <w:tc>
          <w:tcPr>
            <w:tcW w:w="869" w:type="dxa"/>
            <w:vAlign w:val="center"/>
          </w:tcPr>
          <w:p w14:paraId="6B5C11B8" w14:textId="77777777" w:rsidR="00C70C5D" w:rsidRPr="00923660" w:rsidRDefault="00C70C5D" w:rsidP="00750623">
            <w:pPr>
              <w:pStyle w:val="TableText"/>
            </w:pPr>
            <w:r w:rsidRPr="00923660">
              <w:t>Step</w:t>
            </w:r>
          </w:p>
        </w:tc>
        <w:tc>
          <w:tcPr>
            <w:tcW w:w="2954" w:type="dxa"/>
            <w:vAlign w:val="center"/>
          </w:tcPr>
          <w:p w14:paraId="4620C118" w14:textId="77777777" w:rsidR="00C70C5D" w:rsidRPr="00923660" w:rsidRDefault="00C70C5D" w:rsidP="00750623">
            <w:pPr>
              <w:pStyle w:val="TableText"/>
            </w:pPr>
            <w:r w:rsidRPr="00923660">
              <w:t>Description</w:t>
            </w:r>
          </w:p>
        </w:tc>
        <w:tc>
          <w:tcPr>
            <w:tcW w:w="1984" w:type="dxa"/>
            <w:vAlign w:val="center"/>
          </w:tcPr>
          <w:p w14:paraId="719C9C4B" w14:textId="77777777" w:rsidR="00C70C5D" w:rsidRPr="00923660" w:rsidRDefault="00C70C5D" w:rsidP="00750623">
            <w:pPr>
              <w:pStyle w:val="TableText"/>
            </w:pPr>
            <w:r w:rsidRPr="00923660">
              <w:t>NovoSeven</w:t>
            </w:r>
          </w:p>
        </w:tc>
        <w:tc>
          <w:tcPr>
            <w:tcW w:w="1843" w:type="dxa"/>
            <w:vAlign w:val="center"/>
          </w:tcPr>
          <w:p w14:paraId="2024DCA3" w14:textId="77777777" w:rsidR="00C70C5D" w:rsidRPr="00923660" w:rsidRDefault="00C70C5D" w:rsidP="00750623">
            <w:pPr>
              <w:pStyle w:val="TableText"/>
            </w:pPr>
            <w:r w:rsidRPr="00923660">
              <w:t>FEIBA</w:t>
            </w:r>
          </w:p>
        </w:tc>
        <w:tc>
          <w:tcPr>
            <w:tcW w:w="1366" w:type="dxa"/>
            <w:vAlign w:val="center"/>
          </w:tcPr>
          <w:p w14:paraId="41312890" w14:textId="77777777" w:rsidR="00C70C5D" w:rsidRPr="00923660" w:rsidRDefault="00C70C5D" w:rsidP="00750623">
            <w:pPr>
              <w:pStyle w:val="TableText"/>
            </w:pPr>
            <w:r w:rsidRPr="00923660">
              <w:t>Calculations</w:t>
            </w:r>
          </w:p>
        </w:tc>
      </w:tr>
      <w:tr w:rsidR="00C70C5D" w:rsidRPr="00923660" w14:paraId="086E8837" w14:textId="77777777" w:rsidTr="00750623">
        <w:tc>
          <w:tcPr>
            <w:tcW w:w="869" w:type="dxa"/>
            <w:vAlign w:val="center"/>
          </w:tcPr>
          <w:p w14:paraId="6717102C" w14:textId="77777777" w:rsidR="00C70C5D" w:rsidRPr="00923660" w:rsidRDefault="00C70C5D" w:rsidP="00750623">
            <w:pPr>
              <w:pStyle w:val="TableText"/>
            </w:pPr>
            <w:r w:rsidRPr="00923660">
              <w:t>#1</w:t>
            </w:r>
          </w:p>
        </w:tc>
        <w:tc>
          <w:tcPr>
            <w:tcW w:w="2954" w:type="dxa"/>
            <w:vAlign w:val="center"/>
          </w:tcPr>
          <w:p w14:paraId="7AD44E7C" w14:textId="77777777" w:rsidR="00C70C5D" w:rsidRPr="00923660" w:rsidRDefault="00C70C5D" w:rsidP="00750623">
            <w:pPr>
              <w:pStyle w:val="TableText"/>
            </w:pPr>
            <w:r w:rsidRPr="00923660">
              <w:t>Treated</w:t>
            </w:r>
          </w:p>
        </w:tc>
        <w:tc>
          <w:tcPr>
            <w:tcW w:w="1984" w:type="dxa"/>
            <w:vAlign w:val="center"/>
          </w:tcPr>
          <w:p w14:paraId="3DD3D778" w14:textId="77777777" w:rsidR="00C70C5D" w:rsidRPr="00923660" w:rsidRDefault="00C70C5D" w:rsidP="00750623">
            <w:pPr>
              <w:pStyle w:val="TableText"/>
            </w:pPr>
            <w:r w:rsidRPr="00923660">
              <w:t>7</w:t>
            </w:r>
          </w:p>
        </w:tc>
        <w:tc>
          <w:tcPr>
            <w:tcW w:w="1843" w:type="dxa"/>
            <w:vAlign w:val="center"/>
          </w:tcPr>
          <w:p w14:paraId="02FDEA25" w14:textId="77777777" w:rsidR="00C70C5D" w:rsidRPr="00923660" w:rsidRDefault="00C70C5D" w:rsidP="00750623">
            <w:pPr>
              <w:pStyle w:val="TableText"/>
            </w:pPr>
            <w:r w:rsidRPr="00923660">
              <w:t>2</w:t>
            </w:r>
          </w:p>
        </w:tc>
        <w:tc>
          <w:tcPr>
            <w:tcW w:w="1366" w:type="dxa"/>
            <w:vAlign w:val="center"/>
          </w:tcPr>
          <w:p w14:paraId="620C2EDC" w14:textId="77777777" w:rsidR="00C70C5D" w:rsidRPr="00923660" w:rsidRDefault="00C70C5D" w:rsidP="00750623">
            <w:pPr>
              <w:pStyle w:val="TableText"/>
            </w:pPr>
            <w:r w:rsidRPr="00923660">
              <w:t>ABDR report</w:t>
            </w:r>
          </w:p>
        </w:tc>
      </w:tr>
      <w:tr w:rsidR="00C70C5D" w:rsidRPr="00923660" w14:paraId="6E5A777D" w14:textId="77777777" w:rsidTr="00750623">
        <w:tc>
          <w:tcPr>
            <w:tcW w:w="869" w:type="dxa"/>
            <w:vAlign w:val="center"/>
          </w:tcPr>
          <w:p w14:paraId="136C6BBE" w14:textId="77777777" w:rsidR="00C70C5D" w:rsidRPr="00923660" w:rsidRDefault="00C70C5D" w:rsidP="00750623">
            <w:pPr>
              <w:pStyle w:val="TableText"/>
            </w:pPr>
            <w:r w:rsidRPr="00923660">
              <w:t>#2</w:t>
            </w:r>
          </w:p>
        </w:tc>
        <w:tc>
          <w:tcPr>
            <w:tcW w:w="2954" w:type="dxa"/>
            <w:vAlign w:val="center"/>
          </w:tcPr>
          <w:p w14:paraId="416E0F9F" w14:textId="77777777" w:rsidR="00C70C5D" w:rsidRPr="00923660" w:rsidRDefault="00C70C5D" w:rsidP="00750623">
            <w:pPr>
              <w:pStyle w:val="TableText"/>
            </w:pPr>
            <w:r w:rsidRPr="00923660">
              <w:t>Annual dispensed dose</w:t>
            </w:r>
          </w:p>
        </w:tc>
        <w:tc>
          <w:tcPr>
            <w:tcW w:w="1984" w:type="dxa"/>
            <w:vAlign w:val="center"/>
          </w:tcPr>
          <w:p w14:paraId="365A180F" w14:textId="77777777" w:rsidR="00C70C5D" w:rsidRPr="00923660" w:rsidRDefault="00C70C5D" w:rsidP="00750623">
            <w:pPr>
              <w:pStyle w:val="TableText"/>
            </w:pPr>
            <w:r w:rsidRPr="00923660">
              <w:t>2</w:t>
            </w:r>
            <w:r>
              <w:t>,</w:t>
            </w:r>
            <w:r w:rsidRPr="00923660">
              <w:t>556</w:t>
            </w:r>
            <w:r>
              <w:t>,</w:t>
            </w:r>
            <w:r w:rsidRPr="00923660">
              <w:t>000 (ug)</w:t>
            </w:r>
          </w:p>
        </w:tc>
        <w:tc>
          <w:tcPr>
            <w:tcW w:w="1843" w:type="dxa"/>
            <w:vAlign w:val="center"/>
          </w:tcPr>
          <w:p w14:paraId="3959D45C" w14:textId="77777777" w:rsidR="00C70C5D" w:rsidRPr="00923660" w:rsidRDefault="00C70C5D" w:rsidP="00750623">
            <w:pPr>
              <w:pStyle w:val="TableText"/>
            </w:pPr>
            <w:r w:rsidRPr="00923660">
              <w:t>196</w:t>
            </w:r>
            <w:r>
              <w:t>,</w:t>
            </w:r>
            <w:r w:rsidRPr="00923660">
              <w:t>000 (U)</w:t>
            </w:r>
          </w:p>
        </w:tc>
        <w:tc>
          <w:tcPr>
            <w:tcW w:w="1366" w:type="dxa"/>
            <w:vAlign w:val="center"/>
          </w:tcPr>
          <w:p w14:paraId="4634B041" w14:textId="77777777" w:rsidR="00C70C5D" w:rsidRPr="00923660" w:rsidRDefault="00C70C5D" w:rsidP="00750623">
            <w:pPr>
              <w:pStyle w:val="TableText"/>
            </w:pPr>
            <w:r w:rsidRPr="00923660">
              <w:t>ABDR report</w:t>
            </w:r>
          </w:p>
        </w:tc>
      </w:tr>
      <w:tr w:rsidR="00C70C5D" w:rsidRPr="00923660" w14:paraId="6E59790A" w14:textId="77777777" w:rsidTr="00750623">
        <w:tc>
          <w:tcPr>
            <w:tcW w:w="869" w:type="dxa"/>
            <w:vAlign w:val="center"/>
          </w:tcPr>
          <w:p w14:paraId="1FA6FA5C" w14:textId="77777777" w:rsidR="00C70C5D" w:rsidRPr="00923660" w:rsidRDefault="00C70C5D" w:rsidP="00750623">
            <w:pPr>
              <w:pStyle w:val="TableText"/>
            </w:pPr>
            <w:r w:rsidRPr="00923660">
              <w:t>#3</w:t>
            </w:r>
          </w:p>
        </w:tc>
        <w:tc>
          <w:tcPr>
            <w:tcW w:w="2954" w:type="dxa"/>
            <w:vAlign w:val="center"/>
          </w:tcPr>
          <w:p w14:paraId="63DF7050" w14:textId="77777777" w:rsidR="00C70C5D" w:rsidRPr="00923660" w:rsidRDefault="00C70C5D" w:rsidP="00750623">
            <w:pPr>
              <w:pStyle w:val="TableText"/>
            </w:pPr>
            <w:r w:rsidRPr="00923660">
              <w:t>Mean annual dose per patient</w:t>
            </w:r>
          </w:p>
        </w:tc>
        <w:tc>
          <w:tcPr>
            <w:tcW w:w="1984" w:type="dxa"/>
            <w:vAlign w:val="center"/>
          </w:tcPr>
          <w:p w14:paraId="0DE4A58D" w14:textId="77777777" w:rsidR="00C70C5D" w:rsidRPr="00923660" w:rsidRDefault="00C70C5D" w:rsidP="00750623">
            <w:pPr>
              <w:pStyle w:val="TableText"/>
            </w:pPr>
            <w:r w:rsidRPr="00923660">
              <w:t>365</w:t>
            </w:r>
            <w:r>
              <w:t>,</w:t>
            </w:r>
            <w:r w:rsidRPr="00923660">
              <w:t>143 (ug)</w:t>
            </w:r>
          </w:p>
        </w:tc>
        <w:tc>
          <w:tcPr>
            <w:tcW w:w="1843" w:type="dxa"/>
            <w:vAlign w:val="center"/>
          </w:tcPr>
          <w:p w14:paraId="17AFC8B3" w14:textId="77777777" w:rsidR="00C70C5D" w:rsidRPr="00923660" w:rsidRDefault="00C70C5D" w:rsidP="00750623">
            <w:pPr>
              <w:pStyle w:val="TableText"/>
            </w:pPr>
            <w:r w:rsidRPr="00923660">
              <w:t>98</w:t>
            </w:r>
            <w:r>
              <w:t>,</w:t>
            </w:r>
            <w:r w:rsidRPr="00923660">
              <w:t>000 (U)</w:t>
            </w:r>
          </w:p>
        </w:tc>
        <w:tc>
          <w:tcPr>
            <w:tcW w:w="1366" w:type="dxa"/>
            <w:vAlign w:val="center"/>
          </w:tcPr>
          <w:p w14:paraId="4DB33087" w14:textId="77777777" w:rsidR="00C70C5D" w:rsidRPr="00923660" w:rsidRDefault="00C70C5D" w:rsidP="00750623">
            <w:pPr>
              <w:pStyle w:val="TableText"/>
            </w:pPr>
            <w:r w:rsidRPr="00923660">
              <w:t>= #2 / #1</w:t>
            </w:r>
          </w:p>
        </w:tc>
      </w:tr>
      <w:tr w:rsidR="00C70C5D" w:rsidRPr="00923660" w14:paraId="5C70711E" w14:textId="77777777" w:rsidTr="00750623">
        <w:tc>
          <w:tcPr>
            <w:tcW w:w="869" w:type="dxa"/>
            <w:vAlign w:val="center"/>
          </w:tcPr>
          <w:p w14:paraId="79857834" w14:textId="77777777" w:rsidR="00C70C5D" w:rsidRPr="00923660" w:rsidRDefault="00C70C5D" w:rsidP="00750623">
            <w:pPr>
              <w:pStyle w:val="TableText"/>
            </w:pPr>
            <w:r w:rsidRPr="00923660">
              <w:t>#4</w:t>
            </w:r>
          </w:p>
        </w:tc>
        <w:tc>
          <w:tcPr>
            <w:tcW w:w="2954" w:type="dxa"/>
            <w:vAlign w:val="center"/>
          </w:tcPr>
          <w:p w14:paraId="10616199" w14:textId="77777777" w:rsidR="00C70C5D" w:rsidRPr="00923660" w:rsidRDefault="00C70C5D" w:rsidP="00750623">
            <w:pPr>
              <w:pStyle w:val="TableText"/>
            </w:pPr>
            <w:r w:rsidRPr="00923660">
              <w:t>Bleeds/patient in ADAR</w:t>
            </w:r>
          </w:p>
        </w:tc>
        <w:tc>
          <w:tcPr>
            <w:tcW w:w="1984" w:type="dxa"/>
            <w:vAlign w:val="center"/>
          </w:tcPr>
          <w:p w14:paraId="02E9E40E" w14:textId="77777777" w:rsidR="00C70C5D" w:rsidRPr="00923660" w:rsidRDefault="00C70C5D" w:rsidP="00750623">
            <w:pPr>
              <w:pStyle w:val="TableText"/>
            </w:pPr>
            <w:r w:rsidRPr="00923660">
              <w:t>4.68</w:t>
            </w:r>
          </w:p>
        </w:tc>
        <w:tc>
          <w:tcPr>
            <w:tcW w:w="1843" w:type="dxa"/>
            <w:vAlign w:val="center"/>
          </w:tcPr>
          <w:p w14:paraId="61DEACC6" w14:textId="77777777" w:rsidR="00C70C5D" w:rsidRPr="00923660" w:rsidRDefault="00C70C5D" w:rsidP="00750623">
            <w:pPr>
              <w:pStyle w:val="TableText"/>
            </w:pPr>
            <w:r w:rsidRPr="00923660">
              <w:t>4.68</w:t>
            </w:r>
          </w:p>
        </w:tc>
        <w:tc>
          <w:tcPr>
            <w:tcW w:w="1366" w:type="dxa"/>
            <w:vAlign w:val="center"/>
          </w:tcPr>
          <w:p w14:paraId="369710E8" w14:textId="77777777" w:rsidR="00C70C5D" w:rsidRPr="00923660" w:rsidRDefault="00C70C5D" w:rsidP="00750623">
            <w:pPr>
              <w:pStyle w:val="TableText"/>
            </w:pPr>
            <w:r w:rsidRPr="00923660">
              <w:t>Holstein 2020</w:t>
            </w:r>
          </w:p>
        </w:tc>
      </w:tr>
      <w:tr w:rsidR="00C70C5D" w:rsidRPr="00923660" w14:paraId="319FFF74" w14:textId="77777777" w:rsidTr="00750623">
        <w:tc>
          <w:tcPr>
            <w:tcW w:w="869" w:type="dxa"/>
            <w:vAlign w:val="center"/>
          </w:tcPr>
          <w:p w14:paraId="60B067C2" w14:textId="77777777" w:rsidR="00C70C5D" w:rsidRPr="00923660" w:rsidRDefault="00C70C5D" w:rsidP="00750623">
            <w:pPr>
              <w:pStyle w:val="TableText"/>
            </w:pPr>
            <w:r w:rsidRPr="00923660">
              <w:t>#5</w:t>
            </w:r>
          </w:p>
        </w:tc>
        <w:tc>
          <w:tcPr>
            <w:tcW w:w="2954" w:type="dxa"/>
            <w:vAlign w:val="center"/>
          </w:tcPr>
          <w:p w14:paraId="6A8971D7" w14:textId="77777777" w:rsidR="00C70C5D" w:rsidRPr="00923660" w:rsidRDefault="00C70C5D" w:rsidP="00750623">
            <w:pPr>
              <w:pStyle w:val="TableText"/>
            </w:pPr>
            <w:r w:rsidRPr="00923660">
              <w:t xml:space="preserve">Dose/bleed in ADAR </w:t>
            </w:r>
          </w:p>
        </w:tc>
        <w:tc>
          <w:tcPr>
            <w:tcW w:w="1984" w:type="dxa"/>
            <w:vAlign w:val="center"/>
          </w:tcPr>
          <w:p w14:paraId="35E12251" w14:textId="05B91B3F" w:rsidR="00C70C5D" w:rsidRPr="00FC670C" w:rsidRDefault="007E2243" w:rsidP="00750623">
            <w:pPr>
              <w:pStyle w:val="TableText"/>
            </w:pPr>
            <w:r w:rsidRPr="00FC670C">
              <w:t>REDACTED</w:t>
            </w:r>
            <w:r w:rsidR="00C70C5D" w:rsidRPr="00FC670C">
              <w:t xml:space="preserve"> (ug)</w:t>
            </w:r>
          </w:p>
        </w:tc>
        <w:tc>
          <w:tcPr>
            <w:tcW w:w="1843" w:type="dxa"/>
            <w:vAlign w:val="center"/>
          </w:tcPr>
          <w:p w14:paraId="18EE55C5" w14:textId="2198305B" w:rsidR="00C70C5D" w:rsidRPr="00FC670C" w:rsidRDefault="007E2243" w:rsidP="00750623">
            <w:pPr>
              <w:pStyle w:val="TableText"/>
            </w:pPr>
            <w:r w:rsidRPr="00FC670C">
              <w:t>REDACTED</w:t>
            </w:r>
            <w:r w:rsidR="00C70C5D" w:rsidRPr="00FC670C">
              <w:t xml:space="preserve"> (U)</w:t>
            </w:r>
          </w:p>
        </w:tc>
        <w:tc>
          <w:tcPr>
            <w:tcW w:w="1366" w:type="dxa"/>
            <w:vAlign w:val="center"/>
          </w:tcPr>
          <w:p w14:paraId="0A5D1FF7" w14:textId="103D8363" w:rsidR="00C70C5D" w:rsidRPr="00923660" w:rsidRDefault="00C70C5D" w:rsidP="00750623">
            <w:pPr>
              <w:pStyle w:val="TableText"/>
            </w:pPr>
            <w:r>
              <w:fldChar w:fldCharType="begin"/>
            </w:r>
            <w:r>
              <w:instrText xml:space="preserve"> REF _Ref119944582 \h </w:instrText>
            </w:r>
            <w:r>
              <w:fldChar w:fldCharType="separate"/>
            </w:r>
            <w:r w:rsidR="00C25EB0" w:rsidRPr="00CE28E3">
              <w:t>Table</w:t>
            </w:r>
            <w:r w:rsidR="00C25EB0">
              <w:t> </w:t>
            </w:r>
            <w:r w:rsidR="00C25EB0">
              <w:rPr>
                <w:noProof/>
              </w:rPr>
              <w:t>12</w:t>
            </w:r>
            <w:r>
              <w:fldChar w:fldCharType="end"/>
            </w:r>
          </w:p>
        </w:tc>
      </w:tr>
      <w:tr w:rsidR="00C70C5D" w:rsidRPr="00923660" w14:paraId="60F3123B" w14:textId="77777777" w:rsidTr="00750623">
        <w:tc>
          <w:tcPr>
            <w:tcW w:w="869" w:type="dxa"/>
            <w:vAlign w:val="center"/>
          </w:tcPr>
          <w:p w14:paraId="6217CBDF" w14:textId="77777777" w:rsidR="00C70C5D" w:rsidRPr="00923660" w:rsidRDefault="00C70C5D" w:rsidP="00750623">
            <w:pPr>
              <w:pStyle w:val="TableText"/>
            </w:pPr>
            <w:r w:rsidRPr="00923660">
              <w:t>#6</w:t>
            </w:r>
          </w:p>
        </w:tc>
        <w:tc>
          <w:tcPr>
            <w:tcW w:w="2954" w:type="dxa"/>
            <w:vAlign w:val="center"/>
          </w:tcPr>
          <w:p w14:paraId="45F515D5" w14:textId="77777777" w:rsidR="00C70C5D" w:rsidRPr="00923660" w:rsidRDefault="00C70C5D" w:rsidP="00750623">
            <w:pPr>
              <w:pStyle w:val="TableText"/>
            </w:pPr>
            <w:r w:rsidRPr="00923660">
              <w:t>Dose/bleed estimated during commentary</w:t>
            </w:r>
          </w:p>
        </w:tc>
        <w:tc>
          <w:tcPr>
            <w:tcW w:w="1984" w:type="dxa"/>
            <w:vAlign w:val="center"/>
          </w:tcPr>
          <w:p w14:paraId="665374D4" w14:textId="2956E13B" w:rsidR="00C70C5D" w:rsidRPr="00FC670C" w:rsidRDefault="007E2243" w:rsidP="00750623">
            <w:pPr>
              <w:pStyle w:val="TableText"/>
            </w:pPr>
            <w:r w:rsidRPr="00FC670C">
              <w:t>REDACTED</w:t>
            </w:r>
            <w:r w:rsidR="00C70C5D" w:rsidRPr="00FC670C">
              <w:t xml:space="preserve"> (ug)</w:t>
            </w:r>
          </w:p>
        </w:tc>
        <w:tc>
          <w:tcPr>
            <w:tcW w:w="1843" w:type="dxa"/>
            <w:vAlign w:val="center"/>
          </w:tcPr>
          <w:p w14:paraId="2AB5CACC" w14:textId="6683D358" w:rsidR="00C70C5D" w:rsidRPr="00FC670C" w:rsidRDefault="007E2243" w:rsidP="00750623">
            <w:pPr>
              <w:pStyle w:val="TableText"/>
            </w:pPr>
            <w:r w:rsidRPr="00FC670C">
              <w:t>REDACTED</w:t>
            </w:r>
            <w:r w:rsidR="00C70C5D" w:rsidRPr="00FC670C">
              <w:t xml:space="preserve"> (U)</w:t>
            </w:r>
          </w:p>
        </w:tc>
        <w:tc>
          <w:tcPr>
            <w:tcW w:w="1366" w:type="dxa"/>
            <w:vAlign w:val="center"/>
          </w:tcPr>
          <w:p w14:paraId="7DEC97F0" w14:textId="77777777" w:rsidR="00C25EB0" w:rsidRPr="003A6AB5" w:rsidRDefault="00C70C5D" w:rsidP="003A6AB5">
            <w:r>
              <w:fldChar w:fldCharType="begin"/>
            </w:r>
            <w:r>
              <w:instrText xml:space="preserve"> REF _Ref120530948 \h </w:instrText>
            </w:r>
            <w:r>
              <w:fldChar w:fldCharType="separate"/>
            </w:r>
          </w:p>
          <w:p w14:paraId="1B31CF86" w14:textId="7514C954" w:rsidR="00C70C5D" w:rsidRPr="00923660" w:rsidRDefault="00C25EB0" w:rsidP="00750623">
            <w:pPr>
              <w:pStyle w:val="TableText"/>
            </w:pPr>
            <w:r>
              <w:t xml:space="preserve">Table </w:t>
            </w:r>
            <w:r>
              <w:rPr>
                <w:noProof/>
              </w:rPr>
              <w:t>6</w:t>
            </w:r>
            <w:r w:rsidR="00C70C5D">
              <w:fldChar w:fldCharType="end"/>
            </w:r>
          </w:p>
        </w:tc>
      </w:tr>
      <w:tr w:rsidR="00C70C5D" w:rsidRPr="00923660" w14:paraId="005D3EBB" w14:textId="77777777" w:rsidTr="00750623">
        <w:tc>
          <w:tcPr>
            <w:tcW w:w="869" w:type="dxa"/>
            <w:vAlign w:val="center"/>
          </w:tcPr>
          <w:p w14:paraId="680F575E" w14:textId="77777777" w:rsidR="00C70C5D" w:rsidRPr="00923660" w:rsidRDefault="00C70C5D" w:rsidP="00750623">
            <w:pPr>
              <w:pStyle w:val="TableText"/>
            </w:pPr>
            <w:r w:rsidRPr="00923660">
              <w:t>#7</w:t>
            </w:r>
          </w:p>
        </w:tc>
        <w:tc>
          <w:tcPr>
            <w:tcW w:w="2954" w:type="dxa"/>
            <w:vAlign w:val="center"/>
          </w:tcPr>
          <w:p w14:paraId="2F97AD9B" w14:textId="77777777" w:rsidR="00C70C5D" w:rsidRPr="00923660" w:rsidRDefault="00C70C5D" w:rsidP="00750623">
            <w:pPr>
              <w:pStyle w:val="TableText"/>
            </w:pPr>
            <w:r w:rsidRPr="00923660">
              <w:t>Mean dose per bleed to match proposed bleeds per year</w:t>
            </w:r>
          </w:p>
        </w:tc>
        <w:tc>
          <w:tcPr>
            <w:tcW w:w="1984" w:type="dxa"/>
            <w:vAlign w:val="center"/>
          </w:tcPr>
          <w:p w14:paraId="68EBE1D5" w14:textId="050B67C2" w:rsidR="00C70C5D" w:rsidRPr="00FC670C" w:rsidRDefault="007E2243" w:rsidP="00750623">
            <w:pPr>
              <w:pStyle w:val="TableText"/>
            </w:pPr>
            <w:r w:rsidRPr="00FC670C">
              <w:t>REDACTED</w:t>
            </w:r>
            <w:r w:rsidR="00C70C5D" w:rsidRPr="00FC670C">
              <w:t xml:space="preserve"> (ug)</w:t>
            </w:r>
          </w:p>
        </w:tc>
        <w:tc>
          <w:tcPr>
            <w:tcW w:w="1843" w:type="dxa"/>
            <w:vAlign w:val="center"/>
          </w:tcPr>
          <w:p w14:paraId="3C439001" w14:textId="6A4FD153" w:rsidR="00C70C5D" w:rsidRPr="00FC670C" w:rsidRDefault="007E2243" w:rsidP="00750623">
            <w:pPr>
              <w:pStyle w:val="TableText"/>
            </w:pPr>
            <w:r w:rsidRPr="00FC670C">
              <w:t>REDACTED</w:t>
            </w:r>
            <w:r w:rsidR="00C70C5D" w:rsidRPr="00FC670C">
              <w:t xml:space="preserve"> (U)</w:t>
            </w:r>
          </w:p>
        </w:tc>
        <w:tc>
          <w:tcPr>
            <w:tcW w:w="1366" w:type="dxa"/>
            <w:vAlign w:val="center"/>
          </w:tcPr>
          <w:p w14:paraId="06F85839" w14:textId="77777777" w:rsidR="00C70C5D" w:rsidRPr="00923660" w:rsidRDefault="00C70C5D" w:rsidP="00750623">
            <w:pPr>
              <w:pStyle w:val="TableText"/>
            </w:pPr>
            <w:r w:rsidRPr="00923660">
              <w:t>= #3 / #4</w:t>
            </w:r>
          </w:p>
        </w:tc>
      </w:tr>
      <w:tr w:rsidR="00C70C5D" w:rsidRPr="00923660" w14:paraId="4E9C818A" w14:textId="77777777" w:rsidTr="00750623">
        <w:tc>
          <w:tcPr>
            <w:tcW w:w="869" w:type="dxa"/>
            <w:vAlign w:val="center"/>
          </w:tcPr>
          <w:p w14:paraId="143C2C02" w14:textId="77777777" w:rsidR="00C70C5D" w:rsidRPr="00923660" w:rsidRDefault="00C70C5D" w:rsidP="00750623">
            <w:pPr>
              <w:pStyle w:val="TableText"/>
            </w:pPr>
            <w:r w:rsidRPr="00923660">
              <w:t>#8</w:t>
            </w:r>
          </w:p>
        </w:tc>
        <w:tc>
          <w:tcPr>
            <w:tcW w:w="2954" w:type="dxa"/>
            <w:vAlign w:val="center"/>
          </w:tcPr>
          <w:p w14:paraId="6370F250" w14:textId="77777777" w:rsidR="00C70C5D" w:rsidRPr="00923660" w:rsidRDefault="00C70C5D" w:rsidP="00750623">
            <w:pPr>
              <w:pStyle w:val="TableText"/>
            </w:pPr>
            <w:r w:rsidRPr="00923660">
              <w:t>Mean bleeding episodes per year to match proposed dose</w:t>
            </w:r>
          </w:p>
        </w:tc>
        <w:tc>
          <w:tcPr>
            <w:tcW w:w="1984" w:type="dxa"/>
            <w:vAlign w:val="center"/>
          </w:tcPr>
          <w:p w14:paraId="7F0CC7FF" w14:textId="131E4EBF" w:rsidR="00C70C5D" w:rsidRPr="00FC670C" w:rsidRDefault="007E2243" w:rsidP="00750623">
            <w:pPr>
              <w:pStyle w:val="TableText"/>
            </w:pPr>
            <w:r w:rsidRPr="00FC670C">
              <w:t>REDACTED</w:t>
            </w:r>
          </w:p>
        </w:tc>
        <w:tc>
          <w:tcPr>
            <w:tcW w:w="1843" w:type="dxa"/>
            <w:vAlign w:val="center"/>
          </w:tcPr>
          <w:p w14:paraId="28618B5B" w14:textId="31DA5FA5" w:rsidR="00C70C5D" w:rsidRPr="00FC670C" w:rsidRDefault="007E2243" w:rsidP="00750623">
            <w:pPr>
              <w:pStyle w:val="TableText"/>
            </w:pPr>
            <w:r w:rsidRPr="00FC670C">
              <w:t>REDACTED</w:t>
            </w:r>
          </w:p>
        </w:tc>
        <w:tc>
          <w:tcPr>
            <w:tcW w:w="1366" w:type="dxa"/>
            <w:vAlign w:val="center"/>
          </w:tcPr>
          <w:p w14:paraId="412BF681" w14:textId="77777777" w:rsidR="00C70C5D" w:rsidRPr="00923660" w:rsidRDefault="00C70C5D" w:rsidP="00750623">
            <w:pPr>
              <w:pStyle w:val="TableText"/>
            </w:pPr>
            <w:r w:rsidRPr="00923660">
              <w:t>= #3 / #5</w:t>
            </w:r>
          </w:p>
        </w:tc>
      </w:tr>
      <w:tr w:rsidR="00C70C5D" w:rsidRPr="00923660" w14:paraId="602598B3" w14:textId="77777777" w:rsidTr="00750623">
        <w:tc>
          <w:tcPr>
            <w:tcW w:w="869" w:type="dxa"/>
            <w:vAlign w:val="center"/>
          </w:tcPr>
          <w:p w14:paraId="65225A54" w14:textId="77777777" w:rsidR="00C70C5D" w:rsidRPr="00923660" w:rsidRDefault="00C70C5D" w:rsidP="00750623">
            <w:pPr>
              <w:pStyle w:val="TableText"/>
            </w:pPr>
            <w:r w:rsidRPr="00923660">
              <w:t>#9</w:t>
            </w:r>
          </w:p>
        </w:tc>
        <w:tc>
          <w:tcPr>
            <w:tcW w:w="2954" w:type="dxa"/>
            <w:vAlign w:val="center"/>
          </w:tcPr>
          <w:p w14:paraId="71F0487E" w14:textId="77777777" w:rsidR="00C70C5D" w:rsidRPr="00923660" w:rsidRDefault="00C70C5D" w:rsidP="00750623">
            <w:pPr>
              <w:pStyle w:val="TableText"/>
            </w:pPr>
            <w:r w:rsidRPr="00923660">
              <w:t>Annual dispensed dose using approach in the ADAR</w:t>
            </w:r>
          </w:p>
        </w:tc>
        <w:tc>
          <w:tcPr>
            <w:tcW w:w="1984" w:type="dxa"/>
            <w:vAlign w:val="center"/>
          </w:tcPr>
          <w:p w14:paraId="2A19ECE8" w14:textId="3FE3E320" w:rsidR="00C70C5D" w:rsidRPr="00FC670C" w:rsidRDefault="007E2243" w:rsidP="00750623">
            <w:pPr>
              <w:pStyle w:val="TableText"/>
            </w:pPr>
            <w:r w:rsidRPr="00FC670C">
              <w:t>REDACTED</w:t>
            </w:r>
            <w:r w:rsidR="00C70C5D" w:rsidRPr="00FC670C">
              <w:t xml:space="preserve"> ug (211% of actual dispensed)</w:t>
            </w:r>
          </w:p>
        </w:tc>
        <w:tc>
          <w:tcPr>
            <w:tcW w:w="1843" w:type="dxa"/>
            <w:vAlign w:val="center"/>
          </w:tcPr>
          <w:p w14:paraId="3FA23FBF" w14:textId="472A614F" w:rsidR="00C70C5D" w:rsidRPr="00FC670C" w:rsidRDefault="00FC670C" w:rsidP="00750623">
            <w:pPr>
              <w:pStyle w:val="TableText"/>
            </w:pPr>
            <w:r w:rsidRPr="00FC670C">
              <w:t>REDACTED</w:t>
            </w:r>
            <w:r w:rsidR="00C70C5D" w:rsidRPr="00FC670C">
              <w:t xml:space="preserve"> U (401% of actual dispensed)</w:t>
            </w:r>
          </w:p>
        </w:tc>
        <w:tc>
          <w:tcPr>
            <w:tcW w:w="1366" w:type="dxa"/>
            <w:vAlign w:val="center"/>
          </w:tcPr>
          <w:p w14:paraId="4E745675" w14:textId="77777777" w:rsidR="00C70C5D" w:rsidRPr="00923660" w:rsidRDefault="00C70C5D" w:rsidP="00750623">
            <w:pPr>
              <w:pStyle w:val="TableText"/>
            </w:pPr>
            <w:r w:rsidRPr="00923660">
              <w:t>= #1 x #4 x #5</w:t>
            </w:r>
          </w:p>
        </w:tc>
      </w:tr>
    </w:tbl>
    <w:p w14:paraId="1D5FEED6" w14:textId="77777777" w:rsidR="00C70C5D" w:rsidRPr="00266D3B" w:rsidRDefault="00C70C5D" w:rsidP="00C70C5D">
      <w:pPr>
        <w:pStyle w:val="TableText"/>
        <w:keepNext/>
        <w:rPr>
          <w:sz w:val="18"/>
        </w:rPr>
      </w:pPr>
      <w:r w:rsidRPr="004D12A4">
        <w:rPr>
          <w:sz w:val="18"/>
        </w:rPr>
        <w:t xml:space="preserve">Source: </w:t>
      </w:r>
      <w:r w:rsidRPr="00596B55">
        <w:rPr>
          <w:sz w:val="18"/>
        </w:rPr>
        <w:t xml:space="preserve">Commentary Table 12, </w:t>
      </w:r>
      <w:proofErr w:type="spellStart"/>
      <w:r w:rsidRPr="00596B55">
        <w:rPr>
          <w:sz w:val="18"/>
        </w:rPr>
        <w:t>pg</w:t>
      </w:r>
      <w:proofErr w:type="spellEnd"/>
      <w:r w:rsidRPr="00596B55">
        <w:rPr>
          <w:sz w:val="18"/>
        </w:rPr>
        <w:t xml:space="preserve"> 203 of the Commentary on MSAC 1714 ADAR</w:t>
      </w:r>
    </w:p>
    <w:p w14:paraId="7ECF194B" w14:textId="0B6D5B6B" w:rsidR="00C70ADE" w:rsidRDefault="00C70C5D" w:rsidP="00C70ADE">
      <w:pPr>
        <w:spacing w:before="240"/>
      </w:pPr>
      <w:r>
        <w:t>The effect of uncertainty on the financial impact in terms of number of bleeds per patient per year and doses per bleed has been</w:t>
      </w:r>
      <w:r w:rsidRPr="00632B92">
        <w:t xml:space="preserve"> tested during the evaluation (</w:t>
      </w:r>
      <w:r w:rsidRPr="006628FE">
        <w:fldChar w:fldCharType="begin"/>
      </w:r>
      <w:r w:rsidRPr="006628FE">
        <w:instrText xml:space="preserve"> REF _Ref120536602 \h  \* MERGEFORMAT </w:instrText>
      </w:r>
      <w:r w:rsidRPr="006628FE">
        <w:fldChar w:fldCharType="separate"/>
      </w:r>
      <w:r w:rsidR="00C25EB0" w:rsidRPr="00C25EB0">
        <w:t>Table 19</w:t>
      </w:r>
      <w:r w:rsidRPr="006628FE">
        <w:fldChar w:fldCharType="end"/>
      </w:r>
      <w:r w:rsidRPr="00632B92">
        <w:t>).</w:t>
      </w:r>
      <w:r>
        <w:t xml:space="preserve"> Forecasting the utilisation of Obizur using the </w:t>
      </w:r>
      <w:r w:rsidRPr="00FD0502">
        <w:t>dispensed quantities of FEIBA and NovoSeven as reported by the ABDR</w:t>
      </w:r>
      <w:r>
        <w:t xml:space="preserve"> (</w:t>
      </w:r>
      <w:r w:rsidRPr="00DA564E">
        <w:fldChar w:fldCharType="begin"/>
      </w:r>
      <w:r w:rsidRPr="00DA564E">
        <w:instrText xml:space="preserve"> REF _Ref120536602 \h  \* MERGEFORMAT </w:instrText>
      </w:r>
      <w:r w:rsidRPr="00DA564E">
        <w:fldChar w:fldCharType="separate"/>
      </w:r>
      <w:r w:rsidR="00C25EB0" w:rsidRPr="00C25EB0">
        <w:t>Table 19</w:t>
      </w:r>
      <w:r w:rsidRPr="00DA564E">
        <w:fldChar w:fldCharType="end"/>
      </w:r>
      <w:r w:rsidRPr="00DA564E">
        <w:t>,</w:t>
      </w:r>
      <w:r w:rsidR="001D4E54">
        <w:t xml:space="preserve"> </w:t>
      </w:r>
      <w:r w:rsidRPr="00DA564E">
        <w:t xml:space="preserve">Scenario </w:t>
      </w:r>
      <w:r>
        <w:t xml:space="preserve">2) results in an estimate that is </w:t>
      </w:r>
      <w:r w:rsidRPr="00FD0502">
        <w:t>roughly 42% of the estimate presented in the ADAR.</w:t>
      </w:r>
      <w:r w:rsidRPr="00632B92">
        <w:t xml:space="preserve"> T</w:t>
      </w:r>
      <w:r w:rsidRPr="00DA564E">
        <w:t>he net cost of BPAs estimated using actual dispensed data from the ABDR annual report (</w:t>
      </w:r>
      <w:r w:rsidR="00C53B92">
        <w:t>between $0 and &lt;</w:t>
      </w:r>
      <w:r w:rsidR="005E0924">
        <w:t xml:space="preserve">$10 million </w:t>
      </w:r>
      <w:r w:rsidRPr="00DA564E">
        <w:t>in 2023) is substantially lower than would be predicted using the variables from the ADAR (</w:t>
      </w:r>
      <w:r w:rsidR="005E0924">
        <w:t>between $10 million and $20 million</w:t>
      </w:r>
      <w:r w:rsidRPr="00DA564E">
        <w:t xml:space="preserve">). However, the net </w:t>
      </w:r>
      <w:r w:rsidRPr="00DA564E">
        <w:lastRenderedPageBreak/>
        <w:t>impact of listing Obizur is minor</w:t>
      </w:r>
      <w:r>
        <w:t xml:space="preserve"> </w:t>
      </w:r>
      <w:r w:rsidRPr="00316D4C">
        <w:t>as it is accompanied by an equivalent change in the use of FEIBA and NovoSeven</w:t>
      </w:r>
      <w:r w:rsidRPr="00DA564E">
        <w:t xml:space="preserve">. </w:t>
      </w:r>
    </w:p>
    <w:p w14:paraId="045A3920" w14:textId="0E33B961" w:rsidR="00C70C5D" w:rsidRDefault="00C70C5D" w:rsidP="00C70ADE">
      <w:pPr>
        <w:spacing w:before="240"/>
      </w:pPr>
      <w:r w:rsidRPr="00DA564E">
        <w:t>Estimating the impact while retaining the ADAR’s assumption of bleeds per patient per year (4.68) but applying the revised dose per bleed estimates (</w:t>
      </w:r>
      <w:r w:rsidRPr="00DA564E">
        <w:fldChar w:fldCharType="begin"/>
      </w:r>
      <w:r w:rsidRPr="00DA564E">
        <w:instrText xml:space="preserve"> REF _Ref120536602 \h  \* MERGEFORMAT </w:instrText>
      </w:r>
      <w:r w:rsidRPr="00DA564E">
        <w:fldChar w:fldCharType="separate"/>
      </w:r>
      <w:r w:rsidR="00C25EB0" w:rsidRPr="00C25EB0">
        <w:t>Table 19</w:t>
      </w:r>
      <w:r w:rsidRPr="00DA564E">
        <w:fldChar w:fldCharType="end"/>
      </w:r>
      <w:r w:rsidRPr="00DA564E">
        <w:t>,</w:t>
      </w:r>
      <w:r w:rsidR="001D4E54">
        <w:t xml:space="preserve"> </w:t>
      </w:r>
      <w:r w:rsidRPr="00DA564E">
        <w:t xml:space="preserve">Scenario 3) resulted in a substantial </w:t>
      </w:r>
      <w:r>
        <w:t xml:space="preserve">increase in the </w:t>
      </w:r>
      <w:r w:rsidRPr="00DA564E">
        <w:t xml:space="preserve">net cost to </w:t>
      </w:r>
      <w:r>
        <w:t xml:space="preserve">the </w:t>
      </w:r>
      <w:r w:rsidR="001D4E54">
        <w:t>NBA</w:t>
      </w:r>
      <w:r w:rsidRPr="00DA564E">
        <w:t xml:space="preserve"> which is due to the reduction in the estimated dose per bleed of BPAs accompanied by an increase in the dose of Obizur.</w:t>
      </w:r>
    </w:p>
    <w:p w14:paraId="144E28A4" w14:textId="1270DE15" w:rsidR="00C70C5D" w:rsidRPr="00705ADB" w:rsidRDefault="793BF0A1" w:rsidP="6E51F9F0">
      <w:pPr>
        <w:rPr>
          <w:rFonts w:asciiTheme="minorHAnsi" w:hAnsiTheme="minorHAnsi"/>
          <w:i/>
          <w:iCs/>
          <w:color w:val="0070C0"/>
        </w:rPr>
      </w:pPr>
      <w:r>
        <w:t xml:space="preserve">The ADAR assumed an uptake rate of </w:t>
      </w:r>
      <w:r w:rsidR="007E2243">
        <w:t>[REDACTED]</w:t>
      </w:r>
      <w:r>
        <w:t>% in Year 1 for Obizur increasing to</w:t>
      </w:r>
      <w:r w:rsidR="007E2243">
        <w:t xml:space="preserve"> [REDACTED]</w:t>
      </w:r>
      <w:r>
        <w:t xml:space="preserve">% from Year 3 to Year 6. The proposed uptake rate is uncertain as no justification was provided to support the low uptake rates assumed in the first two years of listing. Given the advantages of Obizur in terms of FVIII activity monitoring and lower risk of thrombosis, the uptake rate assumed may be an underestimate in these years. However, as Obizur, FEIBA and NovoSeven are proposed to be interchangeable, </w:t>
      </w:r>
      <w:r w:rsidR="78B4CAFE">
        <w:t xml:space="preserve">the evaluator considered </w:t>
      </w:r>
      <w:r>
        <w:t xml:space="preserve">changing the uptake rate will not have an impact on the net cost to the </w:t>
      </w:r>
      <w:r w:rsidR="6D6278E2">
        <w:t>NBA</w:t>
      </w:r>
      <w:r>
        <w:t xml:space="preserve"> assuming </w:t>
      </w:r>
      <w:proofErr w:type="spellStart"/>
      <w:r>
        <w:t>equi</w:t>
      </w:r>
      <w:proofErr w:type="spellEnd"/>
      <w:r>
        <w:t>-effective dosing is correct.</w:t>
      </w:r>
    </w:p>
    <w:p w14:paraId="1579CEE8" w14:textId="69ED8AA9" w:rsidR="00C70C5D" w:rsidRDefault="793BF0A1" w:rsidP="00C70C5D">
      <w:r>
        <w:t>A weighted average cost per vial (500 U) of $</w:t>
      </w:r>
      <w:r w:rsidR="007E2243">
        <w:t>[REDACTED]</w:t>
      </w:r>
      <w:r>
        <w:t xml:space="preserve"> for Obizur estimated from the CMAs versus NovoSeven ($</w:t>
      </w:r>
      <w:r w:rsidR="007E2243">
        <w:t>[REDACTED]</w:t>
      </w:r>
      <w:r>
        <w:t>) and FEIBA ($</w:t>
      </w:r>
      <w:r w:rsidR="007E2243">
        <w:t>[REDACTED]</w:t>
      </w:r>
      <w:r>
        <w:t>) with the current market share of 78%/22% for NovoSeven and FEIBA as weights was used to estimate the financial impact</w:t>
      </w:r>
      <w:r w:rsidR="417FF7CF">
        <w:t xml:space="preserve"> in the ADAR</w:t>
      </w:r>
      <w:r w:rsidR="389EA85F">
        <w:t xml:space="preserve"> (and is represented in Table </w:t>
      </w:r>
      <w:r w:rsidR="007060FA">
        <w:t>19</w:t>
      </w:r>
      <w:r w:rsidR="389EA85F">
        <w:t xml:space="preserve"> below)</w:t>
      </w:r>
      <w:r>
        <w:t xml:space="preserve">. </w:t>
      </w:r>
    </w:p>
    <w:p w14:paraId="7D035E03" w14:textId="3A10D45D" w:rsidR="00C70C5D" w:rsidRDefault="00C70C5D" w:rsidP="00C70C5D">
      <w:r w:rsidRPr="00C13F9B">
        <w:t xml:space="preserve">MSAC Executive </w:t>
      </w:r>
      <w:r>
        <w:t>suggested that an</w:t>
      </w:r>
      <w:r w:rsidRPr="00147524">
        <w:t xml:space="preserve"> estimation of cost-offsets due to the substitution of treatment with BPAs should also form part of the financial analyses (</w:t>
      </w:r>
      <w:r w:rsidRPr="00FC1E8C">
        <w:t>MSAC Executive minutes</w:t>
      </w:r>
      <w:r w:rsidR="00FD4002">
        <w:t>,</w:t>
      </w:r>
      <w:r w:rsidRPr="00FC1E8C">
        <w:t xml:space="preserve"> April 2022</w:t>
      </w:r>
      <w:r>
        <w:t>)</w:t>
      </w:r>
      <w:r w:rsidRPr="00147524">
        <w:t>.</w:t>
      </w:r>
      <w:r>
        <w:t xml:space="preserve"> The financial analysis included cost-offsets due to a reduction in use of BPAs. In addition, the ADAR included cost-offsets to hospital budgets due to the reduction in cost of managing treatment-related AEs (thrombotic events). However, the ADAR did not include additional costs/cost-offsets due to differences in the duration of treatments for bleeds. </w:t>
      </w:r>
      <w:r w:rsidR="004B0CF0">
        <w:t>It is uncertain that listing Obizur would result in cost savings to hospital budgets g</w:t>
      </w:r>
      <w:r>
        <w:t xml:space="preserve">iven </w:t>
      </w:r>
      <w:r w:rsidR="004B0CF0">
        <w:t xml:space="preserve">patients would likely remain in hospital for the duration of treatment, where </w:t>
      </w:r>
      <w:r>
        <w:t>the average duration of treatment with Obizur (</w:t>
      </w:r>
      <w:r w:rsidR="00E7226C">
        <w:t>[REDACTED]</w:t>
      </w:r>
      <w:r>
        <w:t xml:space="preserve"> days) is longer than NovoSeven (</w:t>
      </w:r>
      <w:r w:rsidR="00E7226C">
        <w:t>[REDACTED]</w:t>
      </w:r>
      <w:r>
        <w:t xml:space="preserve"> days) but shorter than FEIBA (</w:t>
      </w:r>
      <w:r w:rsidR="00E7226C">
        <w:t>[REDACTED]</w:t>
      </w:r>
      <w:r>
        <w:t xml:space="preserve"> days). </w:t>
      </w:r>
    </w:p>
    <w:p w14:paraId="053AA117" w14:textId="672031FF" w:rsidR="00C70C5D" w:rsidRPr="000D30DB" w:rsidRDefault="00C70C5D" w:rsidP="00C70C5D">
      <w:pPr>
        <w:keepNext/>
        <w:rPr>
          <w:rFonts w:ascii="Arial Narrow" w:hAnsi="Arial Narrow" w:cstheme="minorHAnsi"/>
          <w:b/>
          <w:sz w:val="20"/>
        </w:rPr>
      </w:pPr>
      <w:bookmarkStart w:id="67" w:name="_Ref120536602"/>
      <w:r w:rsidRPr="000D30DB">
        <w:rPr>
          <w:rFonts w:ascii="Arial Narrow" w:hAnsi="Arial Narrow"/>
          <w:b/>
          <w:sz w:val="20"/>
        </w:rPr>
        <w:t>Table </w:t>
      </w:r>
      <w:r w:rsidRPr="000D30DB">
        <w:rPr>
          <w:rFonts w:ascii="Arial Narrow" w:hAnsi="Arial Narrow"/>
          <w:b/>
          <w:sz w:val="20"/>
        </w:rPr>
        <w:fldChar w:fldCharType="begin"/>
      </w:r>
      <w:r w:rsidRPr="000D30DB">
        <w:rPr>
          <w:rFonts w:ascii="Arial Narrow" w:hAnsi="Arial Narrow"/>
          <w:b/>
          <w:sz w:val="20"/>
        </w:rPr>
        <w:instrText xml:space="preserve"> SEQ Table \* ARABIC </w:instrText>
      </w:r>
      <w:r w:rsidRPr="000D30DB">
        <w:rPr>
          <w:rFonts w:ascii="Arial Narrow" w:hAnsi="Arial Narrow"/>
          <w:b/>
          <w:sz w:val="20"/>
        </w:rPr>
        <w:fldChar w:fldCharType="separate"/>
      </w:r>
      <w:r w:rsidR="00C25EB0">
        <w:rPr>
          <w:rFonts w:ascii="Arial Narrow" w:hAnsi="Arial Narrow"/>
          <w:b/>
          <w:noProof/>
          <w:sz w:val="20"/>
        </w:rPr>
        <w:t>19</w:t>
      </w:r>
      <w:r w:rsidRPr="000D30DB">
        <w:rPr>
          <w:rFonts w:ascii="Arial Narrow" w:hAnsi="Arial Narrow"/>
          <w:b/>
          <w:sz w:val="20"/>
        </w:rPr>
        <w:fldChar w:fldCharType="end"/>
      </w:r>
      <w:bookmarkEnd w:id="67"/>
      <w:r w:rsidRPr="000D30DB">
        <w:rPr>
          <w:rFonts w:ascii="Arial Narrow" w:hAnsi="Arial Narrow"/>
          <w:b/>
          <w:sz w:val="20"/>
        </w:rPr>
        <w:t xml:space="preserve"> Financial implications for the </w:t>
      </w:r>
      <w:r w:rsidR="006B2482">
        <w:rPr>
          <w:rFonts w:ascii="Arial Narrow" w:hAnsi="Arial Narrow"/>
          <w:b/>
          <w:sz w:val="20"/>
        </w:rPr>
        <w:t xml:space="preserve">National Blood Agreement </w:t>
      </w:r>
    </w:p>
    <w:tbl>
      <w:tblPr>
        <w:tblStyle w:val="TableGrid"/>
        <w:tblW w:w="0" w:type="auto"/>
        <w:tblLook w:val="04A0" w:firstRow="1" w:lastRow="0" w:firstColumn="1" w:lastColumn="0" w:noHBand="0" w:noVBand="1"/>
        <w:tblCaption w:val="Financial implications for the NBA"/>
        <w:tblDescription w:val="The table presents financial implications of listing Obizur. The table presents three scenarios. &#10;&#10;Scenario 1: Utilisation and impact of BPAs and Obizur based on ADAR assumptions of 4.68 bleeds per patient, and 84,000 U FEIBA, 165000 ug NovoSeven and 81,000 U Obizur per bleed (ADAR base case)&#10;&#10;Scenario 2: Utilisation and impact of BPAs and Obizur based on quantities forecasted from the dispensed amounts in the ABDR 2019-2020 annual report&#10;&#10;Scenario 3: Utilisation and impact of BPAs and Obizur based on ADAR assumption of 4.68 bleeds per patient, and dose per bleed estimated in the commentary 64,720 U FEIBA, 69,693 ug NovoSeven and 158,596 U Obizur per bleed&#10;"/>
      </w:tblPr>
      <w:tblGrid>
        <w:gridCol w:w="1694"/>
        <w:gridCol w:w="1218"/>
        <w:gridCol w:w="1218"/>
        <w:gridCol w:w="1218"/>
        <w:gridCol w:w="1218"/>
        <w:gridCol w:w="1218"/>
        <w:gridCol w:w="1232"/>
      </w:tblGrid>
      <w:tr w:rsidR="001B2FA0" w:rsidRPr="009E683B" w14:paraId="3A1C7C91" w14:textId="77777777" w:rsidTr="00E7226C">
        <w:trPr>
          <w:tblHeader/>
        </w:trPr>
        <w:tc>
          <w:tcPr>
            <w:tcW w:w="2183" w:type="dxa"/>
            <w:shd w:val="clear" w:color="auto" w:fill="auto"/>
          </w:tcPr>
          <w:p w14:paraId="3542968B" w14:textId="77777777" w:rsidR="00C70C5D" w:rsidRPr="009E683B" w:rsidRDefault="00C70C5D" w:rsidP="00750623">
            <w:pPr>
              <w:pStyle w:val="TableText"/>
              <w:jc w:val="center"/>
              <w:rPr>
                <w:b/>
                <w:szCs w:val="20"/>
              </w:rPr>
            </w:pPr>
          </w:p>
        </w:tc>
        <w:tc>
          <w:tcPr>
            <w:tcW w:w="1118" w:type="dxa"/>
            <w:shd w:val="clear" w:color="auto" w:fill="auto"/>
            <w:vAlign w:val="center"/>
          </w:tcPr>
          <w:p w14:paraId="56962C42" w14:textId="77777777" w:rsidR="00C70C5D" w:rsidRPr="009E683B" w:rsidRDefault="00C70C5D" w:rsidP="00750623">
            <w:pPr>
              <w:pStyle w:val="TableText"/>
              <w:jc w:val="center"/>
              <w:rPr>
                <w:b/>
                <w:szCs w:val="20"/>
              </w:rPr>
            </w:pPr>
            <w:r w:rsidRPr="009E683B">
              <w:rPr>
                <w:b/>
                <w:szCs w:val="20"/>
              </w:rPr>
              <w:t>2023</w:t>
            </w:r>
          </w:p>
        </w:tc>
        <w:tc>
          <w:tcPr>
            <w:tcW w:w="1118" w:type="dxa"/>
            <w:shd w:val="clear" w:color="auto" w:fill="auto"/>
            <w:vAlign w:val="center"/>
          </w:tcPr>
          <w:p w14:paraId="5A2CD10B" w14:textId="77777777" w:rsidR="00C70C5D" w:rsidRPr="009E683B" w:rsidRDefault="00C70C5D" w:rsidP="00750623">
            <w:pPr>
              <w:pStyle w:val="TableText"/>
              <w:jc w:val="center"/>
              <w:rPr>
                <w:b/>
                <w:szCs w:val="20"/>
              </w:rPr>
            </w:pPr>
            <w:r w:rsidRPr="009E683B">
              <w:rPr>
                <w:b/>
                <w:szCs w:val="20"/>
              </w:rPr>
              <w:t>2024</w:t>
            </w:r>
          </w:p>
        </w:tc>
        <w:tc>
          <w:tcPr>
            <w:tcW w:w="1118" w:type="dxa"/>
            <w:shd w:val="clear" w:color="auto" w:fill="auto"/>
            <w:vAlign w:val="center"/>
          </w:tcPr>
          <w:p w14:paraId="045C7083" w14:textId="77777777" w:rsidR="00C70C5D" w:rsidRPr="009E683B" w:rsidRDefault="00C70C5D" w:rsidP="00750623">
            <w:pPr>
              <w:pStyle w:val="TableText"/>
              <w:jc w:val="center"/>
              <w:rPr>
                <w:b/>
                <w:szCs w:val="20"/>
              </w:rPr>
            </w:pPr>
            <w:r w:rsidRPr="009E683B">
              <w:rPr>
                <w:b/>
                <w:szCs w:val="20"/>
              </w:rPr>
              <w:t>2025</w:t>
            </w:r>
          </w:p>
        </w:tc>
        <w:tc>
          <w:tcPr>
            <w:tcW w:w="1118" w:type="dxa"/>
            <w:shd w:val="clear" w:color="auto" w:fill="auto"/>
            <w:vAlign w:val="center"/>
          </w:tcPr>
          <w:p w14:paraId="6954F913" w14:textId="77777777" w:rsidR="00C70C5D" w:rsidRPr="009E683B" w:rsidRDefault="00C70C5D" w:rsidP="00750623">
            <w:pPr>
              <w:pStyle w:val="TableText"/>
              <w:jc w:val="center"/>
              <w:rPr>
                <w:b/>
                <w:szCs w:val="20"/>
              </w:rPr>
            </w:pPr>
            <w:r w:rsidRPr="009E683B">
              <w:rPr>
                <w:b/>
                <w:szCs w:val="20"/>
              </w:rPr>
              <w:t>2026</w:t>
            </w:r>
          </w:p>
        </w:tc>
        <w:tc>
          <w:tcPr>
            <w:tcW w:w="1118" w:type="dxa"/>
            <w:shd w:val="clear" w:color="auto" w:fill="auto"/>
            <w:vAlign w:val="center"/>
          </w:tcPr>
          <w:p w14:paraId="7BE44389" w14:textId="77777777" w:rsidR="00C70C5D" w:rsidRPr="009E683B" w:rsidRDefault="00C70C5D" w:rsidP="00750623">
            <w:pPr>
              <w:pStyle w:val="TableText"/>
              <w:jc w:val="center"/>
              <w:rPr>
                <w:b/>
                <w:szCs w:val="20"/>
              </w:rPr>
            </w:pPr>
            <w:r w:rsidRPr="009E683B">
              <w:rPr>
                <w:b/>
                <w:szCs w:val="20"/>
              </w:rPr>
              <w:t>2027</w:t>
            </w:r>
          </w:p>
        </w:tc>
        <w:tc>
          <w:tcPr>
            <w:tcW w:w="1243" w:type="dxa"/>
            <w:shd w:val="clear" w:color="auto" w:fill="auto"/>
            <w:vAlign w:val="center"/>
          </w:tcPr>
          <w:p w14:paraId="7EFFE5B6" w14:textId="77777777" w:rsidR="00C70C5D" w:rsidRPr="009E683B" w:rsidRDefault="00C70C5D" w:rsidP="00750623">
            <w:pPr>
              <w:pStyle w:val="TableText"/>
              <w:jc w:val="center"/>
              <w:rPr>
                <w:b/>
                <w:szCs w:val="20"/>
              </w:rPr>
            </w:pPr>
            <w:r w:rsidRPr="009E683B">
              <w:rPr>
                <w:b/>
                <w:szCs w:val="20"/>
              </w:rPr>
              <w:t>2028</w:t>
            </w:r>
          </w:p>
        </w:tc>
      </w:tr>
      <w:tr w:rsidR="001B2FA0" w:rsidRPr="009E683B" w14:paraId="5C9781C4" w14:textId="77777777" w:rsidTr="00E7226C">
        <w:tc>
          <w:tcPr>
            <w:tcW w:w="2183" w:type="dxa"/>
            <w:shd w:val="clear" w:color="auto" w:fill="auto"/>
          </w:tcPr>
          <w:p w14:paraId="71E38D7B" w14:textId="77777777" w:rsidR="00C70C5D" w:rsidRPr="009E683B" w:rsidRDefault="00C70C5D" w:rsidP="00750623">
            <w:pPr>
              <w:pStyle w:val="TableText"/>
              <w:rPr>
                <w:szCs w:val="20"/>
              </w:rPr>
            </w:pPr>
            <w:r>
              <w:rPr>
                <w:szCs w:val="20"/>
              </w:rPr>
              <w:t>People</w:t>
            </w:r>
            <w:r w:rsidRPr="009E683B">
              <w:rPr>
                <w:szCs w:val="20"/>
              </w:rPr>
              <w:t xml:space="preserve"> diagnosed with AHA</w:t>
            </w:r>
          </w:p>
        </w:tc>
        <w:tc>
          <w:tcPr>
            <w:tcW w:w="1118" w:type="dxa"/>
            <w:shd w:val="clear" w:color="auto" w:fill="auto"/>
            <w:vAlign w:val="center"/>
          </w:tcPr>
          <w:p w14:paraId="41B79A79" w14:textId="4E9CB5D7" w:rsidR="00C70C5D" w:rsidRPr="009E683B" w:rsidRDefault="001B2FA0" w:rsidP="00750623">
            <w:pPr>
              <w:pStyle w:val="TableText"/>
              <w:jc w:val="right"/>
              <w:rPr>
                <w:szCs w:val="20"/>
              </w:rPr>
            </w:pPr>
            <w:r>
              <w:rPr>
                <w:rFonts w:cs="Calibri"/>
                <w:color w:val="000000"/>
                <w:szCs w:val="20"/>
              </w:rPr>
              <w:t>REDACTED</w:t>
            </w:r>
          </w:p>
        </w:tc>
        <w:tc>
          <w:tcPr>
            <w:tcW w:w="1118" w:type="dxa"/>
            <w:shd w:val="clear" w:color="auto" w:fill="auto"/>
            <w:vAlign w:val="center"/>
          </w:tcPr>
          <w:p w14:paraId="3BADF849" w14:textId="6CF8DF3B" w:rsidR="00C70C5D" w:rsidRPr="009E683B" w:rsidRDefault="001B2FA0" w:rsidP="00750623">
            <w:pPr>
              <w:pStyle w:val="TableText"/>
              <w:jc w:val="right"/>
              <w:rPr>
                <w:szCs w:val="20"/>
              </w:rPr>
            </w:pPr>
            <w:r>
              <w:rPr>
                <w:rFonts w:cs="Calibri"/>
                <w:color w:val="000000"/>
                <w:szCs w:val="20"/>
              </w:rPr>
              <w:t>REDACTED</w:t>
            </w:r>
          </w:p>
        </w:tc>
        <w:tc>
          <w:tcPr>
            <w:tcW w:w="1118" w:type="dxa"/>
            <w:shd w:val="clear" w:color="auto" w:fill="auto"/>
            <w:vAlign w:val="center"/>
          </w:tcPr>
          <w:p w14:paraId="1C1AEAAE" w14:textId="2298CA61" w:rsidR="00C70C5D" w:rsidRPr="009E683B" w:rsidRDefault="001B2FA0" w:rsidP="00750623">
            <w:pPr>
              <w:pStyle w:val="TableText"/>
              <w:jc w:val="right"/>
              <w:rPr>
                <w:szCs w:val="20"/>
              </w:rPr>
            </w:pPr>
            <w:r>
              <w:rPr>
                <w:rFonts w:cs="Calibri"/>
                <w:color w:val="000000"/>
                <w:szCs w:val="20"/>
              </w:rPr>
              <w:t>REDACTED</w:t>
            </w:r>
          </w:p>
        </w:tc>
        <w:tc>
          <w:tcPr>
            <w:tcW w:w="1118" w:type="dxa"/>
            <w:shd w:val="clear" w:color="auto" w:fill="auto"/>
            <w:vAlign w:val="center"/>
          </w:tcPr>
          <w:p w14:paraId="4FA9C6BD" w14:textId="5A98AD19" w:rsidR="00C70C5D" w:rsidRPr="009E683B" w:rsidRDefault="001B2FA0" w:rsidP="00750623">
            <w:pPr>
              <w:pStyle w:val="TableText"/>
              <w:jc w:val="right"/>
              <w:rPr>
                <w:szCs w:val="20"/>
              </w:rPr>
            </w:pPr>
            <w:r>
              <w:rPr>
                <w:rFonts w:cs="Calibri"/>
                <w:color w:val="000000"/>
                <w:szCs w:val="20"/>
              </w:rPr>
              <w:t>REDACTED</w:t>
            </w:r>
          </w:p>
        </w:tc>
        <w:tc>
          <w:tcPr>
            <w:tcW w:w="1118" w:type="dxa"/>
            <w:shd w:val="clear" w:color="auto" w:fill="auto"/>
            <w:vAlign w:val="center"/>
          </w:tcPr>
          <w:p w14:paraId="3F3A1CF9" w14:textId="2E358B53" w:rsidR="00C70C5D" w:rsidRPr="009E683B" w:rsidRDefault="001B2FA0" w:rsidP="00750623">
            <w:pPr>
              <w:pStyle w:val="TableText"/>
              <w:jc w:val="right"/>
              <w:rPr>
                <w:szCs w:val="20"/>
              </w:rPr>
            </w:pPr>
            <w:r>
              <w:rPr>
                <w:rFonts w:cs="Calibri"/>
                <w:color w:val="000000"/>
                <w:szCs w:val="20"/>
              </w:rPr>
              <w:t>REDACTED</w:t>
            </w:r>
          </w:p>
        </w:tc>
        <w:tc>
          <w:tcPr>
            <w:tcW w:w="1243" w:type="dxa"/>
            <w:shd w:val="clear" w:color="auto" w:fill="auto"/>
            <w:vAlign w:val="center"/>
          </w:tcPr>
          <w:p w14:paraId="33764DE8" w14:textId="3538741B" w:rsidR="00C70C5D" w:rsidRPr="009E683B" w:rsidRDefault="001B2FA0" w:rsidP="00750623">
            <w:pPr>
              <w:pStyle w:val="TableText"/>
              <w:jc w:val="right"/>
              <w:rPr>
                <w:szCs w:val="20"/>
              </w:rPr>
            </w:pPr>
            <w:r>
              <w:rPr>
                <w:rFonts w:cs="Calibri"/>
                <w:color w:val="000000"/>
                <w:szCs w:val="20"/>
              </w:rPr>
              <w:t>REDACTED</w:t>
            </w:r>
          </w:p>
        </w:tc>
      </w:tr>
      <w:tr w:rsidR="001B2FA0" w:rsidRPr="009E683B" w14:paraId="3C3E228A" w14:textId="77777777" w:rsidTr="00E7226C">
        <w:tc>
          <w:tcPr>
            <w:tcW w:w="2183" w:type="dxa"/>
            <w:shd w:val="clear" w:color="auto" w:fill="auto"/>
          </w:tcPr>
          <w:p w14:paraId="3B5A16CB" w14:textId="77777777" w:rsidR="00C70C5D" w:rsidRPr="009E683B" w:rsidRDefault="00C70C5D" w:rsidP="00750623">
            <w:pPr>
              <w:pStyle w:val="TableText"/>
              <w:rPr>
                <w:szCs w:val="20"/>
              </w:rPr>
            </w:pPr>
            <w:r w:rsidRPr="009E683B">
              <w:rPr>
                <w:szCs w:val="20"/>
              </w:rPr>
              <w:t>People receiving treatment for AHA</w:t>
            </w:r>
          </w:p>
        </w:tc>
        <w:tc>
          <w:tcPr>
            <w:tcW w:w="1118" w:type="dxa"/>
            <w:shd w:val="clear" w:color="auto" w:fill="auto"/>
            <w:vAlign w:val="center"/>
          </w:tcPr>
          <w:p w14:paraId="0A293461" w14:textId="51CB09F2" w:rsidR="00C70C5D" w:rsidRPr="009E683B" w:rsidRDefault="001B2FA0" w:rsidP="00750623">
            <w:pPr>
              <w:pStyle w:val="TableText"/>
              <w:jc w:val="right"/>
              <w:rPr>
                <w:szCs w:val="20"/>
              </w:rPr>
            </w:pPr>
            <w:r>
              <w:rPr>
                <w:rFonts w:cs="Calibri"/>
                <w:color w:val="000000"/>
                <w:szCs w:val="20"/>
              </w:rPr>
              <w:t>REDACTED</w:t>
            </w:r>
          </w:p>
        </w:tc>
        <w:tc>
          <w:tcPr>
            <w:tcW w:w="1118" w:type="dxa"/>
            <w:shd w:val="clear" w:color="auto" w:fill="auto"/>
            <w:vAlign w:val="center"/>
          </w:tcPr>
          <w:p w14:paraId="69CB1D6A" w14:textId="75497675" w:rsidR="00C70C5D" w:rsidRPr="009E683B" w:rsidRDefault="001B2FA0" w:rsidP="00750623">
            <w:pPr>
              <w:pStyle w:val="TableText"/>
              <w:jc w:val="right"/>
              <w:rPr>
                <w:szCs w:val="20"/>
              </w:rPr>
            </w:pPr>
            <w:r>
              <w:rPr>
                <w:rFonts w:cs="Calibri"/>
                <w:color w:val="000000"/>
                <w:szCs w:val="20"/>
              </w:rPr>
              <w:t>REDACTED</w:t>
            </w:r>
          </w:p>
        </w:tc>
        <w:tc>
          <w:tcPr>
            <w:tcW w:w="1118" w:type="dxa"/>
            <w:shd w:val="clear" w:color="auto" w:fill="auto"/>
            <w:vAlign w:val="center"/>
          </w:tcPr>
          <w:p w14:paraId="303463D8" w14:textId="1E5255C6" w:rsidR="00C70C5D" w:rsidRPr="009E683B" w:rsidRDefault="001B2FA0" w:rsidP="00750623">
            <w:pPr>
              <w:pStyle w:val="TableText"/>
              <w:jc w:val="right"/>
              <w:rPr>
                <w:szCs w:val="20"/>
              </w:rPr>
            </w:pPr>
            <w:r>
              <w:rPr>
                <w:rFonts w:cs="Calibri"/>
                <w:color w:val="000000"/>
                <w:szCs w:val="20"/>
              </w:rPr>
              <w:t>REDACTED</w:t>
            </w:r>
          </w:p>
        </w:tc>
        <w:tc>
          <w:tcPr>
            <w:tcW w:w="1118" w:type="dxa"/>
            <w:shd w:val="clear" w:color="auto" w:fill="auto"/>
            <w:vAlign w:val="center"/>
          </w:tcPr>
          <w:p w14:paraId="64E7245E" w14:textId="57B15CBA" w:rsidR="00C70C5D" w:rsidRPr="009E683B" w:rsidRDefault="001B2FA0" w:rsidP="00750623">
            <w:pPr>
              <w:pStyle w:val="TableText"/>
              <w:jc w:val="right"/>
              <w:rPr>
                <w:szCs w:val="20"/>
              </w:rPr>
            </w:pPr>
            <w:r>
              <w:rPr>
                <w:rFonts w:cs="Calibri"/>
                <w:color w:val="000000"/>
                <w:szCs w:val="20"/>
              </w:rPr>
              <w:t>REDACTED</w:t>
            </w:r>
          </w:p>
        </w:tc>
        <w:tc>
          <w:tcPr>
            <w:tcW w:w="1118" w:type="dxa"/>
            <w:shd w:val="clear" w:color="auto" w:fill="auto"/>
            <w:vAlign w:val="center"/>
          </w:tcPr>
          <w:p w14:paraId="126B0E41" w14:textId="4A3F3691" w:rsidR="00C70C5D" w:rsidRPr="009E683B" w:rsidRDefault="001B2FA0" w:rsidP="00750623">
            <w:pPr>
              <w:pStyle w:val="TableText"/>
              <w:jc w:val="right"/>
              <w:rPr>
                <w:szCs w:val="20"/>
              </w:rPr>
            </w:pPr>
            <w:r>
              <w:rPr>
                <w:rFonts w:cs="Calibri"/>
                <w:color w:val="000000"/>
                <w:szCs w:val="20"/>
              </w:rPr>
              <w:t>REDACTED</w:t>
            </w:r>
          </w:p>
        </w:tc>
        <w:tc>
          <w:tcPr>
            <w:tcW w:w="1243" w:type="dxa"/>
            <w:shd w:val="clear" w:color="auto" w:fill="auto"/>
            <w:vAlign w:val="center"/>
          </w:tcPr>
          <w:p w14:paraId="300EA0DE" w14:textId="5B5B2A47" w:rsidR="00C70C5D" w:rsidRPr="009E683B" w:rsidRDefault="001B2FA0" w:rsidP="00750623">
            <w:pPr>
              <w:pStyle w:val="TableText"/>
              <w:jc w:val="right"/>
              <w:rPr>
                <w:szCs w:val="20"/>
              </w:rPr>
            </w:pPr>
            <w:r>
              <w:rPr>
                <w:rFonts w:cs="Calibri"/>
                <w:color w:val="000000"/>
                <w:szCs w:val="20"/>
              </w:rPr>
              <w:t>REDACTED</w:t>
            </w:r>
          </w:p>
        </w:tc>
      </w:tr>
      <w:tr w:rsidR="001B2FA0" w:rsidRPr="009E683B" w14:paraId="1631619A" w14:textId="77777777" w:rsidTr="00E7226C">
        <w:tc>
          <w:tcPr>
            <w:tcW w:w="2183" w:type="dxa"/>
            <w:shd w:val="clear" w:color="auto" w:fill="auto"/>
          </w:tcPr>
          <w:p w14:paraId="36BFE352" w14:textId="77777777" w:rsidR="00C70C5D" w:rsidRPr="009E683B" w:rsidRDefault="00C70C5D" w:rsidP="00750623">
            <w:pPr>
              <w:pStyle w:val="TableText"/>
              <w:rPr>
                <w:szCs w:val="20"/>
              </w:rPr>
            </w:pPr>
            <w:r w:rsidRPr="009E683B">
              <w:rPr>
                <w:szCs w:val="20"/>
              </w:rPr>
              <w:t>People receiving BPAs</w:t>
            </w:r>
          </w:p>
        </w:tc>
        <w:tc>
          <w:tcPr>
            <w:tcW w:w="1118" w:type="dxa"/>
            <w:shd w:val="clear" w:color="auto" w:fill="auto"/>
            <w:vAlign w:val="center"/>
          </w:tcPr>
          <w:p w14:paraId="7A809CCC" w14:textId="5371BD3C" w:rsidR="00C70C5D" w:rsidRPr="009E683B" w:rsidRDefault="001B2FA0" w:rsidP="00750623">
            <w:pPr>
              <w:pStyle w:val="TableText"/>
              <w:jc w:val="right"/>
              <w:rPr>
                <w:szCs w:val="20"/>
              </w:rPr>
            </w:pPr>
            <w:r>
              <w:rPr>
                <w:rFonts w:cs="Calibri"/>
                <w:color w:val="000000"/>
                <w:szCs w:val="20"/>
              </w:rPr>
              <w:t>REDACTED</w:t>
            </w:r>
          </w:p>
        </w:tc>
        <w:tc>
          <w:tcPr>
            <w:tcW w:w="1118" w:type="dxa"/>
            <w:shd w:val="clear" w:color="auto" w:fill="auto"/>
            <w:vAlign w:val="center"/>
          </w:tcPr>
          <w:p w14:paraId="330C4069" w14:textId="4D757FA9" w:rsidR="00C70C5D" w:rsidRPr="009E683B" w:rsidRDefault="001B2FA0" w:rsidP="00750623">
            <w:pPr>
              <w:pStyle w:val="TableText"/>
              <w:jc w:val="right"/>
              <w:rPr>
                <w:szCs w:val="20"/>
              </w:rPr>
            </w:pPr>
            <w:r>
              <w:rPr>
                <w:rFonts w:cs="Calibri"/>
                <w:color w:val="000000"/>
                <w:szCs w:val="20"/>
              </w:rPr>
              <w:t>REDACTED</w:t>
            </w:r>
          </w:p>
        </w:tc>
        <w:tc>
          <w:tcPr>
            <w:tcW w:w="1118" w:type="dxa"/>
            <w:shd w:val="clear" w:color="auto" w:fill="auto"/>
            <w:vAlign w:val="center"/>
          </w:tcPr>
          <w:p w14:paraId="780FD12F" w14:textId="2FAF6092" w:rsidR="00C70C5D" w:rsidRPr="009E683B" w:rsidRDefault="001B2FA0" w:rsidP="00750623">
            <w:pPr>
              <w:pStyle w:val="TableText"/>
              <w:jc w:val="right"/>
              <w:rPr>
                <w:szCs w:val="20"/>
              </w:rPr>
            </w:pPr>
            <w:r>
              <w:rPr>
                <w:rFonts w:cs="Calibri"/>
                <w:color w:val="000000"/>
                <w:szCs w:val="20"/>
              </w:rPr>
              <w:t>REDACTED</w:t>
            </w:r>
          </w:p>
        </w:tc>
        <w:tc>
          <w:tcPr>
            <w:tcW w:w="1118" w:type="dxa"/>
            <w:shd w:val="clear" w:color="auto" w:fill="auto"/>
            <w:vAlign w:val="center"/>
          </w:tcPr>
          <w:p w14:paraId="11D8FE80" w14:textId="76188346" w:rsidR="00C70C5D" w:rsidRPr="009E683B" w:rsidRDefault="001B2FA0" w:rsidP="00750623">
            <w:pPr>
              <w:pStyle w:val="TableText"/>
              <w:jc w:val="right"/>
              <w:rPr>
                <w:szCs w:val="20"/>
              </w:rPr>
            </w:pPr>
            <w:r>
              <w:rPr>
                <w:rFonts w:cs="Calibri"/>
                <w:color w:val="000000"/>
                <w:szCs w:val="20"/>
              </w:rPr>
              <w:t>REDACTED</w:t>
            </w:r>
          </w:p>
        </w:tc>
        <w:tc>
          <w:tcPr>
            <w:tcW w:w="1118" w:type="dxa"/>
            <w:shd w:val="clear" w:color="auto" w:fill="auto"/>
            <w:vAlign w:val="center"/>
          </w:tcPr>
          <w:p w14:paraId="4CA822E1" w14:textId="25710426" w:rsidR="00C70C5D" w:rsidRPr="009E683B" w:rsidRDefault="001B2FA0" w:rsidP="00750623">
            <w:pPr>
              <w:pStyle w:val="TableText"/>
              <w:jc w:val="right"/>
              <w:rPr>
                <w:szCs w:val="20"/>
              </w:rPr>
            </w:pPr>
            <w:r>
              <w:rPr>
                <w:rFonts w:cs="Calibri"/>
                <w:color w:val="000000"/>
                <w:szCs w:val="20"/>
              </w:rPr>
              <w:t>REDACTED</w:t>
            </w:r>
          </w:p>
        </w:tc>
        <w:tc>
          <w:tcPr>
            <w:tcW w:w="1243" w:type="dxa"/>
            <w:shd w:val="clear" w:color="auto" w:fill="auto"/>
            <w:vAlign w:val="center"/>
          </w:tcPr>
          <w:p w14:paraId="694EFC49" w14:textId="023739FF" w:rsidR="00C70C5D" w:rsidRPr="009E683B" w:rsidRDefault="001B2FA0" w:rsidP="00750623">
            <w:pPr>
              <w:pStyle w:val="TableText"/>
              <w:jc w:val="right"/>
              <w:rPr>
                <w:szCs w:val="20"/>
              </w:rPr>
            </w:pPr>
            <w:r>
              <w:rPr>
                <w:rFonts w:cs="Calibri"/>
                <w:color w:val="000000"/>
                <w:szCs w:val="20"/>
              </w:rPr>
              <w:t>REDACTED</w:t>
            </w:r>
          </w:p>
        </w:tc>
      </w:tr>
      <w:tr w:rsidR="00C70C5D" w:rsidRPr="009E683B" w14:paraId="073952B6" w14:textId="77777777" w:rsidTr="00750623">
        <w:tc>
          <w:tcPr>
            <w:tcW w:w="9016" w:type="dxa"/>
            <w:gridSpan w:val="7"/>
            <w:shd w:val="clear" w:color="auto" w:fill="auto"/>
          </w:tcPr>
          <w:p w14:paraId="7F7A05B1" w14:textId="0E6E53C6" w:rsidR="00C70C5D" w:rsidRPr="009E683B" w:rsidRDefault="00C70C5D" w:rsidP="00750623">
            <w:pPr>
              <w:pStyle w:val="TableText"/>
              <w:rPr>
                <w:b/>
                <w:szCs w:val="20"/>
              </w:rPr>
            </w:pPr>
            <w:r w:rsidRPr="009E683B">
              <w:rPr>
                <w:b/>
                <w:szCs w:val="20"/>
              </w:rPr>
              <w:t xml:space="preserve">Scenario 1: Utilisation and impact of BPAs and Obizur based on ADAR assumptions of </w:t>
            </w:r>
            <w:r w:rsidR="001B2FA0">
              <w:rPr>
                <w:b/>
                <w:szCs w:val="20"/>
              </w:rPr>
              <w:t>[REDACTED]</w:t>
            </w:r>
            <w:r w:rsidRPr="009E683B">
              <w:rPr>
                <w:b/>
                <w:szCs w:val="20"/>
              </w:rPr>
              <w:t xml:space="preserve"> bleeds per patient, and </w:t>
            </w:r>
            <w:r w:rsidR="001B2FA0">
              <w:rPr>
                <w:b/>
                <w:szCs w:val="20"/>
              </w:rPr>
              <w:t>[REDACTED]</w:t>
            </w:r>
            <w:r w:rsidRPr="009E683B">
              <w:rPr>
                <w:b/>
                <w:szCs w:val="20"/>
              </w:rPr>
              <w:t xml:space="preserve"> U FEIBA, </w:t>
            </w:r>
            <w:r w:rsidR="001B2FA0">
              <w:rPr>
                <w:b/>
                <w:szCs w:val="20"/>
              </w:rPr>
              <w:t>[REDACTED]</w:t>
            </w:r>
            <w:r w:rsidR="001B2FA0" w:rsidRPr="009E683B">
              <w:rPr>
                <w:b/>
                <w:szCs w:val="20"/>
              </w:rPr>
              <w:t xml:space="preserve"> </w:t>
            </w:r>
            <w:r w:rsidRPr="009E683B">
              <w:rPr>
                <w:b/>
                <w:szCs w:val="20"/>
              </w:rPr>
              <w:t xml:space="preserve">ug NovoSeven and </w:t>
            </w:r>
            <w:r w:rsidR="001B2FA0">
              <w:rPr>
                <w:b/>
                <w:szCs w:val="20"/>
              </w:rPr>
              <w:t>[REDACTED]</w:t>
            </w:r>
            <w:r w:rsidRPr="009E683B">
              <w:rPr>
                <w:b/>
                <w:szCs w:val="20"/>
              </w:rPr>
              <w:t xml:space="preserve"> U Obizur per bleed</w:t>
            </w:r>
            <w:r>
              <w:rPr>
                <w:b/>
                <w:szCs w:val="20"/>
              </w:rPr>
              <w:t xml:space="preserve"> (ADAR base case)</w:t>
            </w:r>
          </w:p>
        </w:tc>
      </w:tr>
      <w:tr w:rsidR="00C70C5D" w:rsidRPr="009E683B" w14:paraId="141BE508" w14:textId="77777777" w:rsidTr="00750623">
        <w:tc>
          <w:tcPr>
            <w:tcW w:w="9016" w:type="dxa"/>
            <w:gridSpan w:val="7"/>
            <w:shd w:val="clear" w:color="auto" w:fill="auto"/>
          </w:tcPr>
          <w:p w14:paraId="3D26C9E3" w14:textId="77777777" w:rsidR="00C70C5D" w:rsidRPr="009E683B" w:rsidRDefault="00C70C5D" w:rsidP="00750623">
            <w:pPr>
              <w:pStyle w:val="TableText"/>
              <w:rPr>
                <w:b/>
                <w:szCs w:val="20"/>
              </w:rPr>
            </w:pPr>
            <w:bookmarkStart w:id="68" w:name="_Hlk120019170"/>
            <w:r w:rsidRPr="009E683B">
              <w:rPr>
                <w:b/>
                <w:szCs w:val="20"/>
              </w:rPr>
              <w:t>Without Obizur</w:t>
            </w:r>
          </w:p>
        </w:tc>
      </w:tr>
      <w:tr w:rsidR="001B2FA0" w:rsidRPr="009E683B" w14:paraId="43D52DD4" w14:textId="77777777" w:rsidTr="00E7226C">
        <w:tc>
          <w:tcPr>
            <w:tcW w:w="2183" w:type="dxa"/>
            <w:tcBorders>
              <w:top w:val="single" w:sz="4" w:space="0" w:color="auto"/>
              <w:bottom w:val="single" w:sz="4" w:space="0" w:color="auto"/>
            </w:tcBorders>
          </w:tcPr>
          <w:p w14:paraId="0D2E1609" w14:textId="77777777" w:rsidR="00C70C5D" w:rsidRPr="009E683B" w:rsidRDefault="00C70C5D" w:rsidP="00750623">
            <w:pPr>
              <w:pStyle w:val="TableText"/>
              <w:rPr>
                <w:szCs w:val="20"/>
              </w:rPr>
            </w:pPr>
            <w:r w:rsidRPr="009E683B">
              <w:rPr>
                <w:szCs w:val="20"/>
              </w:rPr>
              <w:t xml:space="preserve">Amount of FEIBA dispensed (Units ‘000) </w:t>
            </w:r>
          </w:p>
        </w:tc>
        <w:tc>
          <w:tcPr>
            <w:tcW w:w="1118" w:type="dxa"/>
            <w:tcBorders>
              <w:top w:val="single" w:sz="4" w:space="0" w:color="auto"/>
              <w:bottom w:val="single" w:sz="4" w:space="0" w:color="auto"/>
            </w:tcBorders>
            <w:vAlign w:val="center"/>
          </w:tcPr>
          <w:p w14:paraId="3C101E9A" w14:textId="39908B94"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5172D0C9" w14:textId="79476C87"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3CC09CDD" w14:textId="441B66FC"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444EAF10" w14:textId="6A4AB9C5"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199EDE6B" w14:textId="4FC5ADCE" w:rsidR="00C70C5D" w:rsidRPr="001751D9" w:rsidRDefault="001B2FA0" w:rsidP="00750623">
            <w:pPr>
              <w:pStyle w:val="TableText"/>
              <w:jc w:val="right"/>
              <w:rPr>
                <w:szCs w:val="20"/>
              </w:rPr>
            </w:pPr>
            <w:r w:rsidRPr="001751D9">
              <w:rPr>
                <w:szCs w:val="20"/>
              </w:rPr>
              <w:t>REDACTED</w:t>
            </w:r>
          </w:p>
        </w:tc>
        <w:tc>
          <w:tcPr>
            <w:tcW w:w="1243" w:type="dxa"/>
            <w:tcBorders>
              <w:top w:val="single" w:sz="4" w:space="0" w:color="auto"/>
              <w:bottom w:val="single" w:sz="4" w:space="0" w:color="auto"/>
            </w:tcBorders>
            <w:vAlign w:val="center"/>
          </w:tcPr>
          <w:p w14:paraId="7EC76E08" w14:textId="1F5D1378" w:rsidR="00C70C5D" w:rsidRPr="001751D9" w:rsidRDefault="001B2FA0" w:rsidP="00750623">
            <w:pPr>
              <w:pStyle w:val="TableText"/>
              <w:jc w:val="right"/>
              <w:rPr>
                <w:szCs w:val="20"/>
              </w:rPr>
            </w:pPr>
            <w:r w:rsidRPr="001751D9">
              <w:rPr>
                <w:szCs w:val="20"/>
              </w:rPr>
              <w:t>REDACTED</w:t>
            </w:r>
          </w:p>
        </w:tc>
      </w:tr>
      <w:tr w:rsidR="001B2FA0" w:rsidRPr="009E683B" w14:paraId="35812625" w14:textId="77777777" w:rsidTr="00E7226C">
        <w:tc>
          <w:tcPr>
            <w:tcW w:w="2183" w:type="dxa"/>
            <w:tcBorders>
              <w:top w:val="single" w:sz="4" w:space="0" w:color="auto"/>
              <w:bottom w:val="single" w:sz="4" w:space="0" w:color="auto"/>
            </w:tcBorders>
          </w:tcPr>
          <w:p w14:paraId="644C00D8" w14:textId="77777777" w:rsidR="00C70C5D" w:rsidRPr="009E683B" w:rsidRDefault="00C70C5D" w:rsidP="00750623">
            <w:pPr>
              <w:pStyle w:val="TableText"/>
              <w:rPr>
                <w:szCs w:val="20"/>
              </w:rPr>
            </w:pPr>
            <w:r w:rsidRPr="009E683B">
              <w:rPr>
                <w:szCs w:val="20"/>
              </w:rPr>
              <w:t>Amount of NovoSeven dispensed (ug ‘000)</w:t>
            </w:r>
          </w:p>
        </w:tc>
        <w:tc>
          <w:tcPr>
            <w:tcW w:w="1118" w:type="dxa"/>
            <w:tcBorders>
              <w:top w:val="single" w:sz="4" w:space="0" w:color="auto"/>
              <w:bottom w:val="single" w:sz="4" w:space="0" w:color="auto"/>
            </w:tcBorders>
            <w:vAlign w:val="center"/>
          </w:tcPr>
          <w:p w14:paraId="52C94EB6" w14:textId="50C0965E"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0FDD79B5" w14:textId="075581B3"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3E92C336" w14:textId="765D5291"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1F57B9C6" w14:textId="75357AC3"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037E9B87" w14:textId="1FB36EDF" w:rsidR="00C70C5D" w:rsidRPr="001751D9" w:rsidRDefault="001B2FA0" w:rsidP="00750623">
            <w:pPr>
              <w:pStyle w:val="TableText"/>
              <w:jc w:val="right"/>
              <w:rPr>
                <w:szCs w:val="20"/>
              </w:rPr>
            </w:pPr>
            <w:r w:rsidRPr="001751D9">
              <w:rPr>
                <w:szCs w:val="20"/>
              </w:rPr>
              <w:t>REDACTED</w:t>
            </w:r>
          </w:p>
        </w:tc>
        <w:tc>
          <w:tcPr>
            <w:tcW w:w="1243" w:type="dxa"/>
            <w:tcBorders>
              <w:top w:val="single" w:sz="4" w:space="0" w:color="auto"/>
              <w:bottom w:val="single" w:sz="4" w:space="0" w:color="auto"/>
            </w:tcBorders>
            <w:vAlign w:val="center"/>
          </w:tcPr>
          <w:p w14:paraId="2B213F2B" w14:textId="4440307E" w:rsidR="00C70C5D" w:rsidRPr="001751D9" w:rsidRDefault="001B2FA0" w:rsidP="00750623">
            <w:pPr>
              <w:pStyle w:val="TableText"/>
              <w:jc w:val="right"/>
              <w:rPr>
                <w:szCs w:val="20"/>
              </w:rPr>
            </w:pPr>
            <w:r w:rsidRPr="001751D9">
              <w:rPr>
                <w:szCs w:val="20"/>
              </w:rPr>
              <w:t>REDACTED</w:t>
            </w:r>
          </w:p>
        </w:tc>
      </w:tr>
      <w:tr w:rsidR="001B2FA0" w:rsidRPr="009E683B" w14:paraId="77AD615F" w14:textId="77777777" w:rsidTr="00E7226C">
        <w:tc>
          <w:tcPr>
            <w:tcW w:w="2183" w:type="dxa"/>
            <w:tcBorders>
              <w:top w:val="single" w:sz="4" w:space="0" w:color="auto"/>
              <w:bottom w:val="single" w:sz="4" w:space="0" w:color="auto"/>
            </w:tcBorders>
          </w:tcPr>
          <w:p w14:paraId="36A124E5" w14:textId="0D7A6CCD" w:rsidR="00C70C5D" w:rsidRPr="009E683B" w:rsidRDefault="00C70C5D" w:rsidP="00750623">
            <w:pPr>
              <w:pStyle w:val="TableText"/>
              <w:rPr>
                <w:szCs w:val="20"/>
              </w:rPr>
            </w:pPr>
            <w:r w:rsidRPr="009E683B">
              <w:rPr>
                <w:szCs w:val="20"/>
              </w:rPr>
              <w:t>Total cost to NBA before Obizur</w:t>
            </w:r>
            <w:r w:rsidR="003D18CF">
              <w:rPr>
                <w:szCs w:val="20"/>
              </w:rPr>
              <w:t xml:space="preserve"> </w:t>
            </w:r>
            <w:r w:rsidR="003D18CF" w:rsidRPr="009E683B">
              <w:rPr>
                <w:szCs w:val="20"/>
              </w:rPr>
              <w:t>(‘000)</w:t>
            </w:r>
          </w:p>
        </w:tc>
        <w:tc>
          <w:tcPr>
            <w:tcW w:w="1118" w:type="dxa"/>
            <w:tcBorders>
              <w:top w:val="single" w:sz="4" w:space="0" w:color="auto"/>
              <w:bottom w:val="single" w:sz="4" w:space="0" w:color="auto"/>
            </w:tcBorders>
            <w:vAlign w:val="center"/>
          </w:tcPr>
          <w:p w14:paraId="5F113BA8" w14:textId="6D912877" w:rsidR="00C70C5D" w:rsidRPr="001751D9" w:rsidRDefault="00C70C5D" w:rsidP="00750623">
            <w:pPr>
              <w:pStyle w:val="TableText"/>
              <w:jc w:val="right"/>
              <w:rPr>
                <w:szCs w:val="20"/>
              </w:rPr>
            </w:pPr>
            <w:r w:rsidRPr="001751D9">
              <w:rPr>
                <w:szCs w:val="20"/>
              </w:rPr>
              <w:t>$</w:t>
            </w:r>
            <w:r w:rsidR="001B2FA0" w:rsidRPr="001751D9">
              <w:rPr>
                <w:szCs w:val="20"/>
              </w:rPr>
              <w:t>REDACTED</w:t>
            </w:r>
          </w:p>
        </w:tc>
        <w:tc>
          <w:tcPr>
            <w:tcW w:w="1118" w:type="dxa"/>
            <w:tcBorders>
              <w:top w:val="single" w:sz="4" w:space="0" w:color="auto"/>
              <w:bottom w:val="single" w:sz="4" w:space="0" w:color="auto"/>
            </w:tcBorders>
            <w:vAlign w:val="center"/>
          </w:tcPr>
          <w:p w14:paraId="332A8D66" w14:textId="74CA3D23" w:rsidR="00C70C5D" w:rsidRPr="001751D9" w:rsidRDefault="00C70C5D" w:rsidP="00750623">
            <w:pPr>
              <w:pStyle w:val="TableText"/>
              <w:jc w:val="right"/>
              <w:rPr>
                <w:szCs w:val="20"/>
              </w:rPr>
            </w:pPr>
            <w:r w:rsidRPr="001751D9">
              <w:rPr>
                <w:szCs w:val="20"/>
              </w:rPr>
              <w:t>$</w:t>
            </w:r>
            <w:r w:rsidR="001B2FA0" w:rsidRPr="001751D9">
              <w:rPr>
                <w:szCs w:val="20"/>
              </w:rPr>
              <w:t>REDACTED</w:t>
            </w:r>
          </w:p>
        </w:tc>
        <w:tc>
          <w:tcPr>
            <w:tcW w:w="1118" w:type="dxa"/>
            <w:tcBorders>
              <w:top w:val="single" w:sz="4" w:space="0" w:color="auto"/>
              <w:bottom w:val="single" w:sz="4" w:space="0" w:color="auto"/>
            </w:tcBorders>
            <w:vAlign w:val="center"/>
          </w:tcPr>
          <w:p w14:paraId="027F5514" w14:textId="0D9854BD" w:rsidR="00C70C5D" w:rsidRPr="001751D9" w:rsidRDefault="00C70C5D" w:rsidP="00750623">
            <w:pPr>
              <w:pStyle w:val="TableText"/>
              <w:jc w:val="right"/>
              <w:rPr>
                <w:szCs w:val="20"/>
              </w:rPr>
            </w:pPr>
            <w:r w:rsidRPr="001751D9">
              <w:rPr>
                <w:szCs w:val="20"/>
              </w:rPr>
              <w:t>$</w:t>
            </w:r>
            <w:r w:rsidR="001B2FA0" w:rsidRPr="001751D9">
              <w:rPr>
                <w:szCs w:val="20"/>
              </w:rPr>
              <w:t>REDACTED</w:t>
            </w:r>
          </w:p>
        </w:tc>
        <w:tc>
          <w:tcPr>
            <w:tcW w:w="1118" w:type="dxa"/>
            <w:tcBorders>
              <w:top w:val="single" w:sz="4" w:space="0" w:color="auto"/>
              <w:bottom w:val="single" w:sz="4" w:space="0" w:color="auto"/>
            </w:tcBorders>
            <w:vAlign w:val="center"/>
          </w:tcPr>
          <w:p w14:paraId="69EF9DA1" w14:textId="27F7953A" w:rsidR="00C70C5D" w:rsidRPr="001751D9" w:rsidRDefault="00C70C5D" w:rsidP="00750623">
            <w:pPr>
              <w:pStyle w:val="TableText"/>
              <w:jc w:val="right"/>
              <w:rPr>
                <w:szCs w:val="20"/>
              </w:rPr>
            </w:pPr>
            <w:r w:rsidRPr="001751D9">
              <w:rPr>
                <w:szCs w:val="20"/>
              </w:rPr>
              <w:t>$</w:t>
            </w:r>
            <w:r w:rsidR="001B2FA0" w:rsidRPr="001751D9">
              <w:rPr>
                <w:szCs w:val="20"/>
              </w:rPr>
              <w:t>REDACTED</w:t>
            </w:r>
          </w:p>
        </w:tc>
        <w:tc>
          <w:tcPr>
            <w:tcW w:w="1118" w:type="dxa"/>
            <w:tcBorders>
              <w:top w:val="single" w:sz="4" w:space="0" w:color="auto"/>
              <w:bottom w:val="single" w:sz="4" w:space="0" w:color="auto"/>
            </w:tcBorders>
            <w:vAlign w:val="center"/>
          </w:tcPr>
          <w:p w14:paraId="287F20A1" w14:textId="60249F3F" w:rsidR="00C70C5D" w:rsidRPr="001751D9" w:rsidRDefault="00C70C5D" w:rsidP="00750623">
            <w:pPr>
              <w:pStyle w:val="TableText"/>
              <w:jc w:val="right"/>
              <w:rPr>
                <w:szCs w:val="20"/>
              </w:rPr>
            </w:pPr>
            <w:r w:rsidRPr="001751D9">
              <w:rPr>
                <w:szCs w:val="20"/>
              </w:rPr>
              <w:t>$</w:t>
            </w:r>
            <w:r w:rsidR="001B2FA0" w:rsidRPr="001751D9">
              <w:rPr>
                <w:szCs w:val="20"/>
              </w:rPr>
              <w:t>REDACTED</w:t>
            </w:r>
          </w:p>
        </w:tc>
        <w:tc>
          <w:tcPr>
            <w:tcW w:w="1243" w:type="dxa"/>
            <w:tcBorders>
              <w:top w:val="single" w:sz="4" w:space="0" w:color="auto"/>
              <w:bottom w:val="single" w:sz="4" w:space="0" w:color="auto"/>
            </w:tcBorders>
            <w:vAlign w:val="center"/>
          </w:tcPr>
          <w:p w14:paraId="301383A0" w14:textId="68E5A44A" w:rsidR="00C70C5D" w:rsidRPr="001751D9" w:rsidRDefault="00C70C5D" w:rsidP="00750623">
            <w:pPr>
              <w:pStyle w:val="TableText"/>
              <w:jc w:val="right"/>
              <w:rPr>
                <w:szCs w:val="20"/>
              </w:rPr>
            </w:pPr>
            <w:r w:rsidRPr="001751D9">
              <w:rPr>
                <w:szCs w:val="20"/>
              </w:rPr>
              <w:t>$</w:t>
            </w:r>
            <w:r w:rsidR="001B2FA0" w:rsidRPr="001751D9">
              <w:rPr>
                <w:szCs w:val="20"/>
              </w:rPr>
              <w:t>REDACTED</w:t>
            </w:r>
          </w:p>
        </w:tc>
      </w:tr>
      <w:tr w:rsidR="001B2FA0" w:rsidRPr="009E683B" w14:paraId="159E901F" w14:textId="77777777" w:rsidTr="00E7226C">
        <w:tc>
          <w:tcPr>
            <w:tcW w:w="2183" w:type="dxa"/>
            <w:tcBorders>
              <w:top w:val="single" w:sz="4" w:space="0" w:color="auto"/>
              <w:bottom w:val="single" w:sz="4" w:space="0" w:color="auto"/>
            </w:tcBorders>
          </w:tcPr>
          <w:p w14:paraId="4A0B859A" w14:textId="0F6804BB" w:rsidR="003D18CF" w:rsidRPr="009E683B" w:rsidRDefault="003D18CF" w:rsidP="003D18CF">
            <w:pPr>
              <w:pStyle w:val="TableText"/>
              <w:rPr>
                <w:szCs w:val="20"/>
              </w:rPr>
            </w:pPr>
            <w:r w:rsidRPr="009E683B">
              <w:rPr>
                <w:szCs w:val="20"/>
              </w:rPr>
              <w:lastRenderedPageBreak/>
              <w:t>Total cost to NBA before Obizur</w:t>
            </w:r>
            <w:r>
              <w:rPr>
                <w:b/>
                <w:szCs w:val="20"/>
                <w:vertAlign w:val="superscript"/>
              </w:rPr>
              <w:t xml:space="preserve"> </w:t>
            </w:r>
            <w:r w:rsidRPr="008078AC">
              <w:rPr>
                <w:szCs w:val="20"/>
                <w:vertAlign w:val="superscript"/>
              </w:rPr>
              <w:t>a</w:t>
            </w:r>
            <w:r w:rsidRPr="008078AC">
              <w:rPr>
                <w:szCs w:val="20"/>
              </w:rPr>
              <w:t xml:space="preserve"> (‘000)</w:t>
            </w:r>
          </w:p>
        </w:tc>
        <w:tc>
          <w:tcPr>
            <w:tcW w:w="1118" w:type="dxa"/>
            <w:tcBorders>
              <w:top w:val="single" w:sz="4" w:space="0" w:color="auto"/>
              <w:bottom w:val="single" w:sz="4" w:space="0" w:color="auto"/>
            </w:tcBorders>
            <w:vAlign w:val="bottom"/>
          </w:tcPr>
          <w:p w14:paraId="37114993" w14:textId="4CDCACE2" w:rsidR="003D18CF" w:rsidRPr="001751D9" w:rsidRDefault="003D18CF" w:rsidP="003D18CF">
            <w:pPr>
              <w:pStyle w:val="TableText"/>
              <w:jc w:val="right"/>
              <w:rPr>
                <w:szCs w:val="20"/>
              </w:rPr>
            </w:pPr>
            <w:r w:rsidRPr="001751D9">
              <w:rPr>
                <w:szCs w:val="20"/>
              </w:rPr>
              <w:t>$</w:t>
            </w:r>
            <w:r w:rsidR="001B2FA0" w:rsidRPr="001751D9">
              <w:rPr>
                <w:szCs w:val="20"/>
              </w:rPr>
              <w:t>REDACTED</w:t>
            </w:r>
          </w:p>
        </w:tc>
        <w:tc>
          <w:tcPr>
            <w:tcW w:w="1118" w:type="dxa"/>
            <w:tcBorders>
              <w:top w:val="single" w:sz="4" w:space="0" w:color="auto"/>
              <w:bottom w:val="single" w:sz="4" w:space="0" w:color="auto"/>
            </w:tcBorders>
            <w:vAlign w:val="bottom"/>
          </w:tcPr>
          <w:p w14:paraId="2D406412" w14:textId="48E1398F" w:rsidR="003D18CF" w:rsidRPr="001751D9" w:rsidRDefault="003D18CF" w:rsidP="003D18CF">
            <w:pPr>
              <w:pStyle w:val="TableText"/>
              <w:jc w:val="right"/>
              <w:rPr>
                <w:szCs w:val="20"/>
              </w:rPr>
            </w:pPr>
            <w:r w:rsidRPr="001751D9">
              <w:rPr>
                <w:szCs w:val="20"/>
              </w:rPr>
              <w:t>$</w:t>
            </w:r>
            <w:r w:rsidR="001B2FA0" w:rsidRPr="001751D9">
              <w:rPr>
                <w:szCs w:val="20"/>
              </w:rPr>
              <w:t>REDACTED</w:t>
            </w:r>
          </w:p>
        </w:tc>
        <w:tc>
          <w:tcPr>
            <w:tcW w:w="1118" w:type="dxa"/>
            <w:tcBorders>
              <w:top w:val="single" w:sz="4" w:space="0" w:color="auto"/>
              <w:bottom w:val="single" w:sz="4" w:space="0" w:color="auto"/>
            </w:tcBorders>
            <w:vAlign w:val="bottom"/>
          </w:tcPr>
          <w:p w14:paraId="1A4BCDF3" w14:textId="036A0C87" w:rsidR="003D18CF" w:rsidRPr="001751D9" w:rsidRDefault="003D18CF" w:rsidP="003D18CF">
            <w:pPr>
              <w:pStyle w:val="TableText"/>
              <w:jc w:val="right"/>
              <w:rPr>
                <w:szCs w:val="20"/>
              </w:rPr>
            </w:pPr>
            <w:r w:rsidRPr="001751D9">
              <w:rPr>
                <w:szCs w:val="20"/>
              </w:rPr>
              <w:t>$</w:t>
            </w:r>
            <w:r w:rsidR="001B2FA0" w:rsidRPr="001751D9">
              <w:rPr>
                <w:szCs w:val="20"/>
              </w:rPr>
              <w:t>REDACTED</w:t>
            </w:r>
          </w:p>
        </w:tc>
        <w:tc>
          <w:tcPr>
            <w:tcW w:w="1118" w:type="dxa"/>
            <w:tcBorders>
              <w:top w:val="single" w:sz="4" w:space="0" w:color="auto"/>
              <w:bottom w:val="single" w:sz="4" w:space="0" w:color="auto"/>
            </w:tcBorders>
            <w:vAlign w:val="bottom"/>
          </w:tcPr>
          <w:p w14:paraId="69289AB9" w14:textId="166F47E6" w:rsidR="003D18CF" w:rsidRPr="001751D9" w:rsidRDefault="003D18CF" w:rsidP="003D18CF">
            <w:pPr>
              <w:pStyle w:val="TableText"/>
              <w:jc w:val="right"/>
              <w:rPr>
                <w:szCs w:val="20"/>
              </w:rPr>
            </w:pPr>
            <w:r w:rsidRPr="001751D9">
              <w:rPr>
                <w:szCs w:val="20"/>
              </w:rPr>
              <w:t>$</w:t>
            </w:r>
            <w:r w:rsidR="001B2FA0" w:rsidRPr="001751D9">
              <w:rPr>
                <w:szCs w:val="20"/>
              </w:rPr>
              <w:t>REDACTED</w:t>
            </w:r>
          </w:p>
        </w:tc>
        <w:tc>
          <w:tcPr>
            <w:tcW w:w="1118" w:type="dxa"/>
            <w:tcBorders>
              <w:top w:val="single" w:sz="4" w:space="0" w:color="auto"/>
              <w:bottom w:val="single" w:sz="4" w:space="0" w:color="auto"/>
            </w:tcBorders>
            <w:vAlign w:val="bottom"/>
          </w:tcPr>
          <w:p w14:paraId="55C494EE" w14:textId="46260684" w:rsidR="003D18CF" w:rsidRPr="001751D9" w:rsidRDefault="003D18CF" w:rsidP="003D18CF">
            <w:pPr>
              <w:pStyle w:val="TableText"/>
              <w:jc w:val="right"/>
              <w:rPr>
                <w:szCs w:val="20"/>
              </w:rPr>
            </w:pPr>
            <w:r w:rsidRPr="001751D9">
              <w:rPr>
                <w:szCs w:val="20"/>
              </w:rPr>
              <w:t>$</w:t>
            </w:r>
            <w:r w:rsidR="001B2FA0" w:rsidRPr="001751D9">
              <w:rPr>
                <w:szCs w:val="20"/>
              </w:rPr>
              <w:t>REDACTED</w:t>
            </w:r>
          </w:p>
        </w:tc>
        <w:tc>
          <w:tcPr>
            <w:tcW w:w="1243" w:type="dxa"/>
            <w:tcBorders>
              <w:top w:val="single" w:sz="4" w:space="0" w:color="auto"/>
              <w:bottom w:val="single" w:sz="4" w:space="0" w:color="auto"/>
            </w:tcBorders>
            <w:vAlign w:val="bottom"/>
          </w:tcPr>
          <w:p w14:paraId="7192539D" w14:textId="6CC1A119" w:rsidR="003D18CF" w:rsidRPr="001751D9" w:rsidRDefault="003D18CF" w:rsidP="003D18CF">
            <w:pPr>
              <w:pStyle w:val="TableText"/>
              <w:jc w:val="right"/>
              <w:rPr>
                <w:szCs w:val="20"/>
              </w:rPr>
            </w:pPr>
            <w:r w:rsidRPr="001751D9">
              <w:rPr>
                <w:szCs w:val="20"/>
              </w:rPr>
              <w:t>$</w:t>
            </w:r>
            <w:r w:rsidR="001B2FA0" w:rsidRPr="001751D9">
              <w:rPr>
                <w:szCs w:val="20"/>
              </w:rPr>
              <w:t>REDACTED</w:t>
            </w:r>
          </w:p>
        </w:tc>
      </w:tr>
      <w:tr w:rsidR="00C70C5D" w:rsidRPr="009E683B" w14:paraId="5309F1F4" w14:textId="77777777" w:rsidTr="00750623">
        <w:tc>
          <w:tcPr>
            <w:tcW w:w="9016" w:type="dxa"/>
            <w:gridSpan w:val="7"/>
            <w:tcBorders>
              <w:top w:val="single" w:sz="4" w:space="0" w:color="auto"/>
              <w:bottom w:val="single" w:sz="4" w:space="0" w:color="auto"/>
            </w:tcBorders>
            <w:vAlign w:val="center"/>
          </w:tcPr>
          <w:p w14:paraId="517D67F5" w14:textId="77777777" w:rsidR="00C70C5D" w:rsidRPr="001751D9" w:rsidRDefault="00C70C5D" w:rsidP="00750623">
            <w:pPr>
              <w:pStyle w:val="TableText"/>
              <w:rPr>
                <w:b/>
                <w:szCs w:val="20"/>
              </w:rPr>
            </w:pPr>
            <w:r w:rsidRPr="001751D9">
              <w:rPr>
                <w:b/>
                <w:szCs w:val="20"/>
              </w:rPr>
              <w:t>With Obizur</w:t>
            </w:r>
          </w:p>
        </w:tc>
      </w:tr>
      <w:tr w:rsidR="001B2FA0" w:rsidRPr="009E683B" w14:paraId="3A01E9F5" w14:textId="77777777" w:rsidTr="00E7226C">
        <w:tc>
          <w:tcPr>
            <w:tcW w:w="2183" w:type="dxa"/>
            <w:tcBorders>
              <w:top w:val="single" w:sz="4" w:space="0" w:color="auto"/>
              <w:bottom w:val="single" w:sz="4" w:space="0" w:color="auto"/>
            </w:tcBorders>
          </w:tcPr>
          <w:p w14:paraId="3F93F036" w14:textId="77777777" w:rsidR="00C70C5D" w:rsidRPr="009E683B" w:rsidRDefault="00C70C5D" w:rsidP="00750623">
            <w:pPr>
              <w:pStyle w:val="TableText"/>
              <w:rPr>
                <w:szCs w:val="20"/>
              </w:rPr>
            </w:pPr>
            <w:r w:rsidRPr="009E683B">
              <w:rPr>
                <w:szCs w:val="20"/>
              </w:rPr>
              <w:t xml:space="preserve">Amount of FEIBA dispensed (Units ‘000) </w:t>
            </w:r>
          </w:p>
        </w:tc>
        <w:tc>
          <w:tcPr>
            <w:tcW w:w="1118" w:type="dxa"/>
            <w:tcBorders>
              <w:top w:val="single" w:sz="4" w:space="0" w:color="auto"/>
              <w:bottom w:val="single" w:sz="4" w:space="0" w:color="auto"/>
            </w:tcBorders>
            <w:vAlign w:val="center"/>
          </w:tcPr>
          <w:p w14:paraId="297327E7" w14:textId="5B4E365D"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41CE8C0E" w14:textId="62887868"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2BDFC556" w14:textId="288019D4"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42A23C53" w14:textId="556BB102"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64F10BF3" w14:textId="1F726F26" w:rsidR="00C70C5D" w:rsidRPr="001751D9" w:rsidRDefault="001B2FA0" w:rsidP="00750623">
            <w:pPr>
              <w:pStyle w:val="TableText"/>
              <w:jc w:val="right"/>
              <w:rPr>
                <w:szCs w:val="20"/>
              </w:rPr>
            </w:pPr>
            <w:r w:rsidRPr="001751D9">
              <w:rPr>
                <w:szCs w:val="20"/>
              </w:rPr>
              <w:t>REDACTED</w:t>
            </w:r>
          </w:p>
        </w:tc>
        <w:tc>
          <w:tcPr>
            <w:tcW w:w="1243" w:type="dxa"/>
            <w:tcBorders>
              <w:top w:val="single" w:sz="4" w:space="0" w:color="auto"/>
              <w:bottom w:val="single" w:sz="4" w:space="0" w:color="auto"/>
            </w:tcBorders>
            <w:vAlign w:val="center"/>
          </w:tcPr>
          <w:p w14:paraId="0E645447" w14:textId="29F7EF2D" w:rsidR="00C70C5D" w:rsidRPr="001751D9" w:rsidRDefault="001B2FA0" w:rsidP="00750623">
            <w:pPr>
              <w:pStyle w:val="TableText"/>
              <w:jc w:val="right"/>
              <w:rPr>
                <w:szCs w:val="20"/>
              </w:rPr>
            </w:pPr>
            <w:r w:rsidRPr="001751D9">
              <w:rPr>
                <w:szCs w:val="20"/>
              </w:rPr>
              <w:t>REDACTED</w:t>
            </w:r>
          </w:p>
        </w:tc>
      </w:tr>
      <w:tr w:rsidR="001B2FA0" w:rsidRPr="009E683B" w14:paraId="7FBB162C" w14:textId="77777777" w:rsidTr="00E7226C">
        <w:trPr>
          <w:trHeight w:val="197"/>
        </w:trPr>
        <w:tc>
          <w:tcPr>
            <w:tcW w:w="2183" w:type="dxa"/>
            <w:tcBorders>
              <w:top w:val="single" w:sz="4" w:space="0" w:color="auto"/>
              <w:bottom w:val="single" w:sz="4" w:space="0" w:color="auto"/>
            </w:tcBorders>
          </w:tcPr>
          <w:p w14:paraId="76791E63" w14:textId="77777777" w:rsidR="00C70C5D" w:rsidRPr="009E683B" w:rsidRDefault="00C70C5D" w:rsidP="00750623">
            <w:pPr>
              <w:pStyle w:val="TableText"/>
              <w:rPr>
                <w:szCs w:val="20"/>
              </w:rPr>
            </w:pPr>
            <w:r w:rsidRPr="009E683B">
              <w:rPr>
                <w:szCs w:val="20"/>
              </w:rPr>
              <w:t>Amount of NovoSeven dispensed (ug ‘000)</w:t>
            </w:r>
          </w:p>
        </w:tc>
        <w:tc>
          <w:tcPr>
            <w:tcW w:w="1118" w:type="dxa"/>
            <w:tcBorders>
              <w:top w:val="single" w:sz="4" w:space="0" w:color="auto"/>
              <w:bottom w:val="single" w:sz="4" w:space="0" w:color="auto"/>
            </w:tcBorders>
            <w:vAlign w:val="center"/>
          </w:tcPr>
          <w:p w14:paraId="1F8FB99F" w14:textId="279F4979"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67D0D3C3" w14:textId="24D25C4F"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5158D939" w14:textId="352C02C4"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5892436F" w14:textId="7472D84A"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7E31F075" w14:textId="74E08CD6" w:rsidR="00C70C5D" w:rsidRPr="001751D9" w:rsidRDefault="001B2FA0" w:rsidP="00750623">
            <w:pPr>
              <w:pStyle w:val="TableText"/>
              <w:jc w:val="right"/>
              <w:rPr>
                <w:szCs w:val="20"/>
              </w:rPr>
            </w:pPr>
            <w:r w:rsidRPr="001751D9">
              <w:rPr>
                <w:szCs w:val="20"/>
              </w:rPr>
              <w:t>REDACTED</w:t>
            </w:r>
          </w:p>
        </w:tc>
        <w:tc>
          <w:tcPr>
            <w:tcW w:w="1243" w:type="dxa"/>
            <w:tcBorders>
              <w:top w:val="single" w:sz="4" w:space="0" w:color="auto"/>
              <w:bottom w:val="single" w:sz="4" w:space="0" w:color="auto"/>
            </w:tcBorders>
            <w:vAlign w:val="center"/>
          </w:tcPr>
          <w:p w14:paraId="5CE2B15D" w14:textId="26F49A60" w:rsidR="00C70C5D" w:rsidRPr="001751D9" w:rsidRDefault="001B2FA0" w:rsidP="00750623">
            <w:pPr>
              <w:pStyle w:val="TableText"/>
              <w:jc w:val="right"/>
              <w:rPr>
                <w:szCs w:val="20"/>
              </w:rPr>
            </w:pPr>
            <w:r w:rsidRPr="001751D9">
              <w:rPr>
                <w:szCs w:val="20"/>
              </w:rPr>
              <w:t>REDACTED</w:t>
            </w:r>
          </w:p>
        </w:tc>
      </w:tr>
      <w:tr w:rsidR="001B2FA0" w:rsidRPr="009E683B" w14:paraId="493D9C43" w14:textId="77777777" w:rsidTr="00E7226C">
        <w:trPr>
          <w:trHeight w:val="197"/>
        </w:trPr>
        <w:tc>
          <w:tcPr>
            <w:tcW w:w="2183" w:type="dxa"/>
            <w:tcBorders>
              <w:top w:val="single" w:sz="4" w:space="0" w:color="auto"/>
              <w:bottom w:val="single" w:sz="4" w:space="0" w:color="auto"/>
            </w:tcBorders>
          </w:tcPr>
          <w:p w14:paraId="474E8A93" w14:textId="77777777" w:rsidR="00C70C5D" w:rsidRPr="009E683B" w:rsidRDefault="00C70C5D" w:rsidP="00750623">
            <w:pPr>
              <w:pStyle w:val="TableText"/>
              <w:rPr>
                <w:szCs w:val="20"/>
              </w:rPr>
            </w:pPr>
            <w:r w:rsidRPr="009E683B">
              <w:rPr>
                <w:szCs w:val="20"/>
              </w:rPr>
              <w:t>Amount of Obizur dispensed (Units ‘000)</w:t>
            </w:r>
          </w:p>
        </w:tc>
        <w:tc>
          <w:tcPr>
            <w:tcW w:w="1118" w:type="dxa"/>
            <w:tcBorders>
              <w:top w:val="single" w:sz="4" w:space="0" w:color="auto"/>
              <w:bottom w:val="single" w:sz="4" w:space="0" w:color="auto"/>
            </w:tcBorders>
            <w:vAlign w:val="center"/>
          </w:tcPr>
          <w:p w14:paraId="2B26F528" w14:textId="10D31AB6" w:rsidR="00C70C5D" w:rsidRPr="001751D9" w:rsidRDefault="001B2FA0" w:rsidP="00750623">
            <w:pPr>
              <w:pStyle w:val="TableText"/>
              <w:jc w:val="right"/>
              <w:rPr>
                <w:szCs w:val="20"/>
              </w:rPr>
            </w:pPr>
            <w:r w:rsidRPr="001751D9">
              <w:rPr>
                <w:szCs w:val="20"/>
              </w:rPr>
              <w:t>REACTED</w:t>
            </w:r>
          </w:p>
        </w:tc>
        <w:tc>
          <w:tcPr>
            <w:tcW w:w="1118" w:type="dxa"/>
            <w:tcBorders>
              <w:top w:val="single" w:sz="4" w:space="0" w:color="auto"/>
              <w:bottom w:val="single" w:sz="4" w:space="0" w:color="auto"/>
            </w:tcBorders>
            <w:vAlign w:val="center"/>
          </w:tcPr>
          <w:p w14:paraId="1097CB83" w14:textId="0DB476B0"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2A671B1C" w14:textId="5F39E4C0"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5087D5B1" w14:textId="4B097709" w:rsidR="00C70C5D" w:rsidRPr="001751D9" w:rsidRDefault="001B2FA0"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061DBCF3" w14:textId="45287394" w:rsidR="00C70C5D" w:rsidRPr="001751D9" w:rsidRDefault="001B2FA0" w:rsidP="00750623">
            <w:pPr>
              <w:pStyle w:val="TableText"/>
              <w:jc w:val="right"/>
              <w:rPr>
                <w:szCs w:val="20"/>
              </w:rPr>
            </w:pPr>
            <w:r w:rsidRPr="001751D9">
              <w:rPr>
                <w:szCs w:val="20"/>
              </w:rPr>
              <w:t>REDACTED</w:t>
            </w:r>
          </w:p>
        </w:tc>
        <w:tc>
          <w:tcPr>
            <w:tcW w:w="1243" w:type="dxa"/>
            <w:tcBorders>
              <w:top w:val="single" w:sz="4" w:space="0" w:color="auto"/>
              <w:bottom w:val="single" w:sz="4" w:space="0" w:color="auto"/>
            </w:tcBorders>
            <w:vAlign w:val="center"/>
          </w:tcPr>
          <w:p w14:paraId="3DE65AFE" w14:textId="20D5DEE1" w:rsidR="00C70C5D" w:rsidRPr="001751D9" w:rsidRDefault="001B2FA0" w:rsidP="00750623">
            <w:pPr>
              <w:pStyle w:val="TableText"/>
              <w:jc w:val="right"/>
              <w:rPr>
                <w:szCs w:val="20"/>
              </w:rPr>
            </w:pPr>
            <w:r w:rsidRPr="001751D9">
              <w:rPr>
                <w:szCs w:val="20"/>
              </w:rPr>
              <w:t>REDACTED</w:t>
            </w:r>
          </w:p>
        </w:tc>
      </w:tr>
      <w:tr w:rsidR="001B2FA0" w:rsidRPr="009E683B" w14:paraId="769D8675" w14:textId="77777777" w:rsidTr="00E7226C">
        <w:trPr>
          <w:trHeight w:val="197"/>
        </w:trPr>
        <w:tc>
          <w:tcPr>
            <w:tcW w:w="2183" w:type="dxa"/>
            <w:tcBorders>
              <w:top w:val="single" w:sz="4" w:space="0" w:color="auto"/>
              <w:bottom w:val="single" w:sz="4" w:space="0" w:color="auto"/>
            </w:tcBorders>
          </w:tcPr>
          <w:p w14:paraId="5BA095F2" w14:textId="77777777" w:rsidR="00C70C5D" w:rsidRPr="009E683B" w:rsidRDefault="00C70C5D" w:rsidP="00750623">
            <w:pPr>
              <w:pStyle w:val="TableText"/>
              <w:rPr>
                <w:szCs w:val="20"/>
              </w:rPr>
            </w:pPr>
            <w:r w:rsidRPr="009E683B">
              <w:rPr>
                <w:szCs w:val="20"/>
              </w:rPr>
              <w:t>Total cost to NBA after Obizur (‘000)</w:t>
            </w:r>
          </w:p>
        </w:tc>
        <w:tc>
          <w:tcPr>
            <w:tcW w:w="1118" w:type="dxa"/>
            <w:tcBorders>
              <w:top w:val="single" w:sz="4" w:space="0" w:color="auto"/>
              <w:bottom w:val="single" w:sz="4" w:space="0" w:color="auto"/>
            </w:tcBorders>
            <w:vAlign w:val="center"/>
          </w:tcPr>
          <w:p w14:paraId="3AA55C6D" w14:textId="47D420F3" w:rsidR="00C70C5D" w:rsidRPr="001751D9" w:rsidRDefault="00C70C5D" w:rsidP="00750623">
            <w:pPr>
              <w:pStyle w:val="TableText"/>
              <w:jc w:val="right"/>
              <w:rPr>
                <w:szCs w:val="20"/>
              </w:rPr>
            </w:pPr>
            <w:r w:rsidRPr="001751D9">
              <w:rPr>
                <w:szCs w:val="20"/>
              </w:rPr>
              <w:t>$</w:t>
            </w:r>
            <w:r w:rsidR="001B2FA0" w:rsidRPr="001751D9">
              <w:rPr>
                <w:szCs w:val="20"/>
              </w:rPr>
              <w:t>REDACTED</w:t>
            </w:r>
          </w:p>
        </w:tc>
        <w:tc>
          <w:tcPr>
            <w:tcW w:w="1118" w:type="dxa"/>
            <w:tcBorders>
              <w:top w:val="single" w:sz="4" w:space="0" w:color="auto"/>
              <w:bottom w:val="single" w:sz="4" w:space="0" w:color="auto"/>
            </w:tcBorders>
            <w:vAlign w:val="center"/>
          </w:tcPr>
          <w:p w14:paraId="74D79092" w14:textId="3000E17F" w:rsidR="00C70C5D" w:rsidRPr="001751D9" w:rsidRDefault="00C70C5D" w:rsidP="00750623">
            <w:pPr>
              <w:pStyle w:val="TableText"/>
              <w:jc w:val="right"/>
              <w:rPr>
                <w:szCs w:val="20"/>
              </w:rPr>
            </w:pPr>
            <w:r w:rsidRPr="001751D9">
              <w:rPr>
                <w:szCs w:val="20"/>
              </w:rPr>
              <w:t>$</w:t>
            </w:r>
            <w:r w:rsidR="001B2FA0" w:rsidRPr="001751D9">
              <w:rPr>
                <w:szCs w:val="20"/>
              </w:rPr>
              <w:t>REDACTED</w:t>
            </w:r>
          </w:p>
        </w:tc>
        <w:tc>
          <w:tcPr>
            <w:tcW w:w="1118" w:type="dxa"/>
            <w:tcBorders>
              <w:top w:val="single" w:sz="4" w:space="0" w:color="auto"/>
              <w:bottom w:val="single" w:sz="4" w:space="0" w:color="auto"/>
            </w:tcBorders>
            <w:vAlign w:val="center"/>
          </w:tcPr>
          <w:p w14:paraId="0CD21C1D" w14:textId="2CD78919" w:rsidR="00C70C5D" w:rsidRPr="001751D9" w:rsidRDefault="00C70C5D" w:rsidP="00750623">
            <w:pPr>
              <w:pStyle w:val="TableText"/>
              <w:jc w:val="right"/>
              <w:rPr>
                <w:szCs w:val="20"/>
              </w:rPr>
            </w:pPr>
            <w:r w:rsidRPr="001751D9">
              <w:rPr>
                <w:szCs w:val="20"/>
              </w:rPr>
              <w:t>$</w:t>
            </w:r>
            <w:r w:rsidR="001B2FA0" w:rsidRPr="001751D9">
              <w:rPr>
                <w:szCs w:val="20"/>
              </w:rPr>
              <w:t>REDACTED</w:t>
            </w:r>
          </w:p>
        </w:tc>
        <w:tc>
          <w:tcPr>
            <w:tcW w:w="1118" w:type="dxa"/>
            <w:tcBorders>
              <w:top w:val="single" w:sz="4" w:space="0" w:color="auto"/>
              <w:bottom w:val="single" w:sz="4" w:space="0" w:color="auto"/>
            </w:tcBorders>
            <w:vAlign w:val="center"/>
          </w:tcPr>
          <w:p w14:paraId="738D4DBD" w14:textId="63B35441" w:rsidR="00C70C5D" w:rsidRPr="001751D9" w:rsidRDefault="00C70C5D" w:rsidP="00750623">
            <w:pPr>
              <w:pStyle w:val="TableText"/>
              <w:jc w:val="right"/>
              <w:rPr>
                <w:szCs w:val="20"/>
              </w:rPr>
            </w:pPr>
            <w:r w:rsidRPr="001751D9">
              <w:rPr>
                <w:szCs w:val="20"/>
              </w:rPr>
              <w:t>$</w:t>
            </w:r>
            <w:r w:rsidR="001B2FA0" w:rsidRPr="001751D9">
              <w:rPr>
                <w:szCs w:val="20"/>
              </w:rPr>
              <w:t>REDACTED</w:t>
            </w:r>
          </w:p>
        </w:tc>
        <w:tc>
          <w:tcPr>
            <w:tcW w:w="1118" w:type="dxa"/>
            <w:tcBorders>
              <w:top w:val="single" w:sz="4" w:space="0" w:color="auto"/>
              <w:bottom w:val="single" w:sz="4" w:space="0" w:color="auto"/>
            </w:tcBorders>
            <w:vAlign w:val="center"/>
          </w:tcPr>
          <w:p w14:paraId="0EEC3743" w14:textId="71B42916" w:rsidR="00C70C5D" w:rsidRPr="001751D9" w:rsidRDefault="00C70C5D" w:rsidP="00750623">
            <w:pPr>
              <w:pStyle w:val="TableText"/>
              <w:jc w:val="right"/>
              <w:rPr>
                <w:szCs w:val="20"/>
              </w:rPr>
            </w:pPr>
            <w:r w:rsidRPr="001751D9">
              <w:rPr>
                <w:szCs w:val="20"/>
              </w:rPr>
              <w:t>$</w:t>
            </w:r>
            <w:r w:rsidR="001B2FA0" w:rsidRPr="001751D9">
              <w:rPr>
                <w:szCs w:val="20"/>
              </w:rPr>
              <w:t>REDACTED</w:t>
            </w:r>
          </w:p>
        </w:tc>
        <w:tc>
          <w:tcPr>
            <w:tcW w:w="1243" w:type="dxa"/>
            <w:tcBorders>
              <w:top w:val="single" w:sz="4" w:space="0" w:color="auto"/>
              <w:bottom w:val="single" w:sz="4" w:space="0" w:color="auto"/>
            </w:tcBorders>
            <w:vAlign w:val="center"/>
          </w:tcPr>
          <w:p w14:paraId="1710B286" w14:textId="3A1E070E" w:rsidR="00C70C5D" w:rsidRPr="001751D9" w:rsidRDefault="00C70C5D" w:rsidP="00750623">
            <w:pPr>
              <w:pStyle w:val="TableText"/>
              <w:jc w:val="right"/>
              <w:rPr>
                <w:szCs w:val="20"/>
              </w:rPr>
            </w:pPr>
            <w:r w:rsidRPr="001751D9">
              <w:rPr>
                <w:szCs w:val="20"/>
              </w:rPr>
              <w:t>$</w:t>
            </w:r>
            <w:r w:rsidR="001B2FA0" w:rsidRPr="001751D9">
              <w:rPr>
                <w:szCs w:val="20"/>
              </w:rPr>
              <w:t>REDACTED</w:t>
            </w:r>
          </w:p>
        </w:tc>
      </w:tr>
      <w:tr w:rsidR="001B2FA0" w:rsidRPr="009E683B" w14:paraId="69FFFC28" w14:textId="77777777" w:rsidTr="00E7226C">
        <w:trPr>
          <w:trHeight w:val="197"/>
        </w:trPr>
        <w:tc>
          <w:tcPr>
            <w:tcW w:w="2183" w:type="dxa"/>
            <w:tcBorders>
              <w:top w:val="single" w:sz="4" w:space="0" w:color="auto"/>
              <w:bottom w:val="single" w:sz="4" w:space="0" w:color="auto"/>
            </w:tcBorders>
          </w:tcPr>
          <w:p w14:paraId="29A31083" w14:textId="31E8FFA9" w:rsidR="00D805B9" w:rsidRPr="009E683B" w:rsidRDefault="00D805B9" w:rsidP="00D805B9">
            <w:pPr>
              <w:pStyle w:val="TableText"/>
              <w:rPr>
                <w:szCs w:val="20"/>
              </w:rPr>
            </w:pPr>
            <w:r w:rsidRPr="009E683B">
              <w:rPr>
                <w:szCs w:val="20"/>
              </w:rPr>
              <w:t xml:space="preserve">Total cost to NBA </w:t>
            </w:r>
            <w:r>
              <w:rPr>
                <w:szCs w:val="20"/>
              </w:rPr>
              <w:t>after</w:t>
            </w:r>
            <w:r w:rsidRPr="009E683B">
              <w:rPr>
                <w:szCs w:val="20"/>
              </w:rPr>
              <w:t xml:space="preserve"> Obizur</w:t>
            </w:r>
            <w:r>
              <w:rPr>
                <w:b/>
                <w:szCs w:val="20"/>
                <w:vertAlign w:val="superscript"/>
              </w:rPr>
              <w:t xml:space="preserve"> </w:t>
            </w:r>
            <w:r w:rsidRPr="00713053">
              <w:rPr>
                <w:szCs w:val="20"/>
                <w:vertAlign w:val="superscript"/>
              </w:rPr>
              <w:t>a</w:t>
            </w:r>
            <w:r w:rsidRPr="00713053">
              <w:rPr>
                <w:szCs w:val="20"/>
              </w:rPr>
              <w:t xml:space="preserve"> (‘000)</w:t>
            </w:r>
          </w:p>
        </w:tc>
        <w:tc>
          <w:tcPr>
            <w:tcW w:w="1118" w:type="dxa"/>
            <w:tcBorders>
              <w:top w:val="single" w:sz="4" w:space="0" w:color="auto"/>
              <w:bottom w:val="single" w:sz="4" w:space="0" w:color="auto"/>
            </w:tcBorders>
            <w:vAlign w:val="bottom"/>
          </w:tcPr>
          <w:p w14:paraId="6FBD279C" w14:textId="2D0169C5" w:rsidR="00D805B9" w:rsidRPr="001751D9" w:rsidRDefault="00D805B9" w:rsidP="00D805B9">
            <w:pPr>
              <w:pStyle w:val="TableText"/>
              <w:jc w:val="right"/>
              <w:rPr>
                <w:szCs w:val="20"/>
              </w:rPr>
            </w:pPr>
            <w:r w:rsidRPr="001751D9">
              <w:rPr>
                <w:rFonts w:cs="Calibri"/>
                <w:color w:val="000000"/>
                <w:szCs w:val="20"/>
              </w:rPr>
              <w:t>$</w:t>
            </w:r>
            <w:r w:rsidR="001B2FA0" w:rsidRPr="001751D9">
              <w:rPr>
                <w:rFonts w:cs="Calibri"/>
                <w:color w:val="000000"/>
                <w:szCs w:val="20"/>
              </w:rPr>
              <w:t>REDACTED</w:t>
            </w:r>
          </w:p>
        </w:tc>
        <w:tc>
          <w:tcPr>
            <w:tcW w:w="1118" w:type="dxa"/>
            <w:tcBorders>
              <w:top w:val="single" w:sz="4" w:space="0" w:color="auto"/>
              <w:bottom w:val="single" w:sz="4" w:space="0" w:color="auto"/>
            </w:tcBorders>
            <w:vAlign w:val="bottom"/>
          </w:tcPr>
          <w:p w14:paraId="46A58A73" w14:textId="62C3EDA7" w:rsidR="00D805B9" w:rsidRPr="001751D9" w:rsidRDefault="00D805B9" w:rsidP="00D805B9">
            <w:pPr>
              <w:pStyle w:val="TableText"/>
              <w:jc w:val="right"/>
              <w:rPr>
                <w:szCs w:val="20"/>
              </w:rPr>
            </w:pPr>
            <w:r w:rsidRPr="001751D9">
              <w:rPr>
                <w:rFonts w:cs="Calibri"/>
                <w:color w:val="000000"/>
                <w:szCs w:val="20"/>
              </w:rPr>
              <w:t>$</w:t>
            </w:r>
            <w:r w:rsidR="001B2FA0" w:rsidRPr="001751D9">
              <w:rPr>
                <w:rFonts w:cs="Calibri"/>
                <w:color w:val="000000"/>
                <w:szCs w:val="20"/>
              </w:rPr>
              <w:t>REDACTED</w:t>
            </w:r>
          </w:p>
        </w:tc>
        <w:tc>
          <w:tcPr>
            <w:tcW w:w="1118" w:type="dxa"/>
            <w:tcBorders>
              <w:top w:val="single" w:sz="4" w:space="0" w:color="auto"/>
              <w:bottom w:val="single" w:sz="4" w:space="0" w:color="auto"/>
            </w:tcBorders>
            <w:vAlign w:val="bottom"/>
          </w:tcPr>
          <w:p w14:paraId="57BD4481" w14:textId="1306963A" w:rsidR="00D805B9" w:rsidRPr="001751D9" w:rsidRDefault="00D805B9" w:rsidP="00D805B9">
            <w:pPr>
              <w:pStyle w:val="TableText"/>
              <w:jc w:val="right"/>
              <w:rPr>
                <w:szCs w:val="20"/>
              </w:rPr>
            </w:pPr>
            <w:r w:rsidRPr="001751D9">
              <w:rPr>
                <w:rFonts w:cs="Calibri"/>
                <w:color w:val="000000"/>
                <w:szCs w:val="20"/>
              </w:rPr>
              <w:t>$</w:t>
            </w:r>
            <w:r w:rsidR="001B2FA0" w:rsidRPr="001751D9">
              <w:rPr>
                <w:rFonts w:cs="Calibri"/>
                <w:color w:val="000000"/>
                <w:szCs w:val="20"/>
              </w:rPr>
              <w:t>REDACTED</w:t>
            </w:r>
          </w:p>
        </w:tc>
        <w:tc>
          <w:tcPr>
            <w:tcW w:w="1118" w:type="dxa"/>
            <w:tcBorders>
              <w:top w:val="single" w:sz="4" w:space="0" w:color="auto"/>
              <w:bottom w:val="single" w:sz="4" w:space="0" w:color="auto"/>
            </w:tcBorders>
            <w:vAlign w:val="bottom"/>
          </w:tcPr>
          <w:p w14:paraId="12F9E3D4" w14:textId="03C98AD1" w:rsidR="00D805B9" w:rsidRPr="001751D9" w:rsidRDefault="00D805B9" w:rsidP="00D805B9">
            <w:pPr>
              <w:pStyle w:val="TableText"/>
              <w:jc w:val="right"/>
              <w:rPr>
                <w:szCs w:val="20"/>
              </w:rPr>
            </w:pPr>
            <w:r w:rsidRPr="001751D9">
              <w:rPr>
                <w:rFonts w:cs="Calibri"/>
                <w:color w:val="000000"/>
                <w:szCs w:val="20"/>
              </w:rPr>
              <w:t>$</w:t>
            </w:r>
            <w:r w:rsidR="001B2FA0" w:rsidRPr="001751D9">
              <w:rPr>
                <w:rFonts w:cs="Calibri"/>
                <w:color w:val="000000"/>
                <w:szCs w:val="20"/>
              </w:rPr>
              <w:t>REDACTED</w:t>
            </w:r>
          </w:p>
        </w:tc>
        <w:tc>
          <w:tcPr>
            <w:tcW w:w="1118" w:type="dxa"/>
            <w:tcBorders>
              <w:top w:val="single" w:sz="4" w:space="0" w:color="auto"/>
              <w:bottom w:val="single" w:sz="4" w:space="0" w:color="auto"/>
            </w:tcBorders>
            <w:vAlign w:val="bottom"/>
          </w:tcPr>
          <w:p w14:paraId="17A60320" w14:textId="6EFE65FD" w:rsidR="00D805B9" w:rsidRPr="001751D9" w:rsidRDefault="00D805B9" w:rsidP="00D805B9">
            <w:pPr>
              <w:pStyle w:val="TableText"/>
              <w:jc w:val="right"/>
              <w:rPr>
                <w:szCs w:val="20"/>
              </w:rPr>
            </w:pPr>
            <w:r w:rsidRPr="001751D9">
              <w:rPr>
                <w:rFonts w:cs="Calibri"/>
                <w:color w:val="000000"/>
                <w:szCs w:val="20"/>
              </w:rPr>
              <w:t>$</w:t>
            </w:r>
            <w:r w:rsidR="001B2FA0" w:rsidRPr="001751D9">
              <w:rPr>
                <w:rFonts w:cs="Calibri"/>
                <w:color w:val="000000"/>
                <w:szCs w:val="20"/>
              </w:rPr>
              <w:t>REDACTED</w:t>
            </w:r>
          </w:p>
        </w:tc>
        <w:tc>
          <w:tcPr>
            <w:tcW w:w="1243" w:type="dxa"/>
            <w:tcBorders>
              <w:top w:val="single" w:sz="4" w:space="0" w:color="auto"/>
              <w:bottom w:val="single" w:sz="4" w:space="0" w:color="auto"/>
            </w:tcBorders>
            <w:vAlign w:val="bottom"/>
          </w:tcPr>
          <w:p w14:paraId="56D2A490" w14:textId="52245909" w:rsidR="00D805B9" w:rsidRPr="001751D9" w:rsidRDefault="00D805B9" w:rsidP="00D805B9">
            <w:pPr>
              <w:pStyle w:val="TableText"/>
              <w:jc w:val="right"/>
              <w:rPr>
                <w:szCs w:val="20"/>
              </w:rPr>
            </w:pPr>
            <w:r w:rsidRPr="001751D9">
              <w:rPr>
                <w:rFonts w:cs="Calibri"/>
                <w:color w:val="000000"/>
                <w:szCs w:val="20"/>
              </w:rPr>
              <w:t>$</w:t>
            </w:r>
            <w:r w:rsidR="001B2FA0" w:rsidRPr="001751D9">
              <w:rPr>
                <w:rFonts w:cs="Calibri"/>
                <w:color w:val="000000"/>
                <w:szCs w:val="20"/>
              </w:rPr>
              <w:t>REDACTED</w:t>
            </w:r>
          </w:p>
        </w:tc>
      </w:tr>
      <w:tr w:rsidR="001B2FA0" w:rsidRPr="009E683B" w14:paraId="2CB552F3" w14:textId="77777777" w:rsidTr="00E7226C">
        <w:trPr>
          <w:trHeight w:val="197"/>
        </w:trPr>
        <w:tc>
          <w:tcPr>
            <w:tcW w:w="2183" w:type="dxa"/>
            <w:tcBorders>
              <w:top w:val="single" w:sz="4" w:space="0" w:color="auto"/>
              <w:bottom w:val="single" w:sz="4" w:space="0" w:color="auto"/>
            </w:tcBorders>
          </w:tcPr>
          <w:p w14:paraId="143C3729" w14:textId="77777777" w:rsidR="00C70C5D" w:rsidRPr="009E683B" w:rsidRDefault="00C70C5D" w:rsidP="00750623">
            <w:pPr>
              <w:pStyle w:val="TableText"/>
              <w:rPr>
                <w:b/>
                <w:szCs w:val="20"/>
              </w:rPr>
            </w:pPr>
            <w:r w:rsidRPr="009E683B">
              <w:rPr>
                <w:b/>
                <w:szCs w:val="20"/>
              </w:rPr>
              <w:t>Net cost to NBA (‘000)</w:t>
            </w:r>
          </w:p>
        </w:tc>
        <w:tc>
          <w:tcPr>
            <w:tcW w:w="1118" w:type="dxa"/>
            <w:tcBorders>
              <w:top w:val="single" w:sz="4" w:space="0" w:color="auto"/>
              <w:bottom w:val="single" w:sz="4" w:space="0" w:color="auto"/>
            </w:tcBorders>
            <w:vAlign w:val="bottom"/>
          </w:tcPr>
          <w:p w14:paraId="651CCEB9" w14:textId="77777777" w:rsidR="00C70C5D" w:rsidRPr="009E683B" w:rsidRDefault="00C70C5D" w:rsidP="00750623">
            <w:pPr>
              <w:pStyle w:val="TableText"/>
              <w:jc w:val="right"/>
              <w:rPr>
                <w:b/>
                <w:szCs w:val="20"/>
              </w:rPr>
            </w:pPr>
            <w:r w:rsidRPr="009E683B">
              <w:rPr>
                <w:b/>
                <w:szCs w:val="20"/>
              </w:rPr>
              <w:t>$13</w:t>
            </w:r>
          </w:p>
        </w:tc>
        <w:tc>
          <w:tcPr>
            <w:tcW w:w="1118" w:type="dxa"/>
            <w:tcBorders>
              <w:top w:val="single" w:sz="4" w:space="0" w:color="auto"/>
              <w:bottom w:val="single" w:sz="4" w:space="0" w:color="auto"/>
            </w:tcBorders>
            <w:vAlign w:val="bottom"/>
          </w:tcPr>
          <w:p w14:paraId="1D337D34" w14:textId="77777777" w:rsidR="00C70C5D" w:rsidRPr="009E683B" w:rsidRDefault="00C70C5D" w:rsidP="00750623">
            <w:pPr>
              <w:pStyle w:val="TableText"/>
              <w:jc w:val="right"/>
              <w:rPr>
                <w:b/>
                <w:szCs w:val="20"/>
              </w:rPr>
            </w:pPr>
            <w:r w:rsidRPr="009E683B">
              <w:rPr>
                <w:b/>
                <w:szCs w:val="20"/>
              </w:rPr>
              <w:t>$19</w:t>
            </w:r>
          </w:p>
        </w:tc>
        <w:tc>
          <w:tcPr>
            <w:tcW w:w="1118" w:type="dxa"/>
            <w:tcBorders>
              <w:top w:val="single" w:sz="4" w:space="0" w:color="auto"/>
              <w:bottom w:val="single" w:sz="4" w:space="0" w:color="auto"/>
            </w:tcBorders>
            <w:vAlign w:val="bottom"/>
          </w:tcPr>
          <w:p w14:paraId="5B57003E" w14:textId="77777777" w:rsidR="00C70C5D" w:rsidRPr="009E683B" w:rsidRDefault="00C70C5D" w:rsidP="00750623">
            <w:pPr>
              <w:pStyle w:val="TableText"/>
              <w:jc w:val="right"/>
              <w:rPr>
                <w:b/>
                <w:szCs w:val="20"/>
              </w:rPr>
            </w:pPr>
            <w:r w:rsidRPr="009E683B">
              <w:rPr>
                <w:b/>
                <w:szCs w:val="20"/>
              </w:rPr>
              <w:t>$23</w:t>
            </w:r>
          </w:p>
        </w:tc>
        <w:tc>
          <w:tcPr>
            <w:tcW w:w="1118" w:type="dxa"/>
            <w:tcBorders>
              <w:top w:val="single" w:sz="4" w:space="0" w:color="auto"/>
              <w:bottom w:val="single" w:sz="4" w:space="0" w:color="auto"/>
            </w:tcBorders>
            <w:vAlign w:val="bottom"/>
          </w:tcPr>
          <w:p w14:paraId="33B127E3" w14:textId="77777777" w:rsidR="00C70C5D" w:rsidRPr="009E683B" w:rsidRDefault="00C70C5D" w:rsidP="00750623">
            <w:pPr>
              <w:pStyle w:val="TableText"/>
              <w:jc w:val="right"/>
              <w:rPr>
                <w:b/>
                <w:szCs w:val="20"/>
              </w:rPr>
            </w:pPr>
            <w:r w:rsidRPr="009E683B">
              <w:rPr>
                <w:b/>
                <w:szCs w:val="20"/>
              </w:rPr>
              <w:t>$25</w:t>
            </w:r>
          </w:p>
        </w:tc>
        <w:tc>
          <w:tcPr>
            <w:tcW w:w="1118" w:type="dxa"/>
            <w:tcBorders>
              <w:top w:val="single" w:sz="4" w:space="0" w:color="auto"/>
              <w:bottom w:val="single" w:sz="4" w:space="0" w:color="auto"/>
            </w:tcBorders>
            <w:vAlign w:val="bottom"/>
          </w:tcPr>
          <w:p w14:paraId="2E53EF61" w14:textId="77777777" w:rsidR="00C70C5D" w:rsidRPr="009E683B" w:rsidRDefault="00C70C5D" w:rsidP="00750623">
            <w:pPr>
              <w:pStyle w:val="TableText"/>
              <w:jc w:val="right"/>
              <w:rPr>
                <w:b/>
                <w:szCs w:val="20"/>
              </w:rPr>
            </w:pPr>
            <w:r w:rsidRPr="009E683B">
              <w:rPr>
                <w:b/>
                <w:szCs w:val="20"/>
              </w:rPr>
              <w:t>$25</w:t>
            </w:r>
          </w:p>
        </w:tc>
        <w:tc>
          <w:tcPr>
            <w:tcW w:w="1243" w:type="dxa"/>
            <w:tcBorders>
              <w:top w:val="single" w:sz="4" w:space="0" w:color="auto"/>
              <w:bottom w:val="single" w:sz="4" w:space="0" w:color="auto"/>
            </w:tcBorders>
            <w:vAlign w:val="bottom"/>
          </w:tcPr>
          <w:p w14:paraId="651333C1" w14:textId="77777777" w:rsidR="00C70C5D" w:rsidRPr="009E683B" w:rsidRDefault="00C70C5D" w:rsidP="00750623">
            <w:pPr>
              <w:pStyle w:val="TableText"/>
              <w:jc w:val="right"/>
              <w:rPr>
                <w:b/>
                <w:szCs w:val="20"/>
              </w:rPr>
            </w:pPr>
            <w:r w:rsidRPr="009E683B">
              <w:rPr>
                <w:b/>
                <w:szCs w:val="20"/>
              </w:rPr>
              <w:t>$27</w:t>
            </w:r>
          </w:p>
        </w:tc>
      </w:tr>
      <w:tr w:rsidR="001B2FA0" w:rsidRPr="009E683B" w14:paraId="3D7D0CFF" w14:textId="77777777" w:rsidTr="00E7226C">
        <w:trPr>
          <w:trHeight w:val="197"/>
        </w:trPr>
        <w:tc>
          <w:tcPr>
            <w:tcW w:w="2183" w:type="dxa"/>
            <w:tcBorders>
              <w:top w:val="single" w:sz="4" w:space="0" w:color="auto"/>
              <w:bottom w:val="single" w:sz="4" w:space="0" w:color="auto"/>
            </w:tcBorders>
          </w:tcPr>
          <w:p w14:paraId="3DE71356" w14:textId="18E0F6BF" w:rsidR="00D805B9" w:rsidRPr="009E683B" w:rsidRDefault="00D805B9" w:rsidP="00D805B9">
            <w:pPr>
              <w:pStyle w:val="TableText"/>
              <w:rPr>
                <w:b/>
                <w:szCs w:val="20"/>
              </w:rPr>
            </w:pPr>
            <w:r>
              <w:rPr>
                <w:b/>
                <w:szCs w:val="20"/>
              </w:rPr>
              <w:t xml:space="preserve">Net cost to </w:t>
            </w:r>
            <w:proofErr w:type="spellStart"/>
            <w:r>
              <w:rPr>
                <w:b/>
                <w:szCs w:val="20"/>
              </w:rPr>
              <w:t>NBA</w:t>
            </w:r>
            <w:r>
              <w:rPr>
                <w:b/>
                <w:szCs w:val="20"/>
                <w:vertAlign w:val="superscript"/>
              </w:rPr>
              <w:t>a</w:t>
            </w:r>
            <w:proofErr w:type="spellEnd"/>
            <w:r>
              <w:rPr>
                <w:b/>
                <w:szCs w:val="20"/>
              </w:rPr>
              <w:t xml:space="preserve"> (‘000)</w:t>
            </w:r>
          </w:p>
        </w:tc>
        <w:tc>
          <w:tcPr>
            <w:tcW w:w="1118" w:type="dxa"/>
            <w:tcBorders>
              <w:top w:val="single" w:sz="4" w:space="0" w:color="auto"/>
              <w:bottom w:val="single" w:sz="4" w:space="0" w:color="auto"/>
            </w:tcBorders>
            <w:vAlign w:val="bottom"/>
          </w:tcPr>
          <w:p w14:paraId="430B78C0" w14:textId="77777777" w:rsidR="00D805B9" w:rsidRDefault="00D805B9" w:rsidP="00D805B9">
            <w:pPr>
              <w:pStyle w:val="TableText"/>
              <w:jc w:val="right"/>
              <w:rPr>
                <w:rFonts w:cs="Calibri"/>
                <w:b/>
                <w:bCs/>
                <w:color w:val="000000"/>
                <w:szCs w:val="20"/>
              </w:rPr>
            </w:pPr>
            <w:r>
              <w:rPr>
                <w:rFonts w:cs="Calibri"/>
                <w:b/>
                <w:bCs/>
                <w:color w:val="000000"/>
                <w:szCs w:val="20"/>
              </w:rPr>
              <w:t>$11</w:t>
            </w:r>
          </w:p>
          <w:p w14:paraId="64DDAB46" w14:textId="6EA174D1" w:rsidR="008D4F50" w:rsidRPr="008078AC" w:rsidRDefault="008D4F50" w:rsidP="00D805B9">
            <w:pPr>
              <w:pStyle w:val="TableText"/>
              <w:jc w:val="right"/>
              <w:rPr>
                <w:b/>
                <w:szCs w:val="20"/>
              </w:rPr>
            </w:pPr>
          </w:p>
        </w:tc>
        <w:tc>
          <w:tcPr>
            <w:tcW w:w="1118" w:type="dxa"/>
            <w:tcBorders>
              <w:top w:val="single" w:sz="4" w:space="0" w:color="auto"/>
              <w:bottom w:val="single" w:sz="4" w:space="0" w:color="auto"/>
            </w:tcBorders>
            <w:vAlign w:val="bottom"/>
          </w:tcPr>
          <w:p w14:paraId="263587A4" w14:textId="77777777" w:rsidR="00D805B9" w:rsidRDefault="00D805B9" w:rsidP="00D805B9">
            <w:pPr>
              <w:pStyle w:val="TableText"/>
              <w:jc w:val="right"/>
              <w:rPr>
                <w:rFonts w:cs="Calibri"/>
                <w:b/>
                <w:bCs/>
                <w:color w:val="000000"/>
                <w:szCs w:val="20"/>
              </w:rPr>
            </w:pPr>
            <w:r>
              <w:rPr>
                <w:rFonts w:cs="Calibri"/>
                <w:b/>
                <w:bCs/>
                <w:color w:val="000000"/>
                <w:szCs w:val="20"/>
              </w:rPr>
              <w:t>$16</w:t>
            </w:r>
          </w:p>
          <w:p w14:paraId="27007EE3" w14:textId="6523B722" w:rsidR="008D4F50" w:rsidRPr="008078AC" w:rsidRDefault="008D4F50" w:rsidP="00D805B9">
            <w:pPr>
              <w:pStyle w:val="TableText"/>
              <w:jc w:val="right"/>
              <w:rPr>
                <w:b/>
                <w:szCs w:val="20"/>
              </w:rPr>
            </w:pPr>
          </w:p>
        </w:tc>
        <w:tc>
          <w:tcPr>
            <w:tcW w:w="1118" w:type="dxa"/>
            <w:tcBorders>
              <w:top w:val="single" w:sz="4" w:space="0" w:color="auto"/>
              <w:bottom w:val="single" w:sz="4" w:space="0" w:color="auto"/>
            </w:tcBorders>
            <w:vAlign w:val="bottom"/>
          </w:tcPr>
          <w:p w14:paraId="6A87570E" w14:textId="77777777" w:rsidR="00D805B9" w:rsidRDefault="00D805B9" w:rsidP="00D805B9">
            <w:pPr>
              <w:pStyle w:val="TableText"/>
              <w:jc w:val="right"/>
              <w:rPr>
                <w:rFonts w:cs="Calibri"/>
                <w:b/>
                <w:bCs/>
                <w:color w:val="000000"/>
                <w:szCs w:val="20"/>
              </w:rPr>
            </w:pPr>
            <w:r>
              <w:rPr>
                <w:rFonts w:cs="Calibri"/>
                <w:b/>
                <w:bCs/>
                <w:color w:val="000000"/>
                <w:szCs w:val="20"/>
              </w:rPr>
              <w:t>$19</w:t>
            </w:r>
          </w:p>
          <w:p w14:paraId="591097DD" w14:textId="35A087D2" w:rsidR="008D4F50" w:rsidRPr="008078AC" w:rsidRDefault="008D4F50" w:rsidP="00D805B9">
            <w:pPr>
              <w:pStyle w:val="TableText"/>
              <w:jc w:val="right"/>
              <w:rPr>
                <w:b/>
                <w:szCs w:val="20"/>
              </w:rPr>
            </w:pPr>
          </w:p>
        </w:tc>
        <w:tc>
          <w:tcPr>
            <w:tcW w:w="1118" w:type="dxa"/>
            <w:tcBorders>
              <w:top w:val="single" w:sz="4" w:space="0" w:color="auto"/>
              <w:bottom w:val="single" w:sz="4" w:space="0" w:color="auto"/>
            </w:tcBorders>
            <w:vAlign w:val="bottom"/>
          </w:tcPr>
          <w:p w14:paraId="0FB88A5B" w14:textId="77777777" w:rsidR="00D805B9" w:rsidRDefault="00D805B9" w:rsidP="00D805B9">
            <w:pPr>
              <w:pStyle w:val="TableText"/>
              <w:jc w:val="right"/>
              <w:rPr>
                <w:rFonts w:cs="Calibri"/>
                <w:b/>
                <w:bCs/>
                <w:color w:val="000000"/>
                <w:szCs w:val="20"/>
              </w:rPr>
            </w:pPr>
            <w:r>
              <w:rPr>
                <w:rFonts w:cs="Calibri"/>
                <w:b/>
                <w:bCs/>
                <w:color w:val="000000"/>
                <w:szCs w:val="20"/>
              </w:rPr>
              <w:t>$21</w:t>
            </w:r>
          </w:p>
          <w:p w14:paraId="6C9EEB79" w14:textId="7A1B988E" w:rsidR="008D4F50" w:rsidRPr="008078AC" w:rsidRDefault="008D4F50" w:rsidP="00D805B9">
            <w:pPr>
              <w:pStyle w:val="TableText"/>
              <w:jc w:val="right"/>
              <w:rPr>
                <w:b/>
                <w:szCs w:val="20"/>
              </w:rPr>
            </w:pPr>
          </w:p>
        </w:tc>
        <w:tc>
          <w:tcPr>
            <w:tcW w:w="1118" w:type="dxa"/>
            <w:tcBorders>
              <w:top w:val="single" w:sz="4" w:space="0" w:color="auto"/>
              <w:bottom w:val="single" w:sz="4" w:space="0" w:color="auto"/>
            </w:tcBorders>
            <w:vAlign w:val="bottom"/>
          </w:tcPr>
          <w:p w14:paraId="1A4CA771" w14:textId="77777777" w:rsidR="00D805B9" w:rsidRDefault="00D805B9" w:rsidP="00D805B9">
            <w:pPr>
              <w:pStyle w:val="TableText"/>
              <w:jc w:val="right"/>
              <w:rPr>
                <w:rFonts w:cs="Calibri"/>
                <w:b/>
                <w:bCs/>
                <w:color w:val="000000"/>
                <w:szCs w:val="20"/>
              </w:rPr>
            </w:pPr>
            <w:r>
              <w:rPr>
                <w:rFonts w:cs="Calibri"/>
                <w:b/>
                <w:bCs/>
                <w:color w:val="000000"/>
                <w:szCs w:val="20"/>
              </w:rPr>
              <w:t>$21</w:t>
            </w:r>
          </w:p>
          <w:p w14:paraId="27BC7A45" w14:textId="24CEBAEC" w:rsidR="008D4F50" w:rsidRPr="008078AC" w:rsidRDefault="008D4F50" w:rsidP="008D4F50">
            <w:pPr>
              <w:pStyle w:val="TableText"/>
              <w:rPr>
                <w:b/>
                <w:szCs w:val="20"/>
              </w:rPr>
            </w:pPr>
          </w:p>
        </w:tc>
        <w:tc>
          <w:tcPr>
            <w:tcW w:w="1243" w:type="dxa"/>
            <w:tcBorders>
              <w:top w:val="single" w:sz="4" w:space="0" w:color="auto"/>
              <w:bottom w:val="single" w:sz="4" w:space="0" w:color="auto"/>
            </w:tcBorders>
            <w:vAlign w:val="bottom"/>
          </w:tcPr>
          <w:p w14:paraId="248C1DCA" w14:textId="77777777" w:rsidR="00D805B9" w:rsidRDefault="00D805B9" w:rsidP="00D805B9">
            <w:pPr>
              <w:pStyle w:val="TableText"/>
              <w:jc w:val="right"/>
              <w:rPr>
                <w:rFonts w:cs="Calibri"/>
                <w:b/>
                <w:bCs/>
                <w:color w:val="000000"/>
                <w:szCs w:val="20"/>
              </w:rPr>
            </w:pPr>
            <w:r>
              <w:rPr>
                <w:rFonts w:cs="Calibri"/>
                <w:b/>
                <w:bCs/>
                <w:color w:val="000000"/>
                <w:szCs w:val="20"/>
              </w:rPr>
              <w:t>$23</w:t>
            </w:r>
          </w:p>
          <w:p w14:paraId="04AB5F8B" w14:textId="41102C9B" w:rsidR="008D4F50" w:rsidRPr="008078AC" w:rsidRDefault="008D4F50" w:rsidP="00D805B9">
            <w:pPr>
              <w:pStyle w:val="TableText"/>
              <w:jc w:val="right"/>
              <w:rPr>
                <w:b/>
                <w:szCs w:val="20"/>
              </w:rPr>
            </w:pPr>
          </w:p>
        </w:tc>
      </w:tr>
      <w:bookmarkEnd w:id="68"/>
      <w:tr w:rsidR="00C70C5D" w:rsidRPr="009E683B" w14:paraId="6E0B33B4" w14:textId="77777777" w:rsidTr="00750623">
        <w:trPr>
          <w:trHeight w:val="197"/>
        </w:trPr>
        <w:tc>
          <w:tcPr>
            <w:tcW w:w="9016" w:type="dxa"/>
            <w:gridSpan w:val="7"/>
            <w:tcBorders>
              <w:top w:val="single" w:sz="4" w:space="0" w:color="auto"/>
              <w:bottom w:val="single" w:sz="4" w:space="0" w:color="auto"/>
            </w:tcBorders>
          </w:tcPr>
          <w:p w14:paraId="433BF3F7" w14:textId="6755F35A" w:rsidR="00C70C5D" w:rsidRPr="009E683B" w:rsidRDefault="00C70C5D" w:rsidP="00750623">
            <w:pPr>
              <w:pStyle w:val="TableText"/>
              <w:rPr>
                <w:szCs w:val="20"/>
              </w:rPr>
            </w:pPr>
            <w:r w:rsidRPr="009E683B">
              <w:rPr>
                <w:b/>
                <w:szCs w:val="20"/>
              </w:rPr>
              <w:t>Scenario 2: Utilisation and impact of BPAs and Obizur based on quantities forecasted from the dispensed amounts in the ABDR 2019-2020 annual report</w:t>
            </w:r>
            <w:r>
              <w:rPr>
                <w:b/>
                <w:szCs w:val="20"/>
              </w:rPr>
              <w:t xml:space="preserve"> </w:t>
            </w:r>
          </w:p>
        </w:tc>
      </w:tr>
      <w:tr w:rsidR="00C70C5D" w:rsidRPr="009E683B" w14:paraId="1D119B6C" w14:textId="77777777" w:rsidTr="00750623">
        <w:tc>
          <w:tcPr>
            <w:tcW w:w="9016" w:type="dxa"/>
            <w:gridSpan w:val="7"/>
            <w:shd w:val="clear" w:color="auto" w:fill="auto"/>
          </w:tcPr>
          <w:p w14:paraId="3ECB6C96" w14:textId="77777777" w:rsidR="00C70C5D" w:rsidRPr="009E683B" w:rsidRDefault="00C70C5D" w:rsidP="00750623">
            <w:pPr>
              <w:pStyle w:val="TableText"/>
              <w:rPr>
                <w:b/>
                <w:szCs w:val="20"/>
              </w:rPr>
            </w:pPr>
            <w:r w:rsidRPr="009E683B">
              <w:rPr>
                <w:b/>
                <w:szCs w:val="20"/>
              </w:rPr>
              <w:t>Without Obizur</w:t>
            </w:r>
          </w:p>
        </w:tc>
      </w:tr>
      <w:tr w:rsidR="001B2FA0" w:rsidRPr="009E683B" w14:paraId="07B2D60F" w14:textId="77777777" w:rsidTr="00E7226C">
        <w:tc>
          <w:tcPr>
            <w:tcW w:w="2183" w:type="dxa"/>
            <w:tcBorders>
              <w:top w:val="single" w:sz="4" w:space="0" w:color="auto"/>
              <w:bottom w:val="single" w:sz="4" w:space="0" w:color="auto"/>
            </w:tcBorders>
          </w:tcPr>
          <w:p w14:paraId="47844B69" w14:textId="77777777" w:rsidR="00C70C5D" w:rsidRPr="009E683B" w:rsidRDefault="00C70C5D" w:rsidP="00750623">
            <w:pPr>
              <w:pStyle w:val="TableText"/>
              <w:rPr>
                <w:szCs w:val="20"/>
              </w:rPr>
            </w:pPr>
            <w:r w:rsidRPr="009E683B">
              <w:rPr>
                <w:szCs w:val="20"/>
              </w:rPr>
              <w:t xml:space="preserve">Amount of FEIBA dispensed (Units ‘000) </w:t>
            </w:r>
          </w:p>
        </w:tc>
        <w:tc>
          <w:tcPr>
            <w:tcW w:w="1118" w:type="dxa"/>
            <w:tcBorders>
              <w:top w:val="single" w:sz="4" w:space="0" w:color="auto"/>
              <w:bottom w:val="single" w:sz="4" w:space="0" w:color="auto"/>
            </w:tcBorders>
            <w:vAlign w:val="center"/>
          </w:tcPr>
          <w:p w14:paraId="394DD86E" w14:textId="41463216"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7A74D344" w14:textId="3CFC5BD2"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6ED9D9B4" w14:textId="385B5B5C" w:rsidR="00C70C5D" w:rsidRPr="001751D9" w:rsidRDefault="009A36E1"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3681ADED" w14:textId="23CCAA9F" w:rsidR="00C70C5D" w:rsidRPr="001751D9" w:rsidRDefault="009A36E1"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27FA275A" w14:textId="7DBA5333" w:rsidR="00C70C5D" w:rsidRPr="001751D9" w:rsidRDefault="009A36E1" w:rsidP="00750623">
            <w:pPr>
              <w:pStyle w:val="TableText"/>
              <w:jc w:val="right"/>
              <w:rPr>
                <w:szCs w:val="20"/>
              </w:rPr>
            </w:pPr>
            <w:r w:rsidRPr="001751D9">
              <w:rPr>
                <w:szCs w:val="20"/>
              </w:rPr>
              <w:t>REDACTED</w:t>
            </w:r>
          </w:p>
        </w:tc>
        <w:tc>
          <w:tcPr>
            <w:tcW w:w="1243" w:type="dxa"/>
            <w:tcBorders>
              <w:top w:val="single" w:sz="4" w:space="0" w:color="auto"/>
              <w:bottom w:val="single" w:sz="4" w:space="0" w:color="auto"/>
            </w:tcBorders>
            <w:vAlign w:val="center"/>
          </w:tcPr>
          <w:p w14:paraId="42C481C2" w14:textId="35421A4D" w:rsidR="00C70C5D" w:rsidRPr="001751D9" w:rsidRDefault="009A36E1" w:rsidP="00750623">
            <w:pPr>
              <w:pStyle w:val="TableText"/>
              <w:jc w:val="right"/>
              <w:rPr>
                <w:szCs w:val="20"/>
              </w:rPr>
            </w:pPr>
            <w:r w:rsidRPr="001751D9">
              <w:rPr>
                <w:szCs w:val="20"/>
              </w:rPr>
              <w:t>REDACTED</w:t>
            </w:r>
          </w:p>
        </w:tc>
      </w:tr>
      <w:tr w:rsidR="001B2FA0" w:rsidRPr="009E683B" w14:paraId="619794E7" w14:textId="77777777" w:rsidTr="00E7226C">
        <w:tc>
          <w:tcPr>
            <w:tcW w:w="2183" w:type="dxa"/>
            <w:tcBorders>
              <w:top w:val="single" w:sz="4" w:space="0" w:color="auto"/>
              <w:bottom w:val="single" w:sz="4" w:space="0" w:color="auto"/>
            </w:tcBorders>
          </w:tcPr>
          <w:p w14:paraId="72CAA41C" w14:textId="77777777" w:rsidR="00C70C5D" w:rsidRPr="009E683B" w:rsidRDefault="00C70C5D" w:rsidP="00750623">
            <w:pPr>
              <w:pStyle w:val="TableText"/>
              <w:rPr>
                <w:szCs w:val="20"/>
              </w:rPr>
            </w:pPr>
            <w:r w:rsidRPr="009E683B">
              <w:rPr>
                <w:szCs w:val="20"/>
              </w:rPr>
              <w:t>Amount of NovoSeven dispensed (ug ‘000)</w:t>
            </w:r>
          </w:p>
        </w:tc>
        <w:tc>
          <w:tcPr>
            <w:tcW w:w="1118" w:type="dxa"/>
            <w:tcBorders>
              <w:top w:val="single" w:sz="4" w:space="0" w:color="auto"/>
              <w:bottom w:val="single" w:sz="4" w:space="0" w:color="auto"/>
            </w:tcBorders>
            <w:vAlign w:val="center"/>
          </w:tcPr>
          <w:p w14:paraId="6306BBE2" w14:textId="43F7DCB5"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1462B4BB" w14:textId="16DAD257"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29BC256E" w14:textId="63C40B20" w:rsidR="00C70C5D" w:rsidRPr="001751D9" w:rsidRDefault="009A36E1"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31F4A8FB" w14:textId="72EBBB50" w:rsidR="00C70C5D" w:rsidRPr="001751D9" w:rsidRDefault="009A36E1"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center"/>
          </w:tcPr>
          <w:p w14:paraId="12036B9F" w14:textId="587DF375" w:rsidR="00C70C5D" w:rsidRPr="001751D9" w:rsidRDefault="009A36E1" w:rsidP="00750623">
            <w:pPr>
              <w:pStyle w:val="TableText"/>
              <w:jc w:val="right"/>
              <w:rPr>
                <w:szCs w:val="20"/>
              </w:rPr>
            </w:pPr>
            <w:r w:rsidRPr="001751D9">
              <w:rPr>
                <w:szCs w:val="20"/>
              </w:rPr>
              <w:t>REDACTED</w:t>
            </w:r>
          </w:p>
        </w:tc>
        <w:tc>
          <w:tcPr>
            <w:tcW w:w="1243" w:type="dxa"/>
            <w:tcBorders>
              <w:top w:val="single" w:sz="4" w:space="0" w:color="auto"/>
              <w:bottom w:val="single" w:sz="4" w:space="0" w:color="auto"/>
            </w:tcBorders>
            <w:vAlign w:val="center"/>
          </w:tcPr>
          <w:p w14:paraId="28445C59" w14:textId="3D47D7A4" w:rsidR="00C70C5D" w:rsidRPr="001751D9" w:rsidRDefault="009A36E1" w:rsidP="00750623">
            <w:pPr>
              <w:pStyle w:val="TableText"/>
              <w:jc w:val="right"/>
              <w:rPr>
                <w:szCs w:val="20"/>
              </w:rPr>
            </w:pPr>
            <w:r w:rsidRPr="001751D9">
              <w:rPr>
                <w:szCs w:val="20"/>
              </w:rPr>
              <w:t>REDACTED</w:t>
            </w:r>
          </w:p>
        </w:tc>
      </w:tr>
      <w:tr w:rsidR="001B2FA0" w:rsidRPr="009E683B" w14:paraId="24E5C0F3" w14:textId="77777777" w:rsidTr="00E7226C">
        <w:tc>
          <w:tcPr>
            <w:tcW w:w="2183" w:type="dxa"/>
            <w:tcBorders>
              <w:top w:val="single" w:sz="4" w:space="0" w:color="auto"/>
              <w:bottom w:val="single" w:sz="4" w:space="0" w:color="auto"/>
            </w:tcBorders>
          </w:tcPr>
          <w:p w14:paraId="0F384234" w14:textId="77777777" w:rsidR="00C70C5D" w:rsidRPr="009E683B" w:rsidRDefault="00C70C5D" w:rsidP="00750623">
            <w:pPr>
              <w:pStyle w:val="TableText"/>
              <w:rPr>
                <w:szCs w:val="20"/>
              </w:rPr>
            </w:pPr>
            <w:r w:rsidRPr="009E683B">
              <w:rPr>
                <w:szCs w:val="20"/>
              </w:rPr>
              <w:t>Total cost to NBA before Obizur (‘000)</w:t>
            </w:r>
          </w:p>
        </w:tc>
        <w:tc>
          <w:tcPr>
            <w:tcW w:w="1118" w:type="dxa"/>
            <w:tcBorders>
              <w:top w:val="single" w:sz="4" w:space="0" w:color="auto"/>
              <w:bottom w:val="single" w:sz="4" w:space="0" w:color="auto"/>
            </w:tcBorders>
            <w:vAlign w:val="center"/>
          </w:tcPr>
          <w:p w14:paraId="7C508806" w14:textId="0F4A5B7D" w:rsidR="00C70C5D" w:rsidRPr="001751D9" w:rsidRDefault="00C70C5D" w:rsidP="00750623">
            <w:pPr>
              <w:pStyle w:val="TableText"/>
              <w:jc w:val="right"/>
              <w:rPr>
                <w:szCs w:val="20"/>
              </w:rPr>
            </w:pPr>
            <w:r w:rsidRPr="001751D9">
              <w:rPr>
                <w:szCs w:val="20"/>
              </w:rPr>
              <w:t>$</w:t>
            </w:r>
            <w:r w:rsidR="00FC670C" w:rsidRPr="001751D9">
              <w:rPr>
                <w:szCs w:val="20"/>
              </w:rPr>
              <w:t>REDACTED</w:t>
            </w:r>
          </w:p>
        </w:tc>
        <w:tc>
          <w:tcPr>
            <w:tcW w:w="1118" w:type="dxa"/>
            <w:tcBorders>
              <w:top w:val="single" w:sz="4" w:space="0" w:color="auto"/>
              <w:bottom w:val="single" w:sz="4" w:space="0" w:color="auto"/>
            </w:tcBorders>
            <w:vAlign w:val="center"/>
          </w:tcPr>
          <w:p w14:paraId="387F44CB" w14:textId="32A47EA3" w:rsidR="00C70C5D" w:rsidRPr="001751D9" w:rsidRDefault="00C70C5D" w:rsidP="00750623">
            <w:pPr>
              <w:pStyle w:val="TableText"/>
              <w:jc w:val="right"/>
              <w:rPr>
                <w:szCs w:val="20"/>
              </w:rPr>
            </w:pPr>
            <w:r w:rsidRPr="001751D9">
              <w:rPr>
                <w:szCs w:val="20"/>
              </w:rPr>
              <w:t>$</w:t>
            </w:r>
            <w:r w:rsidR="00FC670C" w:rsidRPr="001751D9">
              <w:rPr>
                <w:szCs w:val="20"/>
              </w:rPr>
              <w:t>REDACTED</w:t>
            </w:r>
          </w:p>
        </w:tc>
        <w:tc>
          <w:tcPr>
            <w:tcW w:w="1118" w:type="dxa"/>
            <w:tcBorders>
              <w:top w:val="single" w:sz="4" w:space="0" w:color="auto"/>
              <w:bottom w:val="single" w:sz="4" w:space="0" w:color="auto"/>
            </w:tcBorders>
            <w:vAlign w:val="center"/>
          </w:tcPr>
          <w:p w14:paraId="057EE7E8" w14:textId="08287670" w:rsidR="00C70C5D" w:rsidRPr="001751D9" w:rsidRDefault="00C70C5D" w:rsidP="00750623">
            <w:pPr>
              <w:pStyle w:val="TableText"/>
              <w:jc w:val="right"/>
              <w:rPr>
                <w:szCs w:val="20"/>
              </w:rPr>
            </w:pPr>
            <w:r w:rsidRPr="001751D9">
              <w:rPr>
                <w:szCs w:val="20"/>
              </w:rPr>
              <w:t>$</w:t>
            </w:r>
            <w:r w:rsidR="009A36E1" w:rsidRPr="001751D9">
              <w:rPr>
                <w:szCs w:val="20"/>
              </w:rPr>
              <w:t>REDACTED</w:t>
            </w:r>
          </w:p>
        </w:tc>
        <w:tc>
          <w:tcPr>
            <w:tcW w:w="1118" w:type="dxa"/>
            <w:tcBorders>
              <w:top w:val="single" w:sz="4" w:space="0" w:color="auto"/>
              <w:bottom w:val="single" w:sz="4" w:space="0" w:color="auto"/>
            </w:tcBorders>
            <w:vAlign w:val="center"/>
          </w:tcPr>
          <w:p w14:paraId="70935FAF" w14:textId="13546196" w:rsidR="00C70C5D" w:rsidRPr="001751D9" w:rsidRDefault="00C70C5D" w:rsidP="00750623">
            <w:pPr>
              <w:pStyle w:val="TableText"/>
              <w:jc w:val="right"/>
              <w:rPr>
                <w:szCs w:val="20"/>
              </w:rPr>
            </w:pPr>
            <w:r w:rsidRPr="001751D9">
              <w:rPr>
                <w:szCs w:val="20"/>
              </w:rPr>
              <w:t>$</w:t>
            </w:r>
            <w:r w:rsidR="009A36E1" w:rsidRPr="001751D9">
              <w:rPr>
                <w:szCs w:val="20"/>
              </w:rPr>
              <w:t>REDACTED</w:t>
            </w:r>
          </w:p>
        </w:tc>
        <w:tc>
          <w:tcPr>
            <w:tcW w:w="1118" w:type="dxa"/>
            <w:tcBorders>
              <w:top w:val="single" w:sz="4" w:space="0" w:color="auto"/>
              <w:bottom w:val="single" w:sz="4" w:space="0" w:color="auto"/>
            </w:tcBorders>
            <w:vAlign w:val="center"/>
          </w:tcPr>
          <w:p w14:paraId="60CAA373" w14:textId="27306221" w:rsidR="00C70C5D" w:rsidRPr="001751D9" w:rsidRDefault="00C70C5D" w:rsidP="00750623">
            <w:pPr>
              <w:pStyle w:val="TableText"/>
              <w:jc w:val="right"/>
              <w:rPr>
                <w:szCs w:val="20"/>
              </w:rPr>
            </w:pPr>
            <w:r w:rsidRPr="001751D9">
              <w:rPr>
                <w:szCs w:val="20"/>
              </w:rPr>
              <w:t>$</w:t>
            </w:r>
            <w:r w:rsidR="009A36E1" w:rsidRPr="001751D9">
              <w:rPr>
                <w:szCs w:val="20"/>
              </w:rPr>
              <w:t>REDACTED</w:t>
            </w:r>
          </w:p>
        </w:tc>
        <w:tc>
          <w:tcPr>
            <w:tcW w:w="1243" w:type="dxa"/>
            <w:tcBorders>
              <w:top w:val="single" w:sz="4" w:space="0" w:color="auto"/>
              <w:bottom w:val="single" w:sz="4" w:space="0" w:color="auto"/>
            </w:tcBorders>
            <w:vAlign w:val="center"/>
          </w:tcPr>
          <w:p w14:paraId="58ED5BC0" w14:textId="2C64D27F" w:rsidR="00C70C5D" w:rsidRPr="001751D9" w:rsidRDefault="00C70C5D" w:rsidP="00750623">
            <w:pPr>
              <w:pStyle w:val="TableText"/>
              <w:jc w:val="right"/>
              <w:rPr>
                <w:szCs w:val="20"/>
              </w:rPr>
            </w:pPr>
            <w:r w:rsidRPr="001751D9">
              <w:rPr>
                <w:szCs w:val="20"/>
              </w:rPr>
              <w:t>$</w:t>
            </w:r>
            <w:r w:rsidR="009A36E1" w:rsidRPr="001751D9">
              <w:rPr>
                <w:szCs w:val="20"/>
              </w:rPr>
              <w:t>REDACTED</w:t>
            </w:r>
          </w:p>
        </w:tc>
      </w:tr>
      <w:tr w:rsidR="001B2FA0" w:rsidRPr="009E683B" w14:paraId="5AEBCF46" w14:textId="77777777" w:rsidTr="00E7226C">
        <w:tc>
          <w:tcPr>
            <w:tcW w:w="2183" w:type="dxa"/>
            <w:tcBorders>
              <w:top w:val="single" w:sz="4" w:space="0" w:color="auto"/>
              <w:bottom w:val="single" w:sz="4" w:space="0" w:color="auto"/>
            </w:tcBorders>
          </w:tcPr>
          <w:p w14:paraId="52EC772C" w14:textId="237B967C" w:rsidR="003D18CF" w:rsidRPr="009E683B" w:rsidRDefault="003D18CF" w:rsidP="003D18CF">
            <w:pPr>
              <w:pStyle w:val="TableText"/>
              <w:rPr>
                <w:szCs w:val="20"/>
              </w:rPr>
            </w:pPr>
            <w:r w:rsidRPr="009E683B">
              <w:rPr>
                <w:szCs w:val="20"/>
              </w:rPr>
              <w:t>Total cost to NBA before Obizur</w:t>
            </w:r>
            <w:r>
              <w:rPr>
                <w:b/>
                <w:szCs w:val="20"/>
                <w:vertAlign w:val="superscript"/>
              </w:rPr>
              <w:t xml:space="preserve"> </w:t>
            </w:r>
            <w:r w:rsidRPr="00713053">
              <w:rPr>
                <w:szCs w:val="20"/>
                <w:vertAlign w:val="superscript"/>
              </w:rPr>
              <w:t>a</w:t>
            </w:r>
            <w:r w:rsidRPr="00713053">
              <w:rPr>
                <w:szCs w:val="20"/>
              </w:rPr>
              <w:t xml:space="preserve"> (‘000)</w:t>
            </w:r>
          </w:p>
        </w:tc>
        <w:tc>
          <w:tcPr>
            <w:tcW w:w="1118" w:type="dxa"/>
            <w:tcBorders>
              <w:top w:val="single" w:sz="4" w:space="0" w:color="auto"/>
              <w:bottom w:val="single" w:sz="4" w:space="0" w:color="auto"/>
            </w:tcBorders>
            <w:vAlign w:val="bottom"/>
          </w:tcPr>
          <w:p w14:paraId="54A4A82D" w14:textId="32EC1A85" w:rsidR="003D18CF" w:rsidRPr="001751D9" w:rsidRDefault="003D18CF" w:rsidP="003D18CF">
            <w:pPr>
              <w:pStyle w:val="TableText"/>
              <w:jc w:val="right"/>
              <w:rPr>
                <w:szCs w:val="20"/>
              </w:rPr>
            </w:pPr>
            <w:r w:rsidRPr="001751D9">
              <w:rPr>
                <w:rFonts w:cs="Calibri"/>
                <w:color w:val="000000"/>
                <w:szCs w:val="20"/>
              </w:rPr>
              <w:t>$</w:t>
            </w:r>
            <w:r w:rsidR="00FC670C" w:rsidRPr="001751D9">
              <w:rPr>
                <w:rFonts w:cs="Calibri"/>
                <w:color w:val="000000"/>
                <w:szCs w:val="20"/>
              </w:rPr>
              <w:t>REDACTED</w:t>
            </w:r>
          </w:p>
        </w:tc>
        <w:tc>
          <w:tcPr>
            <w:tcW w:w="1118" w:type="dxa"/>
            <w:tcBorders>
              <w:top w:val="single" w:sz="4" w:space="0" w:color="auto"/>
              <w:bottom w:val="single" w:sz="4" w:space="0" w:color="auto"/>
            </w:tcBorders>
            <w:vAlign w:val="bottom"/>
          </w:tcPr>
          <w:p w14:paraId="4BD4B458" w14:textId="26C225A0" w:rsidR="003D18CF" w:rsidRPr="001751D9" w:rsidRDefault="003D18CF" w:rsidP="003D18CF">
            <w:pPr>
              <w:pStyle w:val="TableText"/>
              <w:jc w:val="right"/>
              <w:rPr>
                <w:szCs w:val="20"/>
              </w:rPr>
            </w:pPr>
            <w:r w:rsidRPr="001751D9">
              <w:rPr>
                <w:rFonts w:cs="Calibri"/>
                <w:color w:val="000000"/>
                <w:szCs w:val="20"/>
              </w:rPr>
              <w:t>$</w:t>
            </w:r>
            <w:r w:rsidR="00FC670C" w:rsidRPr="001751D9">
              <w:rPr>
                <w:rFonts w:cs="Calibri"/>
                <w:color w:val="000000"/>
                <w:szCs w:val="20"/>
              </w:rPr>
              <w:t>REDACTED</w:t>
            </w:r>
          </w:p>
        </w:tc>
        <w:tc>
          <w:tcPr>
            <w:tcW w:w="1118" w:type="dxa"/>
            <w:tcBorders>
              <w:top w:val="single" w:sz="4" w:space="0" w:color="auto"/>
              <w:bottom w:val="single" w:sz="4" w:space="0" w:color="auto"/>
            </w:tcBorders>
            <w:vAlign w:val="bottom"/>
          </w:tcPr>
          <w:p w14:paraId="3A176052" w14:textId="012A45A4" w:rsidR="003D18CF" w:rsidRPr="001751D9" w:rsidRDefault="003D18CF" w:rsidP="003D18CF">
            <w:pPr>
              <w:pStyle w:val="TableText"/>
              <w:jc w:val="right"/>
              <w:rPr>
                <w:szCs w:val="20"/>
              </w:rPr>
            </w:pPr>
            <w:r w:rsidRPr="001751D9">
              <w:rPr>
                <w:rFonts w:cs="Calibri"/>
                <w:color w:val="000000"/>
                <w:szCs w:val="20"/>
              </w:rPr>
              <w:t>$</w:t>
            </w:r>
            <w:r w:rsidR="00FC670C" w:rsidRPr="001751D9">
              <w:rPr>
                <w:rFonts w:cs="Calibri"/>
                <w:color w:val="000000"/>
                <w:szCs w:val="20"/>
              </w:rPr>
              <w:t>REDACTED</w:t>
            </w:r>
          </w:p>
        </w:tc>
        <w:tc>
          <w:tcPr>
            <w:tcW w:w="1118" w:type="dxa"/>
            <w:tcBorders>
              <w:top w:val="single" w:sz="4" w:space="0" w:color="auto"/>
              <w:bottom w:val="single" w:sz="4" w:space="0" w:color="auto"/>
            </w:tcBorders>
            <w:vAlign w:val="bottom"/>
          </w:tcPr>
          <w:p w14:paraId="2DD70727" w14:textId="4DBE683D" w:rsidR="003D18CF" w:rsidRPr="001751D9" w:rsidRDefault="003D18CF" w:rsidP="003D18CF">
            <w:pPr>
              <w:pStyle w:val="TableText"/>
              <w:jc w:val="right"/>
              <w:rPr>
                <w:szCs w:val="20"/>
              </w:rPr>
            </w:pPr>
            <w:r w:rsidRPr="001751D9">
              <w:rPr>
                <w:rFonts w:cs="Calibri"/>
                <w:color w:val="000000"/>
                <w:szCs w:val="20"/>
              </w:rPr>
              <w:t>$</w:t>
            </w:r>
            <w:r w:rsidR="00FC670C" w:rsidRPr="001751D9">
              <w:rPr>
                <w:rFonts w:cs="Calibri"/>
                <w:color w:val="000000"/>
                <w:szCs w:val="20"/>
              </w:rPr>
              <w:t>REDACTED</w:t>
            </w:r>
          </w:p>
        </w:tc>
        <w:tc>
          <w:tcPr>
            <w:tcW w:w="1118" w:type="dxa"/>
            <w:tcBorders>
              <w:top w:val="single" w:sz="4" w:space="0" w:color="auto"/>
              <w:bottom w:val="single" w:sz="4" w:space="0" w:color="auto"/>
            </w:tcBorders>
            <w:vAlign w:val="bottom"/>
          </w:tcPr>
          <w:p w14:paraId="2D3A2315" w14:textId="1CB1C6D4" w:rsidR="003D18CF" w:rsidRPr="001751D9" w:rsidRDefault="003D18CF" w:rsidP="003D18CF">
            <w:pPr>
              <w:pStyle w:val="TableText"/>
              <w:jc w:val="right"/>
              <w:rPr>
                <w:szCs w:val="20"/>
              </w:rPr>
            </w:pPr>
            <w:r w:rsidRPr="001751D9">
              <w:rPr>
                <w:rFonts w:cs="Calibri"/>
                <w:color w:val="000000"/>
                <w:szCs w:val="20"/>
              </w:rPr>
              <w:t>$</w:t>
            </w:r>
            <w:r w:rsidR="00FC670C" w:rsidRPr="001751D9">
              <w:rPr>
                <w:rFonts w:cs="Calibri"/>
                <w:color w:val="000000"/>
                <w:szCs w:val="20"/>
              </w:rPr>
              <w:t>REDACTED</w:t>
            </w:r>
          </w:p>
        </w:tc>
        <w:tc>
          <w:tcPr>
            <w:tcW w:w="1243" w:type="dxa"/>
            <w:tcBorders>
              <w:top w:val="single" w:sz="4" w:space="0" w:color="auto"/>
              <w:bottom w:val="single" w:sz="4" w:space="0" w:color="auto"/>
            </w:tcBorders>
            <w:vAlign w:val="bottom"/>
          </w:tcPr>
          <w:p w14:paraId="2A60B426" w14:textId="15555BE3" w:rsidR="003D18CF" w:rsidRPr="001751D9" w:rsidRDefault="003D18CF" w:rsidP="003D18CF">
            <w:pPr>
              <w:pStyle w:val="TableText"/>
              <w:jc w:val="right"/>
              <w:rPr>
                <w:szCs w:val="20"/>
              </w:rPr>
            </w:pPr>
            <w:r w:rsidRPr="001751D9">
              <w:rPr>
                <w:rFonts w:cs="Calibri"/>
                <w:color w:val="000000"/>
                <w:szCs w:val="20"/>
              </w:rPr>
              <w:t>$</w:t>
            </w:r>
            <w:r w:rsidR="00FC670C" w:rsidRPr="001751D9">
              <w:rPr>
                <w:rFonts w:cs="Calibri"/>
                <w:color w:val="000000"/>
                <w:szCs w:val="20"/>
              </w:rPr>
              <w:t>REDACTED</w:t>
            </w:r>
          </w:p>
        </w:tc>
      </w:tr>
      <w:tr w:rsidR="00C70C5D" w:rsidRPr="009E683B" w14:paraId="1F1C73A6" w14:textId="77777777" w:rsidTr="00750623">
        <w:tc>
          <w:tcPr>
            <w:tcW w:w="9016" w:type="dxa"/>
            <w:gridSpan w:val="7"/>
            <w:tcBorders>
              <w:top w:val="single" w:sz="4" w:space="0" w:color="auto"/>
              <w:bottom w:val="single" w:sz="4" w:space="0" w:color="auto"/>
            </w:tcBorders>
            <w:vAlign w:val="center"/>
          </w:tcPr>
          <w:p w14:paraId="1D27E8D8" w14:textId="77777777" w:rsidR="00C70C5D" w:rsidRPr="001B2FA0" w:rsidRDefault="00C70C5D" w:rsidP="00750623">
            <w:pPr>
              <w:pStyle w:val="TableText"/>
              <w:rPr>
                <w:b/>
                <w:szCs w:val="20"/>
              </w:rPr>
            </w:pPr>
            <w:r w:rsidRPr="001B2FA0">
              <w:rPr>
                <w:b/>
                <w:szCs w:val="20"/>
              </w:rPr>
              <w:t>With Obizur</w:t>
            </w:r>
          </w:p>
        </w:tc>
      </w:tr>
      <w:tr w:rsidR="001B2FA0" w:rsidRPr="009E683B" w14:paraId="28F60AAF" w14:textId="77777777" w:rsidTr="00E7226C">
        <w:tc>
          <w:tcPr>
            <w:tcW w:w="2183" w:type="dxa"/>
            <w:tcBorders>
              <w:top w:val="single" w:sz="4" w:space="0" w:color="auto"/>
              <w:bottom w:val="single" w:sz="4" w:space="0" w:color="auto"/>
            </w:tcBorders>
          </w:tcPr>
          <w:p w14:paraId="218D5E3B" w14:textId="77777777" w:rsidR="00C70C5D" w:rsidRPr="009E683B" w:rsidRDefault="00C70C5D" w:rsidP="00750623">
            <w:pPr>
              <w:pStyle w:val="TableText"/>
              <w:rPr>
                <w:szCs w:val="20"/>
              </w:rPr>
            </w:pPr>
            <w:r w:rsidRPr="009E683B">
              <w:rPr>
                <w:szCs w:val="20"/>
              </w:rPr>
              <w:t xml:space="preserve">Amount of FEIBA dispensed (Units ‘000) </w:t>
            </w:r>
          </w:p>
        </w:tc>
        <w:tc>
          <w:tcPr>
            <w:tcW w:w="1118" w:type="dxa"/>
            <w:tcBorders>
              <w:top w:val="single" w:sz="4" w:space="0" w:color="auto"/>
              <w:bottom w:val="single" w:sz="4" w:space="0" w:color="auto"/>
            </w:tcBorders>
            <w:vAlign w:val="bottom"/>
          </w:tcPr>
          <w:p w14:paraId="4764B661" w14:textId="06B2D52E"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bottom"/>
          </w:tcPr>
          <w:p w14:paraId="7DB582DF" w14:textId="15A904A7"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bottom"/>
          </w:tcPr>
          <w:p w14:paraId="376AAAD6" w14:textId="10244453"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bottom"/>
          </w:tcPr>
          <w:p w14:paraId="1228971B" w14:textId="5A5DECD5"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bottom"/>
          </w:tcPr>
          <w:p w14:paraId="3A39A599" w14:textId="6053888F" w:rsidR="00C70C5D" w:rsidRPr="001751D9" w:rsidRDefault="00FC670C" w:rsidP="00750623">
            <w:pPr>
              <w:pStyle w:val="TableText"/>
              <w:jc w:val="right"/>
              <w:rPr>
                <w:szCs w:val="20"/>
              </w:rPr>
            </w:pPr>
            <w:r w:rsidRPr="001751D9">
              <w:rPr>
                <w:szCs w:val="20"/>
              </w:rPr>
              <w:t>REDACTED</w:t>
            </w:r>
          </w:p>
        </w:tc>
        <w:tc>
          <w:tcPr>
            <w:tcW w:w="1243" w:type="dxa"/>
            <w:tcBorders>
              <w:top w:val="single" w:sz="4" w:space="0" w:color="auto"/>
              <w:bottom w:val="single" w:sz="4" w:space="0" w:color="auto"/>
            </w:tcBorders>
            <w:vAlign w:val="bottom"/>
          </w:tcPr>
          <w:p w14:paraId="5092C0AA" w14:textId="5587E320" w:rsidR="00C70C5D" w:rsidRPr="001751D9" w:rsidRDefault="00FC670C" w:rsidP="00750623">
            <w:pPr>
              <w:pStyle w:val="TableText"/>
              <w:jc w:val="right"/>
              <w:rPr>
                <w:szCs w:val="20"/>
              </w:rPr>
            </w:pPr>
            <w:r w:rsidRPr="001751D9">
              <w:rPr>
                <w:szCs w:val="20"/>
              </w:rPr>
              <w:t>REDACTED</w:t>
            </w:r>
          </w:p>
        </w:tc>
      </w:tr>
      <w:tr w:rsidR="001B2FA0" w:rsidRPr="009E683B" w14:paraId="37D01318" w14:textId="77777777" w:rsidTr="00E7226C">
        <w:trPr>
          <w:trHeight w:val="197"/>
        </w:trPr>
        <w:tc>
          <w:tcPr>
            <w:tcW w:w="2183" w:type="dxa"/>
            <w:tcBorders>
              <w:top w:val="single" w:sz="4" w:space="0" w:color="auto"/>
              <w:bottom w:val="single" w:sz="4" w:space="0" w:color="auto"/>
            </w:tcBorders>
          </w:tcPr>
          <w:p w14:paraId="020495A6" w14:textId="77777777" w:rsidR="00C70C5D" w:rsidRPr="009E683B" w:rsidRDefault="00C70C5D" w:rsidP="00750623">
            <w:pPr>
              <w:pStyle w:val="TableText"/>
              <w:rPr>
                <w:szCs w:val="20"/>
              </w:rPr>
            </w:pPr>
            <w:r w:rsidRPr="009E683B">
              <w:rPr>
                <w:szCs w:val="20"/>
              </w:rPr>
              <w:t>Amount of NovoSeven dispensed (ug ‘000)</w:t>
            </w:r>
          </w:p>
        </w:tc>
        <w:tc>
          <w:tcPr>
            <w:tcW w:w="1118" w:type="dxa"/>
            <w:tcBorders>
              <w:top w:val="single" w:sz="4" w:space="0" w:color="auto"/>
              <w:bottom w:val="single" w:sz="4" w:space="0" w:color="auto"/>
            </w:tcBorders>
            <w:vAlign w:val="bottom"/>
          </w:tcPr>
          <w:p w14:paraId="04EDAC05" w14:textId="592135A4"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bottom"/>
          </w:tcPr>
          <w:p w14:paraId="2CECDD77" w14:textId="480483BD" w:rsidR="00C70C5D" w:rsidRPr="001751D9" w:rsidRDefault="009A36E1" w:rsidP="00750623">
            <w:pPr>
              <w:pStyle w:val="TableText"/>
              <w:jc w:val="right"/>
              <w:rPr>
                <w:szCs w:val="20"/>
              </w:rPr>
            </w:pPr>
            <w:r w:rsidRPr="001751D9">
              <w:rPr>
                <w:szCs w:val="20"/>
              </w:rPr>
              <w:t>R</w:t>
            </w:r>
            <w:r w:rsidR="00FC670C" w:rsidRPr="001751D9">
              <w:rPr>
                <w:szCs w:val="20"/>
              </w:rPr>
              <w:t>EDACTED</w:t>
            </w:r>
          </w:p>
        </w:tc>
        <w:tc>
          <w:tcPr>
            <w:tcW w:w="1118" w:type="dxa"/>
            <w:tcBorders>
              <w:top w:val="single" w:sz="4" w:space="0" w:color="auto"/>
              <w:bottom w:val="single" w:sz="4" w:space="0" w:color="auto"/>
            </w:tcBorders>
            <w:vAlign w:val="bottom"/>
          </w:tcPr>
          <w:p w14:paraId="15F8D7B2" w14:textId="0F0BBC93"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bottom"/>
          </w:tcPr>
          <w:p w14:paraId="0677781C" w14:textId="703EB3C3"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bottom"/>
          </w:tcPr>
          <w:p w14:paraId="30477AFD" w14:textId="30833255" w:rsidR="00C70C5D" w:rsidRPr="001751D9" w:rsidRDefault="00FC670C" w:rsidP="00750623">
            <w:pPr>
              <w:pStyle w:val="TableText"/>
              <w:jc w:val="right"/>
              <w:rPr>
                <w:szCs w:val="20"/>
              </w:rPr>
            </w:pPr>
            <w:r w:rsidRPr="001751D9">
              <w:rPr>
                <w:szCs w:val="20"/>
              </w:rPr>
              <w:t>REDACTED</w:t>
            </w:r>
          </w:p>
        </w:tc>
        <w:tc>
          <w:tcPr>
            <w:tcW w:w="1243" w:type="dxa"/>
            <w:tcBorders>
              <w:top w:val="single" w:sz="4" w:space="0" w:color="auto"/>
              <w:bottom w:val="single" w:sz="4" w:space="0" w:color="auto"/>
            </w:tcBorders>
            <w:vAlign w:val="bottom"/>
          </w:tcPr>
          <w:p w14:paraId="41460F91" w14:textId="7E094284" w:rsidR="00C70C5D" w:rsidRPr="001751D9" w:rsidRDefault="00FC670C" w:rsidP="00750623">
            <w:pPr>
              <w:pStyle w:val="TableText"/>
              <w:jc w:val="right"/>
              <w:rPr>
                <w:szCs w:val="20"/>
              </w:rPr>
            </w:pPr>
            <w:r w:rsidRPr="001751D9">
              <w:rPr>
                <w:szCs w:val="20"/>
              </w:rPr>
              <w:t>REDACTED</w:t>
            </w:r>
          </w:p>
        </w:tc>
      </w:tr>
      <w:tr w:rsidR="001B2FA0" w:rsidRPr="009E683B" w14:paraId="75A3B7BD" w14:textId="77777777" w:rsidTr="00E7226C">
        <w:trPr>
          <w:trHeight w:val="197"/>
        </w:trPr>
        <w:tc>
          <w:tcPr>
            <w:tcW w:w="2183" w:type="dxa"/>
            <w:tcBorders>
              <w:top w:val="single" w:sz="4" w:space="0" w:color="auto"/>
              <w:bottom w:val="single" w:sz="4" w:space="0" w:color="auto"/>
            </w:tcBorders>
          </w:tcPr>
          <w:p w14:paraId="4479409B" w14:textId="77777777" w:rsidR="00C70C5D" w:rsidRPr="009E683B" w:rsidRDefault="00C70C5D" w:rsidP="00750623">
            <w:pPr>
              <w:pStyle w:val="TableText"/>
              <w:rPr>
                <w:szCs w:val="20"/>
              </w:rPr>
            </w:pPr>
            <w:r w:rsidRPr="009E683B">
              <w:rPr>
                <w:szCs w:val="20"/>
              </w:rPr>
              <w:t>Amount of Obizur dispensed (Units ‘000)</w:t>
            </w:r>
          </w:p>
        </w:tc>
        <w:tc>
          <w:tcPr>
            <w:tcW w:w="1118" w:type="dxa"/>
            <w:tcBorders>
              <w:top w:val="single" w:sz="4" w:space="0" w:color="auto"/>
              <w:bottom w:val="single" w:sz="4" w:space="0" w:color="auto"/>
            </w:tcBorders>
            <w:vAlign w:val="bottom"/>
          </w:tcPr>
          <w:p w14:paraId="7AB05FAF" w14:textId="4449BEB5"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bottom"/>
          </w:tcPr>
          <w:p w14:paraId="5B53B38F" w14:textId="5C26103A"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bottom"/>
          </w:tcPr>
          <w:p w14:paraId="351C5FDF" w14:textId="3B495F2E"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bottom"/>
          </w:tcPr>
          <w:p w14:paraId="1C96CF92" w14:textId="08D546F3" w:rsidR="00C70C5D" w:rsidRPr="001751D9" w:rsidRDefault="00FC670C" w:rsidP="00750623">
            <w:pPr>
              <w:pStyle w:val="TableText"/>
              <w:jc w:val="right"/>
              <w:rPr>
                <w:szCs w:val="20"/>
              </w:rPr>
            </w:pPr>
            <w:r w:rsidRPr="001751D9">
              <w:rPr>
                <w:szCs w:val="20"/>
              </w:rPr>
              <w:t>REDACTED</w:t>
            </w:r>
          </w:p>
        </w:tc>
        <w:tc>
          <w:tcPr>
            <w:tcW w:w="1118" w:type="dxa"/>
            <w:tcBorders>
              <w:top w:val="single" w:sz="4" w:space="0" w:color="auto"/>
              <w:bottom w:val="single" w:sz="4" w:space="0" w:color="auto"/>
            </w:tcBorders>
            <w:vAlign w:val="bottom"/>
          </w:tcPr>
          <w:p w14:paraId="60A5DA8B" w14:textId="790F8694" w:rsidR="00C70C5D" w:rsidRPr="001751D9" w:rsidRDefault="00FC670C" w:rsidP="00750623">
            <w:pPr>
              <w:pStyle w:val="TableText"/>
              <w:jc w:val="right"/>
              <w:rPr>
                <w:szCs w:val="20"/>
              </w:rPr>
            </w:pPr>
            <w:r w:rsidRPr="001751D9">
              <w:rPr>
                <w:szCs w:val="20"/>
              </w:rPr>
              <w:t>REDACTED</w:t>
            </w:r>
          </w:p>
        </w:tc>
        <w:tc>
          <w:tcPr>
            <w:tcW w:w="1243" w:type="dxa"/>
            <w:tcBorders>
              <w:top w:val="single" w:sz="4" w:space="0" w:color="auto"/>
              <w:bottom w:val="single" w:sz="4" w:space="0" w:color="auto"/>
            </w:tcBorders>
            <w:vAlign w:val="bottom"/>
          </w:tcPr>
          <w:p w14:paraId="55BE03C6" w14:textId="2E3B3A08" w:rsidR="00C70C5D" w:rsidRPr="001751D9" w:rsidRDefault="00FC670C" w:rsidP="00750623">
            <w:pPr>
              <w:pStyle w:val="TableText"/>
              <w:jc w:val="right"/>
              <w:rPr>
                <w:szCs w:val="20"/>
              </w:rPr>
            </w:pPr>
            <w:r w:rsidRPr="001751D9">
              <w:rPr>
                <w:szCs w:val="20"/>
              </w:rPr>
              <w:t>REDACTED</w:t>
            </w:r>
          </w:p>
        </w:tc>
      </w:tr>
      <w:tr w:rsidR="001B2FA0" w:rsidRPr="009E683B" w14:paraId="0A803BDA" w14:textId="77777777" w:rsidTr="00E7226C">
        <w:trPr>
          <w:trHeight w:val="197"/>
        </w:trPr>
        <w:tc>
          <w:tcPr>
            <w:tcW w:w="2183" w:type="dxa"/>
            <w:tcBorders>
              <w:top w:val="single" w:sz="4" w:space="0" w:color="auto"/>
              <w:bottom w:val="single" w:sz="4" w:space="0" w:color="auto"/>
            </w:tcBorders>
          </w:tcPr>
          <w:p w14:paraId="24CCD4AF" w14:textId="77777777" w:rsidR="00C70C5D" w:rsidRPr="009E683B" w:rsidRDefault="00C70C5D" w:rsidP="00750623">
            <w:pPr>
              <w:pStyle w:val="TableText"/>
              <w:rPr>
                <w:szCs w:val="20"/>
              </w:rPr>
            </w:pPr>
            <w:r w:rsidRPr="009E683B">
              <w:rPr>
                <w:szCs w:val="20"/>
              </w:rPr>
              <w:t>Total cost to NBA after Obizur (‘000)</w:t>
            </w:r>
          </w:p>
        </w:tc>
        <w:tc>
          <w:tcPr>
            <w:tcW w:w="1118" w:type="dxa"/>
            <w:tcBorders>
              <w:top w:val="single" w:sz="4" w:space="0" w:color="auto"/>
              <w:bottom w:val="single" w:sz="4" w:space="0" w:color="auto"/>
            </w:tcBorders>
            <w:vAlign w:val="bottom"/>
          </w:tcPr>
          <w:p w14:paraId="6107FD56" w14:textId="312E0040" w:rsidR="00C70C5D" w:rsidRPr="001751D9" w:rsidRDefault="00C70C5D" w:rsidP="00750623">
            <w:pPr>
              <w:pStyle w:val="TableText"/>
              <w:jc w:val="right"/>
              <w:rPr>
                <w:szCs w:val="20"/>
              </w:rPr>
            </w:pPr>
            <w:r w:rsidRPr="001751D9">
              <w:rPr>
                <w:szCs w:val="20"/>
              </w:rPr>
              <w:t>$</w:t>
            </w:r>
            <w:r w:rsidR="00FC670C" w:rsidRPr="001751D9">
              <w:rPr>
                <w:szCs w:val="20"/>
              </w:rPr>
              <w:t>REDACTED</w:t>
            </w:r>
          </w:p>
        </w:tc>
        <w:tc>
          <w:tcPr>
            <w:tcW w:w="1118" w:type="dxa"/>
            <w:tcBorders>
              <w:top w:val="single" w:sz="4" w:space="0" w:color="auto"/>
              <w:bottom w:val="single" w:sz="4" w:space="0" w:color="auto"/>
            </w:tcBorders>
            <w:vAlign w:val="bottom"/>
          </w:tcPr>
          <w:p w14:paraId="0A8EBC30" w14:textId="4CCC6BB2" w:rsidR="00C70C5D" w:rsidRPr="001751D9" w:rsidRDefault="00C70C5D" w:rsidP="00750623">
            <w:pPr>
              <w:pStyle w:val="TableText"/>
              <w:jc w:val="right"/>
              <w:rPr>
                <w:szCs w:val="20"/>
              </w:rPr>
            </w:pPr>
            <w:r w:rsidRPr="001751D9">
              <w:rPr>
                <w:szCs w:val="20"/>
              </w:rPr>
              <w:t>$</w:t>
            </w:r>
            <w:r w:rsidR="00FC670C" w:rsidRPr="001751D9">
              <w:rPr>
                <w:szCs w:val="20"/>
              </w:rPr>
              <w:t>REDACTED</w:t>
            </w:r>
          </w:p>
        </w:tc>
        <w:tc>
          <w:tcPr>
            <w:tcW w:w="1118" w:type="dxa"/>
            <w:tcBorders>
              <w:top w:val="single" w:sz="4" w:space="0" w:color="auto"/>
              <w:bottom w:val="single" w:sz="4" w:space="0" w:color="auto"/>
            </w:tcBorders>
            <w:vAlign w:val="bottom"/>
          </w:tcPr>
          <w:p w14:paraId="20D63F27" w14:textId="594C5A56" w:rsidR="00C70C5D" w:rsidRPr="001751D9" w:rsidRDefault="00C70C5D" w:rsidP="00750623">
            <w:pPr>
              <w:pStyle w:val="TableText"/>
              <w:jc w:val="right"/>
              <w:rPr>
                <w:szCs w:val="20"/>
              </w:rPr>
            </w:pPr>
            <w:r w:rsidRPr="001751D9">
              <w:rPr>
                <w:szCs w:val="20"/>
              </w:rPr>
              <w:t>$</w:t>
            </w:r>
            <w:r w:rsidR="00FC670C" w:rsidRPr="001751D9">
              <w:rPr>
                <w:szCs w:val="20"/>
              </w:rPr>
              <w:t>REDACTED</w:t>
            </w:r>
          </w:p>
        </w:tc>
        <w:tc>
          <w:tcPr>
            <w:tcW w:w="1118" w:type="dxa"/>
            <w:tcBorders>
              <w:top w:val="single" w:sz="4" w:space="0" w:color="auto"/>
              <w:bottom w:val="single" w:sz="4" w:space="0" w:color="auto"/>
            </w:tcBorders>
            <w:vAlign w:val="bottom"/>
          </w:tcPr>
          <w:p w14:paraId="56417A1B" w14:textId="61328ACE" w:rsidR="00C70C5D" w:rsidRPr="001751D9" w:rsidRDefault="00C70C5D" w:rsidP="00750623">
            <w:pPr>
              <w:pStyle w:val="TableText"/>
              <w:jc w:val="right"/>
              <w:rPr>
                <w:szCs w:val="20"/>
              </w:rPr>
            </w:pPr>
            <w:r w:rsidRPr="001751D9">
              <w:rPr>
                <w:szCs w:val="20"/>
              </w:rPr>
              <w:t>$</w:t>
            </w:r>
            <w:r w:rsidR="00FC670C" w:rsidRPr="001751D9">
              <w:rPr>
                <w:szCs w:val="20"/>
              </w:rPr>
              <w:t>REDACTED</w:t>
            </w:r>
          </w:p>
        </w:tc>
        <w:tc>
          <w:tcPr>
            <w:tcW w:w="1118" w:type="dxa"/>
            <w:tcBorders>
              <w:top w:val="single" w:sz="4" w:space="0" w:color="auto"/>
              <w:bottom w:val="single" w:sz="4" w:space="0" w:color="auto"/>
            </w:tcBorders>
            <w:vAlign w:val="bottom"/>
          </w:tcPr>
          <w:p w14:paraId="28F64DD4" w14:textId="6B03DA73" w:rsidR="00C70C5D" w:rsidRPr="001751D9" w:rsidRDefault="00C70C5D" w:rsidP="00750623">
            <w:pPr>
              <w:pStyle w:val="TableText"/>
              <w:jc w:val="right"/>
              <w:rPr>
                <w:szCs w:val="20"/>
              </w:rPr>
            </w:pPr>
            <w:r w:rsidRPr="001751D9">
              <w:rPr>
                <w:szCs w:val="20"/>
              </w:rPr>
              <w:t>$</w:t>
            </w:r>
            <w:r w:rsidR="00FC670C" w:rsidRPr="001751D9">
              <w:rPr>
                <w:szCs w:val="20"/>
              </w:rPr>
              <w:t>REDACTED</w:t>
            </w:r>
          </w:p>
        </w:tc>
        <w:tc>
          <w:tcPr>
            <w:tcW w:w="1243" w:type="dxa"/>
            <w:tcBorders>
              <w:top w:val="single" w:sz="4" w:space="0" w:color="auto"/>
              <w:bottom w:val="single" w:sz="4" w:space="0" w:color="auto"/>
            </w:tcBorders>
            <w:vAlign w:val="bottom"/>
          </w:tcPr>
          <w:p w14:paraId="0C1486B3" w14:textId="0E205765" w:rsidR="00C70C5D" w:rsidRPr="001751D9" w:rsidRDefault="00C70C5D" w:rsidP="00750623">
            <w:pPr>
              <w:pStyle w:val="TableText"/>
              <w:jc w:val="right"/>
              <w:rPr>
                <w:szCs w:val="20"/>
              </w:rPr>
            </w:pPr>
            <w:r w:rsidRPr="001751D9">
              <w:rPr>
                <w:szCs w:val="20"/>
              </w:rPr>
              <w:t>$</w:t>
            </w:r>
            <w:r w:rsidR="00FC670C" w:rsidRPr="001751D9">
              <w:rPr>
                <w:szCs w:val="20"/>
              </w:rPr>
              <w:t>REDACTED</w:t>
            </w:r>
          </w:p>
        </w:tc>
      </w:tr>
      <w:tr w:rsidR="001B2FA0" w:rsidRPr="009E683B" w14:paraId="51AB90B6" w14:textId="77777777" w:rsidTr="00E7226C">
        <w:trPr>
          <w:trHeight w:val="197"/>
        </w:trPr>
        <w:tc>
          <w:tcPr>
            <w:tcW w:w="2183" w:type="dxa"/>
            <w:tcBorders>
              <w:top w:val="single" w:sz="4" w:space="0" w:color="auto"/>
              <w:bottom w:val="single" w:sz="4" w:space="0" w:color="auto"/>
            </w:tcBorders>
          </w:tcPr>
          <w:p w14:paraId="6B8A42DD" w14:textId="1F166BAF" w:rsidR="0002168D" w:rsidRPr="009E683B" w:rsidRDefault="0002168D" w:rsidP="0002168D">
            <w:pPr>
              <w:pStyle w:val="TableText"/>
              <w:rPr>
                <w:szCs w:val="20"/>
              </w:rPr>
            </w:pPr>
            <w:r w:rsidRPr="009E683B">
              <w:rPr>
                <w:szCs w:val="20"/>
              </w:rPr>
              <w:t xml:space="preserve">Total cost to NBA </w:t>
            </w:r>
            <w:r>
              <w:rPr>
                <w:szCs w:val="20"/>
              </w:rPr>
              <w:t>after</w:t>
            </w:r>
            <w:r w:rsidRPr="009E683B">
              <w:rPr>
                <w:szCs w:val="20"/>
              </w:rPr>
              <w:t xml:space="preserve"> Obizur</w:t>
            </w:r>
            <w:r>
              <w:rPr>
                <w:b/>
                <w:szCs w:val="20"/>
                <w:vertAlign w:val="superscript"/>
              </w:rPr>
              <w:t xml:space="preserve"> </w:t>
            </w:r>
            <w:r w:rsidRPr="00713053">
              <w:rPr>
                <w:szCs w:val="20"/>
                <w:vertAlign w:val="superscript"/>
              </w:rPr>
              <w:t>a</w:t>
            </w:r>
            <w:r w:rsidRPr="00713053">
              <w:rPr>
                <w:szCs w:val="20"/>
              </w:rPr>
              <w:t xml:space="preserve"> (‘000)</w:t>
            </w:r>
          </w:p>
        </w:tc>
        <w:tc>
          <w:tcPr>
            <w:tcW w:w="1118" w:type="dxa"/>
            <w:tcBorders>
              <w:top w:val="single" w:sz="4" w:space="0" w:color="auto"/>
              <w:bottom w:val="single" w:sz="4" w:space="0" w:color="auto"/>
            </w:tcBorders>
            <w:vAlign w:val="bottom"/>
          </w:tcPr>
          <w:p w14:paraId="323401DC" w14:textId="020C2A1C" w:rsidR="0002168D" w:rsidRPr="001751D9" w:rsidRDefault="0002168D" w:rsidP="0002168D">
            <w:pPr>
              <w:pStyle w:val="TableText"/>
              <w:jc w:val="right"/>
              <w:rPr>
                <w:szCs w:val="20"/>
              </w:rPr>
            </w:pPr>
            <w:r w:rsidRPr="001751D9">
              <w:rPr>
                <w:rFonts w:cs="Calibri"/>
                <w:color w:val="000000"/>
                <w:szCs w:val="20"/>
              </w:rPr>
              <w:t>$</w:t>
            </w:r>
            <w:r w:rsidR="00FC670C" w:rsidRPr="001751D9">
              <w:rPr>
                <w:rFonts w:cs="Calibri"/>
                <w:color w:val="000000"/>
                <w:szCs w:val="20"/>
              </w:rPr>
              <w:t>REDACTED</w:t>
            </w:r>
          </w:p>
        </w:tc>
        <w:tc>
          <w:tcPr>
            <w:tcW w:w="1118" w:type="dxa"/>
            <w:tcBorders>
              <w:top w:val="single" w:sz="4" w:space="0" w:color="auto"/>
              <w:bottom w:val="single" w:sz="4" w:space="0" w:color="auto"/>
            </w:tcBorders>
            <w:vAlign w:val="bottom"/>
          </w:tcPr>
          <w:p w14:paraId="10382C37" w14:textId="051863A4" w:rsidR="0002168D" w:rsidRPr="001751D9" w:rsidRDefault="0002168D" w:rsidP="0002168D">
            <w:pPr>
              <w:pStyle w:val="TableText"/>
              <w:jc w:val="right"/>
              <w:rPr>
                <w:szCs w:val="20"/>
              </w:rPr>
            </w:pPr>
            <w:r w:rsidRPr="001751D9">
              <w:rPr>
                <w:rFonts w:cs="Calibri"/>
                <w:color w:val="000000"/>
                <w:szCs w:val="20"/>
              </w:rPr>
              <w:t>$</w:t>
            </w:r>
            <w:r w:rsidR="00FC670C" w:rsidRPr="001751D9">
              <w:rPr>
                <w:rFonts w:cs="Calibri"/>
                <w:color w:val="000000"/>
                <w:szCs w:val="20"/>
              </w:rPr>
              <w:t>REDACTED</w:t>
            </w:r>
          </w:p>
        </w:tc>
        <w:tc>
          <w:tcPr>
            <w:tcW w:w="1118" w:type="dxa"/>
            <w:tcBorders>
              <w:top w:val="single" w:sz="4" w:space="0" w:color="auto"/>
              <w:bottom w:val="single" w:sz="4" w:space="0" w:color="auto"/>
            </w:tcBorders>
            <w:vAlign w:val="bottom"/>
          </w:tcPr>
          <w:p w14:paraId="560504E8" w14:textId="56C0AB78" w:rsidR="0002168D" w:rsidRPr="001751D9" w:rsidRDefault="0002168D" w:rsidP="0002168D">
            <w:pPr>
              <w:pStyle w:val="TableText"/>
              <w:jc w:val="right"/>
              <w:rPr>
                <w:szCs w:val="20"/>
              </w:rPr>
            </w:pPr>
            <w:r w:rsidRPr="001751D9">
              <w:rPr>
                <w:rFonts w:cs="Calibri"/>
                <w:color w:val="000000"/>
                <w:szCs w:val="20"/>
              </w:rPr>
              <w:t>$</w:t>
            </w:r>
            <w:r w:rsidR="00FC670C" w:rsidRPr="001751D9">
              <w:rPr>
                <w:rFonts w:cs="Calibri"/>
                <w:color w:val="000000"/>
                <w:szCs w:val="20"/>
              </w:rPr>
              <w:t>REDACTED</w:t>
            </w:r>
          </w:p>
        </w:tc>
        <w:tc>
          <w:tcPr>
            <w:tcW w:w="1118" w:type="dxa"/>
            <w:tcBorders>
              <w:top w:val="single" w:sz="4" w:space="0" w:color="auto"/>
              <w:bottom w:val="single" w:sz="4" w:space="0" w:color="auto"/>
            </w:tcBorders>
            <w:vAlign w:val="bottom"/>
          </w:tcPr>
          <w:p w14:paraId="199A2AB3" w14:textId="3C769710" w:rsidR="0002168D" w:rsidRPr="001751D9" w:rsidRDefault="0002168D" w:rsidP="0002168D">
            <w:pPr>
              <w:pStyle w:val="TableText"/>
              <w:jc w:val="right"/>
              <w:rPr>
                <w:szCs w:val="20"/>
              </w:rPr>
            </w:pPr>
            <w:r w:rsidRPr="001751D9">
              <w:rPr>
                <w:rFonts w:cs="Calibri"/>
                <w:color w:val="000000"/>
                <w:szCs w:val="20"/>
              </w:rPr>
              <w:t>$</w:t>
            </w:r>
            <w:r w:rsidR="00FC670C" w:rsidRPr="001751D9">
              <w:rPr>
                <w:rFonts w:cs="Calibri"/>
                <w:color w:val="000000"/>
                <w:szCs w:val="20"/>
              </w:rPr>
              <w:t>REDACTED</w:t>
            </w:r>
          </w:p>
        </w:tc>
        <w:tc>
          <w:tcPr>
            <w:tcW w:w="1118" w:type="dxa"/>
            <w:tcBorders>
              <w:top w:val="single" w:sz="4" w:space="0" w:color="auto"/>
              <w:bottom w:val="single" w:sz="4" w:space="0" w:color="auto"/>
            </w:tcBorders>
            <w:vAlign w:val="bottom"/>
          </w:tcPr>
          <w:p w14:paraId="4A64D684" w14:textId="0F5DF3BC" w:rsidR="0002168D" w:rsidRPr="001751D9" w:rsidRDefault="0002168D" w:rsidP="0002168D">
            <w:pPr>
              <w:pStyle w:val="TableText"/>
              <w:jc w:val="right"/>
              <w:rPr>
                <w:szCs w:val="20"/>
              </w:rPr>
            </w:pPr>
            <w:r w:rsidRPr="001751D9">
              <w:rPr>
                <w:rFonts w:cs="Calibri"/>
                <w:color w:val="000000"/>
                <w:szCs w:val="20"/>
              </w:rPr>
              <w:t>$</w:t>
            </w:r>
            <w:r w:rsidR="00FC670C" w:rsidRPr="001751D9">
              <w:rPr>
                <w:rFonts w:cs="Calibri"/>
                <w:color w:val="000000"/>
                <w:szCs w:val="20"/>
              </w:rPr>
              <w:t>REDACTED</w:t>
            </w:r>
          </w:p>
        </w:tc>
        <w:tc>
          <w:tcPr>
            <w:tcW w:w="1243" w:type="dxa"/>
            <w:tcBorders>
              <w:top w:val="single" w:sz="4" w:space="0" w:color="auto"/>
              <w:bottom w:val="single" w:sz="4" w:space="0" w:color="auto"/>
            </w:tcBorders>
            <w:vAlign w:val="bottom"/>
          </w:tcPr>
          <w:p w14:paraId="1986565B" w14:textId="6F6A474D" w:rsidR="0002168D" w:rsidRPr="001751D9" w:rsidRDefault="0002168D" w:rsidP="0002168D">
            <w:pPr>
              <w:pStyle w:val="TableText"/>
              <w:jc w:val="right"/>
              <w:rPr>
                <w:szCs w:val="20"/>
              </w:rPr>
            </w:pPr>
            <w:r w:rsidRPr="001751D9">
              <w:rPr>
                <w:rFonts w:cs="Calibri"/>
                <w:color w:val="000000"/>
                <w:szCs w:val="20"/>
              </w:rPr>
              <w:t>$</w:t>
            </w:r>
            <w:r w:rsidR="00FC670C" w:rsidRPr="001751D9">
              <w:rPr>
                <w:rFonts w:cs="Calibri"/>
                <w:color w:val="000000"/>
                <w:szCs w:val="20"/>
              </w:rPr>
              <w:t>REDACTED</w:t>
            </w:r>
          </w:p>
        </w:tc>
      </w:tr>
      <w:tr w:rsidR="001B2FA0" w:rsidRPr="009E683B" w14:paraId="30C7DCA6" w14:textId="77777777" w:rsidTr="00E7226C">
        <w:trPr>
          <w:trHeight w:val="197"/>
        </w:trPr>
        <w:tc>
          <w:tcPr>
            <w:tcW w:w="2183" w:type="dxa"/>
            <w:tcBorders>
              <w:top w:val="single" w:sz="4" w:space="0" w:color="auto"/>
              <w:bottom w:val="single" w:sz="4" w:space="0" w:color="auto"/>
            </w:tcBorders>
          </w:tcPr>
          <w:p w14:paraId="7484BDDC" w14:textId="77777777" w:rsidR="00C70C5D" w:rsidRPr="009E683B" w:rsidRDefault="00C70C5D" w:rsidP="00750623">
            <w:pPr>
              <w:pStyle w:val="TableText"/>
              <w:rPr>
                <w:b/>
                <w:szCs w:val="20"/>
              </w:rPr>
            </w:pPr>
            <w:r w:rsidRPr="009E683B">
              <w:rPr>
                <w:b/>
                <w:szCs w:val="20"/>
              </w:rPr>
              <w:t>Net cost to NBA (‘000)</w:t>
            </w:r>
          </w:p>
        </w:tc>
        <w:tc>
          <w:tcPr>
            <w:tcW w:w="1118" w:type="dxa"/>
            <w:tcBorders>
              <w:top w:val="single" w:sz="4" w:space="0" w:color="auto"/>
              <w:bottom w:val="single" w:sz="4" w:space="0" w:color="auto"/>
            </w:tcBorders>
            <w:vAlign w:val="bottom"/>
          </w:tcPr>
          <w:p w14:paraId="23748C72" w14:textId="77777777" w:rsidR="00C70C5D" w:rsidRPr="009E683B" w:rsidRDefault="00C70C5D" w:rsidP="00750623">
            <w:pPr>
              <w:pStyle w:val="TableText"/>
              <w:jc w:val="right"/>
              <w:rPr>
                <w:b/>
                <w:szCs w:val="20"/>
              </w:rPr>
            </w:pPr>
            <w:r w:rsidRPr="009E683B">
              <w:rPr>
                <w:b/>
                <w:szCs w:val="20"/>
              </w:rPr>
              <w:t>-$18</w:t>
            </w:r>
          </w:p>
        </w:tc>
        <w:tc>
          <w:tcPr>
            <w:tcW w:w="1118" w:type="dxa"/>
            <w:tcBorders>
              <w:top w:val="single" w:sz="4" w:space="0" w:color="auto"/>
              <w:bottom w:val="single" w:sz="4" w:space="0" w:color="auto"/>
            </w:tcBorders>
            <w:vAlign w:val="bottom"/>
          </w:tcPr>
          <w:p w14:paraId="493CBE11" w14:textId="77777777" w:rsidR="00C70C5D" w:rsidRPr="009E683B" w:rsidRDefault="00C70C5D" w:rsidP="00750623">
            <w:pPr>
              <w:pStyle w:val="TableText"/>
              <w:jc w:val="right"/>
              <w:rPr>
                <w:b/>
                <w:szCs w:val="20"/>
              </w:rPr>
            </w:pPr>
            <w:r w:rsidRPr="009E683B">
              <w:rPr>
                <w:b/>
                <w:szCs w:val="20"/>
              </w:rPr>
              <w:t>-$26</w:t>
            </w:r>
          </w:p>
        </w:tc>
        <w:tc>
          <w:tcPr>
            <w:tcW w:w="1118" w:type="dxa"/>
            <w:tcBorders>
              <w:top w:val="single" w:sz="4" w:space="0" w:color="auto"/>
              <w:bottom w:val="single" w:sz="4" w:space="0" w:color="auto"/>
            </w:tcBorders>
            <w:vAlign w:val="bottom"/>
          </w:tcPr>
          <w:p w14:paraId="3A54650C" w14:textId="77777777" w:rsidR="00C70C5D" w:rsidRPr="009E683B" w:rsidRDefault="00C70C5D" w:rsidP="00750623">
            <w:pPr>
              <w:pStyle w:val="TableText"/>
              <w:jc w:val="right"/>
              <w:rPr>
                <w:b/>
                <w:szCs w:val="20"/>
              </w:rPr>
            </w:pPr>
            <w:r w:rsidRPr="009E683B">
              <w:rPr>
                <w:b/>
                <w:szCs w:val="20"/>
              </w:rPr>
              <w:t>-$32</w:t>
            </w:r>
          </w:p>
        </w:tc>
        <w:tc>
          <w:tcPr>
            <w:tcW w:w="1118" w:type="dxa"/>
            <w:tcBorders>
              <w:top w:val="single" w:sz="4" w:space="0" w:color="auto"/>
              <w:bottom w:val="single" w:sz="4" w:space="0" w:color="auto"/>
            </w:tcBorders>
            <w:vAlign w:val="bottom"/>
          </w:tcPr>
          <w:p w14:paraId="52B55327" w14:textId="77777777" w:rsidR="00C70C5D" w:rsidRPr="009E683B" w:rsidRDefault="00C70C5D" w:rsidP="00750623">
            <w:pPr>
              <w:pStyle w:val="TableText"/>
              <w:jc w:val="right"/>
              <w:rPr>
                <w:b/>
                <w:szCs w:val="20"/>
              </w:rPr>
            </w:pPr>
            <w:r w:rsidRPr="009E683B">
              <w:rPr>
                <w:b/>
                <w:szCs w:val="20"/>
              </w:rPr>
              <w:t>-$35</w:t>
            </w:r>
          </w:p>
        </w:tc>
        <w:tc>
          <w:tcPr>
            <w:tcW w:w="1118" w:type="dxa"/>
            <w:tcBorders>
              <w:top w:val="single" w:sz="4" w:space="0" w:color="auto"/>
              <w:bottom w:val="single" w:sz="4" w:space="0" w:color="auto"/>
            </w:tcBorders>
            <w:vAlign w:val="bottom"/>
          </w:tcPr>
          <w:p w14:paraId="1143D830" w14:textId="77777777" w:rsidR="00C70C5D" w:rsidRPr="009E683B" w:rsidRDefault="00C70C5D" w:rsidP="00750623">
            <w:pPr>
              <w:pStyle w:val="TableText"/>
              <w:jc w:val="right"/>
              <w:rPr>
                <w:b/>
                <w:szCs w:val="20"/>
              </w:rPr>
            </w:pPr>
            <w:r w:rsidRPr="009E683B">
              <w:rPr>
                <w:b/>
                <w:szCs w:val="20"/>
              </w:rPr>
              <w:t>-$34</w:t>
            </w:r>
          </w:p>
        </w:tc>
        <w:tc>
          <w:tcPr>
            <w:tcW w:w="1243" w:type="dxa"/>
            <w:tcBorders>
              <w:top w:val="single" w:sz="4" w:space="0" w:color="auto"/>
              <w:bottom w:val="single" w:sz="4" w:space="0" w:color="auto"/>
            </w:tcBorders>
            <w:vAlign w:val="bottom"/>
          </w:tcPr>
          <w:p w14:paraId="72C954D1" w14:textId="77777777" w:rsidR="00C70C5D" w:rsidRPr="009E683B" w:rsidRDefault="00C70C5D" w:rsidP="00750623">
            <w:pPr>
              <w:pStyle w:val="TableText"/>
              <w:jc w:val="right"/>
              <w:rPr>
                <w:b/>
                <w:szCs w:val="20"/>
              </w:rPr>
            </w:pPr>
            <w:r w:rsidRPr="009E683B">
              <w:rPr>
                <w:b/>
                <w:szCs w:val="20"/>
              </w:rPr>
              <w:t>-$37</w:t>
            </w:r>
          </w:p>
        </w:tc>
      </w:tr>
      <w:tr w:rsidR="001B2FA0" w:rsidRPr="009E683B" w14:paraId="7309CF9F" w14:textId="77777777" w:rsidTr="00E7226C">
        <w:trPr>
          <w:trHeight w:val="197"/>
        </w:trPr>
        <w:tc>
          <w:tcPr>
            <w:tcW w:w="2183" w:type="dxa"/>
            <w:tcBorders>
              <w:top w:val="single" w:sz="4" w:space="0" w:color="auto"/>
              <w:bottom w:val="single" w:sz="4" w:space="0" w:color="auto"/>
            </w:tcBorders>
          </w:tcPr>
          <w:p w14:paraId="5FE6CA40" w14:textId="5A6EEC37" w:rsidR="0002168D" w:rsidRPr="009E683B" w:rsidRDefault="0002168D" w:rsidP="0002168D">
            <w:pPr>
              <w:pStyle w:val="TableText"/>
              <w:rPr>
                <w:b/>
                <w:szCs w:val="20"/>
              </w:rPr>
            </w:pPr>
            <w:r>
              <w:rPr>
                <w:b/>
                <w:szCs w:val="20"/>
              </w:rPr>
              <w:lastRenderedPageBreak/>
              <w:t xml:space="preserve">Net cost to </w:t>
            </w:r>
            <w:proofErr w:type="spellStart"/>
            <w:r>
              <w:rPr>
                <w:b/>
                <w:szCs w:val="20"/>
              </w:rPr>
              <w:t>NBA</w:t>
            </w:r>
            <w:r>
              <w:rPr>
                <w:b/>
                <w:szCs w:val="20"/>
                <w:vertAlign w:val="superscript"/>
              </w:rPr>
              <w:t>a</w:t>
            </w:r>
            <w:proofErr w:type="spellEnd"/>
            <w:r>
              <w:rPr>
                <w:b/>
                <w:szCs w:val="20"/>
              </w:rPr>
              <w:t xml:space="preserve"> (‘000)</w:t>
            </w:r>
          </w:p>
        </w:tc>
        <w:tc>
          <w:tcPr>
            <w:tcW w:w="1118" w:type="dxa"/>
            <w:tcBorders>
              <w:top w:val="single" w:sz="4" w:space="0" w:color="auto"/>
              <w:bottom w:val="single" w:sz="4" w:space="0" w:color="auto"/>
            </w:tcBorders>
            <w:vAlign w:val="bottom"/>
          </w:tcPr>
          <w:p w14:paraId="33E9D03E" w14:textId="5F9BFB01" w:rsidR="0002168D" w:rsidRPr="008078AC" w:rsidRDefault="0002168D" w:rsidP="0002168D">
            <w:pPr>
              <w:pStyle w:val="TableText"/>
              <w:jc w:val="right"/>
              <w:rPr>
                <w:b/>
                <w:szCs w:val="20"/>
              </w:rPr>
            </w:pPr>
            <w:r>
              <w:rPr>
                <w:rFonts w:cs="Calibri"/>
                <w:b/>
                <w:bCs/>
                <w:color w:val="000000"/>
                <w:szCs w:val="20"/>
              </w:rPr>
              <w:t>-$12</w:t>
            </w:r>
          </w:p>
        </w:tc>
        <w:tc>
          <w:tcPr>
            <w:tcW w:w="1118" w:type="dxa"/>
            <w:tcBorders>
              <w:top w:val="single" w:sz="4" w:space="0" w:color="auto"/>
              <w:bottom w:val="single" w:sz="4" w:space="0" w:color="auto"/>
            </w:tcBorders>
            <w:vAlign w:val="bottom"/>
          </w:tcPr>
          <w:p w14:paraId="2BE6AFF1" w14:textId="7DF9327F" w:rsidR="0002168D" w:rsidRPr="008078AC" w:rsidRDefault="0002168D" w:rsidP="0002168D">
            <w:pPr>
              <w:pStyle w:val="TableText"/>
              <w:jc w:val="right"/>
              <w:rPr>
                <w:b/>
                <w:szCs w:val="20"/>
              </w:rPr>
            </w:pPr>
            <w:r>
              <w:rPr>
                <w:rFonts w:cs="Calibri"/>
                <w:b/>
                <w:bCs/>
                <w:color w:val="000000"/>
                <w:szCs w:val="20"/>
              </w:rPr>
              <w:t>-$17</w:t>
            </w:r>
          </w:p>
        </w:tc>
        <w:tc>
          <w:tcPr>
            <w:tcW w:w="1118" w:type="dxa"/>
            <w:tcBorders>
              <w:top w:val="single" w:sz="4" w:space="0" w:color="auto"/>
              <w:bottom w:val="single" w:sz="4" w:space="0" w:color="auto"/>
            </w:tcBorders>
            <w:vAlign w:val="bottom"/>
          </w:tcPr>
          <w:p w14:paraId="4BF88D16" w14:textId="5C1329DF" w:rsidR="0002168D" w:rsidRPr="008078AC" w:rsidRDefault="0002168D" w:rsidP="0002168D">
            <w:pPr>
              <w:pStyle w:val="TableText"/>
              <w:jc w:val="right"/>
              <w:rPr>
                <w:b/>
                <w:szCs w:val="20"/>
              </w:rPr>
            </w:pPr>
            <w:r>
              <w:rPr>
                <w:rFonts w:cs="Calibri"/>
                <w:b/>
                <w:bCs/>
                <w:color w:val="000000"/>
                <w:szCs w:val="20"/>
              </w:rPr>
              <w:t>-$20</w:t>
            </w:r>
          </w:p>
        </w:tc>
        <w:tc>
          <w:tcPr>
            <w:tcW w:w="1118" w:type="dxa"/>
            <w:tcBorders>
              <w:top w:val="single" w:sz="4" w:space="0" w:color="auto"/>
              <w:bottom w:val="single" w:sz="4" w:space="0" w:color="auto"/>
            </w:tcBorders>
            <w:vAlign w:val="bottom"/>
          </w:tcPr>
          <w:p w14:paraId="19496B59" w14:textId="663A340A" w:rsidR="0002168D" w:rsidRPr="008078AC" w:rsidRDefault="0002168D" w:rsidP="0002168D">
            <w:pPr>
              <w:pStyle w:val="TableText"/>
              <w:jc w:val="right"/>
              <w:rPr>
                <w:b/>
                <w:szCs w:val="20"/>
              </w:rPr>
            </w:pPr>
            <w:r>
              <w:rPr>
                <w:rFonts w:cs="Calibri"/>
                <w:b/>
                <w:bCs/>
                <w:color w:val="000000"/>
                <w:szCs w:val="20"/>
              </w:rPr>
              <w:t>-$22</w:t>
            </w:r>
          </w:p>
        </w:tc>
        <w:tc>
          <w:tcPr>
            <w:tcW w:w="1118" w:type="dxa"/>
            <w:tcBorders>
              <w:top w:val="single" w:sz="4" w:space="0" w:color="auto"/>
              <w:bottom w:val="single" w:sz="4" w:space="0" w:color="auto"/>
            </w:tcBorders>
            <w:vAlign w:val="bottom"/>
          </w:tcPr>
          <w:p w14:paraId="30A7ED74" w14:textId="61EB5047" w:rsidR="0002168D" w:rsidRPr="008078AC" w:rsidRDefault="0002168D" w:rsidP="0002168D">
            <w:pPr>
              <w:pStyle w:val="TableText"/>
              <w:jc w:val="right"/>
              <w:rPr>
                <w:b/>
                <w:szCs w:val="20"/>
              </w:rPr>
            </w:pPr>
            <w:r>
              <w:rPr>
                <w:rFonts w:cs="Calibri"/>
                <w:b/>
                <w:bCs/>
                <w:color w:val="000000"/>
                <w:szCs w:val="20"/>
              </w:rPr>
              <w:t>-$22</w:t>
            </w:r>
          </w:p>
        </w:tc>
        <w:tc>
          <w:tcPr>
            <w:tcW w:w="1243" w:type="dxa"/>
            <w:tcBorders>
              <w:top w:val="single" w:sz="4" w:space="0" w:color="auto"/>
              <w:bottom w:val="single" w:sz="4" w:space="0" w:color="auto"/>
            </w:tcBorders>
            <w:vAlign w:val="bottom"/>
          </w:tcPr>
          <w:p w14:paraId="354D56DB" w14:textId="1B739C2C" w:rsidR="0002168D" w:rsidRPr="008078AC" w:rsidRDefault="0002168D" w:rsidP="0002168D">
            <w:pPr>
              <w:pStyle w:val="TableText"/>
              <w:jc w:val="right"/>
              <w:rPr>
                <w:b/>
                <w:szCs w:val="20"/>
              </w:rPr>
            </w:pPr>
            <w:r>
              <w:rPr>
                <w:rFonts w:cs="Calibri"/>
                <w:b/>
                <w:bCs/>
                <w:color w:val="000000"/>
                <w:szCs w:val="20"/>
              </w:rPr>
              <w:t>-$24</w:t>
            </w:r>
          </w:p>
        </w:tc>
      </w:tr>
      <w:tr w:rsidR="00C70C5D" w:rsidRPr="009E683B" w14:paraId="0D64C604" w14:textId="77777777" w:rsidTr="00750623">
        <w:trPr>
          <w:trHeight w:val="197"/>
        </w:trPr>
        <w:tc>
          <w:tcPr>
            <w:tcW w:w="9016" w:type="dxa"/>
            <w:gridSpan w:val="7"/>
            <w:tcBorders>
              <w:top w:val="single" w:sz="4" w:space="0" w:color="auto"/>
              <w:bottom w:val="single" w:sz="4" w:space="0" w:color="auto"/>
            </w:tcBorders>
            <w:vAlign w:val="center"/>
          </w:tcPr>
          <w:p w14:paraId="7E68968E" w14:textId="4104D2C8" w:rsidR="00C70C5D" w:rsidRPr="009E683B" w:rsidRDefault="00C70C5D" w:rsidP="00750623">
            <w:pPr>
              <w:pStyle w:val="TableText"/>
              <w:rPr>
                <w:b/>
                <w:szCs w:val="20"/>
              </w:rPr>
            </w:pPr>
            <w:r w:rsidRPr="009E683B">
              <w:rPr>
                <w:b/>
                <w:szCs w:val="20"/>
              </w:rPr>
              <w:t xml:space="preserve">Scenario 3: Utilisation and impact of BPAs and Obizur </w:t>
            </w:r>
            <w:r w:rsidRPr="009E683B">
              <w:rPr>
                <w:rFonts w:cs="Calibri"/>
                <w:b/>
                <w:szCs w:val="20"/>
              </w:rPr>
              <w:t xml:space="preserve">based on ADAR assumption of </w:t>
            </w:r>
            <w:r w:rsidR="00E7226C">
              <w:rPr>
                <w:rFonts w:cs="Calibri"/>
                <w:b/>
                <w:szCs w:val="20"/>
              </w:rPr>
              <w:t>[REDACTED]</w:t>
            </w:r>
            <w:r w:rsidRPr="009E683B">
              <w:rPr>
                <w:rFonts w:cs="Calibri"/>
                <w:b/>
                <w:szCs w:val="20"/>
              </w:rPr>
              <w:t xml:space="preserve"> bleeds per patient, and dose per bleed estimated in the commentary </w:t>
            </w:r>
            <w:r w:rsidR="00E7226C">
              <w:rPr>
                <w:rFonts w:cs="Calibri"/>
                <w:b/>
                <w:szCs w:val="20"/>
              </w:rPr>
              <w:t>[REDACTED]</w:t>
            </w:r>
            <w:r w:rsidRPr="009E683B">
              <w:rPr>
                <w:rFonts w:cs="Calibri"/>
                <w:b/>
                <w:szCs w:val="20"/>
              </w:rPr>
              <w:t xml:space="preserve"> U FEIBA, </w:t>
            </w:r>
            <w:r w:rsidR="00E7226C">
              <w:rPr>
                <w:rFonts w:cs="Calibri"/>
                <w:b/>
                <w:szCs w:val="20"/>
              </w:rPr>
              <w:t>[REDACTED]</w:t>
            </w:r>
            <w:r w:rsidRPr="009E683B">
              <w:rPr>
                <w:rFonts w:cs="Calibri"/>
                <w:b/>
                <w:szCs w:val="20"/>
              </w:rPr>
              <w:t xml:space="preserve"> ug NovoSeven and </w:t>
            </w:r>
            <w:r w:rsidR="00E7226C">
              <w:rPr>
                <w:rFonts w:cs="Calibri"/>
                <w:b/>
                <w:szCs w:val="20"/>
              </w:rPr>
              <w:t>[REDACTED]</w:t>
            </w:r>
            <w:r w:rsidRPr="009E683B">
              <w:rPr>
                <w:rFonts w:cs="Calibri"/>
                <w:b/>
                <w:szCs w:val="20"/>
              </w:rPr>
              <w:t xml:space="preserve"> U Obizur per bleed</w:t>
            </w:r>
          </w:p>
        </w:tc>
      </w:tr>
      <w:tr w:rsidR="001B2FA0" w:rsidRPr="009E683B" w14:paraId="0A8A2985" w14:textId="77777777" w:rsidTr="00E7226C">
        <w:trPr>
          <w:trHeight w:val="197"/>
        </w:trPr>
        <w:tc>
          <w:tcPr>
            <w:tcW w:w="2183" w:type="dxa"/>
            <w:tcBorders>
              <w:top w:val="single" w:sz="4" w:space="0" w:color="auto"/>
              <w:bottom w:val="single" w:sz="4" w:space="0" w:color="auto"/>
            </w:tcBorders>
          </w:tcPr>
          <w:p w14:paraId="6E0D47D0" w14:textId="77777777" w:rsidR="00C70C5D" w:rsidRPr="009E683B" w:rsidRDefault="00C70C5D" w:rsidP="00750623">
            <w:pPr>
              <w:pStyle w:val="TableText"/>
              <w:rPr>
                <w:b/>
                <w:szCs w:val="20"/>
              </w:rPr>
            </w:pPr>
            <w:r w:rsidRPr="009E683B">
              <w:rPr>
                <w:b/>
                <w:szCs w:val="20"/>
              </w:rPr>
              <w:t>Without Obizur</w:t>
            </w:r>
          </w:p>
        </w:tc>
        <w:tc>
          <w:tcPr>
            <w:tcW w:w="1118" w:type="dxa"/>
            <w:tcBorders>
              <w:top w:val="single" w:sz="4" w:space="0" w:color="auto"/>
              <w:bottom w:val="single" w:sz="4" w:space="0" w:color="auto"/>
            </w:tcBorders>
            <w:vAlign w:val="bottom"/>
          </w:tcPr>
          <w:p w14:paraId="0E88F7E4" w14:textId="77777777" w:rsidR="00C70C5D" w:rsidRPr="009E683B" w:rsidRDefault="00C70C5D" w:rsidP="00750623">
            <w:pPr>
              <w:pStyle w:val="TableText"/>
              <w:jc w:val="right"/>
              <w:rPr>
                <w:b/>
                <w:szCs w:val="20"/>
              </w:rPr>
            </w:pPr>
          </w:p>
        </w:tc>
        <w:tc>
          <w:tcPr>
            <w:tcW w:w="1118" w:type="dxa"/>
            <w:tcBorders>
              <w:top w:val="single" w:sz="4" w:space="0" w:color="auto"/>
              <w:bottom w:val="single" w:sz="4" w:space="0" w:color="auto"/>
            </w:tcBorders>
            <w:vAlign w:val="bottom"/>
          </w:tcPr>
          <w:p w14:paraId="379AAD16" w14:textId="77777777" w:rsidR="00C70C5D" w:rsidRPr="009E683B" w:rsidRDefault="00C70C5D" w:rsidP="00750623">
            <w:pPr>
              <w:pStyle w:val="TableText"/>
              <w:jc w:val="right"/>
              <w:rPr>
                <w:b/>
                <w:szCs w:val="20"/>
              </w:rPr>
            </w:pPr>
          </w:p>
        </w:tc>
        <w:tc>
          <w:tcPr>
            <w:tcW w:w="1118" w:type="dxa"/>
            <w:tcBorders>
              <w:top w:val="single" w:sz="4" w:space="0" w:color="auto"/>
              <w:bottom w:val="single" w:sz="4" w:space="0" w:color="auto"/>
            </w:tcBorders>
            <w:vAlign w:val="bottom"/>
          </w:tcPr>
          <w:p w14:paraId="43EEF4DE" w14:textId="77777777" w:rsidR="00C70C5D" w:rsidRPr="009E683B" w:rsidRDefault="00C70C5D" w:rsidP="00750623">
            <w:pPr>
              <w:pStyle w:val="TableText"/>
              <w:jc w:val="right"/>
              <w:rPr>
                <w:b/>
                <w:szCs w:val="20"/>
              </w:rPr>
            </w:pPr>
          </w:p>
        </w:tc>
        <w:tc>
          <w:tcPr>
            <w:tcW w:w="1118" w:type="dxa"/>
            <w:tcBorders>
              <w:top w:val="single" w:sz="4" w:space="0" w:color="auto"/>
              <w:bottom w:val="single" w:sz="4" w:space="0" w:color="auto"/>
            </w:tcBorders>
            <w:vAlign w:val="bottom"/>
          </w:tcPr>
          <w:p w14:paraId="4134B440" w14:textId="77777777" w:rsidR="00C70C5D" w:rsidRPr="009E683B" w:rsidRDefault="00C70C5D" w:rsidP="00750623">
            <w:pPr>
              <w:pStyle w:val="TableText"/>
              <w:jc w:val="right"/>
              <w:rPr>
                <w:b/>
                <w:szCs w:val="20"/>
              </w:rPr>
            </w:pPr>
          </w:p>
        </w:tc>
        <w:tc>
          <w:tcPr>
            <w:tcW w:w="1118" w:type="dxa"/>
            <w:tcBorders>
              <w:top w:val="single" w:sz="4" w:space="0" w:color="auto"/>
              <w:bottom w:val="single" w:sz="4" w:space="0" w:color="auto"/>
            </w:tcBorders>
            <w:vAlign w:val="bottom"/>
          </w:tcPr>
          <w:p w14:paraId="1DF3DFA8" w14:textId="77777777" w:rsidR="00C70C5D" w:rsidRPr="009E683B" w:rsidRDefault="00C70C5D" w:rsidP="00750623">
            <w:pPr>
              <w:pStyle w:val="TableText"/>
              <w:jc w:val="right"/>
              <w:rPr>
                <w:b/>
                <w:szCs w:val="20"/>
              </w:rPr>
            </w:pPr>
          </w:p>
        </w:tc>
        <w:tc>
          <w:tcPr>
            <w:tcW w:w="1243" w:type="dxa"/>
            <w:tcBorders>
              <w:top w:val="single" w:sz="4" w:space="0" w:color="auto"/>
              <w:bottom w:val="single" w:sz="4" w:space="0" w:color="auto"/>
            </w:tcBorders>
            <w:vAlign w:val="bottom"/>
          </w:tcPr>
          <w:p w14:paraId="2FD7F2CB" w14:textId="77777777" w:rsidR="00C70C5D" w:rsidRPr="009E683B" w:rsidRDefault="00C70C5D" w:rsidP="00750623">
            <w:pPr>
              <w:pStyle w:val="TableText"/>
              <w:jc w:val="right"/>
              <w:rPr>
                <w:b/>
                <w:szCs w:val="20"/>
              </w:rPr>
            </w:pPr>
          </w:p>
        </w:tc>
      </w:tr>
      <w:tr w:rsidR="001B2FA0" w:rsidRPr="009E683B" w14:paraId="26DA8C23" w14:textId="77777777" w:rsidTr="00E7226C">
        <w:trPr>
          <w:trHeight w:val="197"/>
        </w:trPr>
        <w:tc>
          <w:tcPr>
            <w:tcW w:w="2183" w:type="dxa"/>
            <w:tcBorders>
              <w:top w:val="single" w:sz="4" w:space="0" w:color="auto"/>
              <w:bottom w:val="single" w:sz="4" w:space="0" w:color="auto"/>
            </w:tcBorders>
          </w:tcPr>
          <w:p w14:paraId="716789A3" w14:textId="77777777" w:rsidR="00C70C5D" w:rsidRPr="009E683B" w:rsidRDefault="00C70C5D" w:rsidP="00750623">
            <w:pPr>
              <w:pStyle w:val="TableText"/>
              <w:rPr>
                <w:b/>
                <w:szCs w:val="20"/>
              </w:rPr>
            </w:pPr>
            <w:r w:rsidRPr="009E683B">
              <w:rPr>
                <w:szCs w:val="20"/>
              </w:rPr>
              <w:t xml:space="preserve">Amount of FEIBA dispensed (Units ‘000) </w:t>
            </w:r>
          </w:p>
        </w:tc>
        <w:tc>
          <w:tcPr>
            <w:tcW w:w="1118" w:type="dxa"/>
            <w:tcBorders>
              <w:top w:val="single" w:sz="4" w:space="0" w:color="auto"/>
              <w:bottom w:val="single" w:sz="4" w:space="0" w:color="auto"/>
            </w:tcBorders>
            <w:vAlign w:val="bottom"/>
          </w:tcPr>
          <w:p w14:paraId="2C182681" w14:textId="3446F82E" w:rsidR="00C70C5D" w:rsidRPr="00CF54EB" w:rsidRDefault="00CF54EB" w:rsidP="00750623">
            <w:pPr>
              <w:pStyle w:val="TableText"/>
              <w:jc w:val="right"/>
              <w:rPr>
                <w:b/>
                <w:szCs w:val="20"/>
              </w:rPr>
            </w:pPr>
            <w:r w:rsidRPr="00CF54EB">
              <w:rPr>
                <w:rFonts w:cs="Calibri"/>
                <w:szCs w:val="20"/>
              </w:rPr>
              <w:t>REDACTED</w:t>
            </w:r>
          </w:p>
        </w:tc>
        <w:tc>
          <w:tcPr>
            <w:tcW w:w="1118" w:type="dxa"/>
            <w:tcBorders>
              <w:top w:val="single" w:sz="4" w:space="0" w:color="auto"/>
              <w:bottom w:val="single" w:sz="4" w:space="0" w:color="auto"/>
            </w:tcBorders>
            <w:vAlign w:val="bottom"/>
          </w:tcPr>
          <w:p w14:paraId="3589F91B" w14:textId="27D976F6" w:rsidR="00C70C5D" w:rsidRPr="00CF54EB" w:rsidRDefault="00CF54EB" w:rsidP="00750623">
            <w:pPr>
              <w:pStyle w:val="TableText"/>
              <w:jc w:val="right"/>
              <w:rPr>
                <w:b/>
                <w:szCs w:val="20"/>
              </w:rPr>
            </w:pPr>
            <w:r w:rsidRPr="00CF54EB">
              <w:rPr>
                <w:rFonts w:cs="Calibri"/>
                <w:szCs w:val="20"/>
              </w:rPr>
              <w:t>REDACTED</w:t>
            </w:r>
          </w:p>
        </w:tc>
        <w:tc>
          <w:tcPr>
            <w:tcW w:w="1118" w:type="dxa"/>
            <w:tcBorders>
              <w:top w:val="single" w:sz="4" w:space="0" w:color="auto"/>
              <w:bottom w:val="single" w:sz="4" w:space="0" w:color="auto"/>
            </w:tcBorders>
            <w:vAlign w:val="bottom"/>
          </w:tcPr>
          <w:p w14:paraId="09265D46" w14:textId="03363B3C" w:rsidR="00C70C5D" w:rsidRPr="00CF54EB" w:rsidRDefault="00CF54EB" w:rsidP="00750623">
            <w:pPr>
              <w:pStyle w:val="TableText"/>
              <w:jc w:val="right"/>
              <w:rPr>
                <w:b/>
                <w:szCs w:val="20"/>
              </w:rPr>
            </w:pPr>
            <w:r w:rsidRPr="00CF54EB">
              <w:rPr>
                <w:rFonts w:cs="Calibri"/>
                <w:szCs w:val="20"/>
              </w:rPr>
              <w:t>REDACTED</w:t>
            </w:r>
          </w:p>
        </w:tc>
        <w:tc>
          <w:tcPr>
            <w:tcW w:w="1118" w:type="dxa"/>
            <w:tcBorders>
              <w:top w:val="single" w:sz="4" w:space="0" w:color="auto"/>
              <w:bottom w:val="single" w:sz="4" w:space="0" w:color="auto"/>
            </w:tcBorders>
            <w:vAlign w:val="bottom"/>
          </w:tcPr>
          <w:p w14:paraId="1FD4FF74" w14:textId="2E0EFC70" w:rsidR="00C70C5D" w:rsidRPr="00CF54EB" w:rsidRDefault="00CF54EB" w:rsidP="00750623">
            <w:pPr>
              <w:pStyle w:val="TableText"/>
              <w:jc w:val="right"/>
              <w:rPr>
                <w:b/>
                <w:szCs w:val="20"/>
              </w:rPr>
            </w:pPr>
            <w:r w:rsidRPr="00CF54EB">
              <w:rPr>
                <w:rFonts w:cs="Calibri"/>
                <w:szCs w:val="20"/>
              </w:rPr>
              <w:t>REDACTED</w:t>
            </w:r>
          </w:p>
        </w:tc>
        <w:tc>
          <w:tcPr>
            <w:tcW w:w="1118" w:type="dxa"/>
            <w:tcBorders>
              <w:top w:val="single" w:sz="4" w:space="0" w:color="auto"/>
              <w:bottom w:val="single" w:sz="4" w:space="0" w:color="auto"/>
            </w:tcBorders>
            <w:vAlign w:val="bottom"/>
          </w:tcPr>
          <w:p w14:paraId="4958C162" w14:textId="4E4AFB96" w:rsidR="00C70C5D" w:rsidRPr="00CF54EB" w:rsidRDefault="00CF54EB" w:rsidP="00750623">
            <w:pPr>
              <w:pStyle w:val="TableText"/>
              <w:jc w:val="right"/>
              <w:rPr>
                <w:b/>
                <w:szCs w:val="20"/>
              </w:rPr>
            </w:pPr>
            <w:r w:rsidRPr="00CF54EB">
              <w:rPr>
                <w:rFonts w:cs="Calibri"/>
                <w:szCs w:val="20"/>
              </w:rPr>
              <w:t xml:space="preserve"> REDACTED</w:t>
            </w:r>
          </w:p>
        </w:tc>
        <w:tc>
          <w:tcPr>
            <w:tcW w:w="1243" w:type="dxa"/>
            <w:tcBorders>
              <w:top w:val="single" w:sz="4" w:space="0" w:color="auto"/>
              <w:bottom w:val="single" w:sz="4" w:space="0" w:color="auto"/>
            </w:tcBorders>
            <w:vAlign w:val="bottom"/>
          </w:tcPr>
          <w:p w14:paraId="6CFFA7F0" w14:textId="1A881E5F" w:rsidR="00C70C5D" w:rsidRPr="00CF54EB" w:rsidRDefault="00CF54EB" w:rsidP="00750623">
            <w:pPr>
              <w:pStyle w:val="TableText"/>
              <w:jc w:val="right"/>
              <w:rPr>
                <w:b/>
                <w:szCs w:val="20"/>
              </w:rPr>
            </w:pPr>
            <w:r w:rsidRPr="00CF54EB">
              <w:rPr>
                <w:rFonts w:cs="Calibri"/>
                <w:szCs w:val="20"/>
              </w:rPr>
              <w:t>REDACTED</w:t>
            </w:r>
          </w:p>
        </w:tc>
      </w:tr>
      <w:tr w:rsidR="001B2FA0" w:rsidRPr="009E683B" w14:paraId="43992CC7" w14:textId="77777777" w:rsidTr="00E7226C">
        <w:trPr>
          <w:trHeight w:val="197"/>
        </w:trPr>
        <w:tc>
          <w:tcPr>
            <w:tcW w:w="2183" w:type="dxa"/>
            <w:tcBorders>
              <w:top w:val="single" w:sz="4" w:space="0" w:color="auto"/>
              <w:bottom w:val="single" w:sz="4" w:space="0" w:color="auto"/>
            </w:tcBorders>
          </w:tcPr>
          <w:p w14:paraId="293EEE90" w14:textId="77777777" w:rsidR="00E7226C" w:rsidRPr="009E683B" w:rsidRDefault="00E7226C" w:rsidP="00E7226C">
            <w:pPr>
              <w:pStyle w:val="TableText"/>
              <w:rPr>
                <w:szCs w:val="20"/>
              </w:rPr>
            </w:pPr>
            <w:r w:rsidRPr="009E683B">
              <w:rPr>
                <w:szCs w:val="20"/>
              </w:rPr>
              <w:t>Amount of NovoSeven dispensed (ug ‘000)</w:t>
            </w:r>
          </w:p>
        </w:tc>
        <w:tc>
          <w:tcPr>
            <w:tcW w:w="1118" w:type="dxa"/>
            <w:tcBorders>
              <w:top w:val="single" w:sz="4" w:space="0" w:color="auto"/>
              <w:bottom w:val="single" w:sz="4" w:space="0" w:color="auto"/>
            </w:tcBorders>
            <w:vAlign w:val="bottom"/>
          </w:tcPr>
          <w:p w14:paraId="6E52C79A" w14:textId="4C0C5994" w:rsidR="00E7226C" w:rsidRPr="00FF7F70" w:rsidRDefault="00E7226C" w:rsidP="00E7226C">
            <w:pPr>
              <w:pStyle w:val="TableText"/>
              <w:jc w:val="right"/>
              <w:rPr>
                <w:szCs w:val="20"/>
              </w:rPr>
            </w:pPr>
            <w:r w:rsidRPr="00E7226C">
              <w:rPr>
                <w:rFonts w:cs="Calibri"/>
                <w:szCs w:val="20"/>
              </w:rPr>
              <w:t>REDACTED</w:t>
            </w:r>
          </w:p>
        </w:tc>
        <w:tc>
          <w:tcPr>
            <w:tcW w:w="1118" w:type="dxa"/>
            <w:tcBorders>
              <w:top w:val="single" w:sz="4" w:space="0" w:color="auto"/>
              <w:bottom w:val="single" w:sz="4" w:space="0" w:color="auto"/>
            </w:tcBorders>
            <w:vAlign w:val="bottom"/>
          </w:tcPr>
          <w:p w14:paraId="78C04F1C" w14:textId="7B754A4A" w:rsidR="00E7226C" w:rsidRPr="00FF7F70" w:rsidRDefault="00E7226C" w:rsidP="00E7226C">
            <w:pPr>
              <w:pStyle w:val="TableText"/>
              <w:jc w:val="right"/>
              <w:rPr>
                <w:szCs w:val="20"/>
              </w:rPr>
            </w:pPr>
            <w:r w:rsidRPr="00E7226C">
              <w:rPr>
                <w:rFonts w:cs="Calibri"/>
                <w:szCs w:val="20"/>
              </w:rPr>
              <w:t>REDACTED</w:t>
            </w:r>
          </w:p>
        </w:tc>
        <w:tc>
          <w:tcPr>
            <w:tcW w:w="1118" w:type="dxa"/>
            <w:tcBorders>
              <w:top w:val="single" w:sz="4" w:space="0" w:color="auto"/>
              <w:bottom w:val="single" w:sz="4" w:space="0" w:color="auto"/>
            </w:tcBorders>
            <w:vAlign w:val="bottom"/>
          </w:tcPr>
          <w:p w14:paraId="04A7E23B" w14:textId="0F329273" w:rsidR="00E7226C" w:rsidRPr="00FF7F70" w:rsidRDefault="00E7226C" w:rsidP="00E7226C">
            <w:pPr>
              <w:pStyle w:val="TableText"/>
              <w:jc w:val="right"/>
              <w:rPr>
                <w:szCs w:val="20"/>
              </w:rPr>
            </w:pPr>
            <w:r w:rsidRPr="00E7226C">
              <w:rPr>
                <w:rFonts w:cs="Calibri"/>
                <w:szCs w:val="20"/>
              </w:rPr>
              <w:t>REDACTED</w:t>
            </w:r>
          </w:p>
        </w:tc>
        <w:tc>
          <w:tcPr>
            <w:tcW w:w="1118" w:type="dxa"/>
            <w:tcBorders>
              <w:top w:val="single" w:sz="4" w:space="0" w:color="auto"/>
              <w:bottom w:val="single" w:sz="4" w:space="0" w:color="auto"/>
            </w:tcBorders>
            <w:vAlign w:val="bottom"/>
          </w:tcPr>
          <w:p w14:paraId="379EAB0E" w14:textId="5B04D264" w:rsidR="00E7226C" w:rsidRPr="00FF7F70" w:rsidRDefault="00E7226C" w:rsidP="00E7226C">
            <w:pPr>
              <w:pStyle w:val="TableText"/>
              <w:jc w:val="right"/>
              <w:rPr>
                <w:szCs w:val="20"/>
              </w:rPr>
            </w:pPr>
            <w:r w:rsidRPr="00E7226C">
              <w:rPr>
                <w:rFonts w:cs="Calibri"/>
                <w:szCs w:val="20"/>
              </w:rPr>
              <w:t>REDA</w:t>
            </w:r>
            <w:r w:rsidRPr="00FF7F70">
              <w:rPr>
                <w:rFonts w:cs="Calibri"/>
                <w:szCs w:val="20"/>
              </w:rPr>
              <w:t>CTED</w:t>
            </w:r>
          </w:p>
        </w:tc>
        <w:tc>
          <w:tcPr>
            <w:tcW w:w="1118" w:type="dxa"/>
            <w:tcBorders>
              <w:top w:val="single" w:sz="4" w:space="0" w:color="auto"/>
              <w:bottom w:val="single" w:sz="4" w:space="0" w:color="auto"/>
            </w:tcBorders>
            <w:vAlign w:val="bottom"/>
          </w:tcPr>
          <w:p w14:paraId="5D1505B6" w14:textId="17EF663C" w:rsidR="00E7226C" w:rsidRPr="00FF7F70" w:rsidRDefault="00E7226C" w:rsidP="00E7226C">
            <w:pPr>
              <w:pStyle w:val="TableText"/>
              <w:jc w:val="right"/>
              <w:rPr>
                <w:szCs w:val="20"/>
              </w:rPr>
            </w:pPr>
            <w:r w:rsidRPr="00E7226C">
              <w:rPr>
                <w:rFonts w:cs="Calibri"/>
                <w:szCs w:val="20"/>
              </w:rPr>
              <w:t xml:space="preserve"> </w:t>
            </w:r>
            <w:r w:rsidRPr="00FF7F70">
              <w:rPr>
                <w:rFonts w:cs="Calibri"/>
                <w:szCs w:val="20"/>
              </w:rPr>
              <w:t>REDACTED</w:t>
            </w:r>
          </w:p>
        </w:tc>
        <w:tc>
          <w:tcPr>
            <w:tcW w:w="1243" w:type="dxa"/>
            <w:tcBorders>
              <w:top w:val="single" w:sz="4" w:space="0" w:color="auto"/>
              <w:bottom w:val="single" w:sz="4" w:space="0" w:color="auto"/>
            </w:tcBorders>
            <w:vAlign w:val="bottom"/>
          </w:tcPr>
          <w:p w14:paraId="0A88F7DA" w14:textId="0C563727" w:rsidR="00E7226C" w:rsidRPr="00FF7F70" w:rsidRDefault="00E7226C" w:rsidP="00E7226C">
            <w:pPr>
              <w:pStyle w:val="TableText"/>
              <w:jc w:val="right"/>
              <w:rPr>
                <w:szCs w:val="20"/>
              </w:rPr>
            </w:pPr>
            <w:r w:rsidRPr="00E7226C">
              <w:rPr>
                <w:rFonts w:cs="Calibri"/>
                <w:szCs w:val="20"/>
              </w:rPr>
              <w:t>REDACTED</w:t>
            </w:r>
          </w:p>
        </w:tc>
      </w:tr>
      <w:tr w:rsidR="001B2FA0" w:rsidRPr="009E683B" w14:paraId="2451F00B" w14:textId="77777777" w:rsidTr="00E7226C">
        <w:trPr>
          <w:trHeight w:val="197"/>
        </w:trPr>
        <w:tc>
          <w:tcPr>
            <w:tcW w:w="2183" w:type="dxa"/>
            <w:tcBorders>
              <w:top w:val="single" w:sz="4" w:space="0" w:color="auto"/>
              <w:bottom w:val="single" w:sz="4" w:space="0" w:color="auto"/>
            </w:tcBorders>
          </w:tcPr>
          <w:p w14:paraId="6657AC2D" w14:textId="77777777" w:rsidR="00C70C5D" w:rsidRPr="009E683B" w:rsidRDefault="00C70C5D" w:rsidP="00750623">
            <w:pPr>
              <w:pStyle w:val="TableText"/>
              <w:rPr>
                <w:szCs w:val="20"/>
              </w:rPr>
            </w:pPr>
            <w:r w:rsidRPr="009E683B">
              <w:rPr>
                <w:szCs w:val="20"/>
              </w:rPr>
              <w:t>Total cost to NBA before Obizur (‘000)</w:t>
            </w:r>
          </w:p>
        </w:tc>
        <w:tc>
          <w:tcPr>
            <w:tcW w:w="1118" w:type="dxa"/>
            <w:tcBorders>
              <w:top w:val="single" w:sz="4" w:space="0" w:color="auto"/>
              <w:bottom w:val="single" w:sz="4" w:space="0" w:color="auto"/>
            </w:tcBorders>
            <w:vAlign w:val="bottom"/>
          </w:tcPr>
          <w:p w14:paraId="4C752B0A" w14:textId="01F3D6E7" w:rsidR="00C70C5D" w:rsidRPr="00FF7F70" w:rsidRDefault="00E7226C" w:rsidP="00750623">
            <w:pPr>
              <w:pStyle w:val="TableText"/>
              <w:jc w:val="right"/>
              <w:rPr>
                <w:szCs w:val="20"/>
              </w:rPr>
            </w:pPr>
            <w:r w:rsidRPr="00FF7F70">
              <w:rPr>
                <w:rFonts w:cs="Calibri"/>
                <w:b/>
                <w:szCs w:val="20"/>
              </w:rPr>
              <w:t>$REDACTED</w:t>
            </w:r>
          </w:p>
        </w:tc>
        <w:tc>
          <w:tcPr>
            <w:tcW w:w="1118" w:type="dxa"/>
            <w:tcBorders>
              <w:top w:val="single" w:sz="4" w:space="0" w:color="auto"/>
              <w:bottom w:val="single" w:sz="4" w:space="0" w:color="auto"/>
            </w:tcBorders>
            <w:vAlign w:val="bottom"/>
          </w:tcPr>
          <w:p w14:paraId="4600FFAA" w14:textId="00957D48" w:rsidR="00C70C5D" w:rsidRPr="00FF7F70" w:rsidRDefault="00E7226C" w:rsidP="00750623">
            <w:pPr>
              <w:pStyle w:val="TableText"/>
              <w:jc w:val="right"/>
              <w:rPr>
                <w:szCs w:val="20"/>
              </w:rPr>
            </w:pPr>
            <w:r w:rsidRPr="00FF7F70">
              <w:rPr>
                <w:rFonts w:cs="Calibri"/>
                <w:b/>
                <w:szCs w:val="20"/>
              </w:rPr>
              <w:t>$REDACTED</w:t>
            </w:r>
          </w:p>
        </w:tc>
        <w:tc>
          <w:tcPr>
            <w:tcW w:w="1118" w:type="dxa"/>
            <w:tcBorders>
              <w:top w:val="single" w:sz="4" w:space="0" w:color="auto"/>
              <w:bottom w:val="single" w:sz="4" w:space="0" w:color="auto"/>
            </w:tcBorders>
            <w:vAlign w:val="bottom"/>
          </w:tcPr>
          <w:p w14:paraId="2F5CFF37" w14:textId="36C00BE7" w:rsidR="00C70C5D" w:rsidRPr="00FF7F70" w:rsidRDefault="00E7226C" w:rsidP="00750623">
            <w:pPr>
              <w:pStyle w:val="TableText"/>
              <w:jc w:val="right"/>
              <w:rPr>
                <w:szCs w:val="20"/>
              </w:rPr>
            </w:pPr>
            <w:r w:rsidRPr="00FF7F70">
              <w:rPr>
                <w:rFonts w:cs="Calibri"/>
                <w:b/>
                <w:szCs w:val="20"/>
              </w:rPr>
              <w:t>$REDACTED</w:t>
            </w:r>
          </w:p>
        </w:tc>
        <w:tc>
          <w:tcPr>
            <w:tcW w:w="1118" w:type="dxa"/>
            <w:tcBorders>
              <w:top w:val="single" w:sz="4" w:space="0" w:color="auto"/>
              <w:bottom w:val="single" w:sz="4" w:space="0" w:color="auto"/>
            </w:tcBorders>
            <w:vAlign w:val="bottom"/>
          </w:tcPr>
          <w:p w14:paraId="1DB7AE62" w14:textId="50E33048" w:rsidR="00C70C5D" w:rsidRPr="00FF7F70" w:rsidRDefault="00E7226C" w:rsidP="00750623">
            <w:pPr>
              <w:pStyle w:val="TableText"/>
              <w:jc w:val="right"/>
              <w:rPr>
                <w:szCs w:val="20"/>
              </w:rPr>
            </w:pPr>
            <w:r w:rsidRPr="00FF7F70">
              <w:rPr>
                <w:rFonts w:cs="Calibri"/>
                <w:b/>
                <w:szCs w:val="20"/>
              </w:rPr>
              <w:t>$REDACTED</w:t>
            </w:r>
          </w:p>
        </w:tc>
        <w:tc>
          <w:tcPr>
            <w:tcW w:w="1118" w:type="dxa"/>
            <w:tcBorders>
              <w:top w:val="single" w:sz="4" w:space="0" w:color="auto"/>
              <w:bottom w:val="single" w:sz="4" w:space="0" w:color="auto"/>
            </w:tcBorders>
            <w:vAlign w:val="bottom"/>
          </w:tcPr>
          <w:p w14:paraId="2AA9B16E" w14:textId="4E3B3814" w:rsidR="00C70C5D" w:rsidRPr="00FF7F70" w:rsidRDefault="00E7226C" w:rsidP="00750623">
            <w:pPr>
              <w:pStyle w:val="TableText"/>
              <w:jc w:val="right"/>
              <w:rPr>
                <w:szCs w:val="20"/>
              </w:rPr>
            </w:pPr>
            <w:r w:rsidRPr="00FF7F70">
              <w:rPr>
                <w:rFonts w:cs="Calibri"/>
                <w:b/>
                <w:szCs w:val="20"/>
              </w:rPr>
              <w:t>$REDACTED</w:t>
            </w:r>
          </w:p>
        </w:tc>
        <w:tc>
          <w:tcPr>
            <w:tcW w:w="1243" w:type="dxa"/>
            <w:tcBorders>
              <w:top w:val="single" w:sz="4" w:space="0" w:color="auto"/>
              <w:bottom w:val="single" w:sz="4" w:space="0" w:color="auto"/>
            </w:tcBorders>
            <w:vAlign w:val="bottom"/>
          </w:tcPr>
          <w:p w14:paraId="4B089BE8" w14:textId="7D2EA6D6" w:rsidR="00C70C5D" w:rsidRPr="00FF7F70" w:rsidRDefault="00E7226C" w:rsidP="00750623">
            <w:pPr>
              <w:pStyle w:val="TableText"/>
              <w:jc w:val="right"/>
              <w:rPr>
                <w:szCs w:val="20"/>
              </w:rPr>
            </w:pPr>
            <w:r w:rsidRPr="00FF7F70">
              <w:rPr>
                <w:rFonts w:cs="Calibri"/>
                <w:b/>
                <w:szCs w:val="20"/>
              </w:rPr>
              <w:t>$REDACTED</w:t>
            </w:r>
          </w:p>
        </w:tc>
      </w:tr>
      <w:tr w:rsidR="001B2FA0" w:rsidRPr="009E683B" w14:paraId="0D20056C" w14:textId="77777777" w:rsidTr="00E7226C">
        <w:trPr>
          <w:trHeight w:val="197"/>
        </w:trPr>
        <w:tc>
          <w:tcPr>
            <w:tcW w:w="2183" w:type="dxa"/>
            <w:tcBorders>
              <w:top w:val="single" w:sz="4" w:space="0" w:color="auto"/>
              <w:bottom w:val="single" w:sz="4" w:space="0" w:color="auto"/>
            </w:tcBorders>
          </w:tcPr>
          <w:p w14:paraId="1A054951" w14:textId="207CC997" w:rsidR="00341327" w:rsidRPr="009E683B" w:rsidRDefault="00341327" w:rsidP="00341327">
            <w:pPr>
              <w:pStyle w:val="TableText"/>
              <w:rPr>
                <w:szCs w:val="20"/>
              </w:rPr>
            </w:pPr>
            <w:r w:rsidRPr="009E683B">
              <w:rPr>
                <w:szCs w:val="20"/>
              </w:rPr>
              <w:t>Total cost to NBA before Obizur</w:t>
            </w:r>
            <w:r>
              <w:rPr>
                <w:b/>
                <w:szCs w:val="20"/>
                <w:vertAlign w:val="superscript"/>
              </w:rPr>
              <w:t xml:space="preserve"> </w:t>
            </w:r>
            <w:r w:rsidRPr="00713053">
              <w:rPr>
                <w:szCs w:val="20"/>
                <w:vertAlign w:val="superscript"/>
              </w:rPr>
              <w:t>a</w:t>
            </w:r>
            <w:r w:rsidRPr="00713053">
              <w:rPr>
                <w:szCs w:val="20"/>
              </w:rPr>
              <w:t xml:space="preserve"> (‘000)</w:t>
            </w:r>
          </w:p>
        </w:tc>
        <w:tc>
          <w:tcPr>
            <w:tcW w:w="1118" w:type="dxa"/>
            <w:tcBorders>
              <w:top w:val="single" w:sz="4" w:space="0" w:color="auto"/>
              <w:bottom w:val="single" w:sz="4" w:space="0" w:color="auto"/>
            </w:tcBorders>
            <w:vAlign w:val="bottom"/>
          </w:tcPr>
          <w:p w14:paraId="57DA656B" w14:textId="213B555A" w:rsidR="00341327" w:rsidRPr="007E2243" w:rsidRDefault="00341327" w:rsidP="00341327">
            <w:pPr>
              <w:pStyle w:val="TableText"/>
              <w:jc w:val="right"/>
              <w:rPr>
                <w:rFonts w:cs="Calibri"/>
                <w:b/>
                <w:szCs w:val="20"/>
              </w:rPr>
            </w:pPr>
            <w:r w:rsidRPr="007E2243">
              <w:rPr>
                <w:rFonts w:cs="Calibri"/>
                <w:color w:val="000000"/>
                <w:szCs w:val="20"/>
              </w:rPr>
              <w:t>$</w:t>
            </w:r>
            <w:r w:rsidR="007E2243" w:rsidRPr="007E2243">
              <w:rPr>
                <w:rFonts w:cs="Calibri"/>
                <w:color w:val="000000"/>
                <w:szCs w:val="20"/>
              </w:rPr>
              <w:t>REDACTED</w:t>
            </w:r>
          </w:p>
        </w:tc>
        <w:tc>
          <w:tcPr>
            <w:tcW w:w="1118" w:type="dxa"/>
            <w:tcBorders>
              <w:top w:val="single" w:sz="4" w:space="0" w:color="auto"/>
              <w:bottom w:val="single" w:sz="4" w:space="0" w:color="auto"/>
            </w:tcBorders>
            <w:vAlign w:val="bottom"/>
          </w:tcPr>
          <w:p w14:paraId="70718E2A" w14:textId="34D4BB68" w:rsidR="00341327" w:rsidRPr="007E2243" w:rsidRDefault="00341327" w:rsidP="00341327">
            <w:pPr>
              <w:pStyle w:val="TableText"/>
              <w:jc w:val="right"/>
              <w:rPr>
                <w:rFonts w:cs="Calibri"/>
                <w:b/>
                <w:szCs w:val="20"/>
              </w:rPr>
            </w:pPr>
            <w:r w:rsidRPr="007E2243">
              <w:rPr>
                <w:rFonts w:cs="Calibri"/>
                <w:color w:val="000000"/>
                <w:szCs w:val="20"/>
              </w:rPr>
              <w:t>$</w:t>
            </w:r>
            <w:r w:rsidR="007E2243" w:rsidRPr="007E2243">
              <w:rPr>
                <w:rFonts w:cs="Calibri"/>
                <w:color w:val="000000"/>
                <w:szCs w:val="20"/>
              </w:rPr>
              <w:t>REDACTED</w:t>
            </w:r>
          </w:p>
        </w:tc>
        <w:tc>
          <w:tcPr>
            <w:tcW w:w="1118" w:type="dxa"/>
            <w:tcBorders>
              <w:top w:val="single" w:sz="4" w:space="0" w:color="auto"/>
              <w:bottom w:val="single" w:sz="4" w:space="0" w:color="auto"/>
            </w:tcBorders>
            <w:vAlign w:val="bottom"/>
          </w:tcPr>
          <w:p w14:paraId="4F67C85C" w14:textId="3C3689DC" w:rsidR="00341327" w:rsidRPr="007E2243" w:rsidRDefault="00341327" w:rsidP="00341327">
            <w:pPr>
              <w:pStyle w:val="TableText"/>
              <w:jc w:val="right"/>
              <w:rPr>
                <w:rFonts w:cs="Calibri"/>
                <w:b/>
                <w:szCs w:val="20"/>
              </w:rPr>
            </w:pPr>
            <w:r w:rsidRPr="007E2243">
              <w:rPr>
                <w:rFonts w:cs="Calibri"/>
                <w:color w:val="000000"/>
                <w:szCs w:val="20"/>
              </w:rPr>
              <w:t>$</w:t>
            </w:r>
            <w:r w:rsidR="007E2243" w:rsidRPr="007E2243">
              <w:rPr>
                <w:rFonts w:cs="Calibri"/>
                <w:color w:val="000000"/>
                <w:szCs w:val="20"/>
              </w:rPr>
              <w:t>REDACTED</w:t>
            </w:r>
          </w:p>
        </w:tc>
        <w:tc>
          <w:tcPr>
            <w:tcW w:w="1118" w:type="dxa"/>
            <w:tcBorders>
              <w:top w:val="single" w:sz="4" w:space="0" w:color="auto"/>
              <w:bottom w:val="single" w:sz="4" w:space="0" w:color="auto"/>
            </w:tcBorders>
            <w:vAlign w:val="bottom"/>
          </w:tcPr>
          <w:p w14:paraId="5B7E48DD" w14:textId="4B883CF1" w:rsidR="00341327" w:rsidRPr="007E2243" w:rsidRDefault="00341327" w:rsidP="00341327">
            <w:pPr>
              <w:pStyle w:val="TableText"/>
              <w:jc w:val="right"/>
              <w:rPr>
                <w:rFonts w:cs="Calibri"/>
                <w:b/>
                <w:szCs w:val="20"/>
              </w:rPr>
            </w:pPr>
            <w:r w:rsidRPr="007E2243">
              <w:rPr>
                <w:rFonts w:cs="Calibri"/>
                <w:color w:val="000000"/>
                <w:szCs w:val="20"/>
              </w:rPr>
              <w:t>$</w:t>
            </w:r>
            <w:r w:rsidR="007E2243" w:rsidRPr="007E2243">
              <w:rPr>
                <w:rFonts w:cs="Calibri"/>
                <w:color w:val="000000"/>
                <w:szCs w:val="20"/>
              </w:rPr>
              <w:t>REDACTED</w:t>
            </w:r>
          </w:p>
        </w:tc>
        <w:tc>
          <w:tcPr>
            <w:tcW w:w="1118" w:type="dxa"/>
            <w:tcBorders>
              <w:top w:val="single" w:sz="4" w:space="0" w:color="auto"/>
              <w:bottom w:val="single" w:sz="4" w:space="0" w:color="auto"/>
            </w:tcBorders>
            <w:vAlign w:val="bottom"/>
          </w:tcPr>
          <w:p w14:paraId="16BE1F27" w14:textId="2B21E18C" w:rsidR="00341327" w:rsidRPr="007E2243" w:rsidRDefault="00341327" w:rsidP="00341327">
            <w:pPr>
              <w:pStyle w:val="TableText"/>
              <w:jc w:val="right"/>
              <w:rPr>
                <w:rFonts w:cs="Calibri"/>
                <w:b/>
                <w:szCs w:val="20"/>
              </w:rPr>
            </w:pPr>
            <w:r w:rsidRPr="007E2243">
              <w:rPr>
                <w:rFonts w:cs="Calibri"/>
                <w:color w:val="000000"/>
                <w:szCs w:val="20"/>
              </w:rPr>
              <w:t>$</w:t>
            </w:r>
            <w:r w:rsidR="007E2243" w:rsidRPr="007E2243">
              <w:rPr>
                <w:rFonts w:cs="Calibri"/>
                <w:color w:val="000000"/>
                <w:szCs w:val="20"/>
              </w:rPr>
              <w:t>REDACTED</w:t>
            </w:r>
          </w:p>
        </w:tc>
        <w:tc>
          <w:tcPr>
            <w:tcW w:w="1243" w:type="dxa"/>
            <w:tcBorders>
              <w:top w:val="single" w:sz="4" w:space="0" w:color="auto"/>
              <w:bottom w:val="single" w:sz="4" w:space="0" w:color="auto"/>
            </w:tcBorders>
            <w:vAlign w:val="bottom"/>
          </w:tcPr>
          <w:p w14:paraId="16BDDEFB" w14:textId="35B5FBEC" w:rsidR="00341327" w:rsidRPr="007E2243" w:rsidRDefault="00341327" w:rsidP="00341327">
            <w:pPr>
              <w:pStyle w:val="TableText"/>
              <w:jc w:val="right"/>
              <w:rPr>
                <w:rFonts w:cs="Calibri"/>
                <w:b/>
                <w:szCs w:val="20"/>
              </w:rPr>
            </w:pPr>
            <w:r w:rsidRPr="007E2243">
              <w:rPr>
                <w:rFonts w:cs="Calibri"/>
                <w:color w:val="000000"/>
                <w:szCs w:val="20"/>
              </w:rPr>
              <w:t>$</w:t>
            </w:r>
            <w:r w:rsidR="007E2243" w:rsidRPr="007E2243">
              <w:rPr>
                <w:rFonts w:cs="Calibri"/>
                <w:color w:val="000000"/>
                <w:szCs w:val="20"/>
              </w:rPr>
              <w:t>REDACTED</w:t>
            </w:r>
          </w:p>
        </w:tc>
      </w:tr>
      <w:tr w:rsidR="001B2FA0" w:rsidRPr="009E683B" w14:paraId="5329AF84" w14:textId="77777777" w:rsidTr="00E7226C">
        <w:trPr>
          <w:trHeight w:val="197"/>
        </w:trPr>
        <w:tc>
          <w:tcPr>
            <w:tcW w:w="2183" w:type="dxa"/>
            <w:tcBorders>
              <w:top w:val="single" w:sz="4" w:space="0" w:color="auto"/>
              <w:bottom w:val="single" w:sz="4" w:space="0" w:color="auto"/>
            </w:tcBorders>
            <w:vAlign w:val="center"/>
          </w:tcPr>
          <w:p w14:paraId="7672AAE3" w14:textId="77777777" w:rsidR="00C70C5D" w:rsidRPr="009E683B" w:rsidRDefault="00C70C5D" w:rsidP="00750623">
            <w:pPr>
              <w:pStyle w:val="TableText"/>
              <w:rPr>
                <w:szCs w:val="20"/>
              </w:rPr>
            </w:pPr>
            <w:r w:rsidRPr="009E683B">
              <w:rPr>
                <w:b/>
                <w:szCs w:val="20"/>
              </w:rPr>
              <w:t>With Obizur</w:t>
            </w:r>
          </w:p>
        </w:tc>
        <w:tc>
          <w:tcPr>
            <w:tcW w:w="1118" w:type="dxa"/>
            <w:tcBorders>
              <w:top w:val="single" w:sz="4" w:space="0" w:color="auto"/>
              <w:bottom w:val="single" w:sz="4" w:space="0" w:color="auto"/>
            </w:tcBorders>
            <w:vAlign w:val="center"/>
          </w:tcPr>
          <w:p w14:paraId="2812BEF4" w14:textId="77777777" w:rsidR="00C70C5D" w:rsidRPr="009E683B" w:rsidRDefault="00C70C5D" w:rsidP="00750623">
            <w:pPr>
              <w:pStyle w:val="TableText"/>
              <w:jc w:val="right"/>
              <w:rPr>
                <w:szCs w:val="20"/>
              </w:rPr>
            </w:pPr>
          </w:p>
        </w:tc>
        <w:tc>
          <w:tcPr>
            <w:tcW w:w="1118" w:type="dxa"/>
            <w:tcBorders>
              <w:top w:val="single" w:sz="4" w:space="0" w:color="auto"/>
              <w:bottom w:val="single" w:sz="4" w:space="0" w:color="auto"/>
            </w:tcBorders>
            <w:vAlign w:val="center"/>
          </w:tcPr>
          <w:p w14:paraId="72344D1C" w14:textId="77777777" w:rsidR="00C70C5D" w:rsidRPr="009E683B" w:rsidRDefault="00C70C5D" w:rsidP="00750623">
            <w:pPr>
              <w:pStyle w:val="TableText"/>
              <w:jc w:val="right"/>
              <w:rPr>
                <w:szCs w:val="20"/>
              </w:rPr>
            </w:pPr>
          </w:p>
        </w:tc>
        <w:tc>
          <w:tcPr>
            <w:tcW w:w="1118" w:type="dxa"/>
            <w:tcBorders>
              <w:top w:val="single" w:sz="4" w:space="0" w:color="auto"/>
              <w:bottom w:val="single" w:sz="4" w:space="0" w:color="auto"/>
            </w:tcBorders>
            <w:vAlign w:val="center"/>
          </w:tcPr>
          <w:p w14:paraId="5B7F2D65" w14:textId="77777777" w:rsidR="00C70C5D" w:rsidRPr="009E683B" w:rsidRDefault="00C70C5D" w:rsidP="00750623">
            <w:pPr>
              <w:pStyle w:val="TableText"/>
              <w:jc w:val="right"/>
              <w:rPr>
                <w:szCs w:val="20"/>
              </w:rPr>
            </w:pPr>
          </w:p>
        </w:tc>
        <w:tc>
          <w:tcPr>
            <w:tcW w:w="1118" w:type="dxa"/>
            <w:tcBorders>
              <w:top w:val="single" w:sz="4" w:space="0" w:color="auto"/>
              <w:bottom w:val="single" w:sz="4" w:space="0" w:color="auto"/>
            </w:tcBorders>
            <w:vAlign w:val="center"/>
          </w:tcPr>
          <w:p w14:paraId="38FD7035" w14:textId="77777777" w:rsidR="00C70C5D" w:rsidRPr="009E683B" w:rsidRDefault="00C70C5D" w:rsidP="00750623">
            <w:pPr>
              <w:pStyle w:val="TableText"/>
              <w:jc w:val="right"/>
              <w:rPr>
                <w:szCs w:val="20"/>
              </w:rPr>
            </w:pPr>
          </w:p>
        </w:tc>
        <w:tc>
          <w:tcPr>
            <w:tcW w:w="1118" w:type="dxa"/>
            <w:tcBorders>
              <w:top w:val="single" w:sz="4" w:space="0" w:color="auto"/>
              <w:bottom w:val="single" w:sz="4" w:space="0" w:color="auto"/>
            </w:tcBorders>
            <w:vAlign w:val="center"/>
          </w:tcPr>
          <w:p w14:paraId="6DC66609" w14:textId="77777777" w:rsidR="00C70C5D" w:rsidRPr="009E683B" w:rsidRDefault="00C70C5D" w:rsidP="00750623">
            <w:pPr>
              <w:pStyle w:val="TableText"/>
              <w:jc w:val="right"/>
              <w:rPr>
                <w:szCs w:val="20"/>
              </w:rPr>
            </w:pPr>
          </w:p>
        </w:tc>
        <w:tc>
          <w:tcPr>
            <w:tcW w:w="1243" w:type="dxa"/>
            <w:tcBorders>
              <w:top w:val="single" w:sz="4" w:space="0" w:color="auto"/>
              <w:bottom w:val="single" w:sz="4" w:space="0" w:color="auto"/>
            </w:tcBorders>
            <w:vAlign w:val="center"/>
          </w:tcPr>
          <w:p w14:paraId="6F455DBB" w14:textId="77777777" w:rsidR="00C70C5D" w:rsidRPr="009E683B" w:rsidRDefault="00C70C5D" w:rsidP="00750623">
            <w:pPr>
              <w:pStyle w:val="TableText"/>
              <w:jc w:val="right"/>
              <w:rPr>
                <w:szCs w:val="20"/>
              </w:rPr>
            </w:pPr>
          </w:p>
        </w:tc>
      </w:tr>
      <w:tr w:rsidR="001B2FA0" w:rsidRPr="009E683B" w14:paraId="6AE22625" w14:textId="77777777" w:rsidTr="00E7226C">
        <w:trPr>
          <w:trHeight w:val="197"/>
        </w:trPr>
        <w:tc>
          <w:tcPr>
            <w:tcW w:w="2183" w:type="dxa"/>
            <w:tcBorders>
              <w:top w:val="single" w:sz="4" w:space="0" w:color="auto"/>
              <w:bottom w:val="single" w:sz="4" w:space="0" w:color="auto"/>
            </w:tcBorders>
          </w:tcPr>
          <w:p w14:paraId="013F3A0B" w14:textId="77777777" w:rsidR="00C70C5D" w:rsidRPr="009E683B" w:rsidRDefault="00C70C5D" w:rsidP="00750623">
            <w:pPr>
              <w:pStyle w:val="TableText"/>
              <w:rPr>
                <w:b/>
                <w:szCs w:val="20"/>
              </w:rPr>
            </w:pPr>
            <w:r w:rsidRPr="009E683B">
              <w:rPr>
                <w:szCs w:val="20"/>
              </w:rPr>
              <w:t xml:space="preserve">Amount of FEIBA dispensed (Units ‘000) </w:t>
            </w:r>
          </w:p>
        </w:tc>
        <w:tc>
          <w:tcPr>
            <w:tcW w:w="1118" w:type="dxa"/>
            <w:tcBorders>
              <w:top w:val="single" w:sz="4" w:space="0" w:color="auto"/>
              <w:bottom w:val="single" w:sz="4" w:space="0" w:color="auto"/>
            </w:tcBorders>
            <w:vAlign w:val="bottom"/>
          </w:tcPr>
          <w:p w14:paraId="71A2585D" w14:textId="6844058C" w:rsidR="00C70C5D" w:rsidRPr="00FF7F70" w:rsidRDefault="00FF7F70" w:rsidP="00750623">
            <w:pPr>
              <w:pStyle w:val="TableText"/>
              <w:jc w:val="right"/>
              <w:rPr>
                <w:szCs w:val="20"/>
              </w:rPr>
            </w:pPr>
            <w:r w:rsidRPr="00FF7F70">
              <w:rPr>
                <w:rFonts w:cs="Calibri"/>
                <w:szCs w:val="20"/>
              </w:rPr>
              <w:t>REDACTED</w:t>
            </w:r>
          </w:p>
        </w:tc>
        <w:tc>
          <w:tcPr>
            <w:tcW w:w="1118" w:type="dxa"/>
            <w:tcBorders>
              <w:top w:val="single" w:sz="4" w:space="0" w:color="auto"/>
              <w:bottom w:val="single" w:sz="4" w:space="0" w:color="auto"/>
            </w:tcBorders>
            <w:vAlign w:val="bottom"/>
          </w:tcPr>
          <w:p w14:paraId="7C24D39B" w14:textId="5271B83C" w:rsidR="00C70C5D" w:rsidRPr="00FF7F70" w:rsidRDefault="00FF7F70" w:rsidP="00750623">
            <w:pPr>
              <w:pStyle w:val="TableText"/>
              <w:jc w:val="right"/>
              <w:rPr>
                <w:szCs w:val="20"/>
              </w:rPr>
            </w:pPr>
            <w:r w:rsidRPr="00FF7F70">
              <w:rPr>
                <w:rFonts w:cs="Calibri"/>
                <w:szCs w:val="20"/>
              </w:rPr>
              <w:t>REDACTED</w:t>
            </w:r>
          </w:p>
        </w:tc>
        <w:tc>
          <w:tcPr>
            <w:tcW w:w="1118" w:type="dxa"/>
            <w:tcBorders>
              <w:top w:val="single" w:sz="4" w:space="0" w:color="auto"/>
              <w:bottom w:val="single" w:sz="4" w:space="0" w:color="auto"/>
            </w:tcBorders>
            <w:vAlign w:val="bottom"/>
          </w:tcPr>
          <w:p w14:paraId="2BD6D560" w14:textId="464AB434" w:rsidR="00C70C5D" w:rsidRPr="00FF7F70" w:rsidRDefault="00FF7F70" w:rsidP="00750623">
            <w:pPr>
              <w:pStyle w:val="TableText"/>
              <w:jc w:val="right"/>
              <w:rPr>
                <w:szCs w:val="20"/>
              </w:rPr>
            </w:pPr>
            <w:r w:rsidRPr="00FF7F70">
              <w:rPr>
                <w:rFonts w:cs="Calibri"/>
                <w:szCs w:val="20"/>
              </w:rPr>
              <w:t>REDACTED</w:t>
            </w:r>
          </w:p>
        </w:tc>
        <w:tc>
          <w:tcPr>
            <w:tcW w:w="1118" w:type="dxa"/>
            <w:tcBorders>
              <w:top w:val="single" w:sz="4" w:space="0" w:color="auto"/>
              <w:bottom w:val="single" w:sz="4" w:space="0" w:color="auto"/>
            </w:tcBorders>
            <w:vAlign w:val="bottom"/>
          </w:tcPr>
          <w:p w14:paraId="6BC48549" w14:textId="73F30220" w:rsidR="00C70C5D" w:rsidRPr="00FF7F70" w:rsidRDefault="00FF7F70" w:rsidP="00750623">
            <w:pPr>
              <w:pStyle w:val="TableText"/>
              <w:jc w:val="right"/>
              <w:rPr>
                <w:szCs w:val="20"/>
              </w:rPr>
            </w:pPr>
            <w:r w:rsidRPr="00FF7F70">
              <w:rPr>
                <w:rFonts w:cs="Calibri"/>
                <w:szCs w:val="20"/>
              </w:rPr>
              <w:t>REDACTED</w:t>
            </w:r>
          </w:p>
        </w:tc>
        <w:tc>
          <w:tcPr>
            <w:tcW w:w="1118" w:type="dxa"/>
            <w:tcBorders>
              <w:top w:val="single" w:sz="4" w:space="0" w:color="auto"/>
              <w:bottom w:val="single" w:sz="4" w:space="0" w:color="auto"/>
            </w:tcBorders>
            <w:vAlign w:val="bottom"/>
          </w:tcPr>
          <w:p w14:paraId="6D3A314F" w14:textId="4F9E51CF" w:rsidR="00C70C5D" w:rsidRPr="00FF7F70" w:rsidRDefault="00FF7F70" w:rsidP="00750623">
            <w:pPr>
              <w:pStyle w:val="TableText"/>
              <w:jc w:val="right"/>
              <w:rPr>
                <w:szCs w:val="20"/>
              </w:rPr>
            </w:pPr>
            <w:r w:rsidRPr="00FF7F70">
              <w:rPr>
                <w:rFonts w:cs="Calibri"/>
                <w:szCs w:val="20"/>
              </w:rPr>
              <w:t>REDACTED</w:t>
            </w:r>
          </w:p>
        </w:tc>
        <w:tc>
          <w:tcPr>
            <w:tcW w:w="1243" w:type="dxa"/>
            <w:tcBorders>
              <w:top w:val="single" w:sz="4" w:space="0" w:color="auto"/>
              <w:bottom w:val="single" w:sz="4" w:space="0" w:color="auto"/>
            </w:tcBorders>
            <w:vAlign w:val="bottom"/>
          </w:tcPr>
          <w:p w14:paraId="6C82A433" w14:textId="197C4D5C" w:rsidR="00C70C5D" w:rsidRPr="00FF7F70" w:rsidRDefault="00FF7F70" w:rsidP="00750623">
            <w:pPr>
              <w:pStyle w:val="TableText"/>
              <w:jc w:val="right"/>
              <w:rPr>
                <w:szCs w:val="20"/>
              </w:rPr>
            </w:pPr>
            <w:r w:rsidRPr="00FF7F70">
              <w:rPr>
                <w:rFonts w:cs="Calibri"/>
                <w:szCs w:val="20"/>
              </w:rPr>
              <w:t>REDACTED</w:t>
            </w:r>
          </w:p>
        </w:tc>
      </w:tr>
      <w:tr w:rsidR="001B2FA0" w:rsidRPr="009E683B" w14:paraId="1064E847" w14:textId="77777777" w:rsidTr="00E7226C">
        <w:trPr>
          <w:trHeight w:val="197"/>
        </w:trPr>
        <w:tc>
          <w:tcPr>
            <w:tcW w:w="2183" w:type="dxa"/>
            <w:tcBorders>
              <w:top w:val="single" w:sz="4" w:space="0" w:color="auto"/>
              <w:bottom w:val="single" w:sz="4" w:space="0" w:color="auto"/>
            </w:tcBorders>
          </w:tcPr>
          <w:p w14:paraId="00DE4FC2" w14:textId="77777777" w:rsidR="00C70C5D" w:rsidRPr="009E683B" w:rsidRDefault="00C70C5D" w:rsidP="00750623">
            <w:pPr>
              <w:pStyle w:val="TableText"/>
              <w:rPr>
                <w:szCs w:val="20"/>
              </w:rPr>
            </w:pPr>
            <w:r w:rsidRPr="009E683B">
              <w:rPr>
                <w:szCs w:val="20"/>
              </w:rPr>
              <w:t>Amount of NovoSeven dispensed (ug ‘000)</w:t>
            </w:r>
          </w:p>
        </w:tc>
        <w:tc>
          <w:tcPr>
            <w:tcW w:w="1118" w:type="dxa"/>
            <w:tcBorders>
              <w:top w:val="single" w:sz="4" w:space="0" w:color="auto"/>
              <w:bottom w:val="single" w:sz="4" w:space="0" w:color="auto"/>
            </w:tcBorders>
            <w:vAlign w:val="bottom"/>
          </w:tcPr>
          <w:p w14:paraId="6BA671C2" w14:textId="1977522E" w:rsidR="00C70C5D" w:rsidRPr="007E2243" w:rsidRDefault="007E2243" w:rsidP="00750623">
            <w:pPr>
              <w:pStyle w:val="TableText"/>
              <w:jc w:val="right"/>
              <w:rPr>
                <w:szCs w:val="20"/>
              </w:rPr>
            </w:pPr>
            <w:r w:rsidRPr="007E2243">
              <w:rPr>
                <w:rFonts w:cs="Calibri"/>
                <w:szCs w:val="20"/>
              </w:rPr>
              <w:t>REDACTED</w:t>
            </w:r>
          </w:p>
        </w:tc>
        <w:tc>
          <w:tcPr>
            <w:tcW w:w="1118" w:type="dxa"/>
            <w:tcBorders>
              <w:top w:val="single" w:sz="4" w:space="0" w:color="auto"/>
              <w:bottom w:val="single" w:sz="4" w:space="0" w:color="auto"/>
            </w:tcBorders>
            <w:vAlign w:val="bottom"/>
          </w:tcPr>
          <w:p w14:paraId="6B6706BA" w14:textId="1C1136EC" w:rsidR="00C70C5D" w:rsidRPr="007E2243" w:rsidRDefault="007E2243" w:rsidP="00750623">
            <w:pPr>
              <w:pStyle w:val="TableText"/>
              <w:jc w:val="right"/>
              <w:rPr>
                <w:szCs w:val="20"/>
              </w:rPr>
            </w:pPr>
            <w:r w:rsidRPr="007E2243">
              <w:rPr>
                <w:rFonts w:cs="Calibri"/>
                <w:szCs w:val="20"/>
              </w:rPr>
              <w:t>REDACTED</w:t>
            </w:r>
          </w:p>
        </w:tc>
        <w:tc>
          <w:tcPr>
            <w:tcW w:w="1118" w:type="dxa"/>
            <w:tcBorders>
              <w:top w:val="single" w:sz="4" w:space="0" w:color="auto"/>
              <w:bottom w:val="single" w:sz="4" w:space="0" w:color="auto"/>
            </w:tcBorders>
            <w:vAlign w:val="bottom"/>
          </w:tcPr>
          <w:p w14:paraId="6A79FE7C" w14:textId="38E636E1" w:rsidR="00C70C5D" w:rsidRPr="007E2243" w:rsidRDefault="007E2243" w:rsidP="00750623">
            <w:pPr>
              <w:pStyle w:val="TableText"/>
              <w:jc w:val="right"/>
              <w:rPr>
                <w:szCs w:val="20"/>
              </w:rPr>
            </w:pPr>
            <w:r w:rsidRPr="007E2243">
              <w:rPr>
                <w:rFonts w:cs="Calibri"/>
                <w:szCs w:val="20"/>
              </w:rPr>
              <w:t>REDACTED</w:t>
            </w:r>
          </w:p>
        </w:tc>
        <w:tc>
          <w:tcPr>
            <w:tcW w:w="1118" w:type="dxa"/>
            <w:tcBorders>
              <w:top w:val="single" w:sz="4" w:space="0" w:color="auto"/>
              <w:bottom w:val="single" w:sz="4" w:space="0" w:color="auto"/>
            </w:tcBorders>
            <w:vAlign w:val="bottom"/>
          </w:tcPr>
          <w:p w14:paraId="6524D10F" w14:textId="72D43A84" w:rsidR="00C70C5D" w:rsidRPr="007E2243" w:rsidRDefault="007E2243" w:rsidP="00750623">
            <w:pPr>
              <w:pStyle w:val="TableText"/>
              <w:jc w:val="right"/>
              <w:rPr>
                <w:szCs w:val="20"/>
              </w:rPr>
            </w:pPr>
            <w:r w:rsidRPr="007E2243">
              <w:rPr>
                <w:rFonts w:cs="Calibri"/>
                <w:szCs w:val="20"/>
              </w:rPr>
              <w:t>REDACTED</w:t>
            </w:r>
          </w:p>
        </w:tc>
        <w:tc>
          <w:tcPr>
            <w:tcW w:w="1118" w:type="dxa"/>
            <w:tcBorders>
              <w:top w:val="single" w:sz="4" w:space="0" w:color="auto"/>
              <w:bottom w:val="single" w:sz="4" w:space="0" w:color="auto"/>
            </w:tcBorders>
            <w:vAlign w:val="bottom"/>
          </w:tcPr>
          <w:p w14:paraId="50750982" w14:textId="52D5BF8E" w:rsidR="00C70C5D" w:rsidRPr="007E2243" w:rsidRDefault="007E2243" w:rsidP="00750623">
            <w:pPr>
              <w:pStyle w:val="TableText"/>
              <w:jc w:val="right"/>
              <w:rPr>
                <w:szCs w:val="20"/>
              </w:rPr>
            </w:pPr>
            <w:r w:rsidRPr="007E2243">
              <w:rPr>
                <w:rFonts w:cs="Calibri"/>
                <w:szCs w:val="20"/>
              </w:rPr>
              <w:t>REDACTED</w:t>
            </w:r>
          </w:p>
        </w:tc>
        <w:tc>
          <w:tcPr>
            <w:tcW w:w="1243" w:type="dxa"/>
            <w:tcBorders>
              <w:top w:val="single" w:sz="4" w:space="0" w:color="auto"/>
              <w:bottom w:val="single" w:sz="4" w:space="0" w:color="auto"/>
            </w:tcBorders>
            <w:vAlign w:val="bottom"/>
          </w:tcPr>
          <w:p w14:paraId="34FAB0FF" w14:textId="1F181C74" w:rsidR="00C70C5D" w:rsidRPr="007E2243" w:rsidRDefault="007E2243" w:rsidP="00750623">
            <w:pPr>
              <w:pStyle w:val="TableText"/>
              <w:jc w:val="right"/>
              <w:rPr>
                <w:szCs w:val="20"/>
              </w:rPr>
            </w:pPr>
            <w:r w:rsidRPr="007E2243">
              <w:rPr>
                <w:rFonts w:cs="Calibri"/>
                <w:szCs w:val="20"/>
              </w:rPr>
              <w:t>REDACTED</w:t>
            </w:r>
          </w:p>
        </w:tc>
      </w:tr>
      <w:tr w:rsidR="001B2FA0" w:rsidRPr="009E683B" w14:paraId="292B1075" w14:textId="77777777" w:rsidTr="00E7226C">
        <w:trPr>
          <w:trHeight w:val="197"/>
        </w:trPr>
        <w:tc>
          <w:tcPr>
            <w:tcW w:w="2183" w:type="dxa"/>
            <w:tcBorders>
              <w:top w:val="single" w:sz="4" w:space="0" w:color="auto"/>
              <w:bottom w:val="single" w:sz="4" w:space="0" w:color="auto"/>
            </w:tcBorders>
          </w:tcPr>
          <w:p w14:paraId="0A2FA3C5" w14:textId="77777777" w:rsidR="00C70C5D" w:rsidRPr="009E683B" w:rsidRDefault="00C70C5D" w:rsidP="00750623">
            <w:pPr>
              <w:pStyle w:val="TableText"/>
              <w:rPr>
                <w:szCs w:val="20"/>
              </w:rPr>
            </w:pPr>
            <w:r w:rsidRPr="009E683B">
              <w:rPr>
                <w:szCs w:val="20"/>
              </w:rPr>
              <w:t>Amount of Obizur dispensed (Units ‘000)</w:t>
            </w:r>
          </w:p>
        </w:tc>
        <w:tc>
          <w:tcPr>
            <w:tcW w:w="1118" w:type="dxa"/>
            <w:tcBorders>
              <w:top w:val="single" w:sz="4" w:space="0" w:color="auto"/>
              <w:bottom w:val="single" w:sz="4" w:space="0" w:color="auto"/>
            </w:tcBorders>
            <w:vAlign w:val="bottom"/>
          </w:tcPr>
          <w:p w14:paraId="60AA63FA" w14:textId="28BDEE9A" w:rsidR="00C70C5D" w:rsidRPr="007E2243" w:rsidRDefault="007E2243" w:rsidP="00750623">
            <w:pPr>
              <w:pStyle w:val="TableText"/>
              <w:jc w:val="right"/>
              <w:rPr>
                <w:szCs w:val="20"/>
              </w:rPr>
            </w:pPr>
            <w:r w:rsidRPr="007E2243">
              <w:rPr>
                <w:rFonts w:cs="Calibri"/>
                <w:szCs w:val="20"/>
              </w:rPr>
              <w:t>REDACTED</w:t>
            </w:r>
          </w:p>
        </w:tc>
        <w:tc>
          <w:tcPr>
            <w:tcW w:w="1118" w:type="dxa"/>
            <w:tcBorders>
              <w:top w:val="single" w:sz="4" w:space="0" w:color="auto"/>
              <w:bottom w:val="single" w:sz="4" w:space="0" w:color="auto"/>
            </w:tcBorders>
            <w:vAlign w:val="bottom"/>
          </w:tcPr>
          <w:p w14:paraId="03CA5C7E" w14:textId="2323A000" w:rsidR="00C70C5D" w:rsidRPr="007E2243" w:rsidRDefault="007E2243" w:rsidP="00750623">
            <w:pPr>
              <w:pStyle w:val="TableText"/>
              <w:jc w:val="right"/>
              <w:rPr>
                <w:szCs w:val="20"/>
              </w:rPr>
            </w:pPr>
            <w:r w:rsidRPr="007E2243">
              <w:rPr>
                <w:rFonts w:cs="Calibri"/>
                <w:szCs w:val="20"/>
              </w:rPr>
              <w:t>REDACTED</w:t>
            </w:r>
          </w:p>
        </w:tc>
        <w:tc>
          <w:tcPr>
            <w:tcW w:w="1118" w:type="dxa"/>
            <w:tcBorders>
              <w:top w:val="single" w:sz="4" w:space="0" w:color="auto"/>
              <w:bottom w:val="single" w:sz="4" w:space="0" w:color="auto"/>
            </w:tcBorders>
            <w:vAlign w:val="bottom"/>
          </w:tcPr>
          <w:p w14:paraId="054B0C1E" w14:textId="55F1AE08" w:rsidR="00C70C5D" w:rsidRPr="007E2243" w:rsidRDefault="007E2243" w:rsidP="00750623">
            <w:pPr>
              <w:pStyle w:val="TableText"/>
              <w:jc w:val="right"/>
              <w:rPr>
                <w:szCs w:val="20"/>
              </w:rPr>
            </w:pPr>
            <w:r w:rsidRPr="007E2243">
              <w:rPr>
                <w:rFonts w:cs="Calibri"/>
                <w:szCs w:val="20"/>
              </w:rPr>
              <w:t>REDACTED</w:t>
            </w:r>
          </w:p>
        </w:tc>
        <w:tc>
          <w:tcPr>
            <w:tcW w:w="1118" w:type="dxa"/>
            <w:tcBorders>
              <w:top w:val="single" w:sz="4" w:space="0" w:color="auto"/>
              <w:bottom w:val="single" w:sz="4" w:space="0" w:color="auto"/>
            </w:tcBorders>
            <w:vAlign w:val="bottom"/>
          </w:tcPr>
          <w:p w14:paraId="2B1C932C" w14:textId="7B085E50" w:rsidR="00C70C5D" w:rsidRPr="007E2243" w:rsidRDefault="007E2243" w:rsidP="00750623">
            <w:pPr>
              <w:pStyle w:val="TableText"/>
              <w:jc w:val="right"/>
              <w:rPr>
                <w:szCs w:val="20"/>
              </w:rPr>
            </w:pPr>
            <w:r w:rsidRPr="007E2243">
              <w:rPr>
                <w:rFonts w:cs="Calibri"/>
                <w:szCs w:val="20"/>
              </w:rPr>
              <w:t>REDACTED</w:t>
            </w:r>
          </w:p>
        </w:tc>
        <w:tc>
          <w:tcPr>
            <w:tcW w:w="1118" w:type="dxa"/>
            <w:tcBorders>
              <w:top w:val="single" w:sz="4" w:space="0" w:color="auto"/>
              <w:bottom w:val="single" w:sz="4" w:space="0" w:color="auto"/>
            </w:tcBorders>
            <w:vAlign w:val="bottom"/>
          </w:tcPr>
          <w:p w14:paraId="0246C246" w14:textId="29905931" w:rsidR="00C70C5D" w:rsidRPr="007E2243" w:rsidRDefault="007E2243" w:rsidP="00750623">
            <w:pPr>
              <w:pStyle w:val="TableText"/>
              <w:jc w:val="right"/>
              <w:rPr>
                <w:szCs w:val="20"/>
              </w:rPr>
            </w:pPr>
            <w:r w:rsidRPr="007E2243">
              <w:rPr>
                <w:rFonts w:cs="Calibri"/>
                <w:szCs w:val="20"/>
              </w:rPr>
              <w:t>REDACTED</w:t>
            </w:r>
          </w:p>
        </w:tc>
        <w:tc>
          <w:tcPr>
            <w:tcW w:w="1243" w:type="dxa"/>
            <w:tcBorders>
              <w:top w:val="single" w:sz="4" w:space="0" w:color="auto"/>
              <w:bottom w:val="single" w:sz="4" w:space="0" w:color="auto"/>
            </w:tcBorders>
            <w:vAlign w:val="bottom"/>
          </w:tcPr>
          <w:p w14:paraId="6F97AF40" w14:textId="3A904F0D" w:rsidR="00C70C5D" w:rsidRPr="007E2243" w:rsidRDefault="007E2243" w:rsidP="00750623">
            <w:pPr>
              <w:pStyle w:val="TableText"/>
              <w:jc w:val="right"/>
              <w:rPr>
                <w:szCs w:val="20"/>
              </w:rPr>
            </w:pPr>
            <w:r w:rsidRPr="007E2243">
              <w:rPr>
                <w:rFonts w:cs="Calibri"/>
                <w:szCs w:val="20"/>
              </w:rPr>
              <w:t>REDACTED</w:t>
            </w:r>
          </w:p>
        </w:tc>
      </w:tr>
      <w:tr w:rsidR="001B2FA0" w:rsidRPr="009E683B" w14:paraId="504216C7" w14:textId="77777777" w:rsidTr="00E7226C">
        <w:trPr>
          <w:trHeight w:val="197"/>
        </w:trPr>
        <w:tc>
          <w:tcPr>
            <w:tcW w:w="2183" w:type="dxa"/>
            <w:tcBorders>
              <w:top w:val="single" w:sz="4" w:space="0" w:color="auto"/>
              <w:bottom w:val="single" w:sz="4" w:space="0" w:color="auto"/>
            </w:tcBorders>
          </w:tcPr>
          <w:p w14:paraId="742319C3" w14:textId="77777777" w:rsidR="00C70C5D" w:rsidRPr="009E683B" w:rsidRDefault="00C70C5D" w:rsidP="00750623">
            <w:pPr>
              <w:pStyle w:val="TableText"/>
              <w:rPr>
                <w:szCs w:val="20"/>
              </w:rPr>
            </w:pPr>
            <w:r w:rsidRPr="009E683B">
              <w:rPr>
                <w:szCs w:val="20"/>
              </w:rPr>
              <w:t>Total cost to NBA after Obizur (‘000)</w:t>
            </w:r>
          </w:p>
        </w:tc>
        <w:tc>
          <w:tcPr>
            <w:tcW w:w="1118" w:type="dxa"/>
            <w:tcBorders>
              <w:top w:val="single" w:sz="4" w:space="0" w:color="auto"/>
              <w:bottom w:val="single" w:sz="4" w:space="0" w:color="auto"/>
            </w:tcBorders>
            <w:vAlign w:val="bottom"/>
          </w:tcPr>
          <w:p w14:paraId="01A05610" w14:textId="4D357EA9" w:rsidR="00C70C5D" w:rsidRPr="007E2243" w:rsidRDefault="00C70C5D" w:rsidP="00750623">
            <w:pPr>
              <w:pStyle w:val="TableText"/>
              <w:jc w:val="right"/>
              <w:rPr>
                <w:szCs w:val="20"/>
              </w:rPr>
            </w:pPr>
            <w:r w:rsidRPr="007E2243">
              <w:rPr>
                <w:rFonts w:cs="Calibri"/>
                <w:szCs w:val="20"/>
              </w:rPr>
              <w:t>$</w:t>
            </w:r>
            <w:r w:rsidR="007E2243" w:rsidRPr="007E2243">
              <w:rPr>
                <w:rFonts w:cs="Calibri"/>
                <w:szCs w:val="20"/>
              </w:rPr>
              <w:t>REDACTED</w:t>
            </w:r>
          </w:p>
        </w:tc>
        <w:tc>
          <w:tcPr>
            <w:tcW w:w="1118" w:type="dxa"/>
            <w:tcBorders>
              <w:top w:val="single" w:sz="4" w:space="0" w:color="auto"/>
              <w:bottom w:val="single" w:sz="4" w:space="0" w:color="auto"/>
            </w:tcBorders>
            <w:vAlign w:val="bottom"/>
          </w:tcPr>
          <w:p w14:paraId="7F125FFA" w14:textId="6CBB0157" w:rsidR="00C70C5D" w:rsidRPr="007E2243" w:rsidRDefault="00C70C5D" w:rsidP="00750623">
            <w:pPr>
              <w:pStyle w:val="TableText"/>
              <w:jc w:val="right"/>
              <w:rPr>
                <w:szCs w:val="20"/>
              </w:rPr>
            </w:pPr>
            <w:r w:rsidRPr="007E2243">
              <w:rPr>
                <w:rFonts w:cs="Calibri"/>
                <w:szCs w:val="20"/>
              </w:rPr>
              <w:t>$</w:t>
            </w:r>
            <w:r w:rsidR="007E2243" w:rsidRPr="007E2243">
              <w:rPr>
                <w:rFonts w:cs="Calibri"/>
                <w:szCs w:val="20"/>
              </w:rPr>
              <w:t>REDACTED</w:t>
            </w:r>
          </w:p>
        </w:tc>
        <w:tc>
          <w:tcPr>
            <w:tcW w:w="1118" w:type="dxa"/>
            <w:tcBorders>
              <w:top w:val="single" w:sz="4" w:space="0" w:color="auto"/>
              <w:bottom w:val="single" w:sz="4" w:space="0" w:color="auto"/>
            </w:tcBorders>
            <w:vAlign w:val="bottom"/>
          </w:tcPr>
          <w:p w14:paraId="7EF8F48D" w14:textId="0B3EA975" w:rsidR="00C70C5D" w:rsidRPr="007E2243" w:rsidRDefault="00C70C5D" w:rsidP="00750623">
            <w:pPr>
              <w:pStyle w:val="TableText"/>
              <w:jc w:val="right"/>
              <w:rPr>
                <w:szCs w:val="20"/>
              </w:rPr>
            </w:pPr>
            <w:r w:rsidRPr="007E2243">
              <w:rPr>
                <w:rFonts w:cs="Calibri"/>
                <w:szCs w:val="20"/>
              </w:rPr>
              <w:t>$</w:t>
            </w:r>
            <w:r w:rsidR="007E2243" w:rsidRPr="007E2243">
              <w:rPr>
                <w:rFonts w:cs="Calibri"/>
                <w:szCs w:val="20"/>
              </w:rPr>
              <w:t>REDACTED</w:t>
            </w:r>
          </w:p>
        </w:tc>
        <w:tc>
          <w:tcPr>
            <w:tcW w:w="1118" w:type="dxa"/>
            <w:tcBorders>
              <w:top w:val="single" w:sz="4" w:space="0" w:color="auto"/>
              <w:bottom w:val="single" w:sz="4" w:space="0" w:color="auto"/>
            </w:tcBorders>
            <w:vAlign w:val="bottom"/>
          </w:tcPr>
          <w:p w14:paraId="2FCABED5" w14:textId="1FE3A6D8" w:rsidR="00C70C5D" w:rsidRPr="007E2243" w:rsidRDefault="00C70C5D" w:rsidP="00750623">
            <w:pPr>
              <w:pStyle w:val="TableText"/>
              <w:jc w:val="right"/>
              <w:rPr>
                <w:szCs w:val="20"/>
              </w:rPr>
            </w:pPr>
            <w:r w:rsidRPr="007E2243">
              <w:rPr>
                <w:rFonts w:cs="Calibri"/>
                <w:szCs w:val="20"/>
              </w:rPr>
              <w:t>$</w:t>
            </w:r>
            <w:r w:rsidR="007E2243" w:rsidRPr="007E2243">
              <w:rPr>
                <w:rFonts w:cs="Calibri"/>
                <w:szCs w:val="20"/>
              </w:rPr>
              <w:t>REDACTED</w:t>
            </w:r>
          </w:p>
        </w:tc>
        <w:tc>
          <w:tcPr>
            <w:tcW w:w="1118" w:type="dxa"/>
            <w:tcBorders>
              <w:top w:val="single" w:sz="4" w:space="0" w:color="auto"/>
              <w:bottom w:val="single" w:sz="4" w:space="0" w:color="auto"/>
            </w:tcBorders>
            <w:vAlign w:val="bottom"/>
          </w:tcPr>
          <w:p w14:paraId="1007C3BA" w14:textId="15732710" w:rsidR="00C70C5D" w:rsidRPr="007E2243" w:rsidRDefault="00C70C5D" w:rsidP="00750623">
            <w:pPr>
              <w:pStyle w:val="TableText"/>
              <w:jc w:val="right"/>
              <w:rPr>
                <w:szCs w:val="20"/>
              </w:rPr>
            </w:pPr>
            <w:r w:rsidRPr="007E2243">
              <w:rPr>
                <w:rFonts w:cs="Calibri"/>
                <w:szCs w:val="20"/>
              </w:rPr>
              <w:t>$</w:t>
            </w:r>
            <w:r w:rsidR="007E2243" w:rsidRPr="007E2243">
              <w:rPr>
                <w:rFonts w:cs="Calibri"/>
                <w:szCs w:val="20"/>
              </w:rPr>
              <w:t>REDACTED</w:t>
            </w:r>
          </w:p>
        </w:tc>
        <w:tc>
          <w:tcPr>
            <w:tcW w:w="1243" w:type="dxa"/>
            <w:tcBorders>
              <w:top w:val="single" w:sz="4" w:space="0" w:color="auto"/>
              <w:bottom w:val="single" w:sz="4" w:space="0" w:color="auto"/>
            </w:tcBorders>
            <w:vAlign w:val="bottom"/>
          </w:tcPr>
          <w:p w14:paraId="14EC81F3" w14:textId="31110658" w:rsidR="00C70C5D" w:rsidRPr="007E2243" w:rsidRDefault="00C70C5D" w:rsidP="00750623">
            <w:pPr>
              <w:pStyle w:val="TableText"/>
              <w:jc w:val="right"/>
              <w:rPr>
                <w:szCs w:val="20"/>
              </w:rPr>
            </w:pPr>
            <w:r w:rsidRPr="007E2243">
              <w:rPr>
                <w:rFonts w:cs="Calibri"/>
                <w:szCs w:val="20"/>
              </w:rPr>
              <w:t>$</w:t>
            </w:r>
            <w:r w:rsidR="007E2243" w:rsidRPr="007E2243">
              <w:rPr>
                <w:rFonts w:cs="Calibri"/>
                <w:szCs w:val="20"/>
              </w:rPr>
              <w:t>REDACTED</w:t>
            </w:r>
          </w:p>
        </w:tc>
      </w:tr>
      <w:tr w:rsidR="001B2FA0" w:rsidRPr="009E683B" w14:paraId="6C40799C" w14:textId="77777777" w:rsidTr="00E7226C">
        <w:trPr>
          <w:trHeight w:val="197"/>
        </w:trPr>
        <w:tc>
          <w:tcPr>
            <w:tcW w:w="2183" w:type="dxa"/>
            <w:tcBorders>
              <w:top w:val="single" w:sz="4" w:space="0" w:color="auto"/>
              <w:bottom w:val="single" w:sz="4" w:space="0" w:color="auto"/>
            </w:tcBorders>
          </w:tcPr>
          <w:p w14:paraId="2ABBB9D6" w14:textId="3E776637" w:rsidR="00341327" w:rsidRPr="009E683B" w:rsidRDefault="00341327" w:rsidP="00341327">
            <w:pPr>
              <w:pStyle w:val="TableText"/>
              <w:rPr>
                <w:szCs w:val="20"/>
              </w:rPr>
            </w:pPr>
            <w:r w:rsidRPr="009E683B">
              <w:rPr>
                <w:szCs w:val="20"/>
              </w:rPr>
              <w:t xml:space="preserve">Total cost to NBA </w:t>
            </w:r>
            <w:r>
              <w:rPr>
                <w:szCs w:val="20"/>
              </w:rPr>
              <w:t>after</w:t>
            </w:r>
            <w:r w:rsidRPr="009E683B">
              <w:rPr>
                <w:szCs w:val="20"/>
              </w:rPr>
              <w:t xml:space="preserve"> Obizur</w:t>
            </w:r>
            <w:r>
              <w:rPr>
                <w:b/>
                <w:szCs w:val="20"/>
                <w:vertAlign w:val="superscript"/>
              </w:rPr>
              <w:t xml:space="preserve"> </w:t>
            </w:r>
            <w:r w:rsidRPr="00713053">
              <w:rPr>
                <w:szCs w:val="20"/>
                <w:vertAlign w:val="superscript"/>
              </w:rPr>
              <w:t>a</w:t>
            </w:r>
            <w:r w:rsidRPr="00713053">
              <w:rPr>
                <w:szCs w:val="20"/>
              </w:rPr>
              <w:t xml:space="preserve"> (‘000)</w:t>
            </w:r>
          </w:p>
        </w:tc>
        <w:tc>
          <w:tcPr>
            <w:tcW w:w="1118" w:type="dxa"/>
            <w:tcBorders>
              <w:top w:val="single" w:sz="4" w:space="0" w:color="auto"/>
              <w:bottom w:val="single" w:sz="4" w:space="0" w:color="auto"/>
            </w:tcBorders>
            <w:vAlign w:val="bottom"/>
          </w:tcPr>
          <w:p w14:paraId="7ED4FF62" w14:textId="40E8AA9E" w:rsidR="00341327" w:rsidRPr="007E2243" w:rsidRDefault="00341327" w:rsidP="00341327">
            <w:pPr>
              <w:pStyle w:val="TableText"/>
              <w:jc w:val="right"/>
              <w:rPr>
                <w:rFonts w:cs="Calibri"/>
                <w:szCs w:val="20"/>
              </w:rPr>
            </w:pPr>
            <w:r w:rsidRPr="007E2243">
              <w:rPr>
                <w:rFonts w:cs="Calibri"/>
                <w:color w:val="000000"/>
                <w:szCs w:val="20"/>
              </w:rPr>
              <w:t>$</w:t>
            </w:r>
            <w:r w:rsidR="007E2243" w:rsidRPr="007E2243">
              <w:rPr>
                <w:rFonts w:cs="Calibri"/>
                <w:color w:val="000000"/>
                <w:szCs w:val="20"/>
              </w:rPr>
              <w:t>REDACTED</w:t>
            </w:r>
          </w:p>
        </w:tc>
        <w:tc>
          <w:tcPr>
            <w:tcW w:w="1118" w:type="dxa"/>
            <w:tcBorders>
              <w:top w:val="single" w:sz="4" w:space="0" w:color="auto"/>
              <w:bottom w:val="single" w:sz="4" w:space="0" w:color="auto"/>
            </w:tcBorders>
            <w:vAlign w:val="bottom"/>
          </w:tcPr>
          <w:p w14:paraId="4C565F17" w14:textId="54399A7E" w:rsidR="00341327" w:rsidRPr="007E2243" w:rsidRDefault="00341327" w:rsidP="00341327">
            <w:pPr>
              <w:pStyle w:val="TableText"/>
              <w:jc w:val="right"/>
              <w:rPr>
                <w:rFonts w:cs="Calibri"/>
                <w:szCs w:val="20"/>
              </w:rPr>
            </w:pPr>
            <w:r w:rsidRPr="007E2243">
              <w:rPr>
                <w:rFonts w:cs="Calibri"/>
                <w:color w:val="000000"/>
                <w:szCs w:val="20"/>
              </w:rPr>
              <w:t>$</w:t>
            </w:r>
            <w:r w:rsidR="007E2243" w:rsidRPr="007E2243">
              <w:rPr>
                <w:rFonts w:cs="Calibri"/>
                <w:color w:val="000000"/>
                <w:szCs w:val="20"/>
              </w:rPr>
              <w:t>REDACTED</w:t>
            </w:r>
          </w:p>
        </w:tc>
        <w:tc>
          <w:tcPr>
            <w:tcW w:w="1118" w:type="dxa"/>
            <w:tcBorders>
              <w:top w:val="single" w:sz="4" w:space="0" w:color="auto"/>
              <w:bottom w:val="single" w:sz="4" w:space="0" w:color="auto"/>
            </w:tcBorders>
            <w:vAlign w:val="bottom"/>
          </w:tcPr>
          <w:p w14:paraId="288AE560" w14:textId="53979E5A" w:rsidR="00341327" w:rsidRPr="007E2243" w:rsidRDefault="00341327" w:rsidP="00341327">
            <w:pPr>
              <w:pStyle w:val="TableText"/>
              <w:jc w:val="right"/>
              <w:rPr>
                <w:rFonts w:cs="Calibri"/>
                <w:szCs w:val="20"/>
              </w:rPr>
            </w:pPr>
            <w:r w:rsidRPr="007E2243">
              <w:rPr>
                <w:rFonts w:cs="Calibri"/>
                <w:color w:val="000000"/>
                <w:szCs w:val="20"/>
              </w:rPr>
              <w:t>$</w:t>
            </w:r>
            <w:r w:rsidR="007E2243" w:rsidRPr="007E2243">
              <w:rPr>
                <w:rFonts w:cs="Calibri"/>
                <w:color w:val="000000"/>
                <w:szCs w:val="20"/>
              </w:rPr>
              <w:t>REDACTED</w:t>
            </w:r>
          </w:p>
        </w:tc>
        <w:tc>
          <w:tcPr>
            <w:tcW w:w="1118" w:type="dxa"/>
            <w:tcBorders>
              <w:top w:val="single" w:sz="4" w:space="0" w:color="auto"/>
              <w:bottom w:val="single" w:sz="4" w:space="0" w:color="auto"/>
            </w:tcBorders>
            <w:vAlign w:val="bottom"/>
          </w:tcPr>
          <w:p w14:paraId="738E5C8D" w14:textId="65E55221" w:rsidR="00341327" w:rsidRPr="007E2243" w:rsidRDefault="00341327" w:rsidP="00341327">
            <w:pPr>
              <w:pStyle w:val="TableText"/>
              <w:jc w:val="right"/>
              <w:rPr>
                <w:rFonts w:cs="Calibri"/>
                <w:szCs w:val="20"/>
              </w:rPr>
            </w:pPr>
            <w:r w:rsidRPr="007E2243">
              <w:rPr>
                <w:rFonts w:cs="Calibri"/>
                <w:color w:val="000000"/>
                <w:szCs w:val="20"/>
              </w:rPr>
              <w:t>$</w:t>
            </w:r>
            <w:r w:rsidR="007E2243" w:rsidRPr="007E2243">
              <w:rPr>
                <w:rFonts w:cs="Calibri"/>
                <w:color w:val="000000"/>
                <w:szCs w:val="20"/>
              </w:rPr>
              <w:t>REDACTED</w:t>
            </w:r>
          </w:p>
        </w:tc>
        <w:tc>
          <w:tcPr>
            <w:tcW w:w="1118" w:type="dxa"/>
            <w:tcBorders>
              <w:top w:val="single" w:sz="4" w:space="0" w:color="auto"/>
              <w:bottom w:val="single" w:sz="4" w:space="0" w:color="auto"/>
            </w:tcBorders>
            <w:vAlign w:val="bottom"/>
          </w:tcPr>
          <w:p w14:paraId="378194C5" w14:textId="53588442" w:rsidR="00341327" w:rsidRPr="007E2243" w:rsidRDefault="00341327" w:rsidP="00341327">
            <w:pPr>
              <w:pStyle w:val="TableText"/>
              <w:jc w:val="right"/>
              <w:rPr>
                <w:rFonts w:cs="Calibri"/>
                <w:szCs w:val="20"/>
              </w:rPr>
            </w:pPr>
            <w:r w:rsidRPr="007E2243">
              <w:rPr>
                <w:rFonts w:cs="Calibri"/>
                <w:color w:val="000000"/>
                <w:szCs w:val="20"/>
              </w:rPr>
              <w:t>$</w:t>
            </w:r>
            <w:r w:rsidR="007E2243" w:rsidRPr="007E2243">
              <w:rPr>
                <w:rFonts w:cs="Calibri"/>
                <w:color w:val="000000"/>
                <w:szCs w:val="20"/>
              </w:rPr>
              <w:t>REDACTED</w:t>
            </w:r>
          </w:p>
        </w:tc>
        <w:tc>
          <w:tcPr>
            <w:tcW w:w="1243" w:type="dxa"/>
            <w:tcBorders>
              <w:top w:val="single" w:sz="4" w:space="0" w:color="auto"/>
              <w:bottom w:val="single" w:sz="4" w:space="0" w:color="auto"/>
            </w:tcBorders>
            <w:vAlign w:val="bottom"/>
          </w:tcPr>
          <w:p w14:paraId="013513AD" w14:textId="21C62795" w:rsidR="00341327" w:rsidRPr="007E2243" w:rsidRDefault="00341327" w:rsidP="00341327">
            <w:pPr>
              <w:pStyle w:val="TableText"/>
              <w:jc w:val="right"/>
              <w:rPr>
                <w:rFonts w:cs="Calibri"/>
                <w:szCs w:val="20"/>
              </w:rPr>
            </w:pPr>
            <w:r w:rsidRPr="007E2243">
              <w:rPr>
                <w:rFonts w:cs="Calibri"/>
                <w:color w:val="000000"/>
                <w:szCs w:val="20"/>
              </w:rPr>
              <w:t>$</w:t>
            </w:r>
            <w:r w:rsidR="007E2243" w:rsidRPr="007E2243">
              <w:rPr>
                <w:rFonts w:cs="Calibri"/>
                <w:color w:val="000000"/>
                <w:szCs w:val="20"/>
              </w:rPr>
              <w:t>REDACTED</w:t>
            </w:r>
          </w:p>
        </w:tc>
      </w:tr>
      <w:tr w:rsidR="001B2FA0" w:rsidRPr="009E683B" w14:paraId="3A395865" w14:textId="77777777" w:rsidTr="00E7226C">
        <w:trPr>
          <w:trHeight w:val="197"/>
        </w:trPr>
        <w:tc>
          <w:tcPr>
            <w:tcW w:w="2183" w:type="dxa"/>
            <w:tcBorders>
              <w:top w:val="single" w:sz="4" w:space="0" w:color="auto"/>
              <w:bottom w:val="single" w:sz="4" w:space="0" w:color="auto"/>
            </w:tcBorders>
          </w:tcPr>
          <w:p w14:paraId="12709F6C" w14:textId="77777777" w:rsidR="00C70C5D" w:rsidRPr="009E683B" w:rsidRDefault="00C70C5D" w:rsidP="00750623">
            <w:pPr>
              <w:pStyle w:val="TableText"/>
              <w:rPr>
                <w:szCs w:val="20"/>
              </w:rPr>
            </w:pPr>
            <w:r w:rsidRPr="009E683B">
              <w:rPr>
                <w:b/>
                <w:szCs w:val="20"/>
              </w:rPr>
              <w:t>Net cost to NBA (‘000)</w:t>
            </w:r>
          </w:p>
        </w:tc>
        <w:tc>
          <w:tcPr>
            <w:tcW w:w="1118" w:type="dxa"/>
            <w:tcBorders>
              <w:top w:val="single" w:sz="4" w:space="0" w:color="auto"/>
              <w:bottom w:val="single" w:sz="4" w:space="0" w:color="auto"/>
            </w:tcBorders>
            <w:vAlign w:val="bottom"/>
          </w:tcPr>
          <w:p w14:paraId="05A09E85" w14:textId="77777777" w:rsidR="00C70C5D" w:rsidRPr="009E683B" w:rsidRDefault="00C70C5D" w:rsidP="00750623">
            <w:pPr>
              <w:pStyle w:val="TableText"/>
              <w:jc w:val="right"/>
              <w:rPr>
                <w:b/>
                <w:szCs w:val="20"/>
              </w:rPr>
            </w:pPr>
            <w:r w:rsidRPr="009E683B">
              <w:rPr>
                <w:rFonts w:cs="Calibri"/>
                <w:b/>
                <w:color w:val="000000"/>
                <w:szCs w:val="20"/>
              </w:rPr>
              <w:t>$9,118</w:t>
            </w:r>
          </w:p>
        </w:tc>
        <w:tc>
          <w:tcPr>
            <w:tcW w:w="1118" w:type="dxa"/>
            <w:tcBorders>
              <w:top w:val="single" w:sz="4" w:space="0" w:color="auto"/>
              <w:bottom w:val="single" w:sz="4" w:space="0" w:color="auto"/>
            </w:tcBorders>
            <w:vAlign w:val="bottom"/>
          </w:tcPr>
          <w:p w14:paraId="7DEE1533" w14:textId="77777777" w:rsidR="00C70C5D" w:rsidRPr="009E683B" w:rsidRDefault="00C70C5D" w:rsidP="00750623">
            <w:pPr>
              <w:pStyle w:val="TableText"/>
              <w:jc w:val="right"/>
              <w:rPr>
                <w:b/>
                <w:szCs w:val="20"/>
              </w:rPr>
            </w:pPr>
            <w:r w:rsidRPr="009E683B">
              <w:rPr>
                <w:rFonts w:cs="Calibri"/>
                <w:b/>
                <w:color w:val="000000"/>
                <w:szCs w:val="20"/>
              </w:rPr>
              <w:t>$13,127</w:t>
            </w:r>
          </w:p>
        </w:tc>
        <w:tc>
          <w:tcPr>
            <w:tcW w:w="1118" w:type="dxa"/>
            <w:tcBorders>
              <w:top w:val="single" w:sz="4" w:space="0" w:color="auto"/>
              <w:bottom w:val="single" w:sz="4" w:space="0" w:color="auto"/>
            </w:tcBorders>
            <w:vAlign w:val="bottom"/>
          </w:tcPr>
          <w:p w14:paraId="31B05145" w14:textId="77777777" w:rsidR="00C70C5D" w:rsidRPr="009E683B" w:rsidRDefault="00C70C5D" w:rsidP="00750623">
            <w:pPr>
              <w:pStyle w:val="TableText"/>
              <w:jc w:val="right"/>
              <w:rPr>
                <w:b/>
                <w:szCs w:val="20"/>
              </w:rPr>
            </w:pPr>
            <w:r w:rsidRPr="009E683B">
              <w:rPr>
                <w:rFonts w:cs="Calibri"/>
                <w:b/>
                <w:color w:val="000000"/>
                <w:szCs w:val="20"/>
              </w:rPr>
              <w:t>$16,043</w:t>
            </w:r>
          </w:p>
        </w:tc>
        <w:tc>
          <w:tcPr>
            <w:tcW w:w="1118" w:type="dxa"/>
            <w:tcBorders>
              <w:top w:val="single" w:sz="4" w:space="0" w:color="auto"/>
              <w:bottom w:val="single" w:sz="4" w:space="0" w:color="auto"/>
            </w:tcBorders>
            <w:vAlign w:val="bottom"/>
          </w:tcPr>
          <w:p w14:paraId="542A94C3" w14:textId="77777777" w:rsidR="00C70C5D" w:rsidRPr="009E683B" w:rsidRDefault="00C70C5D" w:rsidP="00750623">
            <w:pPr>
              <w:pStyle w:val="TableText"/>
              <w:jc w:val="right"/>
              <w:rPr>
                <w:b/>
                <w:szCs w:val="20"/>
              </w:rPr>
            </w:pPr>
            <w:r w:rsidRPr="009E683B">
              <w:rPr>
                <w:rFonts w:cs="Calibri"/>
                <w:b/>
                <w:color w:val="000000"/>
                <w:szCs w:val="20"/>
              </w:rPr>
              <w:t>$17,610</w:t>
            </w:r>
          </w:p>
        </w:tc>
        <w:tc>
          <w:tcPr>
            <w:tcW w:w="1118" w:type="dxa"/>
            <w:tcBorders>
              <w:top w:val="single" w:sz="4" w:space="0" w:color="auto"/>
              <w:bottom w:val="single" w:sz="4" w:space="0" w:color="auto"/>
            </w:tcBorders>
            <w:vAlign w:val="bottom"/>
          </w:tcPr>
          <w:p w14:paraId="0099EEBC" w14:textId="77777777" w:rsidR="00C70C5D" w:rsidRPr="009E683B" w:rsidRDefault="00C70C5D" w:rsidP="00750623">
            <w:pPr>
              <w:pStyle w:val="TableText"/>
              <w:jc w:val="right"/>
              <w:rPr>
                <w:b/>
                <w:szCs w:val="20"/>
              </w:rPr>
            </w:pPr>
            <w:r w:rsidRPr="009E683B">
              <w:rPr>
                <w:rFonts w:cs="Calibri"/>
                <w:b/>
                <w:color w:val="000000"/>
                <w:szCs w:val="20"/>
              </w:rPr>
              <w:t>$17,496</w:t>
            </w:r>
          </w:p>
        </w:tc>
        <w:tc>
          <w:tcPr>
            <w:tcW w:w="1243" w:type="dxa"/>
            <w:tcBorders>
              <w:top w:val="single" w:sz="4" w:space="0" w:color="auto"/>
              <w:bottom w:val="single" w:sz="4" w:space="0" w:color="auto"/>
            </w:tcBorders>
            <w:vAlign w:val="bottom"/>
          </w:tcPr>
          <w:p w14:paraId="2C68595F" w14:textId="77777777" w:rsidR="00C70C5D" w:rsidRPr="009E683B" w:rsidRDefault="00C70C5D" w:rsidP="00750623">
            <w:pPr>
              <w:pStyle w:val="TableText"/>
              <w:jc w:val="right"/>
              <w:rPr>
                <w:b/>
                <w:szCs w:val="20"/>
              </w:rPr>
            </w:pPr>
            <w:r w:rsidRPr="009E683B">
              <w:rPr>
                <w:rFonts w:cs="Calibri"/>
                <w:b/>
                <w:color w:val="000000"/>
                <w:szCs w:val="20"/>
              </w:rPr>
              <w:t>$19,063</w:t>
            </w:r>
          </w:p>
        </w:tc>
      </w:tr>
      <w:tr w:rsidR="001B2FA0" w:rsidRPr="009E683B" w14:paraId="1FF0692C" w14:textId="77777777" w:rsidTr="00E7226C">
        <w:trPr>
          <w:trHeight w:val="197"/>
        </w:trPr>
        <w:tc>
          <w:tcPr>
            <w:tcW w:w="2183" w:type="dxa"/>
            <w:tcBorders>
              <w:top w:val="single" w:sz="4" w:space="0" w:color="auto"/>
              <w:bottom w:val="single" w:sz="4" w:space="0" w:color="auto"/>
            </w:tcBorders>
          </w:tcPr>
          <w:p w14:paraId="72DC01E4" w14:textId="64FF7195" w:rsidR="00341327" w:rsidRPr="009E683B" w:rsidRDefault="00341327" w:rsidP="00341327">
            <w:pPr>
              <w:pStyle w:val="TableText"/>
              <w:rPr>
                <w:b/>
                <w:szCs w:val="20"/>
              </w:rPr>
            </w:pPr>
            <w:r>
              <w:rPr>
                <w:b/>
                <w:szCs w:val="20"/>
              </w:rPr>
              <w:t xml:space="preserve">Net cost to </w:t>
            </w:r>
            <w:proofErr w:type="spellStart"/>
            <w:r>
              <w:rPr>
                <w:b/>
                <w:szCs w:val="20"/>
              </w:rPr>
              <w:t>NBA</w:t>
            </w:r>
            <w:r>
              <w:rPr>
                <w:b/>
                <w:szCs w:val="20"/>
                <w:vertAlign w:val="superscript"/>
              </w:rPr>
              <w:t>a</w:t>
            </w:r>
            <w:proofErr w:type="spellEnd"/>
            <w:r>
              <w:rPr>
                <w:b/>
                <w:szCs w:val="20"/>
              </w:rPr>
              <w:t xml:space="preserve"> (‘000)</w:t>
            </w:r>
          </w:p>
        </w:tc>
        <w:tc>
          <w:tcPr>
            <w:tcW w:w="1118" w:type="dxa"/>
            <w:tcBorders>
              <w:top w:val="single" w:sz="4" w:space="0" w:color="auto"/>
              <w:bottom w:val="single" w:sz="4" w:space="0" w:color="auto"/>
            </w:tcBorders>
            <w:vAlign w:val="bottom"/>
          </w:tcPr>
          <w:p w14:paraId="7D418867" w14:textId="1A295E1D" w:rsidR="00341327" w:rsidRPr="008078AC" w:rsidRDefault="00341327" w:rsidP="00341327">
            <w:pPr>
              <w:pStyle w:val="TableText"/>
              <w:jc w:val="right"/>
              <w:rPr>
                <w:rFonts w:cs="Calibri"/>
                <w:b/>
                <w:color w:val="000000"/>
                <w:szCs w:val="20"/>
              </w:rPr>
            </w:pPr>
            <w:r>
              <w:rPr>
                <w:rFonts w:cs="Calibri"/>
                <w:b/>
                <w:bCs/>
                <w:color w:val="000000"/>
                <w:szCs w:val="20"/>
              </w:rPr>
              <w:t>$8,472</w:t>
            </w:r>
          </w:p>
        </w:tc>
        <w:tc>
          <w:tcPr>
            <w:tcW w:w="1118" w:type="dxa"/>
            <w:tcBorders>
              <w:top w:val="single" w:sz="4" w:space="0" w:color="auto"/>
              <w:bottom w:val="single" w:sz="4" w:space="0" w:color="auto"/>
            </w:tcBorders>
            <w:vAlign w:val="bottom"/>
          </w:tcPr>
          <w:p w14:paraId="561ACBEE" w14:textId="400C4B7D" w:rsidR="00341327" w:rsidRPr="008078AC" w:rsidRDefault="00341327" w:rsidP="00341327">
            <w:pPr>
              <w:pStyle w:val="TableText"/>
              <w:jc w:val="right"/>
              <w:rPr>
                <w:rFonts w:cs="Calibri"/>
                <w:b/>
                <w:color w:val="000000"/>
                <w:szCs w:val="20"/>
              </w:rPr>
            </w:pPr>
            <w:r>
              <w:rPr>
                <w:rFonts w:cs="Calibri"/>
                <w:b/>
                <w:bCs/>
                <w:color w:val="000000"/>
                <w:szCs w:val="20"/>
              </w:rPr>
              <w:t>$12,196</w:t>
            </w:r>
          </w:p>
        </w:tc>
        <w:tc>
          <w:tcPr>
            <w:tcW w:w="1118" w:type="dxa"/>
            <w:tcBorders>
              <w:top w:val="single" w:sz="4" w:space="0" w:color="auto"/>
              <w:bottom w:val="single" w:sz="4" w:space="0" w:color="auto"/>
            </w:tcBorders>
            <w:vAlign w:val="bottom"/>
          </w:tcPr>
          <w:p w14:paraId="5D0E54AF" w14:textId="32B8C2CB" w:rsidR="00341327" w:rsidRPr="008078AC" w:rsidRDefault="00341327" w:rsidP="00341327">
            <w:pPr>
              <w:pStyle w:val="TableText"/>
              <w:jc w:val="right"/>
              <w:rPr>
                <w:rFonts w:cs="Calibri"/>
                <w:b/>
                <w:color w:val="000000"/>
                <w:szCs w:val="20"/>
              </w:rPr>
            </w:pPr>
            <w:r>
              <w:rPr>
                <w:rFonts w:cs="Calibri"/>
                <w:b/>
                <w:bCs/>
                <w:color w:val="000000"/>
                <w:szCs w:val="20"/>
              </w:rPr>
              <w:t>$14,905</w:t>
            </w:r>
          </w:p>
        </w:tc>
        <w:tc>
          <w:tcPr>
            <w:tcW w:w="1118" w:type="dxa"/>
            <w:tcBorders>
              <w:top w:val="single" w:sz="4" w:space="0" w:color="auto"/>
              <w:bottom w:val="single" w:sz="4" w:space="0" w:color="auto"/>
            </w:tcBorders>
            <w:vAlign w:val="bottom"/>
          </w:tcPr>
          <w:p w14:paraId="09D394A5" w14:textId="7515AB0D" w:rsidR="00341327" w:rsidRPr="008078AC" w:rsidRDefault="00341327" w:rsidP="00341327">
            <w:pPr>
              <w:pStyle w:val="TableText"/>
              <w:jc w:val="right"/>
              <w:rPr>
                <w:rFonts w:cs="Calibri"/>
                <w:b/>
                <w:color w:val="000000"/>
                <w:szCs w:val="20"/>
              </w:rPr>
            </w:pPr>
            <w:r>
              <w:rPr>
                <w:rFonts w:cs="Calibri"/>
                <w:b/>
                <w:bCs/>
                <w:color w:val="000000"/>
                <w:szCs w:val="20"/>
              </w:rPr>
              <w:t>$16,361</w:t>
            </w:r>
          </w:p>
        </w:tc>
        <w:tc>
          <w:tcPr>
            <w:tcW w:w="1118" w:type="dxa"/>
            <w:tcBorders>
              <w:top w:val="single" w:sz="4" w:space="0" w:color="auto"/>
              <w:bottom w:val="single" w:sz="4" w:space="0" w:color="auto"/>
            </w:tcBorders>
            <w:vAlign w:val="bottom"/>
          </w:tcPr>
          <w:p w14:paraId="14FA33F8" w14:textId="5B501299" w:rsidR="00341327" w:rsidRPr="008078AC" w:rsidRDefault="00341327" w:rsidP="00341327">
            <w:pPr>
              <w:pStyle w:val="TableText"/>
              <w:jc w:val="right"/>
              <w:rPr>
                <w:rFonts w:cs="Calibri"/>
                <w:b/>
                <w:color w:val="000000"/>
                <w:szCs w:val="20"/>
              </w:rPr>
            </w:pPr>
            <w:r>
              <w:rPr>
                <w:rFonts w:cs="Calibri"/>
                <w:b/>
                <w:bCs/>
                <w:color w:val="000000"/>
                <w:szCs w:val="20"/>
              </w:rPr>
              <w:t>$16,255</w:t>
            </w:r>
          </w:p>
        </w:tc>
        <w:tc>
          <w:tcPr>
            <w:tcW w:w="1243" w:type="dxa"/>
            <w:tcBorders>
              <w:top w:val="single" w:sz="4" w:space="0" w:color="auto"/>
              <w:bottom w:val="single" w:sz="4" w:space="0" w:color="auto"/>
            </w:tcBorders>
            <w:vAlign w:val="bottom"/>
          </w:tcPr>
          <w:p w14:paraId="5DA86325" w14:textId="29E6619B" w:rsidR="00341327" w:rsidRPr="008078AC" w:rsidRDefault="00341327" w:rsidP="00341327">
            <w:pPr>
              <w:pStyle w:val="TableText"/>
              <w:jc w:val="right"/>
              <w:rPr>
                <w:rFonts w:cs="Calibri"/>
                <w:b/>
                <w:color w:val="000000"/>
                <w:szCs w:val="20"/>
              </w:rPr>
            </w:pPr>
            <w:r>
              <w:rPr>
                <w:rFonts w:cs="Calibri"/>
                <w:b/>
                <w:bCs/>
                <w:color w:val="000000"/>
                <w:szCs w:val="20"/>
              </w:rPr>
              <w:t>$17,711</w:t>
            </w:r>
          </w:p>
        </w:tc>
      </w:tr>
    </w:tbl>
    <w:p w14:paraId="4500F997" w14:textId="05991E68" w:rsidR="00C70C5D" w:rsidRDefault="00C70C5D" w:rsidP="00C70C5D">
      <w:pPr>
        <w:pStyle w:val="TableText"/>
        <w:keepNext/>
        <w:rPr>
          <w:sz w:val="18"/>
        </w:rPr>
      </w:pPr>
      <w:r w:rsidRPr="004D12A4">
        <w:rPr>
          <w:sz w:val="18"/>
        </w:rPr>
        <w:t xml:space="preserve">Source: </w:t>
      </w:r>
      <w:r w:rsidRPr="00596B55">
        <w:rPr>
          <w:sz w:val="18"/>
        </w:rPr>
        <w:t xml:space="preserve">Commentary Table 14, </w:t>
      </w:r>
      <w:proofErr w:type="spellStart"/>
      <w:r w:rsidRPr="00596B55">
        <w:rPr>
          <w:sz w:val="18"/>
        </w:rPr>
        <w:t>pg</w:t>
      </w:r>
      <w:proofErr w:type="spellEnd"/>
      <w:r w:rsidRPr="00596B55">
        <w:rPr>
          <w:sz w:val="18"/>
        </w:rPr>
        <w:t xml:space="preserve"> 217 of the Commentary on MSAC 1714 ADAR</w:t>
      </w:r>
    </w:p>
    <w:p w14:paraId="66F831FD" w14:textId="3E7135BA" w:rsidR="2141A277" w:rsidRDefault="3D868913" w:rsidP="0301EDCD">
      <w:pPr>
        <w:pStyle w:val="TableText"/>
        <w:keepNext/>
        <w:rPr>
          <w:rFonts w:ascii="Calibri" w:eastAsia="Calibri" w:hAnsi="Calibri" w:cs="Calibri"/>
          <w:i/>
          <w:iCs/>
          <w:color w:val="0070C0"/>
          <w:sz w:val="18"/>
          <w:szCs w:val="18"/>
        </w:rPr>
      </w:pPr>
      <w:bookmarkStart w:id="69" w:name="_Int_gZCatqdf"/>
      <w:bookmarkStart w:id="70" w:name="_Hlk124151618"/>
      <w:proofErr w:type="spellStart"/>
      <w:r w:rsidRPr="0301EDCD">
        <w:rPr>
          <w:sz w:val="18"/>
          <w:szCs w:val="18"/>
          <w:vertAlign w:val="superscript"/>
        </w:rPr>
        <w:t>a</w:t>
      </w:r>
      <w:bookmarkEnd w:id="69"/>
      <w:proofErr w:type="spellEnd"/>
      <w:r w:rsidRPr="0301EDCD">
        <w:rPr>
          <w:sz w:val="18"/>
          <w:szCs w:val="18"/>
        </w:rPr>
        <w:t xml:space="preserve"> Using updated prices of NovoSeven and FEIBA </w:t>
      </w:r>
      <w:bookmarkStart w:id="71" w:name="_Int_So67lvaK"/>
      <w:proofErr w:type="gramStart"/>
      <w:r w:rsidRPr="0301EDCD">
        <w:rPr>
          <w:sz w:val="18"/>
          <w:szCs w:val="18"/>
        </w:rPr>
        <w:t>at</w:t>
      </w:r>
      <w:bookmarkEnd w:id="71"/>
      <w:proofErr w:type="gramEnd"/>
      <w:r w:rsidRPr="0301EDCD">
        <w:rPr>
          <w:sz w:val="18"/>
          <w:szCs w:val="18"/>
        </w:rPr>
        <w:t xml:space="preserve"> 01 January 2023</w:t>
      </w:r>
    </w:p>
    <w:p w14:paraId="62328B06" w14:textId="01152A0D" w:rsidR="00746AEC" w:rsidRDefault="00746AEC" w:rsidP="00746AEC">
      <w:pPr>
        <w:pStyle w:val="Heading2"/>
        <w:numPr>
          <w:ilvl w:val="0"/>
          <w:numId w:val="0"/>
        </w:numPr>
      </w:pPr>
      <w:r>
        <w:t>15.</w:t>
      </w:r>
      <w:r>
        <w:tab/>
      </w:r>
      <w:r w:rsidRPr="00CE28E3">
        <w:t xml:space="preserve">Other relevant </w:t>
      </w:r>
      <w:r>
        <w:t>information</w:t>
      </w:r>
    </w:p>
    <w:p w14:paraId="1624B4E5" w14:textId="4645BF25" w:rsidR="00473511" w:rsidRPr="00473511" w:rsidRDefault="00746AEC" w:rsidP="00473511">
      <w:r>
        <w:t>Nil.</w:t>
      </w:r>
      <w:bookmarkEnd w:id="53"/>
      <w:bookmarkEnd w:id="54"/>
      <w:bookmarkEnd w:id="70"/>
      <w:r w:rsidR="00473511">
        <w:br w:type="page"/>
      </w:r>
    </w:p>
    <w:p w14:paraId="42ABEBFF" w14:textId="07279FA8" w:rsidR="00F72C82" w:rsidRDefault="00F72C82" w:rsidP="00F72C82">
      <w:pPr>
        <w:pStyle w:val="Heading2"/>
        <w:numPr>
          <w:ilvl w:val="0"/>
          <w:numId w:val="0"/>
        </w:numPr>
      </w:pPr>
      <w:r>
        <w:lastRenderedPageBreak/>
        <w:t>16.</w:t>
      </w:r>
      <w:r>
        <w:tab/>
        <w:t>Key issues from ESC to MSAC</w:t>
      </w:r>
    </w:p>
    <w:tbl>
      <w:tblPr>
        <w:tblStyle w:val="TableGrid"/>
        <w:tblW w:w="0" w:type="auto"/>
        <w:tblLook w:val="04A0" w:firstRow="1" w:lastRow="0" w:firstColumn="1" w:lastColumn="0" w:noHBand="0" w:noVBand="1"/>
      </w:tblPr>
      <w:tblGrid>
        <w:gridCol w:w="9016"/>
      </w:tblGrid>
      <w:tr w:rsidR="00F72C82" w:rsidRPr="00CE28E3" w14:paraId="7871B7CD" w14:textId="77777777" w:rsidTr="002859B3">
        <w:tc>
          <w:tcPr>
            <w:tcW w:w="9016" w:type="dxa"/>
          </w:tcPr>
          <w:p w14:paraId="4E403A76" w14:textId="77777777" w:rsidR="00F72C82" w:rsidRPr="00575B01" w:rsidRDefault="00F72C82" w:rsidP="002859B3">
            <w:pPr>
              <w:rPr>
                <w:b/>
                <w:bCs/>
                <w:sz w:val="24"/>
                <w:szCs w:val="24"/>
              </w:rPr>
            </w:pPr>
            <w:r w:rsidRPr="00575B01">
              <w:rPr>
                <w:b/>
                <w:bCs/>
                <w:sz w:val="24"/>
                <w:szCs w:val="24"/>
              </w:rPr>
              <w:t xml:space="preserve">Main issues for MSAC consideration </w:t>
            </w:r>
          </w:p>
          <w:p w14:paraId="110F95C4" w14:textId="77777777" w:rsidR="00F72C82" w:rsidRPr="00575B01" w:rsidRDefault="00F72C82" w:rsidP="002859B3">
            <w:pPr>
              <w:rPr>
                <w:b/>
              </w:rPr>
            </w:pPr>
            <w:r w:rsidRPr="00575B01">
              <w:rPr>
                <w:b/>
              </w:rPr>
              <w:t>Clinical issues:</w:t>
            </w:r>
          </w:p>
          <w:p w14:paraId="1DF12BF7" w14:textId="77777777" w:rsidR="00F72C82" w:rsidRDefault="00F72C82" w:rsidP="002859B3">
            <w:pPr>
              <w:pStyle w:val="BoxBullet"/>
              <w:numPr>
                <w:ilvl w:val="0"/>
                <w:numId w:val="17"/>
              </w:numPr>
              <w:pBdr>
                <w:top w:val="none" w:sz="0" w:space="0" w:color="auto"/>
                <w:left w:val="none" w:sz="0" w:space="0" w:color="auto"/>
                <w:bottom w:val="none" w:sz="0" w:space="0" w:color="auto"/>
                <w:right w:val="none" w:sz="0" w:space="0" w:color="auto"/>
              </w:pBdr>
            </w:pPr>
            <w:r>
              <w:t xml:space="preserve">Acquired Haemophilia A (AHA) is an extremely rare condition affecting approximately 100 individuals in Australia, of whom 10-20 receive treatment </w:t>
            </w:r>
            <w:proofErr w:type="gramStart"/>
            <w:r>
              <w:t>in a given year</w:t>
            </w:r>
            <w:proofErr w:type="gramEnd"/>
            <w:r>
              <w:t>. There is substantial variability in severity of bleeding, which is confounded by age and aetiology, that impairs the generalisability of clinical outcomes reported in trials and registry studies.</w:t>
            </w:r>
          </w:p>
          <w:p w14:paraId="48305934" w14:textId="77777777" w:rsidR="00F72C82" w:rsidRDefault="00F72C82" w:rsidP="002859B3">
            <w:pPr>
              <w:pStyle w:val="BoxBullet"/>
              <w:numPr>
                <w:ilvl w:val="0"/>
                <w:numId w:val="17"/>
              </w:numPr>
              <w:pBdr>
                <w:top w:val="none" w:sz="0" w:space="0" w:color="auto"/>
                <w:left w:val="none" w:sz="0" w:space="0" w:color="auto"/>
                <w:bottom w:val="none" w:sz="0" w:space="0" w:color="auto"/>
                <w:right w:val="none" w:sz="0" w:space="0" w:color="auto"/>
              </w:pBdr>
            </w:pPr>
            <w:r>
              <w:t>Due to the rarity of AHA, there are limited clinical trial data available, and it is unlikely that randomised controlled trials will be forthcoming. The Australian Bleeding Disorders Registry (ABDR) should be able to capture data on Obizur product use and clinical outcomes.</w:t>
            </w:r>
          </w:p>
          <w:p w14:paraId="01DAFBC2" w14:textId="77777777" w:rsidR="00F72C82" w:rsidRDefault="00F72C82" w:rsidP="002859B3">
            <w:pPr>
              <w:pStyle w:val="BoxBullet"/>
              <w:numPr>
                <w:ilvl w:val="0"/>
                <w:numId w:val="17"/>
              </w:numPr>
              <w:pBdr>
                <w:top w:val="none" w:sz="0" w:space="0" w:color="auto"/>
                <w:left w:val="none" w:sz="0" w:space="0" w:color="auto"/>
                <w:bottom w:val="none" w:sz="0" w:space="0" w:color="auto"/>
                <w:right w:val="none" w:sz="0" w:space="0" w:color="auto"/>
              </w:pBdr>
            </w:pPr>
            <w:r>
              <w:t>The clinical effectiveness and safety of Obizur appears to be non-inferior compared with each of the two comparators (as monotherapy). The claims of non-inferiority are the basis for the cost-minimisation analysis against each comparator. However, these claims are based on limited evidence and are uncertain.</w:t>
            </w:r>
          </w:p>
          <w:p w14:paraId="48F8E91D" w14:textId="77777777" w:rsidR="00F72C82" w:rsidRDefault="00F72C82" w:rsidP="002859B3">
            <w:pPr>
              <w:pStyle w:val="BoxBullet"/>
              <w:numPr>
                <w:ilvl w:val="0"/>
                <w:numId w:val="17"/>
              </w:numPr>
              <w:pBdr>
                <w:top w:val="none" w:sz="0" w:space="0" w:color="auto"/>
                <w:left w:val="none" w:sz="0" w:space="0" w:color="auto"/>
                <w:bottom w:val="none" w:sz="0" w:space="0" w:color="auto"/>
                <w:right w:val="none" w:sz="0" w:space="0" w:color="auto"/>
              </w:pBdr>
            </w:pPr>
            <w:r>
              <w:t xml:space="preserve">The proposed initial dose (between 100-200 Units/kg) for treatment with Obizur is lower than currently recommended in the product information (PI) (200 Units/kg). The initial dose of Obizur differed across the studies and some used an initial dose below 200 Units/kg. This may be appropriate, but in the absence of any national guidelines for management of AHA, further advice from professional societies could be sought. </w:t>
            </w:r>
          </w:p>
          <w:p w14:paraId="1013DAC0" w14:textId="77777777" w:rsidR="00F72C82" w:rsidRPr="00575B01" w:rsidRDefault="00F72C82" w:rsidP="002859B3">
            <w:pPr>
              <w:pStyle w:val="BoxBullet"/>
              <w:numPr>
                <w:ilvl w:val="0"/>
                <w:numId w:val="17"/>
              </w:numPr>
              <w:pBdr>
                <w:top w:val="none" w:sz="0" w:space="0" w:color="auto"/>
                <w:left w:val="none" w:sz="0" w:space="0" w:color="auto"/>
                <w:bottom w:val="none" w:sz="0" w:space="0" w:color="auto"/>
                <w:right w:val="none" w:sz="0" w:space="0" w:color="auto"/>
              </w:pBdr>
            </w:pPr>
            <w:r>
              <w:t>AHA requires management in specialist centres, and there may be availability issues for patients presenting with bleeding outside of these settings, who may need urgent therapy.</w:t>
            </w:r>
          </w:p>
          <w:p w14:paraId="64BBC0BA" w14:textId="77777777" w:rsidR="00F72C82" w:rsidRPr="00575B01" w:rsidRDefault="00F72C82" w:rsidP="002859B3">
            <w:pPr>
              <w:rPr>
                <w:b/>
              </w:rPr>
            </w:pPr>
            <w:r w:rsidRPr="00575B01">
              <w:rPr>
                <w:b/>
              </w:rPr>
              <w:t>Economic issues:</w:t>
            </w:r>
          </w:p>
          <w:p w14:paraId="11DD9CA1" w14:textId="77777777" w:rsidR="00F72C82" w:rsidRPr="003A7574" w:rsidRDefault="00F72C82" w:rsidP="002859B3">
            <w:pPr>
              <w:pStyle w:val="BoxBullet"/>
              <w:numPr>
                <w:ilvl w:val="0"/>
                <w:numId w:val="17"/>
              </w:numPr>
              <w:pBdr>
                <w:top w:val="none" w:sz="0" w:space="0" w:color="auto"/>
                <w:left w:val="none" w:sz="0" w:space="0" w:color="auto"/>
                <w:bottom w:val="none" w:sz="0" w:space="0" w:color="auto"/>
                <w:right w:val="none" w:sz="0" w:space="0" w:color="auto"/>
              </w:pBdr>
            </w:pPr>
            <w:r>
              <w:t>If the claims of non-inferiority are not accepted, then there is no basis on which to rely on the weighted cost-minimised approach to inform public funding arrangements.</w:t>
            </w:r>
          </w:p>
          <w:p w14:paraId="7DCE8608" w14:textId="77777777" w:rsidR="00F72C82" w:rsidRPr="003A7574" w:rsidRDefault="00F72C82" w:rsidP="002859B3">
            <w:pPr>
              <w:pStyle w:val="BoxBullet"/>
              <w:numPr>
                <w:ilvl w:val="0"/>
                <w:numId w:val="17"/>
              </w:numPr>
              <w:pBdr>
                <w:top w:val="none" w:sz="0" w:space="0" w:color="auto"/>
                <w:left w:val="none" w:sz="0" w:space="0" w:color="auto"/>
                <w:bottom w:val="none" w:sz="0" w:space="0" w:color="auto"/>
                <w:right w:val="none" w:sz="0" w:space="0" w:color="auto"/>
              </w:pBdr>
            </w:pPr>
            <w:r>
              <w:t xml:space="preserve">Many confounding factors contribute to the uncertainty in the </w:t>
            </w:r>
            <w:proofErr w:type="spellStart"/>
            <w:r>
              <w:t>equi</w:t>
            </w:r>
            <w:proofErr w:type="spellEnd"/>
            <w:r>
              <w:t xml:space="preserve">-effective dose calculations. Some are inherent due to disease rarity (and hence the lack of controlled trials) and cannot be directly addressed or mitigated. However, the numerical approach to calculating the </w:t>
            </w:r>
            <w:proofErr w:type="spellStart"/>
            <w:r>
              <w:t>equi</w:t>
            </w:r>
            <w:proofErr w:type="spellEnd"/>
            <w:r>
              <w:t>-effective doses is unnecessarily convoluted and appears to favour Obizur.</w:t>
            </w:r>
          </w:p>
          <w:p w14:paraId="76F8CDED" w14:textId="77777777" w:rsidR="00F72C82" w:rsidRPr="0058483A" w:rsidRDefault="00F72C82" w:rsidP="002859B3">
            <w:pPr>
              <w:pStyle w:val="BoxBullet"/>
              <w:numPr>
                <w:ilvl w:val="0"/>
                <w:numId w:val="17"/>
              </w:numPr>
              <w:pBdr>
                <w:top w:val="none" w:sz="0" w:space="0" w:color="auto"/>
                <w:left w:val="none" w:sz="0" w:space="0" w:color="auto"/>
                <w:bottom w:val="none" w:sz="0" w:space="0" w:color="auto"/>
                <w:right w:val="none" w:sz="0" w:space="0" w:color="auto"/>
              </w:pBdr>
              <w:rPr>
                <w:i/>
                <w:iCs/>
              </w:rPr>
            </w:pPr>
            <w:r>
              <w:t>A cost-effective price has not been established for BPAs listed on the National Product Price List (NPPL). Therefore, even if Obizur is cost-minimised to the comparator prices, there is limited confidence that the comparator prices are cost-effective prices. Whilst it is recognised that the paucity of evidence makes it difficult to calculate an ICER for Obizur versus either of the comparator agents, it may instead be informative to calculate the average cost per (resolved) bleed for each agent, and then compare these values.</w:t>
            </w:r>
          </w:p>
          <w:p w14:paraId="4200E207" w14:textId="77777777" w:rsidR="00F72C82" w:rsidRDefault="00F72C82" w:rsidP="002859B3">
            <w:pPr>
              <w:pStyle w:val="BoxBullet"/>
              <w:numPr>
                <w:ilvl w:val="0"/>
                <w:numId w:val="17"/>
              </w:numPr>
              <w:pBdr>
                <w:top w:val="none" w:sz="0" w:space="0" w:color="auto"/>
                <w:left w:val="none" w:sz="0" w:space="0" w:color="auto"/>
                <w:bottom w:val="none" w:sz="0" w:space="0" w:color="auto"/>
                <w:right w:val="none" w:sz="0" w:space="0" w:color="auto"/>
              </w:pBdr>
            </w:pPr>
            <w:r w:rsidRPr="003A7574">
              <w:t>Noting clinic</w:t>
            </w:r>
            <w:r>
              <w:t>i</w:t>
            </w:r>
            <w:r w:rsidRPr="003A7574">
              <w:t>a</w:t>
            </w:r>
            <w:r>
              <w:t>n</w:t>
            </w:r>
            <w:r w:rsidRPr="003A7574">
              <w:t xml:space="preserve"> advice that starting doses less than 200 </w:t>
            </w:r>
            <w:r>
              <w:t>U</w:t>
            </w:r>
            <w:r w:rsidRPr="003A7574">
              <w:t xml:space="preserve">nits/kg are used in clinical practice, the studies that were excluded from the </w:t>
            </w:r>
            <w:r>
              <w:t xml:space="preserve">Commentary sensitivity </w:t>
            </w:r>
            <w:r w:rsidRPr="003A7574">
              <w:t>analys</w:t>
            </w:r>
            <w:r>
              <w:t>e</w:t>
            </w:r>
            <w:r w:rsidRPr="003A7574">
              <w:t xml:space="preserve">s </w:t>
            </w:r>
            <w:proofErr w:type="gramStart"/>
            <w:r w:rsidRPr="003A7574">
              <w:t>on the basis of</w:t>
            </w:r>
            <w:proofErr w:type="gramEnd"/>
            <w:r w:rsidRPr="003A7574">
              <w:t xml:space="preserve"> a star</w:t>
            </w:r>
            <w:r>
              <w:t>t</w:t>
            </w:r>
            <w:r w:rsidRPr="003A7574">
              <w:t xml:space="preserve">ing dose less than 200 </w:t>
            </w:r>
            <w:r>
              <w:t>U</w:t>
            </w:r>
            <w:r w:rsidRPr="003A7574">
              <w:t>nits/kg should be included</w:t>
            </w:r>
            <w:r>
              <w:t xml:space="preserve"> in the base case analysis</w:t>
            </w:r>
            <w:r w:rsidRPr="003A7574">
              <w:t>.</w:t>
            </w:r>
          </w:p>
          <w:p w14:paraId="36EBF3CB" w14:textId="77777777" w:rsidR="00F72C82" w:rsidRPr="003A7574" w:rsidRDefault="00F72C82" w:rsidP="002859B3">
            <w:pPr>
              <w:pStyle w:val="BoxBullet"/>
              <w:numPr>
                <w:ilvl w:val="0"/>
                <w:numId w:val="17"/>
              </w:numPr>
              <w:pBdr>
                <w:top w:val="none" w:sz="0" w:space="0" w:color="auto"/>
                <w:left w:val="none" w:sz="0" w:space="0" w:color="auto"/>
                <w:bottom w:val="none" w:sz="0" w:space="0" w:color="auto"/>
                <w:right w:val="none" w:sz="0" w:space="0" w:color="auto"/>
              </w:pBdr>
            </w:pPr>
            <w:r w:rsidRPr="00C60531">
              <w:t>While the clinical reasoning for giving no intervention in practice is understandable, the ADAR did not include a comparison for Obizur versus no intervention in the economic evaluation</w:t>
            </w:r>
          </w:p>
          <w:p w14:paraId="14F49701" w14:textId="77777777" w:rsidR="00F72C82" w:rsidRPr="004D7E58" w:rsidRDefault="00F72C82" w:rsidP="002859B3">
            <w:pPr>
              <w:pStyle w:val="BoxBullet"/>
              <w:numPr>
                <w:ilvl w:val="0"/>
                <w:numId w:val="17"/>
              </w:numPr>
              <w:pBdr>
                <w:top w:val="none" w:sz="0" w:space="0" w:color="auto"/>
                <w:left w:val="none" w:sz="0" w:space="0" w:color="auto"/>
                <w:bottom w:val="none" w:sz="0" w:space="0" w:color="auto"/>
                <w:right w:val="none" w:sz="0" w:space="0" w:color="auto"/>
              </w:pBdr>
              <w:rPr>
                <w:i/>
                <w:iCs/>
              </w:rPr>
            </w:pPr>
            <w:r>
              <w:t xml:space="preserve">The impact of the observed difference in length of stay according to individual therapy has not been completely accounted for in the weighted cost-minimisation approach: </w:t>
            </w:r>
            <w:r>
              <w:lastRenderedPageBreak/>
              <w:t>the hospital costs for different lengths of stay need to be incorporated (not just the differences in number of infusions based on assumptions around infusions per day).</w:t>
            </w:r>
          </w:p>
          <w:p w14:paraId="0651B631" w14:textId="77777777" w:rsidR="00F72C82" w:rsidRDefault="00F72C82" w:rsidP="002859B3">
            <w:pPr>
              <w:pStyle w:val="BoxBullet"/>
              <w:numPr>
                <w:ilvl w:val="0"/>
                <w:numId w:val="17"/>
              </w:numPr>
              <w:pBdr>
                <w:top w:val="none" w:sz="0" w:space="0" w:color="auto"/>
                <w:left w:val="none" w:sz="0" w:space="0" w:color="auto"/>
                <w:bottom w:val="none" w:sz="0" w:space="0" w:color="auto"/>
                <w:right w:val="none" w:sz="0" w:space="0" w:color="auto"/>
              </w:pBdr>
              <w:rPr>
                <w:i/>
                <w:iCs/>
              </w:rPr>
            </w:pPr>
            <w:r>
              <w:t>It was noted that there may be patients who receive more than one therapy, but this is not accounted for in the cost-minimisation approach.</w:t>
            </w:r>
          </w:p>
          <w:p w14:paraId="07C72B74" w14:textId="77777777" w:rsidR="00F72C82" w:rsidRPr="00575B01" w:rsidRDefault="00F72C82" w:rsidP="002859B3">
            <w:pPr>
              <w:rPr>
                <w:b/>
              </w:rPr>
            </w:pPr>
            <w:r w:rsidRPr="00575B01">
              <w:rPr>
                <w:b/>
              </w:rPr>
              <w:t>Financial issues:</w:t>
            </w:r>
          </w:p>
          <w:p w14:paraId="7EDAB6B6" w14:textId="77777777" w:rsidR="00F72C82" w:rsidRDefault="00F72C82" w:rsidP="002859B3">
            <w:pPr>
              <w:pStyle w:val="BoxBullet"/>
              <w:numPr>
                <w:ilvl w:val="0"/>
                <w:numId w:val="17"/>
              </w:numPr>
              <w:pBdr>
                <w:top w:val="none" w:sz="0" w:space="0" w:color="auto"/>
                <w:left w:val="none" w:sz="0" w:space="0" w:color="auto"/>
                <w:bottom w:val="none" w:sz="0" w:space="0" w:color="auto"/>
                <w:right w:val="none" w:sz="0" w:space="0" w:color="auto"/>
              </w:pBdr>
            </w:pPr>
            <w:r>
              <w:t xml:space="preserve">There is significant uncertainty regarding the total likely cost of Obizur and the net financial impact due to the uncertainties with the economic evaluation and the low patient numbers. The low net financial impact claimed in the ADAR is only possible if the </w:t>
            </w:r>
            <w:proofErr w:type="spellStart"/>
            <w:r>
              <w:t>equi</w:t>
            </w:r>
            <w:proofErr w:type="spellEnd"/>
            <w:r>
              <w:t xml:space="preserve">-effective dose calculations are reliable. </w:t>
            </w:r>
          </w:p>
          <w:p w14:paraId="27A05F73" w14:textId="77777777" w:rsidR="00F72C82" w:rsidRPr="0058483A" w:rsidRDefault="00F72C82" w:rsidP="002859B3">
            <w:pPr>
              <w:rPr>
                <w:b/>
              </w:rPr>
            </w:pPr>
            <w:r w:rsidRPr="0058483A">
              <w:rPr>
                <w:b/>
              </w:rPr>
              <w:t xml:space="preserve">Other relevant information: </w:t>
            </w:r>
          </w:p>
          <w:p w14:paraId="4E7A9804" w14:textId="77777777" w:rsidR="00F72C82" w:rsidRDefault="00F72C82" w:rsidP="002859B3">
            <w:pPr>
              <w:pStyle w:val="BoxBullet"/>
              <w:numPr>
                <w:ilvl w:val="0"/>
                <w:numId w:val="17"/>
              </w:numPr>
              <w:pBdr>
                <w:top w:val="none" w:sz="0" w:space="0" w:color="auto"/>
                <w:left w:val="none" w:sz="0" w:space="0" w:color="auto"/>
                <w:bottom w:val="none" w:sz="0" w:space="0" w:color="auto"/>
                <w:right w:val="none" w:sz="0" w:space="0" w:color="auto"/>
              </w:pBdr>
            </w:pPr>
            <w:r>
              <w:t>If recommended for public funding, a post-implementation utilisation review should determine the average dose per patient per bleed (all bleeds, resolved and unresolved) in practice for Obizur, NovoSeven and FEIBA, or combinations thereof.</w:t>
            </w:r>
          </w:p>
          <w:p w14:paraId="5026B81B" w14:textId="77777777" w:rsidR="00F72C82" w:rsidRPr="0058483A" w:rsidRDefault="00F72C82" w:rsidP="002859B3">
            <w:pPr>
              <w:pStyle w:val="BoxBullet"/>
              <w:numPr>
                <w:ilvl w:val="0"/>
                <w:numId w:val="17"/>
              </w:numPr>
              <w:pBdr>
                <w:top w:val="none" w:sz="0" w:space="0" w:color="auto"/>
                <w:left w:val="none" w:sz="0" w:space="0" w:color="auto"/>
                <w:bottom w:val="none" w:sz="0" w:space="0" w:color="auto"/>
                <w:right w:val="none" w:sz="0" w:space="0" w:color="auto"/>
              </w:pBdr>
            </w:pPr>
            <w:r w:rsidRPr="00F165E5">
              <w:rPr>
                <w:rStyle w:val="Strong"/>
                <w:b w:val="0"/>
                <w:bCs w:val="0"/>
              </w:rPr>
              <w:t>I</w:t>
            </w:r>
            <w:r w:rsidRPr="004D7E58">
              <w:rPr>
                <w:rStyle w:val="Strong"/>
                <w:b w:val="0"/>
                <w:bCs w:val="0"/>
              </w:rPr>
              <w:t>f</w:t>
            </w:r>
            <w:r w:rsidRPr="00F165E5">
              <w:rPr>
                <w:rStyle w:val="Strong"/>
                <w:b w:val="0"/>
                <w:bCs w:val="0"/>
              </w:rPr>
              <w:t xml:space="preserve"> </w:t>
            </w:r>
            <w:r w:rsidRPr="0058483A">
              <w:rPr>
                <w:rStyle w:val="Strong"/>
                <w:b w:val="0"/>
                <w:bCs w:val="0"/>
              </w:rPr>
              <w:t xml:space="preserve">a risk-sharing arrangement between the </w:t>
            </w:r>
            <w:r>
              <w:rPr>
                <w:rStyle w:val="Strong"/>
                <w:b w:val="0"/>
                <w:bCs w:val="0"/>
              </w:rPr>
              <w:t>National Blood Authority</w:t>
            </w:r>
            <w:r w:rsidRPr="0058483A">
              <w:rPr>
                <w:rStyle w:val="Strong"/>
                <w:b w:val="0"/>
                <w:bCs w:val="0"/>
              </w:rPr>
              <w:t xml:space="preserve"> and </w:t>
            </w:r>
            <w:r w:rsidRPr="00C13010">
              <w:rPr>
                <w:rStyle w:val="Strong"/>
                <w:b w:val="0"/>
                <w:bCs w:val="0"/>
              </w:rPr>
              <w:t>O</w:t>
            </w:r>
            <w:r w:rsidRPr="00147524">
              <w:rPr>
                <w:rStyle w:val="Strong"/>
                <w:b w:val="0"/>
                <w:bCs w:val="0"/>
              </w:rPr>
              <w:t>bizur</w:t>
            </w:r>
            <w:r>
              <w:rPr>
                <w:rStyle w:val="Strong"/>
              </w:rPr>
              <w:t xml:space="preserve"> </w:t>
            </w:r>
            <w:r w:rsidRPr="0058483A">
              <w:rPr>
                <w:rStyle w:val="Strong"/>
                <w:b w:val="0"/>
                <w:bCs w:val="0"/>
              </w:rPr>
              <w:t xml:space="preserve">supplier is to be implemented, it should </w:t>
            </w:r>
            <w:r>
              <w:rPr>
                <w:rStyle w:val="Strong"/>
                <w:b w:val="0"/>
                <w:bCs w:val="0"/>
              </w:rPr>
              <w:t>consider</w:t>
            </w:r>
            <w:r w:rsidRPr="0058483A">
              <w:rPr>
                <w:rStyle w:val="Strong"/>
                <w:b w:val="0"/>
                <w:bCs w:val="0"/>
              </w:rPr>
              <w:t xml:space="preserve"> price reductions </w:t>
            </w:r>
            <w:r>
              <w:rPr>
                <w:rStyle w:val="Strong"/>
                <w:b w:val="0"/>
                <w:bCs w:val="0"/>
              </w:rPr>
              <w:t xml:space="preserve">to address the risk of the average dose per patient per bleed being higher in practice than assumed in the ADAR. </w:t>
            </w:r>
          </w:p>
        </w:tc>
      </w:tr>
    </w:tbl>
    <w:p w14:paraId="24C0DC21" w14:textId="77777777" w:rsidR="00F72C82" w:rsidRDefault="00F72C82" w:rsidP="00F72C82">
      <w:pPr>
        <w:keepNext/>
        <w:keepLines/>
        <w:spacing w:before="240"/>
        <w:rPr>
          <w:rStyle w:val="Strong"/>
        </w:rPr>
      </w:pPr>
      <w:r w:rsidRPr="00194327">
        <w:rPr>
          <w:rStyle w:val="Strong"/>
        </w:rPr>
        <w:lastRenderedPageBreak/>
        <w:t>ESC discussion</w:t>
      </w:r>
    </w:p>
    <w:p w14:paraId="571E1BC4" w14:textId="3ACFB4E2" w:rsidR="00F72C82" w:rsidRPr="0058483A" w:rsidRDefault="00F72C82" w:rsidP="00F72C82">
      <w:pPr>
        <w:pStyle w:val="NormalBeforeBullet0"/>
      </w:pPr>
      <w:r w:rsidRPr="0058483A">
        <w:t xml:space="preserve">ESC noted that this application from Takeda Pharmaceuticals Australia </w:t>
      </w:r>
      <w:r>
        <w:t>requested</w:t>
      </w:r>
      <w:r w:rsidRPr="0058483A">
        <w:t xml:space="preserve"> Obizur® (susoctocog alfa) to be publicly funded under the National Blood Agreement</w:t>
      </w:r>
      <w:r>
        <w:t xml:space="preserve"> (the Agreement)</w:t>
      </w:r>
      <w:r w:rsidRPr="0058483A">
        <w:t xml:space="preserve"> through the National Product Price List (NPPL) for the treatment of bleeding episodes in adult patients with acquired haemophilia A (AHA). </w:t>
      </w:r>
      <w:r>
        <w:t xml:space="preserve">Therefore, </w:t>
      </w:r>
      <w:r w:rsidRPr="0058483A">
        <w:t>ESC noted that an MBS item descriptor was not applicable for this application.</w:t>
      </w:r>
      <w:r>
        <w:t xml:space="preserve"> </w:t>
      </w:r>
      <w:r w:rsidRPr="0058483A">
        <w:t xml:space="preserve">ESC noted that </w:t>
      </w:r>
      <w:r>
        <w:t xml:space="preserve">the </w:t>
      </w:r>
      <w:r w:rsidRPr="0058483A">
        <w:t>National Blood Authority</w:t>
      </w:r>
      <w:r>
        <w:t xml:space="preserve"> (NBA) initially conducted a </w:t>
      </w:r>
      <w:r w:rsidRPr="0058483A">
        <w:t>Cycle 1 multi</w:t>
      </w:r>
      <w:r>
        <w:t>-</w:t>
      </w:r>
      <w:r w:rsidRPr="0058483A">
        <w:t xml:space="preserve">criteria analysis </w:t>
      </w:r>
      <w:r>
        <w:t>(MCA) evaluation on this application in 2020 but concluded that a referral to MSAC was needed to address</w:t>
      </w:r>
      <w:r w:rsidRPr="0058483A">
        <w:t>:</w:t>
      </w:r>
    </w:p>
    <w:p w14:paraId="391C1083" w14:textId="77777777" w:rsidR="00F72C82" w:rsidRPr="0058483A" w:rsidRDefault="00F72C82" w:rsidP="00F72C82">
      <w:pPr>
        <w:pStyle w:val="Bullet"/>
        <w:numPr>
          <w:ilvl w:val="0"/>
          <w:numId w:val="19"/>
        </w:numPr>
        <w:spacing w:before="0" w:after="0"/>
        <w:ind w:left="357" w:hanging="357"/>
        <w:rPr>
          <w:rFonts w:ascii="Franklin Gothic Book" w:hAnsi="Franklin Gothic Book"/>
        </w:rPr>
      </w:pPr>
      <w:r w:rsidRPr="0058483A">
        <w:rPr>
          <w:rFonts w:ascii="Franklin Gothic Book" w:hAnsi="Franklin Gothic Book"/>
        </w:rPr>
        <w:t xml:space="preserve">uncertainty </w:t>
      </w:r>
      <w:r>
        <w:rPr>
          <w:rFonts w:ascii="Franklin Gothic Book" w:hAnsi="Franklin Gothic Book"/>
        </w:rPr>
        <w:t xml:space="preserve">remaining </w:t>
      </w:r>
      <w:r w:rsidRPr="0058483A">
        <w:rPr>
          <w:rFonts w:ascii="Franklin Gothic Book" w:hAnsi="Franklin Gothic Book"/>
        </w:rPr>
        <w:t>on whether Obizur offers incremental health outcomes or safety benefits compared to bypassing agents (BPAs)</w:t>
      </w:r>
    </w:p>
    <w:p w14:paraId="04B2310F" w14:textId="77777777" w:rsidR="00F72C82" w:rsidRPr="0058483A" w:rsidRDefault="00F72C82" w:rsidP="00F72C82">
      <w:pPr>
        <w:pStyle w:val="BulletLast"/>
        <w:numPr>
          <w:ilvl w:val="0"/>
          <w:numId w:val="19"/>
        </w:numPr>
        <w:spacing w:after="0"/>
        <w:ind w:left="357" w:hanging="357"/>
      </w:pPr>
      <w:r w:rsidRPr="0058483A">
        <w:t>uncertainty on whether there will be cost savings or additional costs.</w:t>
      </w:r>
    </w:p>
    <w:p w14:paraId="4310BA28" w14:textId="77777777" w:rsidR="00F72C82" w:rsidRDefault="00F72C82" w:rsidP="00F72C82">
      <w:r>
        <w:t xml:space="preserve">ESC noted that the nominated comparators were BPAs; NovoSeven® RT and FEIBA NF®. ESC noted BPAs are on the NPPL but are not solely for the treatment of patients with AHA. ESC noted there is no ability to monitor treatment response in patients given BPAs alone, and repeated dosing is based on clinical response and experience. In contrast, the effectiveness of treatment with Obizur can be monitored using FVIII levels and </w:t>
      </w:r>
      <w:r w:rsidRPr="00AF03D0">
        <w:t>activated partial thromboplastin time</w:t>
      </w:r>
      <w:r>
        <w:t xml:space="preserve"> (MBS item 65120).</w:t>
      </w:r>
    </w:p>
    <w:p w14:paraId="73C262BA" w14:textId="77777777" w:rsidR="00F72C82" w:rsidRDefault="00F72C82" w:rsidP="00F72C82">
      <w:pPr>
        <w:pStyle w:val="NormalBeforeBullet0"/>
      </w:pPr>
      <w:r w:rsidRPr="0058483A">
        <w:t>ESC consider</w:t>
      </w:r>
      <w:r>
        <w:t>ed</w:t>
      </w:r>
      <w:r w:rsidRPr="0058483A">
        <w:t xml:space="preserve"> there to be a clinical need</w:t>
      </w:r>
      <w:r>
        <w:t xml:space="preserve"> for </w:t>
      </w:r>
      <w:r w:rsidRPr="0058483A">
        <w:t>access to improved therap</w:t>
      </w:r>
      <w:r>
        <w:t>ies</w:t>
      </w:r>
      <w:r w:rsidRPr="0058483A">
        <w:t xml:space="preserve"> </w:t>
      </w:r>
      <w:r>
        <w:t>that also</w:t>
      </w:r>
      <w:r w:rsidRPr="0058483A">
        <w:t xml:space="preserve"> </w:t>
      </w:r>
      <w:r>
        <w:t>improve the</w:t>
      </w:r>
      <w:r w:rsidRPr="0058483A">
        <w:t xml:space="preserve"> ability to monitor </w:t>
      </w:r>
      <w:r>
        <w:t xml:space="preserve">treatment </w:t>
      </w:r>
      <w:r w:rsidRPr="0058483A">
        <w:t xml:space="preserve">response </w:t>
      </w:r>
      <w:r>
        <w:t xml:space="preserve">during a bleeding episode </w:t>
      </w:r>
      <w:r w:rsidRPr="0058483A">
        <w:t>in patients</w:t>
      </w:r>
      <w:r>
        <w:t xml:space="preserve"> with AHA</w:t>
      </w:r>
      <w:r w:rsidRPr="0058483A">
        <w:t>.</w:t>
      </w:r>
      <w:r>
        <w:t xml:space="preserve"> ESC noted </w:t>
      </w:r>
      <w:r w:rsidRPr="0058483A">
        <w:t>AHA is a very rare disease</w:t>
      </w:r>
      <w:r>
        <w:t xml:space="preserve"> which</w:t>
      </w:r>
      <w:r w:rsidRPr="0058483A">
        <w:t xml:space="preserve"> often has </w:t>
      </w:r>
      <w:r>
        <w:t xml:space="preserve">a </w:t>
      </w:r>
      <w:r w:rsidRPr="0058483A">
        <w:t>sudden onset</w:t>
      </w:r>
      <w:r>
        <w:t>,</w:t>
      </w:r>
      <w:r w:rsidRPr="0058483A">
        <w:t xml:space="preserve"> has</w:t>
      </w:r>
      <w:r>
        <w:t xml:space="preserve"> numerous underlying or associated conditions,</w:t>
      </w:r>
      <w:r w:rsidRPr="0058483A">
        <w:t xml:space="preserve"> a highly variable presentation and clinical course, and </w:t>
      </w:r>
      <w:r>
        <w:t xml:space="preserve">can </w:t>
      </w:r>
      <w:r w:rsidRPr="0058483A">
        <w:t>result in limb-threatening and life-threatening bleeding.</w:t>
      </w:r>
      <w:r>
        <w:t xml:space="preserve"> ESC noted due to the rarity of AHA, the evidence base is limited and the </w:t>
      </w:r>
      <w:r w:rsidRPr="0058483A">
        <w:t xml:space="preserve">numbers </w:t>
      </w:r>
      <w:r>
        <w:t xml:space="preserve">of patients with AHA treated in Australia each year for a bleeding episode </w:t>
      </w:r>
      <w:r w:rsidRPr="0058483A">
        <w:t>is u</w:t>
      </w:r>
      <w:r>
        <w:t>nclear</w:t>
      </w:r>
      <w:r w:rsidRPr="0058483A">
        <w:t xml:space="preserve">. </w:t>
      </w:r>
      <w:r>
        <w:t xml:space="preserve">ESC also noted that </w:t>
      </w:r>
      <w:r w:rsidRPr="0058483A">
        <w:t xml:space="preserve">AHA requires management in specialist </w:t>
      </w:r>
      <w:r>
        <w:t>centres (by experienced haematologists, and in some cases in Haemophilia Treatment C</w:t>
      </w:r>
      <w:r w:rsidRPr="0058483A">
        <w:t>entres</w:t>
      </w:r>
      <w:r>
        <w:t xml:space="preserve"> (HTC))</w:t>
      </w:r>
      <w:r w:rsidRPr="0058483A">
        <w:t xml:space="preserve">, and access for patients outside these settings or in emergency situations is </w:t>
      </w:r>
      <w:r>
        <w:t>unclear.</w:t>
      </w:r>
      <w:r w:rsidRPr="0058483A">
        <w:t xml:space="preserve"> </w:t>
      </w:r>
    </w:p>
    <w:p w14:paraId="03525D61" w14:textId="2A05EA32" w:rsidR="00F72C82" w:rsidRDefault="00F72C82" w:rsidP="00F72C82">
      <w:pPr>
        <w:rPr>
          <w:highlight w:val="cyan"/>
        </w:rPr>
      </w:pPr>
      <w:r>
        <w:t xml:space="preserve">ESC noted the UK-based National Health Service have a </w:t>
      </w:r>
      <w:r w:rsidR="003228E0" w:rsidRPr="00132B9E">
        <w:t>Policy on Obizur treatment for a bleeding episode in people with AHA</w:t>
      </w:r>
      <w:r>
        <w:rPr>
          <w:rStyle w:val="FootnoteReference"/>
          <w:color w:val="0070C0"/>
          <w:u w:val="single"/>
        </w:rPr>
        <w:footnoteReference w:id="26"/>
      </w:r>
      <w:r>
        <w:t xml:space="preserve"> which contains a clinical management algorithm for specialist centres (see figure 2). ESC considered that this algorithm could be adapted for use in Australia in the absence of national guidelines. ESC noted that </w:t>
      </w:r>
      <w:r w:rsidRPr="0058483A">
        <w:t xml:space="preserve">the </w:t>
      </w:r>
      <w:r>
        <w:t xml:space="preserve">most appropriate </w:t>
      </w:r>
      <w:r w:rsidRPr="0058483A">
        <w:t xml:space="preserve">line of therapy </w:t>
      </w:r>
      <w:r>
        <w:t xml:space="preserve">for </w:t>
      </w:r>
      <w:r>
        <w:lastRenderedPageBreak/>
        <w:t>Obizur, relative to existing therapies,</w:t>
      </w:r>
      <w:r w:rsidRPr="0058483A">
        <w:t xml:space="preserve"> </w:t>
      </w:r>
      <w:r>
        <w:t xml:space="preserve">was not categorically defined. ESC also noted that the management of Obizur non-responders was unclear, and in practice patients may require more than one therapy. ESC considered that haematologists should be the sole prescriber for Obizur. </w:t>
      </w:r>
    </w:p>
    <w:p w14:paraId="09D5039F" w14:textId="71F994D7" w:rsidR="00F72C82" w:rsidRDefault="00F72C82" w:rsidP="00F72C82">
      <w:r>
        <w:t>ESC noted the evidence base was low-quality with a high risk of bias. ESC noted the application included 16 case series and one retrospective cohort study comparing Obizur and NovoSeven. ESC noted that there were many differences between the studies such as patient characteristics (</w:t>
      </w:r>
      <w:r w:rsidR="60C7B400">
        <w:t>i.e.,</w:t>
      </w:r>
      <w:r>
        <w:t xml:space="preserve"> age, comorbidities (</w:t>
      </w:r>
      <w:r w:rsidR="540618F3">
        <w:t>e.g.,</w:t>
      </w:r>
      <w:r>
        <w:t xml:space="preserve"> pre-existing cardiovascular disease)), when Obizur was used (the line of therapy), the duration of follow-up (maximum of 180 days) and how the analysis was conducted. All studies had small patient numbers (which ESC considered reasonable, given the rarity of AHA). ESC noted there are no prospective randomised controlled trials directly comparing Obizur with any BPA, and it is unlikely there will be any forthcoming. ESC noted that data on the use of Obizur in pregnant and lactating women or its effect on fertility is unavailable, and data on use in patients less than 18 years of age is insufficient. </w:t>
      </w:r>
    </w:p>
    <w:p w14:paraId="4BF892C6" w14:textId="77777777" w:rsidR="00F72C82" w:rsidRDefault="00F72C82" w:rsidP="00F72C82">
      <w:r>
        <w:t xml:space="preserve">ESC considered the clinical effectiveness and safety of Obizur appears to be non-inferior compared with each comparator, however, this is based on limited evidence and is uncertain. </w:t>
      </w:r>
    </w:p>
    <w:p w14:paraId="1A23A69D" w14:textId="3EF8D1E4" w:rsidR="00F72C82" w:rsidRDefault="00F72C82" w:rsidP="00F72C82">
      <w:r>
        <w:t>ESC noted that the applicant-developed assessment report (ADAR) proposed an initial dose between 100 and 200 Units (U)/kg. However, ESC noted that international guidelines</w:t>
      </w:r>
      <w:r>
        <w:rPr>
          <w:rStyle w:val="FootnoteReference"/>
        </w:rPr>
        <w:footnoteReference w:id="27"/>
      </w:r>
      <w:r>
        <w:t xml:space="preserve"> and the Product Information (PI) for Obizur recommend an initial dose of 200 U/kg. ESC noted the pre-ESC response included a survey of two clinicians and noted an Australian case series of four patients</w:t>
      </w:r>
      <w:r>
        <w:rPr>
          <w:rStyle w:val="FootnoteReference"/>
        </w:rPr>
        <w:footnoteReference w:id="28"/>
      </w:r>
      <w:r>
        <w:t xml:space="preserve"> that used an initial dose of 100–120 U/kg to justify the lower dose being used in current </w:t>
      </w:r>
      <w:r w:rsidRPr="00CF54EB">
        <w:t xml:space="preserve">practice. </w:t>
      </w:r>
      <w:r w:rsidR="00CF54EB" w:rsidRPr="00CF54EB">
        <w:t>[REDACTED]</w:t>
      </w:r>
      <w:r w:rsidRPr="00CF54EB">
        <w:t>. Based</w:t>
      </w:r>
      <w:r>
        <w:t xml:space="preserve"> on the evidence presented, ESC considered that an initial dose between 100 and 200 U/kg may be appropriate, relative to the clinical judgement of the treating practitioner and individual patient circumstance (including assessment of laboratory results).</w:t>
      </w:r>
    </w:p>
    <w:p w14:paraId="64BBA6C8" w14:textId="77777777" w:rsidR="00F72C82" w:rsidRDefault="00F72C82" w:rsidP="00F72C82">
      <w:r>
        <w:t>ESC noted that, based on the naïve indirect comparisons, the rates of treatment-related serious adverse events (SAEs) and death appear to be low with Obizur, but that treatment-related SAEs are 6% more likely with Obizur compared to NovoSeven. ESC considered that it was difficult to fully quantify the comparisons for treatment-related thromboembolic events due to differences in patient characteristics across trials and the unknown presence of pre-existing cardiac comorbidities in patients with AHA.</w:t>
      </w:r>
    </w:p>
    <w:p w14:paraId="0DFA2704" w14:textId="121DF34E" w:rsidR="00F72C82" w:rsidRDefault="00F72C82" w:rsidP="00F72C82">
      <w:r>
        <w:t xml:space="preserve">Regarding comparative effectiveness, ESC noted that resolution of the primary bleeding episodes was similar between Obizur and the comparators when used as first-line treatment, but less likely for Obizur when used as any line of treatment. ESC noted that the ADAR claimed this was due to more studies using Obizur as second-line treatment, so patients were likely to be more severely ill. It was reported that naïve indirect comparisons with pooled NovoSeven data found that Obizur results in fewer total resolved bleeding </w:t>
      </w:r>
      <w:r w:rsidR="64CFBA2A">
        <w:t>episodes but</w:t>
      </w:r>
      <w:r>
        <w:t xml:space="preserve"> has a similar positive response rate at 24 hours. However, bleed control or resolution was not appropriately described across studies, and the outcome of ‘unresolved bleeds’ is not comprehensively described in the studies (or well defined in clinical practice) to determine effectiveness outcomes for all patients.</w:t>
      </w:r>
    </w:p>
    <w:p w14:paraId="50B78E8E" w14:textId="77777777" w:rsidR="00F72C82" w:rsidRDefault="00F72C82" w:rsidP="00F72C82">
      <w:r>
        <w:t xml:space="preserve">ESC also noted the need for testing anti-porcine antibodies prior to treatment with Obizur, and that patients with neutralising anti-porcine antibodies did respond to treatment, and the presence of antibodies did not affect the response rate at 24 hours. However, these patients did require higher doses than patients without antibodies, and patients with titre of inhibitors &gt;20 Bethesda Units were excluded from the registration trial. ESC noted the clinical advice that when </w:t>
      </w:r>
      <w:r>
        <w:lastRenderedPageBreak/>
        <w:t>a patient presents with a life or limb-threatening bleed, treatment may need to commence prior to the result of the anti-porcine antibody titre being available.</w:t>
      </w:r>
    </w:p>
    <w:p w14:paraId="2CE4D014" w14:textId="77777777" w:rsidR="00F72C82" w:rsidRDefault="00F72C82" w:rsidP="00F72C82">
      <w:r>
        <w:t>ESC noted that consultation feedback was received from the Haematology Society of Australia and New Zealand (HSANZ), which was strongly supportive of listing, considering Obizur to be non-inferior relative to comparators in providing haemostatic control. HSANZ also highlighted that Obizur offers more personalised therapy for a group of patients who often have critical bleeding and high mortality. ESC considered that further feedback should be sought from professional societies regarding input on what would be considered an appropriate initial dose and where Obizur would be used in the line of therapy in the absence of national guidelines. ESC considered that bodies such as the Thrombosis and Haemostasis Society of Australia and New Zealand, the Australian Haemophilia Centre Directors’ Organisation (AHCDO) and Haemophilia Foundation Australia (HFA) should be sought for further input. ESC considered that further consumer feedback would be informative on whether consumers would have concerns with the SAEs, which appear higher for Obizur than for NovoSeven, based on limited information available.</w:t>
      </w:r>
    </w:p>
    <w:p w14:paraId="610F57B8" w14:textId="77777777" w:rsidR="00F72C82" w:rsidRDefault="00F72C82" w:rsidP="00F72C82">
      <w:r>
        <w:t xml:space="preserve">ESC noted that the ADAR’s economic evaluation used a cost-minimisation approach (CMA) presented for each comparator separately. The proposed price per vial of Obizur was based on the weighted average of </w:t>
      </w:r>
      <w:proofErr w:type="spellStart"/>
      <w:r>
        <w:t>equi</w:t>
      </w:r>
      <w:proofErr w:type="spellEnd"/>
      <w:r>
        <w:t xml:space="preserve">-effective doses and market share data of each comparator. ESC considered there were issues with the assumptions used to calculate the </w:t>
      </w:r>
      <w:proofErr w:type="spellStart"/>
      <w:r>
        <w:t>equi</w:t>
      </w:r>
      <w:proofErr w:type="spellEnd"/>
      <w:r>
        <w:t xml:space="preserve">-effective doses and noted the cost-effectiveness of BPAs has not been established. </w:t>
      </w:r>
    </w:p>
    <w:p w14:paraId="24A5207C" w14:textId="3FF65775" w:rsidR="00F72C82" w:rsidRDefault="00F72C82" w:rsidP="00F72C82">
      <w:pPr>
        <w:pStyle w:val="BulletLast"/>
        <w:ind w:left="0" w:firstLine="0"/>
      </w:pPr>
      <w:r>
        <w:t>ESC noted the ADAR did not include an economic comparison for Obizur versus no intervention. ESC accepted the clinical reasoning for not including this analysis since there is a lack of contemporary data of the natural progression of a bleeding episode with no treatment. However, ESC noted that without BPAs having an established cost-effective price, there is limited confidence that the cost-minimised price of Obizur to BPAs can be assumed to be cost-effective.</w:t>
      </w:r>
      <w:r w:rsidRPr="00F81FF0">
        <w:t xml:space="preserve"> </w:t>
      </w:r>
      <w:r>
        <w:t xml:space="preserve">ESC recalled that MSAC previously rejected </w:t>
      </w:r>
      <w:proofErr w:type="spellStart"/>
      <w:r>
        <w:t>emicizumab</w:t>
      </w:r>
      <w:proofErr w:type="spellEnd"/>
      <w:r>
        <w:t xml:space="preserve"> for congenital HA (</w:t>
      </w:r>
      <w:r w:rsidR="00B0429B" w:rsidRPr="00132B9E">
        <w:t>MSAC Application 1510</w:t>
      </w:r>
      <w:r w:rsidR="00B0429B">
        <w:rPr>
          <w:rStyle w:val="FootnoteReference"/>
        </w:rPr>
        <w:footnoteReference w:id="29"/>
      </w:r>
      <w:r>
        <w:t xml:space="preserve">) and had requested that “the cost-effectiveness of current practice be determined as a means to then determine the cost-effectiveness of </w:t>
      </w:r>
      <w:proofErr w:type="spellStart"/>
      <w:r>
        <w:t>emicizumab</w:t>
      </w:r>
      <w:proofErr w:type="spellEnd"/>
      <w:r>
        <w:t xml:space="preserve"> in the proposed population.” </w:t>
      </w:r>
    </w:p>
    <w:p w14:paraId="6DDC0B70" w14:textId="51DF5D0F" w:rsidR="00F72C82" w:rsidRDefault="62FE1BB0" w:rsidP="00F72C82">
      <w:r>
        <w:t xml:space="preserve">ESC considered the </w:t>
      </w:r>
      <w:proofErr w:type="spellStart"/>
      <w:r>
        <w:t>equi</w:t>
      </w:r>
      <w:proofErr w:type="spellEnd"/>
      <w:r>
        <w:t xml:space="preserve">-effective doses to be </w:t>
      </w:r>
      <w:r w:rsidR="5482806F">
        <w:t>uncertain and</w:t>
      </w:r>
      <w:r>
        <w:t xml:space="preserve"> noted that it only holds if the claim of non-inferiority is accepted. ESC noted that the pre-ESC response revised the </w:t>
      </w:r>
      <w:proofErr w:type="spellStart"/>
      <w:r>
        <w:t>equi</w:t>
      </w:r>
      <w:proofErr w:type="spellEnd"/>
      <w:r>
        <w:t xml:space="preserve">-effective dose calculations to account for differences in treatment duration for Obizur and the two BPAs. ESC calculated that this would result in a revised weighted </w:t>
      </w:r>
      <w:bookmarkStart w:id="72" w:name="_Int_HA6hDivm"/>
      <w:proofErr w:type="gramStart"/>
      <w:r>
        <w:t>cost-minimised</w:t>
      </w:r>
      <w:bookmarkEnd w:id="72"/>
      <w:proofErr w:type="gramEnd"/>
      <w:r>
        <w:t xml:space="preserve"> Obizur price per vial of </w:t>
      </w:r>
      <w:r w:rsidRPr="00CF54EB">
        <w:t>$</w:t>
      </w:r>
      <w:r w:rsidR="00CF54EB" w:rsidRPr="00CF54EB">
        <w:t>[REDACTED]</w:t>
      </w:r>
      <w:r w:rsidRPr="00CF54EB">
        <w:t>. ESC noted that the most extreme sensitivity analyses from the commentary decreased the weighted price per vial of Obizur to $</w:t>
      </w:r>
      <w:r w:rsidR="00CF54EB" w:rsidRPr="00CF54EB">
        <w:t>[</w:t>
      </w:r>
      <w:r w:rsidR="00CF54EB">
        <w:t>REDACTED]</w:t>
      </w:r>
      <w:r>
        <w:t xml:space="preserve">. However, these analyses excluded studies using an initial dose less than 200 U/kg, which ESC considered may not be reasonable if a lower initial dose is acceptable in clinical practice. ESC also noted that wastage was not accounted for and advised that the cost should be rounded up to the nearest whole vial – whilst recognising that likely minimal impact of this given the high number of whole vials used per patient per bleeding episode. ESC noted the NPPL updated its prices on 1 January 2023. ESC calculated that, based on acceptance of a lower initial dose, the revised </w:t>
      </w:r>
      <w:proofErr w:type="spellStart"/>
      <w:r>
        <w:t>equi</w:t>
      </w:r>
      <w:proofErr w:type="spellEnd"/>
      <w:r>
        <w:t xml:space="preserve">-effective dose calculations in the pre-ESC response, and the new NPPL prices, the cost-minimised weighted price for Obizur </w:t>
      </w:r>
      <w:r w:rsidRPr="00CF54EB">
        <w:t>may be $</w:t>
      </w:r>
      <w:r w:rsidR="00CF54EB" w:rsidRPr="00CF54EB">
        <w:t>[REDACTED]</w:t>
      </w:r>
      <w:r>
        <w:t xml:space="preserve"> per vial.</w:t>
      </w:r>
    </w:p>
    <w:p w14:paraId="2DAFB216" w14:textId="77777777" w:rsidR="00F72C82" w:rsidRDefault="00F72C82" w:rsidP="00F72C82">
      <w:r>
        <w:t xml:space="preserve">ESC noted that the economic evaluation used an indirect method for calculating the average dose per bleeding episode, through the total amounts used, the duration of treatment, the number of infusions per day, the dose per infusion and patient body weight. All steps introduced assumptions based on inconsistent pooling of parameters from primary studies. ESC noted that the commentary suggested a more direct method for estimating utilisation for the financial </w:t>
      </w:r>
      <w:r>
        <w:lastRenderedPageBreak/>
        <w:t xml:space="preserve">analyses, which was based on Australian Bleeding Disorders Registry (ABDR) data. ESC considered it inappropriate to exclude unresolved bleeds from the economic evaluation and only include outcomes based on resolved bleeds. ESC noted the pre-ESC response clarified which Obizur studies reported dosing for all </w:t>
      </w:r>
      <w:bookmarkStart w:id="73" w:name="_Int_xfm84CoT"/>
      <w:proofErr w:type="gramStart"/>
      <w:r>
        <w:t>subjects</w:t>
      </w:r>
      <w:bookmarkEnd w:id="73"/>
      <w:proofErr w:type="gramEnd"/>
      <w:r>
        <w:t xml:space="preserve"> and which reported dosing only for subjects with resolved bleeding; however, this was not done for the comparator studies. ESC advised that calculating the cost per resolved bleed (or per bleed) for each agent, </w:t>
      </w:r>
      <w:proofErr w:type="gramStart"/>
      <w:r>
        <w:t>taking into account</w:t>
      </w:r>
      <w:proofErr w:type="gramEnd"/>
      <w:r>
        <w:t xml:space="preserve"> the cost of all treatment(s) used regardless of outcomes, may address some of the uncertainty in the </w:t>
      </w:r>
      <w:proofErr w:type="spellStart"/>
      <w:r>
        <w:t>equi</w:t>
      </w:r>
      <w:proofErr w:type="spellEnd"/>
      <w:r>
        <w:t>-effective dose calculations, and could provide a frame of reference for a cost-effective price for Obizur (as recommended by the MSAC Executive).</w:t>
      </w:r>
    </w:p>
    <w:p w14:paraId="484FCD22" w14:textId="77777777" w:rsidR="00F72C82" w:rsidRDefault="00F72C82" w:rsidP="00F72C82">
      <w:r>
        <w:t>ESC also noted that costs associated with hospital length of stay were excluded from the ADAR’s economic evaluation. ESC considered this may not be appropriate, as length of stay varies between individual treatments; however, data on length of stay may be difficult to interpret, as it is influenced by many clinical factors. The length of stay for patients receiving more than one of the comparator therapies has not been described, but should be included, if this data is available.</w:t>
      </w:r>
    </w:p>
    <w:p w14:paraId="387D74B5" w14:textId="77777777" w:rsidR="00F72C82" w:rsidRDefault="00F72C82" w:rsidP="00F72C82">
      <w:r>
        <w:t xml:space="preserve">ESC also considered the market share weighting used for the comparators (78% NovoSeven and 22% FEIBA) to be uncertain, as it is based on very small patient numbers. ESC noted the pre-ESC response assumes that Obizur will substitute for NovoSeven and FEIBA in clinical practice however, ESC queried whether Obizur may be used in addition to, rather than as a substitute for, BPAs, especially for patients with a serious bleed requiring surgery. </w:t>
      </w:r>
    </w:p>
    <w:p w14:paraId="3FF3180C" w14:textId="15873772" w:rsidR="00F72C82" w:rsidRDefault="00F72C82" w:rsidP="00F72C82">
      <w:r>
        <w:t xml:space="preserve">ESC noted the pre-ESC response claimed that Obizur is likely to be cost saving to the NBA. ESC considered this highly uncertain and if there were any net savings, they would be modest, but more likely, funding Obizur would result in a low net impact. However, ESC considered the low net impact is only possible if the assumptions used to calculate the </w:t>
      </w:r>
      <w:proofErr w:type="spellStart"/>
      <w:r>
        <w:t>equi</w:t>
      </w:r>
      <w:proofErr w:type="spellEnd"/>
      <w:r>
        <w:t>-effective dose are reliable. ESC noted that the average number of bleeds per patient per year estimated by the ADAR was inconsistent (lower estimate) with the estimate created using Australian utilisation data for BPAs (ABDR) in the commentary (see Section 12). Therefore, ESC considered that the financial impact estimated by the ADAR is significantly underestimated. ESC noted that, after the commentary corrected referencing and rounding errors in the ADAR and applied updated NPPL prices for BPAs (as of 1 January 2023), the estimated cost to the NBA was $</w:t>
      </w:r>
      <w:r w:rsidR="00CF54EB">
        <w:t>[REDACTED]</w:t>
      </w:r>
      <w:r>
        <w:t xml:space="preserve"> in year 1 increasing to $</w:t>
      </w:r>
      <w:r w:rsidR="00CF54EB">
        <w:t>[REDACTED]</w:t>
      </w:r>
      <w:r>
        <w:t xml:space="preserve"> in year 6.</w:t>
      </w:r>
    </w:p>
    <w:p w14:paraId="6BEE6B75" w14:textId="77777777" w:rsidR="00F72C82" w:rsidRPr="004D7E58" w:rsidRDefault="00F72C82" w:rsidP="00F72C82">
      <w:r w:rsidRPr="0058483A">
        <w:rPr>
          <w:rStyle w:val="Strong"/>
          <w:b w:val="0"/>
          <w:bCs w:val="0"/>
        </w:rPr>
        <w:t xml:space="preserve">ESC considered that, if a risk-sharing arrangement between the </w:t>
      </w:r>
      <w:r>
        <w:rPr>
          <w:rStyle w:val="Strong"/>
          <w:b w:val="0"/>
          <w:bCs w:val="0"/>
        </w:rPr>
        <w:t>NBA</w:t>
      </w:r>
      <w:r w:rsidRPr="0058483A">
        <w:rPr>
          <w:rStyle w:val="Strong"/>
          <w:b w:val="0"/>
          <w:bCs w:val="0"/>
        </w:rPr>
        <w:t xml:space="preserve"> and supplier of Obizur is to be implemented, it should </w:t>
      </w:r>
      <w:r>
        <w:rPr>
          <w:rStyle w:val="Strong"/>
          <w:b w:val="0"/>
          <w:bCs w:val="0"/>
        </w:rPr>
        <w:t>consider</w:t>
      </w:r>
      <w:r w:rsidRPr="0058483A">
        <w:rPr>
          <w:rStyle w:val="Strong"/>
          <w:b w:val="0"/>
          <w:bCs w:val="0"/>
        </w:rPr>
        <w:t xml:space="preserve"> price reductions </w:t>
      </w:r>
      <w:r>
        <w:rPr>
          <w:rStyle w:val="Strong"/>
          <w:b w:val="0"/>
          <w:bCs w:val="0"/>
        </w:rPr>
        <w:t xml:space="preserve">to address the risk of the average dose per patient per bleed being higher in practice (which would result in higher costs) than have been assumed in the ADAR. </w:t>
      </w:r>
      <w:r>
        <w:t>ESC noted from the commentary (p218) that BPAs represent considerable financial cost to the Australian Government, and any proposed financial or volume cap may need to incorporate all BPAs given the uncertainty of uptake for Obizur.</w:t>
      </w:r>
    </w:p>
    <w:p w14:paraId="6504CBCA" w14:textId="77777777" w:rsidR="003A7967" w:rsidRDefault="00F72C82" w:rsidP="00F72C82">
      <w:pPr>
        <w:pStyle w:val="Heading2"/>
        <w:numPr>
          <w:ilvl w:val="0"/>
          <w:numId w:val="0"/>
        </w:numPr>
      </w:pPr>
      <w:r>
        <w:t>17.</w:t>
      </w:r>
      <w:r>
        <w:tab/>
        <w:t>Applicant comments on MSAC’s Public Summary Document</w:t>
      </w:r>
    </w:p>
    <w:p w14:paraId="2D43313F" w14:textId="2494DC9C" w:rsidR="00F72C82" w:rsidRPr="007E2243" w:rsidRDefault="00AE228C" w:rsidP="007E2243">
      <w:r w:rsidRPr="007E2243">
        <w:t xml:space="preserve">Takeda welcomes the MSAC’s recommendation for </w:t>
      </w:r>
      <w:r w:rsidR="00905593" w:rsidRPr="007E2243">
        <w:t xml:space="preserve">Obizur® (susoctocog alfa) </w:t>
      </w:r>
      <w:r w:rsidRPr="007E2243">
        <w:t xml:space="preserve">to be </w:t>
      </w:r>
      <w:r w:rsidR="00CB2109" w:rsidRPr="007E2243">
        <w:t xml:space="preserve">publicly funded under the National Blood </w:t>
      </w:r>
      <w:r w:rsidR="0077237F" w:rsidRPr="007E2243">
        <w:t>Authority’s</w:t>
      </w:r>
      <w:r w:rsidR="00CB2109" w:rsidRPr="007E2243">
        <w:t xml:space="preserve"> </w:t>
      </w:r>
      <w:r w:rsidR="007C3245" w:rsidRPr="007E2243">
        <w:t>(NBA’s) N</w:t>
      </w:r>
      <w:r w:rsidR="00CB2109" w:rsidRPr="007E2243">
        <w:t xml:space="preserve">ational Product Price List (NPPL) for the treatment of bleeding episodes in </w:t>
      </w:r>
      <w:r w:rsidR="003963E4" w:rsidRPr="007E2243">
        <w:t xml:space="preserve">Australian </w:t>
      </w:r>
      <w:r w:rsidR="00A501B7" w:rsidRPr="007E2243">
        <w:t xml:space="preserve">adult </w:t>
      </w:r>
      <w:r w:rsidR="00CB2109" w:rsidRPr="007E2243">
        <w:t>patients with Acquired Haemophilia A (AHA)</w:t>
      </w:r>
      <w:r w:rsidRPr="007E2243">
        <w:t>.</w:t>
      </w:r>
    </w:p>
    <w:p w14:paraId="0E357731" w14:textId="2E714CFA" w:rsidR="00D9689D" w:rsidRPr="00D9689D" w:rsidRDefault="00D9689D" w:rsidP="00D9689D">
      <w:pPr>
        <w:pStyle w:val="Heading2"/>
        <w:numPr>
          <w:ilvl w:val="0"/>
          <w:numId w:val="0"/>
        </w:numPr>
      </w:pPr>
      <w:r>
        <w:t>18.</w:t>
      </w:r>
      <w:r>
        <w:tab/>
        <w:t>Further information on MSAC</w:t>
      </w:r>
    </w:p>
    <w:p w14:paraId="45470154" w14:textId="6BD6101F" w:rsidR="00772829" w:rsidRPr="0083451E" w:rsidRDefault="00F72C82" w:rsidP="0083451E">
      <w:pPr>
        <w:pStyle w:val="BodyText"/>
        <w:rPr>
          <w:rFonts w:ascii="Franklin Gothic Book" w:hAnsi="Franklin Gothic Book" w:cstheme="minorBidi"/>
          <w:b w:val="0"/>
          <w:bCs/>
          <w:i w:val="0"/>
          <w:iCs/>
          <w:sz w:val="22"/>
        </w:rPr>
      </w:pPr>
      <w:r w:rsidRPr="00F309FA">
        <w:rPr>
          <w:rFonts w:ascii="Franklin Gothic Book" w:hAnsi="Franklin Gothic Book"/>
          <w:b w:val="0"/>
          <w:bCs/>
          <w:i w:val="0"/>
          <w:iCs/>
          <w:sz w:val="22"/>
        </w:rPr>
        <w:t xml:space="preserve">MSAC Terms of Reference and other information are available on the MSAC Website: </w:t>
      </w:r>
      <w:hyperlink r:id="rId13" w:tooltip="Link to the MSAC website" w:history="1">
        <w:r w:rsidRPr="00F309FA">
          <w:rPr>
            <w:rStyle w:val="Hyperlink"/>
            <w:rFonts w:ascii="Franklin Gothic Book" w:hAnsi="Franklin Gothic Book"/>
            <w:b w:val="0"/>
            <w:bCs/>
            <w:i w:val="0"/>
            <w:iCs/>
            <w:sz w:val="22"/>
          </w:rPr>
          <w:t>visit the MSAC website</w:t>
        </w:r>
      </w:hyperlink>
    </w:p>
    <w:sectPr w:rsidR="00772829" w:rsidRPr="0083451E" w:rsidSect="00011D13">
      <w:footerReference w:type="even" r:id="rId14"/>
      <w:footerReference w:type="default" r:id="rId15"/>
      <w:type w:val="oddPage"/>
      <w:pgSz w:w="11906" w:h="16838"/>
      <w:pgMar w:top="1135"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1D91" w14:textId="77777777" w:rsidR="002D7A10" w:rsidRDefault="002D7A10" w:rsidP="00B62DF2">
      <w:pPr>
        <w:spacing w:after="0" w:line="240" w:lineRule="auto"/>
      </w:pPr>
      <w:r>
        <w:separator/>
      </w:r>
    </w:p>
  </w:endnote>
  <w:endnote w:type="continuationSeparator" w:id="0">
    <w:p w14:paraId="6268C863" w14:textId="77777777" w:rsidR="002D7A10" w:rsidRDefault="002D7A10" w:rsidP="00B62DF2">
      <w:pPr>
        <w:spacing w:after="0" w:line="240" w:lineRule="auto"/>
      </w:pPr>
      <w:r>
        <w:continuationSeparator/>
      </w:r>
    </w:p>
  </w:endnote>
  <w:endnote w:type="continuationNotice" w:id="1">
    <w:p w14:paraId="6A2C73F8" w14:textId="77777777" w:rsidR="002D7A10" w:rsidRDefault="002D7A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Xinwei">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69BB" w14:textId="57BA7D80" w:rsidR="00060BF3" w:rsidRDefault="00060BF3" w:rsidP="002567BE">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836240"/>
      <w:docPartObj>
        <w:docPartGallery w:val="Page Numbers (Bottom of Page)"/>
        <w:docPartUnique/>
      </w:docPartObj>
    </w:sdtPr>
    <w:sdtEndPr>
      <w:rPr>
        <w:noProof/>
      </w:rPr>
    </w:sdtEndPr>
    <w:sdtContent>
      <w:p w14:paraId="31CB5C53" w14:textId="554F2F29" w:rsidR="00060BF3" w:rsidRDefault="00060BF3" w:rsidP="002567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5BA3" w14:textId="77777777" w:rsidR="002D7A10" w:rsidRDefault="002D7A10" w:rsidP="00B62DF2">
      <w:pPr>
        <w:spacing w:after="0" w:line="240" w:lineRule="auto"/>
      </w:pPr>
      <w:r>
        <w:separator/>
      </w:r>
    </w:p>
  </w:footnote>
  <w:footnote w:type="continuationSeparator" w:id="0">
    <w:p w14:paraId="4702A506" w14:textId="77777777" w:rsidR="002D7A10" w:rsidRDefault="002D7A10" w:rsidP="00B62DF2">
      <w:pPr>
        <w:spacing w:after="0" w:line="240" w:lineRule="auto"/>
      </w:pPr>
      <w:r>
        <w:continuationSeparator/>
      </w:r>
    </w:p>
  </w:footnote>
  <w:footnote w:type="continuationNotice" w:id="1">
    <w:p w14:paraId="49B5DB62" w14:textId="77777777" w:rsidR="002D7A10" w:rsidRDefault="002D7A10">
      <w:pPr>
        <w:spacing w:before="0" w:after="0" w:line="240" w:lineRule="auto"/>
      </w:pPr>
    </w:p>
  </w:footnote>
  <w:footnote w:id="2">
    <w:p w14:paraId="277783F0" w14:textId="331E72EF" w:rsidR="00BC5957" w:rsidRPr="00F4566D" w:rsidRDefault="00060BF3">
      <w:pPr>
        <w:pStyle w:val="FootnoteText"/>
        <w:rPr>
          <w:rFonts w:ascii="Arial Narrow" w:hAnsi="Arial Narrow" w:cs="Courier New"/>
          <w:color w:val="222222"/>
          <w:sz w:val="16"/>
          <w:szCs w:val="16"/>
          <w:shd w:val="clear" w:color="auto" w:fill="FFFFFF"/>
        </w:rPr>
      </w:pPr>
      <w:r>
        <w:rPr>
          <w:rStyle w:val="FootnoteReference"/>
        </w:rPr>
        <w:footnoteRef/>
      </w:r>
      <w:r>
        <w:t xml:space="preserve"> </w:t>
      </w:r>
      <w:r w:rsidRPr="00CF4762">
        <w:rPr>
          <w:rFonts w:ascii="Arial Narrow" w:hAnsi="Arial Narrow" w:cs="Courier New"/>
          <w:color w:val="222222"/>
          <w:sz w:val="16"/>
          <w:szCs w:val="16"/>
          <w:shd w:val="clear" w:color="auto" w:fill="FFFFFF"/>
        </w:rPr>
        <w:t xml:space="preserve">Haider MZ, </w:t>
      </w:r>
      <w:proofErr w:type="spellStart"/>
      <w:r w:rsidRPr="00CF4762">
        <w:rPr>
          <w:rFonts w:ascii="Arial Narrow" w:hAnsi="Arial Narrow" w:cs="Courier New"/>
          <w:color w:val="222222"/>
          <w:sz w:val="16"/>
          <w:szCs w:val="16"/>
          <w:shd w:val="clear" w:color="auto" w:fill="FFFFFF"/>
        </w:rPr>
        <w:t>Anwer</w:t>
      </w:r>
      <w:proofErr w:type="spellEnd"/>
      <w:r w:rsidRPr="00CF4762">
        <w:rPr>
          <w:rFonts w:ascii="Arial Narrow" w:hAnsi="Arial Narrow" w:cs="Courier New"/>
          <w:color w:val="222222"/>
          <w:sz w:val="16"/>
          <w:szCs w:val="16"/>
          <w:shd w:val="clear" w:color="auto" w:fill="FFFFFF"/>
        </w:rPr>
        <w:t xml:space="preserve"> F. Acquired </w:t>
      </w:r>
      <w:proofErr w:type="spellStart"/>
      <w:r w:rsidRPr="00CF4762">
        <w:rPr>
          <w:rFonts w:ascii="Arial Narrow" w:hAnsi="Arial Narrow" w:cs="Courier New"/>
          <w:color w:val="222222"/>
          <w:sz w:val="16"/>
          <w:szCs w:val="16"/>
          <w:shd w:val="clear" w:color="auto" w:fill="FFFFFF"/>
        </w:rPr>
        <w:t>Hemophilia</w:t>
      </w:r>
      <w:proofErr w:type="spellEnd"/>
      <w:r w:rsidRPr="00CF4762">
        <w:rPr>
          <w:rFonts w:ascii="Arial Narrow" w:hAnsi="Arial Narrow" w:cs="Courier New"/>
          <w:color w:val="222222"/>
          <w:sz w:val="16"/>
          <w:szCs w:val="16"/>
          <w:shd w:val="clear" w:color="auto" w:fill="FFFFFF"/>
        </w:rPr>
        <w:t xml:space="preserve">. [Updated 2022 Dec 13]. In: </w:t>
      </w:r>
      <w:proofErr w:type="spellStart"/>
      <w:r w:rsidRPr="00CF4762">
        <w:rPr>
          <w:rFonts w:ascii="Arial Narrow" w:hAnsi="Arial Narrow" w:cs="Courier New"/>
          <w:color w:val="222222"/>
          <w:sz w:val="16"/>
          <w:szCs w:val="16"/>
          <w:shd w:val="clear" w:color="auto" w:fill="FFFFFF"/>
        </w:rPr>
        <w:t>StatPearls</w:t>
      </w:r>
      <w:proofErr w:type="spellEnd"/>
      <w:r w:rsidRPr="00CF4762">
        <w:rPr>
          <w:rFonts w:ascii="Arial Narrow" w:hAnsi="Arial Narrow" w:cs="Courier New"/>
          <w:color w:val="222222"/>
          <w:sz w:val="16"/>
          <w:szCs w:val="16"/>
          <w:shd w:val="clear" w:color="auto" w:fill="FFFFFF"/>
        </w:rPr>
        <w:t xml:space="preserve"> [Internet]. Treasure Island (FL): </w:t>
      </w:r>
      <w:proofErr w:type="spellStart"/>
      <w:r w:rsidRPr="00CF4762">
        <w:rPr>
          <w:rFonts w:ascii="Arial Narrow" w:hAnsi="Arial Narrow" w:cs="Courier New"/>
          <w:color w:val="222222"/>
          <w:sz w:val="16"/>
          <w:szCs w:val="16"/>
          <w:shd w:val="clear" w:color="auto" w:fill="FFFFFF"/>
        </w:rPr>
        <w:t>StatPearls</w:t>
      </w:r>
      <w:proofErr w:type="spellEnd"/>
      <w:r w:rsidRPr="00CF4762">
        <w:rPr>
          <w:rFonts w:ascii="Arial Narrow" w:hAnsi="Arial Narrow" w:cs="Courier New"/>
          <w:color w:val="222222"/>
          <w:sz w:val="16"/>
          <w:szCs w:val="16"/>
          <w:shd w:val="clear" w:color="auto" w:fill="FFFFFF"/>
        </w:rPr>
        <w:t xml:space="preserve"> Publishing; 2023 Jan-. </w:t>
      </w:r>
      <w:r w:rsidRPr="00CF4762">
        <w:rPr>
          <w:rStyle w:val="bkciteavail"/>
          <w:rFonts w:ascii="Arial Narrow" w:hAnsi="Arial Narrow" w:cs="Courier New"/>
          <w:color w:val="222222"/>
          <w:sz w:val="16"/>
          <w:szCs w:val="16"/>
          <w:shd w:val="clear" w:color="auto" w:fill="FFFFFF"/>
        </w:rPr>
        <w:t xml:space="preserve">Available from: </w:t>
      </w:r>
      <w:hyperlink r:id="rId1" w:history="1">
        <w:r w:rsidR="00BC5957" w:rsidRPr="000D2FC1">
          <w:rPr>
            <w:rStyle w:val="Hyperlink"/>
            <w:rFonts w:ascii="Arial Narrow" w:hAnsi="Arial Narrow" w:cs="Courier New"/>
            <w:sz w:val="16"/>
            <w:szCs w:val="16"/>
            <w:shd w:val="clear" w:color="auto" w:fill="FFFFFF"/>
          </w:rPr>
          <w:t>https://www.ncbi.nlm.nih.gov/books/NBK560494/</w:t>
        </w:r>
      </w:hyperlink>
    </w:p>
  </w:footnote>
  <w:footnote w:id="3">
    <w:p w14:paraId="20A045BB" w14:textId="51942999" w:rsidR="00060BF3" w:rsidRPr="00132B9E" w:rsidRDefault="00060BF3" w:rsidP="00684EEF">
      <w:pPr>
        <w:pStyle w:val="FootnoteText"/>
        <w:rPr>
          <w:rFonts w:ascii="Arial Narrow" w:hAnsi="Arial Narrow"/>
          <w:sz w:val="16"/>
          <w:szCs w:val="16"/>
        </w:rPr>
      </w:pPr>
      <w:r w:rsidRPr="00132B9E">
        <w:rPr>
          <w:rStyle w:val="FootnoteReference"/>
          <w:rFonts w:ascii="Arial Narrow" w:hAnsi="Arial Narrow"/>
          <w:sz w:val="16"/>
          <w:szCs w:val="16"/>
        </w:rPr>
        <w:footnoteRef/>
      </w:r>
      <w:r w:rsidRPr="00132B9E">
        <w:rPr>
          <w:rFonts w:ascii="Arial Narrow" w:hAnsi="Arial Narrow"/>
          <w:sz w:val="16"/>
          <w:szCs w:val="16"/>
        </w:rPr>
        <w:t xml:space="preserve"> Clinical commissioning policy: Susoctocog alfa for treating bleeding episodes in people with acquired haemophilia A (all ages). 29 June 2018. https://www.england.nhs.uk/wp-content/uploads/2018/07/1703-susoctcog-alfa.pdf</w:t>
      </w:r>
    </w:p>
  </w:footnote>
  <w:footnote w:id="4">
    <w:p w14:paraId="6527A694" w14:textId="75CFD643" w:rsidR="00060BF3" w:rsidRPr="00132B9E" w:rsidRDefault="00060BF3">
      <w:pPr>
        <w:pStyle w:val="FootnoteText"/>
        <w:rPr>
          <w:rFonts w:ascii="Arial Narrow" w:hAnsi="Arial Narrow"/>
          <w:sz w:val="16"/>
          <w:szCs w:val="16"/>
        </w:rPr>
      </w:pPr>
      <w:r w:rsidRPr="00132B9E">
        <w:rPr>
          <w:rStyle w:val="FootnoteReference"/>
          <w:rFonts w:ascii="Arial Narrow" w:hAnsi="Arial Narrow"/>
          <w:sz w:val="16"/>
          <w:szCs w:val="16"/>
        </w:rPr>
        <w:footnoteRef/>
      </w:r>
      <w:r w:rsidRPr="00132B9E">
        <w:rPr>
          <w:rStyle w:val="Hyperlink"/>
          <w:rFonts w:ascii="Arial Narrow" w:hAnsi="Arial Narrow"/>
          <w:color w:val="auto"/>
          <w:sz w:val="16"/>
          <w:szCs w:val="16"/>
          <w:u w:val="none"/>
        </w:rPr>
        <w:t>https://www.sahealth.sa.gov.au/wps/wcm/connect/public+content/sa+health+internet/resources/policies/blood+supply+stewardship+for+south+australia+policy</w:t>
      </w:r>
    </w:p>
  </w:footnote>
  <w:footnote w:id="5">
    <w:p w14:paraId="775FC1C3" w14:textId="24B5233A" w:rsidR="00060BF3" w:rsidRPr="00132B9E" w:rsidRDefault="00060BF3" w:rsidP="00147524">
      <w:pPr>
        <w:shd w:val="clear" w:color="auto" w:fill="FFFFFF"/>
        <w:spacing w:before="0"/>
        <w:rPr>
          <w:rFonts w:ascii="Arial Narrow" w:eastAsia="Times New Roman" w:hAnsi="Arial Narrow" w:cs="Times New Roman"/>
          <w:sz w:val="16"/>
          <w:szCs w:val="16"/>
          <w:lang w:eastAsia="en-AU"/>
        </w:rPr>
      </w:pPr>
      <w:r w:rsidRPr="00132B9E">
        <w:rPr>
          <w:rStyle w:val="FootnoteReference"/>
          <w:rFonts w:ascii="Arial Narrow" w:hAnsi="Arial Narrow" w:cs="Times New Roman"/>
          <w:sz w:val="16"/>
          <w:szCs w:val="16"/>
        </w:rPr>
        <w:footnoteRef/>
      </w:r>
      <w:r w:rsidRPr="00132B9E">
        <w:rPr>
          <w:rFonts w:ascii="Arial Narrow" w:hAnsi="Arial Narrow" w:cs="Times New Roman"/>
          <w:sz w:val="16"/>
          <w:szCs w:val="16"/>
        </w:rPr>
        <w:t xml:space="preserve"> </w:t>
      </w:r>
      <w:r w:rsidRPr="00132B9E">
        <w:rPr>
          <w:rFonts w:ascii="Arial Narrow" w:eastAsia="Times New Roman" w:hAnsi="Arial Narrow" w:cs="Times New Roman"/>
          <w:sz w:val="16"/>
          <w:szCs w:val="16"/>
          <w:lang w:eastAsia="en-AU"/>
        </w:rPr>
        <w:t xml:space="preserve">Ellsworth P, Chen SL, </w:t>
      </w:r>
      <w:proofErr w:type="spellStart"/>
      <w:r w:rsidRPr="00132B9E">
        <w:rPr>
          <w:rFonts w:ascii="Arial Narrow" w:eastAsia="Times New Roman" w:hAnsi="Arial Narrow" w:cs="Times New Roman"/>
          <w:sz w:val="16"/>
          <w:szCs w:val="16"/>
          <w:lang w:eastAsia="en-AU"/>
        </w:rPr>
        <w:t>Kasthuri</w:t>
      </w:r>
      <w:proofErr w:type="spellEnd"/>
      <w:r w:rsidRPr="00132B9E">
        <w:rPr>
          <w:rFonts w:ascii="Arial Narrow" w:eastAsia="Times New Roman" w:hAnsi="Arial Narrow" w:cs="Times New Roman"/>
          <w:sz w:val="16"/>
          <w:szCs w:val="16"/>
          <w:lang w:eastAsia="en-AU"/>
        </w:rPr>
        <w:t xml:space="preserve"> RS, Key NS, </w:t>
      </w:r>
      <w:proofErr w:type="spellStart"/>
      <w:r w:rsidRPr="00132B9E">
        <w:rPr>
          <w:rFonts w:ascii="Arial Narrow" w:eastAsia="Times New Roman" w:hAnsi="Arial Narrow" w:cs="Times New Roman"/>
          <w:sz w:val="16"/>
          <w:szCs w:val="16"/>
          <w:lang w:eastAsia="en-AU"/>
        </w:rPr>
        <w:t>Mooberry</w:t>
      </w:r>
      <w:proofErr w:type="spellEnd"/>
      <w:r w:rsidRPr="00132B9E">
        <w:rPr>
          <w:rFonts w:ascii="Arial Narrow" w:eastAsia="Times New Roman" w:hAnsi="Arial Narrow" w:cs="Times New Roman"/>
          <w:sz w:val="16"/>
          <w:szCs w:val="16"/>
          <w:lang w:eastAsia="en-AU"/>
        </w:rPr>
        <w:t xml:space="preserve"> MJ, Ma AD. Recombinant porcine FVIII for bleed treatment in acquired </w:t>
      </w:r>
      <w:proofErr w:type="spellStart"/>
      <w:r w:rsidRPr="00132B9E">
        <w:rPr>
          <w:rFonts w:ascii="Arial Narrow" w:eastAsia="Times New Roman" w:hAnsi="Arial Narrow" w:cs="Times New Roman"/>
          <w:sz w:val="16"/>
          <w:szCs w:val="16"/>
          <w:lang w:eastAsia="en-AU"/>
        </w:rPr>
        <w:t>hemophilia</w:t>
      </w:r>
      <w:proofErr w:type="spellEnd"/>
      <w:r w:rsidRPr="00132B9E">
        <w:rPr>
          <w:rFonts w:ascii="Arial Narrow" w:eastAsia="Times New Roman" w:hAnsi="Arial Narrow" w:cs="Times New Roman"/>
          <w:sz w:val="16"/>
          <w:szCs w:val="16"/>
          <w:lang w:eastAsia="en-AU"/>
        </w:rPr>
        <w:t xml:space="preserve"> A: findings from a single-</w:t>
      </w:r>
      <w:proofErr w:type="spellStart"/>
      <w:r w:rsidRPr="00132B9E">
        <w:rPr>
          <w:rFonts w:ascii="Arial Narrow" w:eastAsia="Times New Roman" w:hAnsi="Arial Narrow" w:cs="Times New Roman"/>
          <w:sz w:val="16"/>
          <w:szCs w:val="16"/>
          <w:lang w:eastAsia="en-AU"/>
        </w:rPr>
        <w:t>center</w:t>
      </w:r>
      <w:proofErr w:type="spellEnd"/>
      <w:r w:rsidRPr="00132B9E">
        <w:rPr>
          <w:rFonts w:ascii="Arial Narrow" w:eastAsia="Times New Roman" w:hAnsi="Arial Narrow" w:cs="Times New Roman"/>
          <w:sz w:val="16"/>
          <w:szCs w:val="16"/>
          <w:lang w:eastAsia="en-AU"/>
        </w:rPr>
        <w:t xml:space="preserve">, 18-patient cohort. </w:t>
      </w:r>
      <w:r w:rsidRPr="00132B9E">
        <w:rPr>
          <w:rFonts w:ascii="Arial Narrow" w:eastAsia="Times New Roman" w:hAnsi="Arial Narrow" w:cs="Times New Roman"/>
          <w:i/>
          <w:iCs/>
          <w:sz w:val="16"/>
          <w:szCs w:val="16"/>
          <w:lang w:eastAsia="en-AU"/>
        </w:rPr>
        <w:t>Blood Adv.</w:t>
      </w:r>
      <w:r w:rsidRPr="00132B9E">
        <w:rPr>
          <w:rFonts w:ascii="Arial Narrow" w:eastAsia="Times New Roman" w:hAnsi="Arial Narrow" w:cs="Times New Roman"/>
          <w:sz w:val="16"/>
          <w:szCs w:val="16"/>
          <w:lang w:eastAsia="en-AU"/>
        </w:rPr>
        <w:t xml:space="preserve"> 2020 Dec 22;4(24):6240-6249. </w:t>
      </w:r>
      <w:proofErr w:type="spellStart"/>
      <w:r w:rsidRPr="00132B9E">
        <w:rPr>
          <w:rFonts w:ascii="Arial Narrow" w:eastAsia="Times New Roman" w:hAnsi="Arial Narrow" w:cs="Times New Roman"/>
          <w:sz w:val="16"/>
          <w:szCs w:val="16"/>
          <w:lang w:eastAsia="en-AU"/>
        </w:rPr>
        <w:t>doi</w:t>
      </w:r>
      <w:proofErr w:type="spellEnd"/>
      <w:r w:rsidRPr="00132B9E">
        <w:rPr>
          <w:rFonts w:ascii="Arial Narrow" w:eastAsia="Times New Roman" w:hAnsi="Arial Narrow" w:cs="Times New Roman"/>
          <w:sz w:val="16"/>
          <w:szCs w:val="16"/>
          <w:lang w:eastAsia="en-AU"/>
        </w:rPr>
        <w:t>: 10.1182/bloodadvances.2020002977. PMID: 33351122; PMCID: PMC7756980.</w:t>
      </w:r>
    </w:p>
  </w:footnote>
  <w:footnote w:id="6">
    <w:p w14:paraId="6A16064E" w14:textId="47DB7629" w:rsidR="00060BF3" w:rsidRPr="00252EC3" w:rsidRDefault="00060BF3">
      <w:pPr>
        <w:pStyle w:val="FootnoteText"/>
        <w:rPr>
          <w:rFonts w:ascii="Arial Narrow" w:hAnsi="Arial Narrow"/>
          <w:sz w:val="16"/>
          <w:szCs w:val="16"/>
        </w:rPr>
      </w:pPr>
      <w:r w:rsidRPr="00252EC3">
        <w:rPr>
          <w:rStyle w:val="FootnoteReference"/>
          <w:rFonts w:ascii="Arial Narrow" w:hAnsi="Arial Narrow"/>
          <w:sz w:val="16"/>
          <w:szCs w:val="16"/>
        </w:rPr>
        <w:footnoteRef/>
      </w:r>
      <w:r w:rsidRPr="00252EC3">
        <w:rPr>
          <w:rFonts w:ascii="Arial Narrow" w:hAnsi="Arial Narrow"/>
          <w:sz w:val="16"/>
          <w:szCs w:val="16"/>
        </w:rPr>
        <w:t xml:space="preserve"> </w:t>
      </w:r>
      <w:r w:rsidRPr="00252EC3">
        <w:rPr>
          <w:rFonts w:ascii="Arial Narrow" w:hAnsi="Arial Narrow" w:cs="Times New Roman"/>
          <w:sz w:val="16"/>
          <w:szCs w:val="16"/>
        </w:rPr>
        <w:t>Available at: https://www.blood.gov.au/sites/default/files/ABDR-Annual-Report-2019-20-FINAL.pdf</w:t>
      </w:r>
    </w:p>
  </w:footnote>
  <w:footnote w:id="7">
    <w:p w14:paraId="6958E34B" w14:textId="1EA8B7E3" w:rsidR="00060BF3" w:rsidRPr="00252EC3" w:rsidRDefault="00060BF3">
      <w:pPr>
        <w:pStyle w:val="FootnoteText"/>
        <w:rPr>
          <w:rFonts w:ascii="Arial Narrow" w:hAnsi="Arial Narrow" w:cs="Times New Roman"/>
          <w:sz w:val="16"/>
          <w:szCs w:val="16"/>
        </w:rPr>
      </w:pPr>
      <w:r w:rsidRPr="00252EC3">
        <w:rPr>
          <w:rStyle w:val="FootnoteReference"/>
          <w:rFonts w:ascii="Arial Narrow" w:hAnsi="Arial Narrow" w:cs="Times New Roman"/>
          <w:sz w:val="16"/>
          <w:szCs w:val="16"/>
        </w:rPr>
        <w:footnoteRef/>
      </w:r>
      <w:r w:rsidRPr="00252EC3">
        <w:rPr>
          <w:rFonts w:ascii="Arial Narrow" w:hAnsi="Arial Narrow" w:cs="Times New Roman"/>
          <w:sz w:val="16"/>
          <w:szCs w:val="16"/>
        </w:rPr>
        <w:t xml:space="preserve"> </w:t>
      </w:r>
      <w:r w:rsidRPr="00252EC3">
        <w:rPr>
          <w:rFonts w:ascii="Arial Narrow" w:hAnsi="Arial Narrow" w:cs="Times New Roman"/>
          <w:color w:val="212121"/>
          <w:sz w:val="16"/>
          <w:szCs w:val="16"/>
          <w:shd w:val="clear" w:color="auto" w:fill="FFFFFF"/>
        </w:rPr>
        <w:t>Tay L, Duncan E, Singhal D, Al-</w:t>
      </w:r>
      <w:proofErr w:type="spellStart"/>
      <w:r w:rsidRPr="00252EC3">
        <w:rPr>
          <w:rFonts w:ascii="Arial Narrow" w:hAnsi="Arial Narrow" w:cs="Times New Roman"/>
          <w:color w:val="212121"/>
          <w:sz w:val="16"/>
          <w:szCs w:val="16"/>
          <w:shd w:val="clear" w:color="auto" w:fill="FFFFFF"/>
        </w:rPr>
        <w:t>Qunfoidi</w:t>
      </w:r>
      <w:proofErr w:type="spellEnd"/>
      <w:r w:rsidRPr="00252EC3">
        <w:rPr>
          <w:rFonts w:ascii="Arial Narrow" w:hAnsi="Arial Narrow" w:cs="Times New Roman"/>
          <w:color w:val="212121"/>
          <w:sz w:val="16"/>
          <w:szCs w:val="16"/>
          <w:shd w:val="clear" w:color="auto" w:fill="FFFFFF"/>
        </w:rPr>
        <w:t xml:space="preserve"> R, Coghlan D, </w:t>
      </w:r>
      <w:proofErr w:type="spellStart"/>
      <w:r w:rsidRPr="00252EC3">
        <w:rPr>
          <w:rFonts w:ascii="Arial Narrow" w:hAnsi="Arial Narrow" w:cs="Times New Roman"/>
          <w:color w:val="212121"/>
          <w:sz w:val="16"/>
          <w:szCs w:val="16"/>
          <w:shd w:val="clear" w:color="auto" w:fill="FFFFFF"/>
        </w:rPr>
        <w:t>Jaksic</w:t>
      </w:r>
      <w:proofErr w:type="spellEnd"/>
      <w:r w:rsidRPr="00252EC3">
        <w:rPr>
          <w:rFonts w:ascii="Arial Narrow" w:hAnsi="Arial Narrow" w:cs="Times New Roman"/>
          <w:color w:val="212121"/>
          <w:sz w:val="16"/>
          <w:szCs w:val="16"/>
          <w:shd w:val="clear" w:color="auto" w:fill="FFFFFF"/>
        </w:rPr>
        <w:t xml:space="preserve"> W, Szabo F, McRae S, Lloyd J. Twelve years of experience of acquired </w:t>
      </w:r>
      <w:proofErr w:type="spellStart"/>
      <w:r w:rsidRPr="00252EC3">
        <w:rPr>
          <w:rFonts w:ascii="Arial Narrow" w:hAnsi="Arial Narrow" w:cs="Times New Roman"/>
          <w:color w:val="212121"/>
          <w:sz w:val="16"/>
          <w:szCs w:val="16"/>
          <w:shd w:val="clear" w:color="auto" w:fill="FFFFFF"/>
        </w:rPr>
        <w:t>hemophilia</w:t>
      </w:r>
      <w:proofErr w:type="spellEnd"/>
      <w:r w:rsidRPr="00252EC3">
        <w:rPr>
          <w:rFonts w:ascii="Arial Narrow" w:hAnsi="Arial Narrow" w:cs="Times New Roman"/>
          <w:color w:val="212121"/>
          <w:sz w:val="16"/>
          <w:szCs w:val="16"/>
          <w:shd w:val="clear" w:color="auto" w:fill="FFFFFF"/>
        </w:rPr>
        <w:t xml:space="preserve"> A: trials and tribulations in South Australia. </w:t>
      </w:r>
      <w:r w:rsidRPr="00252EC3">
        <w:rPr>
          <w:rFonts w:ascii="Arial Narrow" w:hAnsi="Arial Narrow" w:cs="Times New Roman"/>
          <w:i/>
          <w:iCs/>
          <w:color w:val="212121"/>
          <w:sz w:val="16"/>
          <w:szCs w:val="16"/>
          <w:shd w:val="clear" w:color="auto" w:fill="FFFFFF"/>
        </w:rPr>
        <w:t xml:space="preserve">Semin </w:t>
      </w:r>
      <w:proofErr w:type="spellStart"/>
      <w:r w:rsidRPr="00252EC3">
        <w:rPr>
          <w:rFonts w:ascii="Arial Narrow" w:hAnsi="Arial Narrow" w:cs="Times New Roman"/>
          <w:i/>
          <w:iCs/>
          <w:color w:val="212121"/>
          <w:sz w:val="16"/>
          <w:szCs w:val="16"/>
          <w:shd w:val="clear" w:color="auto" w:fill="FFFFFF"/>
        </w:rPr>
        <w:t>Thromb</w:t>
      </w:r>
      <w:proofErr w:type="spellEnd"/>
      <w:r w:rsidRPr="00252EC3">
        <w:rPr>
          <w:rFonts w:ascii="Arial Narrow" w:hAnsi="Arial Narrow" w:cs="Times New Roman"/>
          <w:i/>
          <w:iCs/>
          <w:color w:val="212121"/>
          <w:sz w:val="16"/>
          <w:szCs w:val="16"/>
          <w:shd w:val="clear" w:color="auto" w:fill="FFFFFF"/>
        </w:rPr>
        <w:t xml:space="preserve"> </w:t>
      </w:r>
      <w:proofErr w:type="spellStart"/>
      <w:r w:rsidRPr="00252EC3">
        <w:rPr>
          <w:rFonts w:ascii="Arial Narrow" w:hAnsi="Arial Narrow" w:cs="Times New Roman"/>
          <w:i/>
          <w:iCs/>
          <w:color w:val="212121"/>
          <w:sz w:val="16"/>
          <w:szCs w:val="16"/>
          <w:shd w:val="clear" w:color="auto" w:fill="FFFFFF"/>
        </w:rPr>
        <w:t>Hemost</w:t>
      </w:r>
      <w:proofErr w:type="spellEnd"/>
      <w:r w:rsidRPr="00252EC3">
        <w:rPr>
          <w:rFonts w:ascii="Arial Narrow" w:hAnsi="Arial Narrow" w:cs="Times New Roman"/>
          <w:i/>
          <w:iCs/>
          <w:color w:val="212121"/>
          <w:sz w:val="16"/>
          <w:szCs w:val="16"/>
          <w:shd w:val="clear" w:color="auto" w:fill="FFFFFF"/>
        </w:rPr>
        <w:t>.</w:t>
      </w:r>
      <w:r w:rsidRPr="00252EC3">
        <w:rPr>
          <w:rFonts w:ascii="Arial Narrow" w:hAnsi="Arial Narrow" w:cs="Times New Roman"/>
          <w:color w:val="212121"/>
          <w:sz w:val="16"/>
          <w:szCs w:val="16"/>
          <w:shd w:val="clear" w:color="auto" w:fill="FFFFFF"/>
        </w:rPr>
        <w:t xml:space="preserve"> 2009 Nov;35(8):769-77. </w:t>
      </w:r>
      <w:proofErr w:type="spellStart"/>
      <w:r w:rsidRPr="00252EC3">
        <w:rPr>
          <w:rFonts w:ascii="Arial Narrow" w:hAnsi="Arial Narrow" w:cs="Times New Roman"/>
          <w:color w:val="212121"/>
          <w:sz w:val="16"/>
          <w:szCs w:val="16"/>
          <w:shd w:val="clear" w:color="auto" w:fill="FFFFFF"/>
        </w:rPr>
        <w:t>doi</w:t>
      </w:r>
      <w:proofErr w:type="spellEnd"/>
      <w:r w:rsidRPr="00252EC3">
        <w:rPr>
          <w:rFonts w:ascii="Arial Narrow" w:hAnsi="Arial Narrow" w:cs="Times New Roman"/>
          <w:color w:val="212121"/>
          <w:sz w:val="16"/>
          <w:szCs w:val="16"/>
          <w:shd w:val="clear" w:color="auto" w:fill="FFFFFF"/>
        </w:rPr>
        <w:t xml:space="preserve">: 10.1055/s-0029-1245109. </w:t>
      </w:r>
      <w:proofErr w:type="spellStart"/>
      <w:r w:rsidRPr="00252EC3">
        <w:rPr>
          <w:rFonts w:ascii="Arial Narrow" w:hAnsi="Arial Narrow" w:cs="Times New Roman"/>
          <w:color w:val="212121"/>
          <w:sz w:val="16"/>
          <w:szCs w:val="16"/>
          <w:shd w:val="clear" w:color="auto" w:fill="FFFFFF"/>
        </w:rPr>
        <w:t>Epub</w:t>
      </w:r>
      <w:proofErr w:type="spellEnd"/>
      <w:r w:rsidRPr="00252EC3">
        <w:rPr>
          <w:rFonts w:ascii="Arial Narrow" w:hAnsi="Arial Narrow" w:cs="Times New Roman"/>
          <w:color w:val="212121"/>
          <w:sz w:val="16"/>
          <w:szCs w:val="16"/>
          <w:shd w:val="clear" w:color="auto" w:fill="FFFFFF"/>
        </w:rPr>
        <w:t xml:space="preserve"> 2010 Feb 18. PMID: 20169513.</w:t>
      </w:r>
    </w:p>
  </w:footnote>
  <w:footnote w:id="8">
    <w:p w14:paraId="30503419" w14:textId="3966D701" w:rsidR="00060BF3" w:rsidRPr="00252EC3" w:rsidRDefault="00060BF3" w:rsidP="00147524">
      <w:pPr>
        <w:shd w:val="clear" w:color="auto" w:fill="FFFFFF"/>
        <w:spacing w:before="0"/>
        <w:rPr>
          <w:rFonts w:ascii="Arial Narrow" w:eastAsia="Times New Roman" w:hAnsi="Arial Narrow" w:cs="Times New Roman"/>
          <w:color w:val="212121"/>
          <w:sz w:val="16"/>
          <w:szCs w:val="16"/>
          <w:lang w:eastAsia="en-AU"/>
        </w:rPr>
      </w:pPr>
      <w:r w:rsidRPr="00252EC3">
        <w:rPr>
          <w:rStyle w:val="FootnoteReference"/>
          <w:rFonts w:ascii="Arial Narrow" w:hAnsi="Arial Narrow" w:cs="Times New Roman"/>
          <w:sz w:val="16"/>
          <w:szCs w:val="16"/>
        </w:rPr>
        <w:footnoteRef/>
      </w:r>
      <w:r w:rsidRPr="00252EC3">
        <w:rPr>
          <w:rFonts w:ascii="Arial Narrow" w:hAnsi="Arial Narrow" w:cs="Times New Roman"/>
          <w:sz w:val="16"/>
          <w:szCs w:val="16"/>
        </w:rPr>
        <w:t xml:space="preserve"> </w:t>
      </w:r>
      <w:r w:rsidRPr="00252EC3">
        <w:rPr>
          <w:rFonts w:ascii="Arial Narrow" w:eastAsia="Times New Roman" w:hAnsi="Arial Narrow" w:cs="Times New Roman"/>
          <w:color w:val="212121"/>
          <w:sz w:val="16"/>
          <w:szCs w:val="16"/>
          <w:lang w:eastAsia="en-AU"/>
        </w:rPr>
        <w:t xml:space="preserve">Dix C, Tee A, McFadyen JD, Tran H. Acquired haemophilia A: Insight into treatment and outcomes from an Australian tertiary referral centre. </w:t>
      </w:r>
      <w:r w:rsidRPr="00252EC3">
        <w:rPr>
          <w:rFonts w:ascii="Arial Narrow" w:eastAsia="Times New Roman" w:hAnsi="Arial Narrow" w:cs="Times New Roman"/>
          <w:i/>
          <w:iCs/>
          <w:color w:val="212121"/>
          <w:sz w:val="16"/>
          <w:szCs w:val="16"/>
          <w:lang w:eastAsia="en-AU"/>
        </w:rPr>
        <w:t>Haemophilia.</w:t>
      </w:r>
      <w:r w:rsidRPr="00252EC3">
        <w:rPr>
          <w:rFonts w:ascii="Arial Narrow" w:eastAsia="Times New Roman" w:hAnsi="Arial Narrow" w:cs="Times New Roman"/>
          <w:color w:val="212121"/>
          <w:sz w:val="16"/>
          <w:szCs w:val="16"/>
          <w:lang w:eastAsia="en-AU"/>
        </w:rPr>
        <w:t xml:space="preserve"> 2022 Mar;28(2</w:t>
      </w:r>
      <w:proofErr w:type="gramStart"/>
      <w:r w:rsidRPr="00252EC3">
        <w:rPr>
          <w:rFonts w:ascii="Arial Narrow" w:eastAsia="Times New Roman" w:hAnsi="Arial Narrow" w:cs="Times New Roman"/>
          <w:color w:val="212121"/>
          <w:sz w:val="16"/>
          <w:szCs w:val="16"/>
          <w:lang w:eastAsia="en-AU"/>
        </w:rPr>
        <w:t>):e</w:t>
      </w:r>
      <w:proofErr w:type="gramEnd"/>
      <w:r w:rsidRPr="00252EC3">
        <w:rPr>
          <w:rFonts w:ascii="Arial Narrow" w:eastAsia="Times New Roman" w:hAnsi="Arial Narrow" w:cs="Times New Roman"/>
          <w:color w:val="212121"/>
          <w:sz w:val="16"/>
          <w:szCs w:val="16"/>
          <w:lang w:eastAsia="en-AU"/>
        </w:rPr>
        <w:t xml:space="preserve">49-e52. </w:t>
      </w:r>
      <w:proofErr w:type="spellStart"/>
      <w:r w:rsidRPr="00252EC3">
        <w:rPr>
          <w:rFonts w:ascii="Arial Narrow" w:eastAsia="Times New Roman" w:hAnsi="Arial Narrow" w:cs="Times New Roman"/>
          <w:color w:val="212121"/>
          <w:sz w:val="16"/>
          <w:szCs w:val="16"/>
          <w:lang w:eastAsia="en-AU"/>
        </w:rPr>
        <w:t>doi</w:t>
      </w:r>
      <w:proofErr w:type="spellEnd"/>
      <w:r w:rsidRPr="00252EC3">
        <w:rPr>
          <w:rFonts w:ascii="Arial Narrow" w:eastAsia="Times New Roman" w:hAnsi="Arial Narrow" w:cs="Times New Roman"/>
          <w:color w:val="212121"/>
          <w:sz w:val="16"/>
          <w:szCs w:val="16"/>
          <w:lang w:eastAsia="en-AU"/>
        </w:rPr>
        <w:t xml:space="preserve">: 10.1111/hae.14481. </w:t>
      </w:r>
      <w:proofErr w:type="spellStart"/>
      <w:r w:rsidRPr="00252EC3">
        <w:rPr>
          <w:rFonts w:ascii="Arial Narrow" w:eastAsia="Times New Roman" w:hAnsi="Arial Narrow" w:cs="Times New Roman"/>
          <w:color w:val="212121"/>
          <w:sz w:val="16"/>
          <w:szCs w:val="16"/>
          <w:lang w:eastAsia="en-AU"/>
        </w:rPr>
        <w:t>Epub</w:t>
      </w:r>
      <w:proofErr w:type="spellEnd"/>
      <w:r w:rsidRPr="00252EC3">
        <w:rPr>
          <w:rFonts w:ascii="Arial Narrow" w:eastAsia="Times New Roman" w:hAnsi="Arial Narrow" w:cs="Times New Roman"/>
          <w:color w:val="212121"/>
          <w:sz w:val="16"/>
          <w:szCs w:val="16"/>
          <w:lang w:eastAsia="en-AU"/>
        </w:rPr>
        <w:t xml:space="preserve"> 2021 Dec 29. PMID: 34964529.</w:t>
      </w:r>
    </w:p>
  </w:footnote>
  <w:footnote w:id="9">
    <w:p w14:paraId="26D769DB" w14:textId="0C0F9245" w:rsidR="00060BF3" w:rsidRPr="00132B9E" w:rsidRDefault="00060BF3">
      <w:pPr>
        <w:pStyle w:val="FootnoteText"/>
        <w:rPr>
          <w:rFonts w:ascii="Arial Narrow" w:hAnsi="Arial Narrow"/>
          <w:sz w:val="16"/>
          <w:szCs w:val="16"/>
        </w:rPr>
      </w:pPr>
      <w:r w:rsidRPr="00132B9E">
        <w:rPr>
          <w:rStyle w:val="FootnoteReference"/>
          <w:rFonts w:ascii="Arial Narrow" w:hAnsi="Arial Narrow"/>
          <w:sz w:val="16"/>
          <w:szCs w:val="16"/>
        </w:rPr>
        <w:footnoteRef/>
      </w:r>
      <w:r w:rsidRPr="00132B9E">
        <w:rPr>
          <w:rFonts w:ascii="Arial Narrow" w:hAnsi="Arial Narrow"/>
          <w:sz w:val="16"/>
          <w:szCs w:val="16"/>
        </w:rPr>
        <w:t xml:space="preserve"> </w:t>
      </w:r>
      <w:proofErr w:type="spellStart"/>
      <w:r w:rsidRPr="00132B9E">
        <w:rPr>
          <w:rFonts w:ascii="Arial Narrow" w:hAnsi="Arial Narrow"/>
          <w:sz w:val="16"/>
          <w:szCs w:val="16"/>
        </w:rPr>
        <w:t>Lottenberg</w:t>
      </w:r>
      <w:proofErr w:type="spellEnd"/>
      <w:r w:rsidRPr="00132B9E">
        <w:rPr>
          <w:rFonts w:ascii="Arial Narrow" w:hAnsi="Arial Narrow"/>
          <w:sz w:val="16"/>
          <w:szCs w:val="16"/>
        </w:rPr>
        <w:t xml:space="preserve"> R, </w:t>
      </w:r>
      <w:proofErr w:type="spellStart"/>
      <w:r w:rsidRPr="00132B9E">
        <w:rPr>
          <w:rFonts w:ascii="Arial Narrow" w:hAnsi="Arial Narrow"/>
          <w:sz w:val="16"/>
          <w:szCs w:val="16"/>
        </w:rPr>
        <w:t>Kentro</w:t>
      </w:r>
      <w:proofErr w:type="spellEnd"/>
      <w:r w:rsidRPr="00132B9E">
        <w:rPr>
          <w:rFonts w:ascii="Arial Narrow" w:hAnsi="Arial Narrow"/>
          <w:sz w:val="16"/>
          <w:szCs w:val="16"/>
        </w:rPr>
        <w:t xml:space="preserve"> TB, Kitchens CS. Acquired </w:t>
      </w:r>
      <w:proofErr w:type="spellStart"/>
      <w:r w:rsidRPr="00132B9E">
        <w:rPr>
          <w:rFonts w:ascii="Arial Narrow" w:hAnsi="Arial Narrow"/>
          <w:sz w:val="16"/>
          <w:szCs w:val="16"/>
        </w:rPr>
        <w:t>Hemophilia</w:t>
      </w:r>
      <w:proofErr w:type="spellEnd"/>
      <w:r w:rsidRPr="00132B9E">
        <w:rPr>
          <w:rStyle w:val="colon-for-citation-subtitle"/>
          <w:rFonts w:ascii="Arial Narrow" w:hAnsi="Arial Narrow"/>
          <w:sz w:val="16"/>
          <w:szCs w:val="16"/>
        </w:rPr>
        <w:t xml:space="preserve">: </w:t>
      </w:r>
      <w:r w:rsidRPr="00132B9E">
        <w:rPr>
          <w:rStyle w:val="Subtitle1"/>
          <w:rFonts w:ascii="Arial Narrow" w:hAnsi="Arial Narrow"/>
          <w:sz w:val="16"/>
          <w:szCs w:val="16"/>
        </w:rPr>
        <w:t xml:space="preserve">A Natural History Study of 16 Patients </w:t>
      </w:r>
      <w:proofErr w:type="gramStart"/>
      <w:r w:rsidRPr="00132B9E">
        <w:rPr>
          <w:rStyle w:val="Subtitle1"/>
          <w:rFonts w:ascii="Arial Narrow" w:hAnsi="Arial Narrow"/>
          <w:sz w:val="16"/>
          <w:szCs w:val="16"/>
        </w:rPr>
        <w:t>With</w:t>
      </w:r>
      <w:proofErr w:type="gramEnd"/>
      <w:r w:rsidRPr="00132B9E">
        <w:rPr>
          <w:rStyle w:val="Subtitle1"/>
          <w:rFonts w:ascii="Arial Narrow" w:hAnsi="Arial Narrow"/>
          <w:sz w:val="16"/>
          <w:szCs w:val="16"/>
        </w:rPr>
        <w:t xml:space="preserve"> Factor VIII Inhibitors Receiving Little or No Therapy</w:t>
      </w:r>
      <w:r w:rsidRPr="00132B9E">
        <w:rPr>
          <w:rFonts w:ascii="Arial Narrow" w:hAnsi="Arial Narrow"/>
          <w:sz w:val="16"/>
          <w:szCs w:val="16"/>
        </w:rPr>
        <w:t xml:space="preserve">. </w:t>
      </w:r>
      <w:r w:rsidRPr="00132B9E">
        <w:rPr>
          <w:rStyle w:val="Emphasis"/>
          <w:rFonts w:ascii="Arial Narrow" w:hAnsi="Arial Narrow"/>
          <w:sz w:val="16"/>
          <w:szCs w:val="16"/>
        </w:rPr>
        <w:t>Arch Intern Med.</w:t>
      </w:r>
      <w:r w:rsidRPr="00132B9E">
        <w:rPr>
          <w:rFonts w:ascii="Arial Narrow" w:hAnsi="Arial Narrow"/>
          <w:sz w:val="16"/>
          <w:szCs w:val="16"/>
        </w:rPr>
        <w:t xml:space="preserve"> 1987;147(6):1077–1081. doi:10.1001/archinte.1987.00370060073014</w:t>
      </w:r>
    </w:p>
  </w:footnote>
  <w:footnote w:id="10">
    <w:p w14:paraId="582582F2" w14:textId="5CD29A34" w:rsidR="00060BF3" w:rsidRPr="00132B9E" w:rsidRDefault="00060BF3">
      <w:pPr>
        <w:pStyle w:val="FootnoteText"/>
        <w:rPr>
          <w:rFonts w:ascii="Arial Narrow" w:hAnsi="Arial Narrow"/>
          <w:sz w:val="16"/>
          <w:szCs w:val="16"/>
        </w:rPr>
      </w:pPr>
      <w:r w:rsidRPr="00132B9E">
        <w:rPr>
          <w:rStyle w:val="FootnoteReference"/>
          <w:rFonts w:ascii="Arial Narrow" w:hAnsi="Arial Narrow"/>
          <w:sz w:val="16"/>
          <w:szCs w:val="16"/>
        </w:rPr>
        <w:footnoteRef/>
      </w:r>
      <w:r w:rsidRPr="00132B9E">
        <w:rPr>
          <w:rFonts w:ascii="Arial Narrow" w:hAnsi="Arial Narrow"/>
          <w:sz w:val="16"/>
          <w:szCs w:val="16"/>
        </w:rPr>
        <w:t xml:space="preserve"> Collins P, </w:t>
      </w:r>
      <w:proofErr w:type="spellStart"/>
      <w:r w:rsidRPr="00132B9E">
        <w:rPr>
          <w:rFonts w:ascii="Arial Narrow" w:hAnsi="Arial Narrow"/>
          <w:sz w:val="16"/>
          <w:szCs w:val="16"/>
        </w:rPr>
        <w:t>Baudo</w:t>
      </w:r>
      <w:proofErr w:type="spellEnd"/>
      <w:r w:rsidRPr="00132B9E">
        <w:rPr>
          <w:rFonts w:ascii="Arial Narrow" w:hAnsi="Arial Narrow"/>
          <w:sz w:val="16"/>
          <w:szCs w:val="16"/>
        </w:rPr>
        <w:t xml:space="preserve"> F, </w:t>
      </w:r>
      <w:proofErr w:type="spellStart"/>
      <w:r w:rsidRPr="00132B9E">
        <w:rPr>
          <w:rFonts w:ascii="Arial Narrow" w:hAnsi="Arial Narrow"/>
          <w:sz w:val="16"/>
          <w:szCs w:val="16"/>
        </w:rPr>
        <w:t>Knoebl</w:t>
      </w:r>
      <w:proofErr w:type="spellEnd"/>
      <w:r w:rsidRPr="00132B9E">
        <w:rPr>
          <w:rFonts w:ascii="Arial Narrow" w:hAnsi="Arial Narrow"/>
          <w:sz w:val="16"/>
          <w:szCs w:val="16"/>
        </w:rPr>
        <w:t xml:space="preserve"> P, Lévesque H, </w:t>
      </w:r>
      <w:proofErr w:type="spellStart"/>
      <w:r w:rsidRPr="00132B9E">
        <w:rPr>
          <w:rFonts w:ascii="Arial Narrow" w:hAnsi="Arial Narrow"/>
          <w:sz w:val="16"/>
          <w:szCs w:val="16"/>
        </w:rPr>
        <w:t>Nemes</w:t>
      </w:r>
      <w:proofErr w:type="spellEnd"/>
      <w:r w:rsidRPr="00132B9E">
        <w:rPr>
          <w:rFonts w:ascii="Arial Narrow" w:hAnsi="Arial Narrow"/>
          <w:sz w:val="16"/>
          <w:szCs w:val="16"/>
        </w:rPr>
        <w:t xml:space="preserve"> L, Pellegrini F, Marco P, </w:t>
      </w:r>
      <w:proofErr w:type="spellStart"/>
      <w:r w:rsidRPr="00132B9E">
        <w:rPr>
          <w:rFonts w:ascii="Arial Narrow" w:hAnsi="Arial Narrow"/>
          <w:sz w:val="16"/>
          <w:szCs w:val="16"/>
        </w:rPr>
        <w:t>Tengborn</w:t>
      </w:r>
      <w:proofErr w:type="spellEnd"/>
      <w:r w:rsidRPr="00132B9E">
        <w:rPr>
          <w:rFonts w:ascii="Arial Narrow" w:hAnsi="Arial Narrow"/>
          <w:sz w:val="16"/>
          <w:szCs w:val="16"/>
        </w:rPr>
        <w:t xml:space="preserve"> L, </w:t>
      </w:r>
      <w:proofErr w:type="spellStart"/>
      <w:r w:rsidRPr="00132B9E">
        <w:rPr>
          <w:rFonts w:ascii="Arial Narrow" w:hAnsi="Arial Narrow"/>
          <w:sz w:val="16"/>
          <w:szCs w:val="16"/>
        </w:rPr>
        <w:t>Huth-Kühne</w:t>
      </w:r>
      <w:proofErr w:type="spellEnd"/>
      <w:r w:rsidRPr="00132B9E">
        <w:rPr>
          <w:rFonts w:ascii="Arial Narrow" w:hAnsi="Arial Narrow"/>
          <w:sz w:val="16"/>
          <w:szCs w:val="16"/>
        </w:rPr>
        <w:t xml:space="preserve"> A; EACH2 registry collaborators. Immunosuppression for acquired </w:t>
      </w:r>
      <w:proofErr w:type="spellStart"/>
      <w:r w:rsidRPr="00132B9E">
        <w:rPr>
          <w:rFonts w:ascii="Arial Narrow" w:hAnsi="Arial Narrow"/>
          <w:sz w:val="16"/>
          <w:szCs w:val="16"/>
        </w:rPr>
        <w:t>hemophilia</w:t>
      </w:r>
      <w:proofErr w:type="spellEnd"/>
      <w:r w:rsidRPr="00132B9E">
        <w:rPr>
          <w:rFonts w:ascii="Arial Narrow" w:hAnsi="Arial Narrow"/>
          <w:sz w:val="16"/>
          <w:szCs w:val="16"/>
        </w:rPr>
        <w:t xml:space="preserve"> A: results from the European Acquired Haemophilia Registry (EACH2). </w:t>
      </w:r>
      <w:r w:rsidRPr="00132B9E">
        <w:rPr>
          <w:rFonts w:ascii="Arial Narrow" w:hAnsi="Arial Narrow"/>
          <w:i/>
          <w:iCs/>
          <w:sz w:val="16"/>
          <w:szCs w:val="16"/>
        </w:rPr>
        <w:t>Blood</w:t>
      </w:r>
      <w:r w:rsidRPr="00132B9E">
        <w:rPr>
          <w:rFonts w:ascii="Arial Narrow" w:hAnsi="Arial Narrow"/>
          <w:sz w:val="16"/>
          <w:szCs w:val="16"/>
        </w:rPr>
        <w:t xml:space="preserve">. 2012 Jul 5;120(1):47-55. </w:t>
      </w:r>
      <w:proofErr w:type="spellStart"/>
      <w:r w:rsidRPr="00132B9E">
        <w:rPr>
          <w:rFonts w:ascii="Arial Narrow" w:hAnsi="Arial Narrow"/>
          <w:sz w:val="16"/>
          <w:szCs w:val="16"/>
        </w:rPr>
        <w:t>doi</w:t>
      </w:r>
      <w:proofErr w:type="spellEnd"/>
      <w:r w:rsidRPr="00132B9E">
        <w:rPr>
          <w:rFonts w:ascii="Arial Narrow" w:hAnsi="Arial Narrow"/>
          <w:sz w:val="16"/>
          <w:szCs w:val="16"/>
        </w:rPr>
        <w:t xml:space="preserve">: 10.1182/blood-2012-02-409185. </w:t>
      </w:r>
      <w:proofErr w:type="spellStart"/>
      <w:r w:rsidRPr="00132B9E">
        <w:rPr>
          <w:rFonts w:ascii="Arial Narrow" w:hAnsi="Arial Narrow"/>
          <w:sz w:val="16"/>
          <w:szCs w:val="16"/>
        </w:rPr>
        <w:t>Epub</w:t>
      </w:r>
      <w:proofErr w:type="spellEnd"/>
      <w:r w:rsidRPr="00132B9E">
        <w:rPr>
          <w:rFonts w:ascii="Arial Narrow" w:hAnsi="Arial Narrow"/>
          <w:sz w:val="16"/>
          <w:szCs w:val="16"/>
        </w:rPr>
        <w:t xml:space="preserve"> 2012 Apr 18. PMID: 22517903; PMCID: PMC3390961.</w:t>
      </w:r>
    </w:p>
  </w:footnote>
  <w:footnote w:id="11">
    <w:p w14:paraId="08288653" w14:textId="73A3E14C" w:rsidR="00060BF3" w:rsidRPr="00132B9E" w:rsidRDefault="00060BF3">
      <w:pPr>
        <w:pStyle w:val="FootnoteText"/>
        <w:rPr>
          <w:rFonts w:ascii="Arial Narrow" w:hAnsi="Arial Narrow" w:cs="Times New Roman"/>
          <w:sz w:val="16"/>
          <w:szCs w:val="16"/>
        </w:rPr>
      </w:pPr>
      <w:r w:rsidRPr="00132B9E">
        <w:rPr>
          <w:rStyle w:val="FootnoteReference"/>
          <w:rFonts w:ascii="Arial Narrow" w:hAnsi="Arial Narrow" w:cs="Times New Roman"/>
          <w:sz w:val="16"/>
          <w:szCs w:val="16"/>
        </w:rPr>
        <w:footnoteRef/>
      </w:r>
      <w:r w:rsidRPr="00132B9E">
        <w:rPr>
          <w:rFonts w:ascii="Arial Narrow" w:hAnsi="Arial Narrow" w:cs="Times New Roman"/>
          <w:sz w:val="16"/>
          <w:szCs w:val="16"/>
        </w:rPr>
        <w:t xml:space="preserve"> Accessible at: https://www.nhlbi.nih.gov/health-topics/study-quality-assessment-tools</w:t>
      </w:r>
    </w:p>
  </w:footnote>
  <w:footnote w:id="12">
    <w:p w14:paraId="7DBE2FFB" w14:textId="6A9FE69B" w:rsidR="00060BF3" w:rsidRPr="00132B9E" w:rsidRDefault="00060BF3" w:rsidP="00A749A2">
      <w:pPr>
        <w:shd w:val="clear" w:color="auto" w:fill="FFFFFF"/>
        <w:spacing w:before="0" w:after="0"/>
        <w:rPr>
          <w:rFonts w:ascii="Arial Narrow" w:hAnsi="Arial Narrow" w:cs="Times New Roman"/>
          <w:sz w:val="16"/>
          <w:szCs w:val="16"/>
        </w:rPr>
      </w:pPr>
      <w:r w:rsidRPr="00132B9E">
        <w:rPr>
          <w:rStyle w:val="FootnoteReference"/>
          <w:rFonts w:ascii="Arial Narrow" w:hAnsi="Arial Narrow" w:cs="Times New Roman"/>
          <w:sz w:val="16"/>
          <w:szCs w:val="16"/>
        </w:rPr>
        <w:footnoteRef/>
      </w:r>
      <w:r w:rsidRPr="00132B9E">
        <w:rPr>
          <w:rFonts w:ascii="Arial Narrow" w:hAnsi="Arial Narrow" w:cs="Times New Roman"/>
          <w:sz w:val="16"/>
          <w:szCs w:val="16"/>
        </w:rPr>
        <w:t xml:space="preserve"> </w:t>
      </w:r>
      <w:r w:rsidRPr="00132B9E">
        <w:rPr>
          <w:rStyle w:val="nlmstring-name"/>
          <w:rFonts w:ascii="Arial Narrow" w:hAnsi="Arial Narrow" w:cs="Times New Roman"/>
          <w:color w:val="333333"/>
          <w:sz w:val="16"/>
          <w:szCs w:val="16"/>
        </w:rPr>
        <w:t>Batt K</w:t>
      </w:r>
      <w:r w:rsidRPr="00132B9E">
        <w:rPr>
          <w:rFonts w:ascii="Arial Narrow" w:hAnsi="Arial Narrow" w:cs="Times New Roman"/>
          <w:color w:val="333333"/>
          <w:sz w:val="16"/>
          <w:szCs w:val="16"/>
        </w:rPr>
        <w:t>, </w:t>
      </w:r>
      <w:proofErr w:type="spellStart"/>
      <w:r w:rsidRPr="00132B9E">
        <w:rPr>
          <w:rStyle w:val="nlmstring-name"/>
          <w:rFonts w:ascii="Arial Narrow" w:hAnsi="Arial Narrow" w:cs="Times New Roman"/>
          <w:color w:val="333333"/>
          <w:sz w:val="16"/>
          <w:szCs w:val="16"/>
        </w:rPr>
        <w:t>Bullano</w:t>
      </w:r>
      <w:proofErr w:type="spellEnd"/>
      <w:r w:rsidRPr="00132B9E">
        <w:rPr>
          <w:rStyle w:val="nlmstring-name"/>
          <w:rFonts w:ascii="Arial Narrow" w:hAnsi="Arial Narrow" w:cs="Times New Roman"/>
          <w:color w:val="333333"/>
          <w:sz w:val="16"/>
          <w:szCs w:val="16"/>
        </w:rPr>
        <w:t xml:space="preserve"> M</w:t>
      </w:r>
      <w:r w:rsidRPr="00132B9E">
        <w:rPr>
          <w:rFonts w:ascii="Arial Narrow" w:hAnsi="Arial Narrow" w:cs="Times New Roman"/>
          <w:color w:val="333333"/>
          <w:sz w:val="16"/>
          <w:szCs w:val="16"/>
        </w:rPr>
        <w:t>, </w:t>
      </w:r>
      <w:r w:rsidRPr="00132B9E">
        <w:rPr>
          <w:rStyle w:val="nlmstring-name"/>
          <w:rFonts w:ascii="Arial Narrow" w:hAnsi="Arial Narrow" w:cs="Times New Roman"/>
          <w:color w:val="333333"/>
          <w:sz w:val="16"/>
          <w:szCs w:val="16"/>
        </w:rPr>
        <w:t>Schultz BG</w:t>
      </w:r>
      <w:r w:rsidRPr="00132B9E">
        <w:rPr>
          <w:rFonts w:ascii="Arial Narrow" w:hAnsi="Arial Narrow" w:cs="Times New Roman"/>
          <w:color w:val="333333"/>
          <w:sz w:val="16"/>
          <w:szCs w:val="16"/>
        </w:rPr>
        <w:t>, </w:t>
      </w:r>
      <w:r w:rsidRPr="00132B9E">
        <w:rPr>
          <w:rStyle w:val="nlmstring-name"/>
          <w:rFonts w:ascii="Arial Narrow" w:hAnsi="Arial Narrow" w:cs="Times New Roman"/>
          <w:color w:val="333333"/>
          <w:sz w:val="16"/>
          <w:szCs w:val="16"/>
        </w:rPr>
        <w:t>Liu Y</w:t>
      </w:r>
      <w:r w:rsidRPr="00132B9E">
        <w:rPr>
          <w:rFonts w:ascii="Arial Narrow" w:hAnsi="Arial Narrow" w:cs="Times New Roman"/>
          <w:color w:val="333333"/>
          <w:sz w:val="16"/>
          <w:szCs w:val="16"/>
        </w:rPr>
        <w:t>, </w:t>
      </w:r>
      <w:r w:rsidRPr="00132B9E">
        <w:rPr>
          <w:rStyle w:val="nlmstring-name"/>
          <w:rFonts w:ascii="Arial Narrow" w:hAnsi="Arial Narrow" w:cs="Times New Roman"/>
          <w:color w:val="333333"/>
          <w:sz w:val="16"/>
          <w:szCs w:val="16"/>
        </w:rPr>
        <w:t>Kee R</w:t>
      </w:r>
      <w:r w:rsidRPr="00132B9E">
        <w:rPr>
          <w:rFonts w:ascii="Arial Narrow" w:hAnsi="Arial Narrow" w:cs="Times New Roman"/>
          <w:color w:val="333333"/>
          <w:sz w:val="16"/>
          <w:szCs w:val="16"/>
        </w:rPr>
        <w:t>, </w:t>
      </w:r>
      <w:r w:rsidRPr="00132B9E">
        <w:rPr>
          <w:rStyle w:val="nlmstring-name"/>
          <w:rFonts w:ascii="Arial Narrow" w:hAnsi="Arial Narrow" w:cs="Times New Roman"/>
          <w:color w:val="333333"/>
          <w:sz w:val="16"/>
          <w:szCs w:val="16"/>
        </w:rPr>
        <w:t>Harley C</w:t>
      </w:r>
      <w:r w:rsidRPr="00132B9E">
        <w:rPr>
          <w:rFonts w:ascii="Arial Narrow" w:hAnsi="Arial Narrow" w:cs="Times New Roman"/>
          <w:color w:val="333333"/>
          <w:sz w:val="16"/>
          <w:szCs w:val="16"/>
        </w:rPr>
        <w:t>, Co</w:t>
      </w:r>
      <w:r w:rsidRPr="00132B9E">
        <w:rPr>
          <w:rStyle w:val="nlmstring-name"/>
          <w:rFonts w:ascii="Arial Narrow" w:hAnsi="Arial Narrow" w:cs="Times New Roman"/>
          <w:color w:val="333333"/>
          <w:sz w:val="16"/>
          <w:szCs w:val="16"/>
        </w:rPr>
        <w:t xml:space="preserve">ol C; </w:t>
      </w:r>
      <w:r w:rsidRPr="00132B9E">
        <w:rPr>
          <w:rFonts w:ascii="Arial Narrow" w:hAnsi="Arial Narrow"/>
          <w:sz w:val="16"/>
          <w:szCs w:val="16"/>
        </w:rPr>
        <w:t xml:space="preserve">Evaluating the impact of recombinant porcine factor VIII compared with activated recombinant factor VII on acquired </w:t>
      </w:r>
      <w:proofErr w:type="spellStart"/>
      <w:r w:rsidRPr="00132B9E">
        <w:rPr>
          <w:rFonts w:ascii="Arial Narrow" w:hAnsi="Arial Narrow"/>
          <w:sz w:val="16"/>
          <w:szCs w:val="16"/>
        </w:rPr>
        <w:t>hemophilia</w:t>
      </w:r>
      <w:proofErr w:type="spellEnd"/>
      <w:r w:rsidRPr="00132B9E">
        <w:rPr>
          <w:rFonts w:ascii="Arial Narrow" w:hAnsi="Arial Narrow"/>
          <w:sz w:val="16"/>
          <w:szCs w:val="16"/>
        </w:rPr>
        <w:t xml:space="preserve"> A outcomes</w:t>
      </w:r>
      <w:r w:rsidRPr="00132B9E">
        <w:rPr>
          <w:rFonts w:ascii="Arial Narrow" w:hAnsi="Arial Narrow" w:cs="Times New Roman"/>
          <w:color w:val="333333"/>
          <w:sz w:val="16"/>
          <w:szCs w:val="16"/>
        </w:rPr>
        <w:t xml:space="preserve">; </w:t>
      </w:r>
      <w:r w:rsidRPr="00132B9E">
        <w:rPr>
          <w:rStyle w:val="journalname"/>
          <w:rFonts w:ascii="Arial Narrow" w:hAnsi="Arial Narrow" w:cs="Times New Roman"/>
          <w:i/>
          <w:iCs/>
          <w:color w:val="333333"/>
          <w:sz w:val="16"/>
          <w:szCs w:val="16"/>
          <w:shd w:val="clear" w:color="auto" w:fill="FFFFFF"/>
        </w:rPr>
        <w:t>Future Rare Diseases</w:t>
      </w:r>
      <w:r w:rsidRPr="00132B9E">
        <w:rPr>
          <w:rFonts w:ascii="Arial Narrow" w:hAnsi="Arial Narrow" w:cs="Times New Roman"/>
          <w:color w:val="333333"/>
          <w:sz w:val="16"/>
          <w:szCs w:val="16"/>
          <w:shd w:val="clear" w:color="auto" w:fill="FFFFFF"/>
        </w:rPr>
        <w:t> </w:t>
      </w:r>
      <w:r w:rsidRPr="00132B9E">
        <w:rPr>
          <w:rStyle w:val="year"/>
          <w:rFonts w:ascii="Arial Narrow" w:hAnsi="Arial Narrow" w:cs="Times New Roman"/>
          <w:color w:val="333333"/>
          <w:sz w:val="16"/>
          <w:szCs w:val="16"/>
          <w:shd w:val="clear" w:color="auto" w:fill="FFFFFF"/>
        </w:rPr>
        <w:t>2022;</w:t>
      </w:r>
      <w:r w:rsidRPr="00132B9E">
        <w:rPr>
          <w:rFonts w:ascii="Arial Narrow" w:hAnsi="Arial Narrow" w:cs="Times New Roman"/>
          <w:color w:val="333333"/>
          <w:sz w:val="16"/>
          <w:szCs w:val="16"/>
          <w:shd w:val="clear" w:color="auto" w:fill="FFFFFF"/>
        </w:rPr>
        <w:t> </w:t>
      </w:r>
      <w:r w:rsidRPr="00132B9E">
        <w:rPr>
          <w:rStyle w:val="Hyperlink"/>
          <w:rFonts w:ascii="Arial Narrow" w:hAnsi="Arial Narrow" w:cs="Times New Roman"/>
          <w:sz w:val="16"/>
          <w:szCs w:val="16"/>
        </w:rPr>
        <w:t xml:space="preserve">2:2. </w:t>
      </w:r>
      <w:r w:rsidRPr="00132B9E">
        <w:rPr>
          <w:rFonts w:ascii="Arial Narrow" w:hAnsi="Arial Narrow"/>
          <w:sz w:val="16"/>
          <w:szCs w:val="16"/>
        </w:rPr>
        <w:t>doi.org/10.2217/frd-2022-0005</w:t>
      </w:r>
    </w:p>
  </w:footnote>
  <w:footnote w:id="13">
    <w:p w14:paraId="53C6FF16" w14:textId="135EB808" w:rsidR="00060BF3" w:rsidRPr="00132B9E" w:rsidRDefault="00060BF3">
      <w:pPr>
        <w:pStyle w:val="FootnoteText"/>
        <w:rPr>
          <w:rFonts w:ascii="Arial Narrow" w:hAnsi="Arial Narrow" w:cs="Times New Roman"/>
          <w:sz w:val="16"/>
          <w:szCs w:val="16"/>
        </w:rPr>
      </w:pPr>
      <w:r w:rsidRPr="00132B9E">
        <w:rPr>
          <w:rStyle w:val="FootnoteReference"/>
          <w:rFonts w:ascii="Arial Narrow" w:hAnsi="Arial Narrow" w:cs="Times New Roman"/>
          <w:sz w:val="16"/>
          <w:szCs w:val="16"/>
        </w:rPr>
        <w:footnoteRef/>
      </w:r>
      <w:r w:rsidRPr="00132B9E">
        <w:rPr>
          <w:rFonts w:ascii="Arial Narrow" w:hAnsi="Arial Narrow" w:cs="Times New Roman"/>
          <w:sz w:val="16"/>
          <w:szCs w:val="16"/>
        </w:rPr>
        <w:t xml:space="preserve"> </w:t>
      </w:r>
      <w:r w:rsidRPr="00132B9E">
        <w:rPr>
          <w:rFonts w:ascii="Arial Narrow" w:hAnsi="Arial Narrow" w:cs="Times New Roman"/>
          <w:color w:val="212121"/>
          <w:sz w:val="16"/>
          <w:szCs w:val="16"/>
        </w:rPr>
        <w:t xml:space="preserve">Sterne JAC, </w:t>
      </w:r>
      <w:proofErr w:type="spellStart"/>
      <w:r w:rsidRPr="00132B9E">
        <w:rPr>
          <w:rFonts w:ascii="Arial Narrow" w:hAnsi="Arial Narrow" w:cs="Times New Roman"/>
          <w:color w:val="212121"/>
          <w:sz w:val="16"/>
          <w:szCs w:val="16"/>
        </w:rPr>
        <w:t>Hernán</w:t>
      </w:r>
      <w:proofErr w:type="spellEnd"/>
      <w:r w:rsidRPr="00132B9E">
        <w:rPr>
          <w:rFonts w:ascii="Arial Narrow" w:hAnsi="Arial Narrow" w:cs="Times New Roman"/>
          <w:color w:val="212121"/>
          <w:sz w:val="16"/>
          <w:szCs w:val="16"/>
        </w:rPr>
        <w:t xml:space="preserve"> MA, Reeves BC, </w:t>
      </w:r>
      <w:proofErr w:type="spellStart"/>
      <w:r w:rsidRPr="00132B9E">
        <w:rPr>
          <w:rFonts w:ascii="Arial Narrow" w:hAnsi="Arial Narrow" w:cs="Times New Roman"/>
          <w:color w:val="212121"/>
          <w:sz w:val="16"/>
          <w:szCs w:val="16"/>
        </w:rPr>
        <w:t>Savović</w:t>
      </w:r>
      <w:proofErr w:type="spellEnd"/>
      <w:r w:rsidRPr="00132B9E">
        <w:rPr>
          <w:rFonts w:ascii="Arial Narrow" w:hAnsi="Arial Narrow" w:cs="Times New Roman"/>
          <w:color w:val="212121"/>
          <w:sz w:val="16"/>
          <w:szCs w:val="16"/>
        </w:rPr>
        <w:t xml:space="preserve"> J, Berkman ND, Viswanathan M, Henry D, Altman DG, Ansari MT, </w:t>
      </w:r>
      <w:proofErr w:type="spellStart"/>
      <w:r w:rsidRPr="00132B9E">
        <w:rPr>
          <w:rFonts w:ascii="Arial Narrow" w:hAnsi="Arial Narrow" w:cs="Times New Roman"/>
          <w:color w:val="212121"/>
          <w:sz w:val="16"/>
          <w:szCs w:val="16"/>
        </w:rPr>
        <w:t>Boutron</w:t>
      </w:r>
      <w:proofErr w:type="spellEnd"/>
      <w:r w:rsidRPr="00132B9E">
        <w:rPr>
          <w:rFonts w:ascii="Arial Narrow" w:hAnsi="Arial Narrow" w:cs="Times New Roman"/>
          <w:color w:val="212121"/>
          <w:sz w:val="16"/>
          <w:szCs w:val="16"/>
        </w:rPr>
        <w:t xml:space="preserve"> I, Carpenter JR, Chan AW, Churchill R, </w:t>
      </w:r>
      <w:proofErr w:type="spellStart"/>
      <w:r w:rsidRPr="00132B9E">
        <w:rPr>
          <w:rFonts w:ascii="Arial Narrow" w:hAnsi="Arial Narrow" w:cs="Times New Roman"/>
          <w:color w:val="212121"/>
          <w:sz w:val="16"/>
          <w:szCs w:val="16"/>
        </w:rPr>
        <w:t>Deeks</w:t>
      </w:r>
      <w:proofErr w:type="spellEnd"/>
      <w:r w:rsidRPr="00132B9E">
        <w:rPr>
          <w:rFonts w:ascii="Arial Narrow" w:hAnsi="Arial Narrow" w:cs="Times New Roman"/>
          <w:color w:val="212121"/>
          <w:sz w:val="16"/>
          <w:szCs w:val="16"/>
        </w:rPr>
        <w:t xml:space="preserve"> JJ, </w:t>
      </w:r>
      <w:proofErr w:type="spellStart"/>
      <w:r w:rsidRPr="00132B9E">
        <w:rPr>
          <w:rFonts w:ascii="Arial Narrow" w:hAnsi="Arial Narrow" w:cs="Times New Roman"/>
          <w:color w:val="212121"/>
          <w:sz w:val="16"/>
          <w:szCs w:val="16"/>
        </w:rPr>
        <w:t>Hróbjartsson</w:t>
      </w:r>
      <w:proofErr w:type="spellEnd"/>
      <w:r w:rsidRPr="00132B9E">
        <w:rPr>
          <w:rFonts w:ascii="Arial Narrow" w:hAnsi="Arial Narrow" w:cs="Times New Roman"/>
          <w:color w:val="212121"/>
          <w:sz w:val="16"/>
          <w:szCs w:val="16"/>
        </w:rPr>
        <w:t xml:space="preserve"> A, Kirkham J, </w:t>
      </w:r>
      <w:proofErr w:type="spellStart"/>
      <w:r w:rsidRPr="00132B9E">
        <w:rPr>
          <w:rFonts w:ascii="Arial Narrow" w:hAnsi="Arial Narrow" w:cs="Times New Roman"/>
          <w:color w:val="212121"/>
          <w:sz w:val="16"/>
          <w:szCs w:val="16"/>
        </w:rPr>
        <w:t>Jüni</w:t>
      </w:r>
      <w:proofErr w:type="spellEnd"/>
      <w:r w:rsidRPr="00132B9E">
        <w:rPr>
          <w:rFonts w:ascii="Arial Narrow" w:hAnsi="Arial Narrow" w:cs="Times New Roman"/>
          <w:color w:val="212121"/>
          <w:sz w:val="16"/>
          <w:szCs w:val="16"/>
        </w:rPr>
        <w:t xml:space="preserve"> P, Loke YK, Pigott TD, Ramsay CR, Regidor D, Rothstein HR, Sandhu L, </w:t>
      </w:r>
      <w:proofErr w:type="spellStart"/>
      <w:r w:rsidRPr="00132B9E">
        <w:rPr>
          <w:rFonts w:ascii="Arial Narrow" w:hAnsi="Arial Narrow" w:cs="Times New Roman"/>
          <w:color w:val="212121"/>
          <w:sz w:val="16"/>
          <w:szCs w:val="16"/>
        </w:rPr>
        <w:t>Santaguida</w:t>
      </w:r>
      <w:proofErr w:type="spellEnd"/>
      <w:r w:rsidRPr="00132B9E">
        <w:rPr>
          <w:rFonts w:ascii="Arial Narrow" w:hAnsi="Arial Narrow" w:cs="Times New Roman"/>
          <w:color w:val="212121"/>
          <w:sz w:val="16"/>
          <w:szCs w:val="16"/>
        </w:rPr>
        <w:t xml:space="preserve"> PL, </w:t>
      </w:r>
      <w:proofErr w:type="spellStart"/>
      <w:r w:rsidRPr="00132B9E">
        <w:rPr>
          <w:rFonts w:ascii="Arial Narrow" w:hAnsi="Arial Narrow" w:cs="Times New Roman"/>
          <w:color w:val="212121"/>
          <w:sz w:val="16"/>
          <w:szCs w:val="16"/>
        </w:rPr>
        <w:t>Schünemann</w:t>
      </w:r>
      <w:proofErr w:type="spellEnd"/>
      <w:r w:rsidRPr="00132B9E">
        <w:rPr>
          <w:rFonts w:ascii="Arial Narrow" w:hAnsi="Arial Narrow" w:cs="Times New Roman"/>
          <w:color w:val="212121"/>
          <w:sz w:val="16"/>
          <w:szCs w:val="16"/>
        </w:rPr>
        <w:t xml:space="preserve"> HJ, Shea B, </w:t>
      </w:r>
      <w:proofErr w:type="spellStart"/>
      <w:r w:rsidRPr="00132B9E">
        <w:rPr>
          <w:rFonts w:ascii="Arial Narrow" w:hAnsi="Arial Narrow" w:cs="Times New Roman"/>
          <w:color w:val="212121"/>
          <w:sz w:val="16"/>
          <w:szCs w:val="16"/>
        </w:rPr>
        <w:t>Shrier</w:t>
      </w:r>
      <w:proofErr w:type="spellEnd"/>
      <w:r w:rsidRPr="00132B9E">
        <w:rPr>
          <w:rFonts w:ascii="Arial Narrow" w:hAnsi="Arial Narrow" w:cs="Times New Roman"/>
          <w:color w:val="212121"/>
          <w:sz w:val="16"/>
          <w:szCs w:val="16"/>
        </w:rPr>
        <w:t xml:space="preserve"> I, </w:t>
      </w:r>
      <w:proofErr w:type="spellStart"/>
      <w:r w:rsidRPr="00132B9E">
        <w:rPr>
          <w:rFonts w:ascii="Arial Narrow" w:hAnsi="Arial Narrow" w:cs="Times New Roman"/>
          <w:color w:val="212121"/>
          <w:sz w:val="16"/>
          <w:szCs w:val="16"/>
        </w:rPr>
        <w:t>Tugwell</w:t>
      </w:r>
      <w:proofErr w:type="spellEnd"/>
      <w:r w:rsidRPr="00132B9E">
        <w:rPr>
          <w:rFonts w:ascii="Arial Narrow" w:hAnsi="Arial Narrow" w:cs="Times New Roman"/>
          <w:color w:val="212121"/>
          <w:sz w:val="16"/>
          <w:szCs w:val="16"/>
        </w:rPr>
        <w:t xml:space="preserve"> P, Turner L, Valentine JC, Waddington H, Waters E, Wells GA, Whiting PF, Higgins JPT. </w:t>
      </w:r>
      <w:r w:rsidRPr="00132B9E">
        <w:rPr>
          <w:rFonts w:ascii="Arial Narrow" w:hAnsi="Arial Narrow"/>
          <w:sz w:val="16"/>
          <w:szCs w:val="16"/>
        </w:rPr>
        <w:t>ROBINS-I: a tool for assessing risk of bias in non-randomized studies of interventions</w:t>
      </w:r>
      <w:r w:rsidRPr="00132B9E">
        <w:rPr>
          <w:rFonts w:ascii="Arial Narrow" w:hAnsi="Arial Narrow" w:cs="Times New Roman"/>
          <w:color w:val="212121"/>
          <w:sz w:val="16"/>
          <w:szCs w:val="16"/>
        </w:rPr>
        <w:t xml:space="preserve">. </w:t>
      </w:r>
      <w:r w:rsidRPr="00132B9E">
        <w:rPr>
          <w:rFonts w:ascii="Arial Narrow" w:hAnsi="Arial Narrow" w:cs="Times New Roman"/>
          <w:i/>
          <w:iCs/>
          <w:color w:val="212121"/>
          <w:sz w:val="16"/>
          <w:szCs w:val="16"/>
        </w:rPr>
        <w:t>BMJ</w:t>
      </w:r>
      <w:r w:rsidRPr="00132B9E">
        <w:rPr>
          <w:rFonts w:ascii="Arial Narrow" w:hAnsi="Arial Narrow" w:cs="Times New Roman"/>
          <w:color w:val="212121"/>
          <w:sz w:val="16"/>
          <w:szCs w:val="16"/>
        </w:rPr>
        <w:t xml:space="preserve"> 2016; 355; i4919; </w:t>
      </w:r>
      <w:proofErr w:type="spellStart"/>
      <w:r w:rsidRPr="00132B9E">
        <w:rPr>
          <w:rFonts w:ascii="Arial Narrow" w:hAnsi="Arial Narrow" w:cs="Times New Roman"/>
          <w:color w:val="212121"/>
          <w:sz w:val="16"/>
          <w:szCs w:val="16"/>
        </w:rPr>
        <w:t>doi</w:t>
      </w:r>
      <w:proofErr w:type="spellEnd"/>
      <w:r w:rsidRPr="00132B9E">
        <w:rPr>
          <w:rFonts w:ascii="Arial Narrow" w:hAnsi="Arial Narrow" w:cs="Times New Roman"/>
          <w:color w:val="212121"/>
          <w:sz w:val="16"/>
          <w:szCs w:val="16"/>
        </w:rPr>
        <w:t>: 10.1136/</w:t>
      </w:r>
      <w:proofErr w:type="gramStart"/>
      <w:r w:rsidRPr="00132B9E">
        <w:rPr>
          <w:rFonts w:ascii="Arial Narrow" w:hAnsi="Arial Narrow" w:cs="Times New Roman"/>
          <w:color w:val="212121"/>
          <w:sz w:val="16"/>
          <w:szCs w:val="16"/>
        </w:rPr>
        <w:t>bmj.i</w:t>
      </w:r>
      <w:proofErr w:type="gramEnd"/>
      <w:r w:rsidRPr="00132B9E">
        <w:rPr>
          <w:rFonts w:ascii="Arial Narrow" w:hAnsi="Arial Narrow" w:cs="Times New Roman"/>
          <w:color w:val="212121"/>
          <w:sz w:val="16"/>
          <w:szCs w:val="16"/>
        </w:rPr>
        <w:t>4919.</w:t>
      </w:r>
    </w:p>
  </w:footnote>
  <w:footnote w:id="14">
    <w:p w14:paraId="69E0760F" w14:textId="150FCDEF" w:rsidR="00060BF3" w:rsidRPr="00132B9E" w:rsidRDefault="00060BF3">
      <w:pPr>
        <w:pStyle w:val="FootnoteText"/>
        <w:rPr>
          <w:rFonts w:ascii="Arial Narrow" w:hAnsi="Arial Narrow" w:cs="Times New Roman"/>
          <w:sz w:val="16"/>
          <w:szCs w:val="16"/>
        </w:rPr>
      </w:pPr>
      <w:r w:rsidRPr="00132B9E">
        <w:rPr>
          <w:rStyle w:val="FootnoteReference"/>
          <w:rFonts w:ascii="Arial Narrow" w:hAnsi="Arial Narrow" w:cs="Times New Roman"/>
          <w:sz w:val="16"/>
          <w:szCs w:val="16"/>
        </w:rPr>
        <w:footnoteRef/>
      </w:r>
      <w:r w:rsidRPr="00132B9E">
        <w:rPr>
          <w:rFonts w:ascii="Arial Narrow" w:hAnsi="Arial Narrow" w:cs="Times New Roman"/>
          <w:sz w:val="16"/>
          <w:szCs w:val="16"/>
        </w:rPr>
        <w:t xml:space="preserve"> </w:t>
      </w:r>
      <w:proofErr w:type="spellStart"/>
      <w:r w:rsidRPr="00132B9E">
        <w:rPr>
          <w:rFonts w:ascii="Arial Narrow" w:hAnsi="Arial Narrow" w:cs="Times New Roman"/>
          <w:color w:val="212121"/>
          <w:sz w:val="16"/>
          <w:szCs w:val="16"/>
          <w:shd w:val="clear" w:color="auto" w:fill="FFFFFF"/>
        </w:rPr>
        <w:t>Sallah</w:t>
      </w:r>
      <w:proofErr w:type="spellEnd"/>
      <w:r w:rsidRPr="00132B9E">
        <w:rPr>
          <w:rFonts w:ascii="Arial Narrow" w:hAnsi="Arial Narrow" w:cs="Times New Roman"/>
          <w:color w:val="212121"/>
          <w:sz w:val="16"/>
          <w:szCs w:val="16"/>
          <w:shd w:val="clear" w:color="auto" w:fill="FFFFFF"/>
        </w:rPr>
        <w:t xml:space="preserve"> S. Treatment of acquired haemophilia with factor eight inhibitor bypassing activity. </w:t>
      </w:r>
      <w:r w:rsidRPr="00132B9E">
        <w:rPr>
          <w:rFonts w:ascii="Arial Narrow" w:hAnsi="Arial Narrow" w:cs="Times New Roman"/>
          <w:i/>
          <w:iCs/>
          <w:color w:val="212121"/>
          <w:sz w:val="16"/>
          <w:szCs w:val="16"/>
          <w:shd w:val="clear" w:color="auto" w:fill="FFFFFF"/>
        </w:rPr>
        <w:t>Haemophilia</w:t>
      </w:r>
      <w:r w:rsidRPr="00132B9E">
        <w:rPr>
          <w:rFonts w:ascii="Arial Narrow" w:hAnsi="Arial Narrow" w:cs="Times New Roman"/>
          <w:color w:val="212121"/>
          <w:sz w:val="16"/>
          <w:szCs w:val="16"/>
          <w:shd w:val="clear" w:color="auto" w:fill="FFFFFF"/>
        </w:rPr>
        <w:t xml:space="preserve">. 2004 Mar;10(2):169-73. </w:t>
      </w:r>
      <w:proofErr w:type="spellStart"/>
      <w:r w:rsidRPr="00132B9E">
        <w:rPr>
          <w:rFonts w:ascii="Arial Narrow" w:hAnsi="Arial Narrow" w:cs="Times New Roman"/>
          <w:color w:val="212121"/>
          <w:sz w:val="16"/>
          <w:szCs w:val="16"/>
          <w:shd w:val="clear" w:color="auto" w:fill="FFFFFF"/>
        </w:rPr>
        <w:t>doi</w:t>
      </w:r>
      <w:proofErr w:type="spellEnd"/>
      <w:r w:rsidRPr="00132B9E">
        <w:rPr>
          <w:rFonts w:ascii="Arial Narrow" w:hAnsi="Arial Narrow" w:cs="Times New Roman"/>
          <w:color w:val="212121"/>
          <w:sz w:val="16"/>
          <w:szCs w:val="16"/>
          <w:shd w:val="clear" w:color="auto" w:fill="FFFFFF"/>
        </w:rPr>
        <w:t>: 10.1046/j.1365-2516.2003.</w:t>
      </w:r>
      <w:proofErr w:type="gramStart"/>
      <w:r w:rsidRPr="00132B9E">
        <w:rPr>
          <w:rFonts w:ascii="Arial Narrow" w:hAnsi="Arial Narrow" w:cs="Times New Roman"/>
          <w:color w:val="212121"/>
          <w:sz w:val="16"/>
          <w:szCs w:val="16"/>
          <w:shd w:val="clear" w:color="auto" w:fill="FFFFFF"/>
        </w:rPr>
        <w:t>00856.x.</w:t>
      </w:r>
      <w:proofErr w:type="gramEnd"/>
      <w:r w:rsidRPr="00132B9E">
        <w:rPr>
          <w:rFonts w:ascii="Arial Narrow" w:hAnsi="Arial Narrow" w:cs="Times New Roman"/>
          <w:color w:val="212121"/>
          <w:sz w:val="16"/>
          <w:szCs w:val="16"/>
          <w:shd w:val="clear" w:color="auto" w:fill="FFFFFF"/>
        </w:rPr>
        <w:t xml:space="preserve"> PMID: 14962206.</w:t>
      </w:r>
    </w:p>
  </w:footnote>
  <w:footnote w:id="15">
    <w:p w14:paraId="05626355" w14:textId="2C25FFEC" w:rsidR="00060BF3" w:rsidRPr="00132B9E" w:rsidRDefault="00060BF3">
      <w:pPr>
        <w:pStyle w:val="FootnoteText"/>
        <w:rPr>
          <w:rFonts w:ascii="Arial Narrow" w:hAnsi="Arial Narrow" w:cs="Times New Roman"/>
          <w:sz w:val="16"/>
          <w:szCs w:val="16"/>
        </w:rPr>
      </w:pPr>
      <w:r w:rsidRPr="00132B9E">
        <w:rPr>
          <w:rStyle w:val="FootnoteReference"/>
          <w:rFonts w:ascii="Arial Narrow" w:hAnsi="Arial Narrow"/>
          <w:sz w:val="16"/>
          <w:szCs w:val="16"/>
        </w:rPr>
        <w:footnoteRef/>
      </w:r>
      <w:r w:rsidRPr="00132B9E">
        <w:rPr>
          <w:rFonts w:ascii="Arial Narrow" w:hAnsi="Arial Narrow"/>
          <w:sz w:val="16"/>
          <w:szCs w:val="16"/>
        </w:rPr>
        <w:t xml:space="preserve"> </w:t>
      </w:r>
      <w:proofErr w:type="spellStart"/>
      <w:r w:rsidRPr="00132B9E">
        <w:rPr>
          <w:rFonts w:ascii="Arial Narrow" w:hAnsi="Arial Narrow" w:cs="Times New Roman"/>
          <w:sz w:val="16"/>
          <w:szCs w:val="16"/>
        </w:rPr>
        <w:t>StataCorp</w:t>
      </w:r>
      <w:proofErr w:type="spellEnd"/>
      <w:r w:rsidRPr="00132B9E">
        <w:rPr>
          <w:rFonts w:ascii="Arial Narrow" w:hAnsi="Arial Narrow" w:cs="Times New Roman"/>
          <w:sz w:val="16"/>
          <w:szCs w:val="16"/>
        </w:rPr>
        <w:t xml:space="preserve">. 2017. Stata Statistical Software: Release 15. College Station, TX: </w:t>
      </w:r>
      <w:proofErr w:type="spellStart"/>
      <w:r w:rsidRPr="00132B9E">
        <w:rPr>
          <w:rFonts w:ascii="Arial Narrow" w:hAnsi="Arial Narrow" w:cs="Times New Roman"/>
          <w:sz w:val="16"/>
          <w:szCs w:val="16"/>
        </w:rPr>
        <w:t>StataCorp</w:t>
      </w:r>
      <w:proofErr w:type="spellEnd"/>
      <w:r w:rsidRPr="00132B9E">
        <w:rPr>
          <w:rFonts w:ascii="Arial Narrow" w:hAnsi="Arial Narrow" w:cs="Times New Roman"/>
          <w:sz w:val="16"/>
          <w:szCs w:val="16"/>
        </w:rPr>
        <w:t xml:space="preserve"> LLC.</w:t>
      </w:r>
    </w:p>
  </w:footnote>
  <w:footnote w:id="16">
    <w:p w14:paraId="7501F269" w14:textId="6EFFF0B1" w:rsidR="00060BF3" w:rsidRPr="00132B9E" w:rsidRDefault="00060BF3">
      <w:pPr>
        <w:pStyle w:val="FootnoteText"/>
        <w:rPr>
          <w:rFonts w:ascii="Arial Narrow" w:hAnsi="Arial Narrow"/>
          <w:sz w:val="16"/>
          <w:szCs w:val="16"/>
        </w:rPr>
      </w:pPr>
      <w:r w:rsidRPr="00132B9E">
        <w:rPr>
          <w:rStyle w:val="FootnoteReference"/>
          <w:rFonts w:ascii="Arial Narrow" w:hAnsi="Arial Narrow"/>
          <w:sz w:val="16"/>
          <w:szCs w:val="16"/>
        </w:rPr>
        <w:footnoteRef/>
      </w:r>
      <w:r w:rsidRPr="00132B9E">
        <w:rPr>
          <w:rFonts w:ascii="Arial Narrow" w:hAnsi="Arial Narrow"/>
          <w:sz w:val="16"/>
          <w:szCs w:val="16"/>
        </w:rPr>
        <w:t xml:space="preserve"> Product information (FEIBA) https://www.shirecontent.com/PI/PDFs/FEIBA_USA_ENG.pdf</w:t>
      </w:r>
    </w:p>
  </w:footnote>
  <w:footnote w:id="17">
    <w:p w14:paraId="0ACDAC54" w14:textId="77777777" w:rsidR="00060BF3" w:rsidRDefault="00060BF3" w:rsidP="00C70C5D">
      <w:pPr>
        <w:pStyle w:val="FootnoteText"/>
      </w:pPr>
      <w:r>
        <w:rPr>
          <w:rStyle w:val="FootnoteReference"/>
        </w:rPr>
        <w:footnoteRef/>
      </w:r>
      <w:r>
        <w:t xml:space="preserve"> ACQUI-7: A prospective French study on </w:t>
      </w:r>
      <w:proofErr w:type="spellStart"/>
      <w:r>
        <w:t>ACQUIred</w:t>
      </w:r>
      <w:proofErr w:type="spellEnd"/>
      <w:r>
        <w:t xml:space="preserve"> haemophilia treatment with recombinant factor </w:t>
      </w:r>
      <w:proofErr w:type="spellStart"/>
      <w:r>
        <w:t>VIIa</w:t>
      </w:r>
      <w:proofErr w:type="spellEnd"/>
    </w:p>
  </w:footnote>
  <w:footnote w:id="18">
    <w:p w14:paraId="0F58C9D1" w14:textId="77777777" w:rsidR="00060BF3" w:rsidRDefault="00060BF3" w:rsidP="00C70C5D">
      <w:pPr>
        <w:pStyle w:val="FootnoteText"/>
      </w:pPr>
      <w:r>
        <w:rPr>
          <w:rStyle w:val="FootnoteReference"/>
        </w:rPr>
        <w:footnoteRef/>
      </w:r>
      <w:r>
        <w:t xml:space="preserve"> </w:t>
      </w:r>
      <w:r w:rsidRPr="00CE04C8">
        <w:t xml:space="preserve">HAY, C. R., NEGRIER, C. &amp; LUDLAM, C. A. 1997. The treatment of bleeding in acquired haemophilia with recombinant factor </w:t>
      </w:r>
      <w:proofErr w:type="spellStart"/>
      <w:r w:rsidRPr="00CE04C8">
        <w:t>VIIa</w:t>
      </w:r>
      <w:proofErr w:type="spellEnd"/>
      <w:r w:rsidRPr="00CE04C8">
        <w:t xml:space="preserve">: a multicentre study. </w:t>
      </w:r>
      <w:proofErr w:type="spellStart"/>
      <w:r w:rsidRPr="00CE04C8">
        <w:rPr>
          <w:i/>
        </w:rPr>
        <w:t>Thromb</w:t>
      </w:r>
      <w:proofErr w:type="spellEnd"/>
      <w:r w:rsidRPr="00CE04C8">
        <w:rPr>
          <w:i/>
        </w:rPr>
        <w:t xml:space="preserve"> </w:t>
      </w:r>
      <w:proofErr w:type="spellStart"/>
      <w:r w:rsidRPr="00CE04C8">
        <w:rPr>
          <w:i/>
        </w:rPr>
        <w:t>Haemost</w:t>
      </w:r>
      <w:proofErr w:type="spellEnd"/>
      <w:r w:rsidRPr="00CE04C8">
        <w:rPr>
          <w:i/>
        </w:rPr>
        <w:t>,</w:t>
      </w:r>
      <w:r w:rsidRPr="00CE04C8">
        <w:t xml:space="preserve"> 78</w:t>
      </w:r>
      <w:r w:rsidRPr="00CE04C8">
        <w:rPr>
          <w:b/>
        </w:rPr>
        <w:t>,</w:t>
      </w:r>
      <w:r w:rsidRPr="00CE04C8">
        <w:t xml:space="preserve"> 1463-7</w:t>
      </w:r>
    </w:p>
  </w:footnote>
  <w:footnote w:id="19">
    <w:p w14:paraId="5C430C59" w14:textId="77777777" w:rsidR="00060BF3" w:rsidRDefault="00060BF3" w:rsidP="00C70C5D">
      <w:pPr>
        <w:pStyle w:val="FootnoteText"/>
      </w:pPr>
      <w:r>
        <w:rPr>
          <w:rStyle w:val="FootnoteReference"/>
        </w:rPr>
        <w:footnoteRef/>
      </w:r>
      <w:r>
        <w:t xml:space="preserve"> </w:t>
      </w:r>
      <w:r w:rsidRPr="00CE04C8">
        <w:t xml:space="preserve">HAY, C. R. M., SHARPE, T., DOLAN, G. &amp; UKHCDO 2017. Use of the UKHCDO Database for a </w:t>
      </w:r>
      <w:proofErr w:type="spellStart"/>
      <w:r w:rsidRPr="00CE04C8">
        <w:t>postmarketing</w:t>
      </w:r>
      <w:proofErr w:type="spellEnd"/>
      <w:r w:rsidRPr="00CE04C8">
        <w:t xml:space="preserve"> surveillance study of different doses of recombinant factor </w:t>
      </w:r>
      <w:proofErr w:type="spellStart"/>
      <w:r w:rsidRPr="00CE04C8">
        <w:t>VIIa</w:t>
      </w:r>
      <w:proofErr w:type="spellEnd"/>
      <w:r w:rsidRPr="00CE04C8">
        <w:t xml:space="preserve"> in haemophilia. </w:t>
      </w:r>
      <w:r w:rsidRPr="00CE04C8">
        <w:rPr>
          <w:i/>
        </w:rPr>
        <w:t>Haemophilia,</w:t>
      </w:r>
      <w:r w:rsidRPr="00CE04C8">
        <w:t xml:space="preserve"> 23</w:t>
      </w:r>
      <w:r w:rsidRPr="00CE04C8">
        <w:rPr>
          <w:b/>
        </w:rPr>
        <w:t>,</w:t>
      </w:r>
      <w:r w:rsidRPr="00CE04C8">
        <w:t xml:space="preserve"> 376-382</w:t>
      </w:r>
    </w:p>
  </w:footnote>
  <w:footnote w:id="20">
    <w:p w14:paraId="133D9FBB" w14:textId="77777777" w:rsidR="00060BF3" w:rsidRDefault="00060BF3" w:rsidP="00C70C5D">
      <w:pPr>
        <w:pStyle w:val="FootnoteText"/>
      </w:pPr>
      <w:r>
        <w:rPr>
          <w:rStyle w:val="FootnoteReference"/>
        </w:rPr>
        <w:footnoteRef/>
      </w:r>
      <w:r>
        <w:t xml:space="preserve"> </w:t>
      </w:r>
      <w:r w:rsidRPr="00CE04C8">
        <w:t xml:space="preserve">BORG, J. Y., GUILLET, B., LE CAM-DUCHEZ, V., GOUDEMAND, J. &amp; LÉVESQUE, H. 2013. Outcome of acquired haemophilia in France: The prospective SACHA (Surveillance des Auto </w:t>
      </w:r>
      <w:proofErr w:type="spellStart"/>
      <w:r w:rsidRPr="00CE04C8">
        <w:t>antiCorps</w:t>
      </w:r>
      <w:proofErr w:type="spellEnd"/>
      <w:r w:rsidRPr="00CE04C8">
        <w:t xml:space="preserve"> au </w:t>
      </w:r>
      <w:proofErr w:type="spellStart"/>
      <w:r w:rsidRPr="00CE04C8">
        <w:t>cours</w:t>
      </w:r>
      <w:proofErr w:type="spellEnd"/>
      <w:r w:rsidRPr="00CE04C8">
        <w:t xml:space="preserve"> de </w:t>
      </w:r>
      <w:proofErr w:type="spellStart"/>
      <w:r w:rsidRPr="00CE04C8">
        <w:t>l'Hémophilie</w:t>
      </w:r>
      <w:proofErr w:type="spellEnd"/>
      <w:r w:rsidRPr="00CE04C8">
        <w:t xml:space="preserve"> </w:t>
      </w:r>
      <w:proofErr w:type="spellStart"/>
      <w:r w:rsidRPr="00CE04C8">
        <w:t>Acquise</w:t>
      </w:r>
      <w:proofErr w:type="spellEnd"/>
      <w:r w:rsidRPr="00CE04C8">
        <w:t xml:space="preserve">) registry. </w:t>
      </w:r>
      <w:r w:rsidRPr="00CE04C8">
        <w:rPr>
          <w:i/>
        </w:rPr>
        <w:t>Haemophilia,</w:t>
      </w:r>
      <w:r w:rsidRPr="00CE04C8">
        <w:t xml:space="preserve"> 19</w:t>
      </w:r>
      <w:r w:rsidRPr="00CE04C8">
        <w:rPr>
          <w:b/>
        </w:rPr>
        <w:t>,</w:t>
      </w:r>
      <w:r w:rsidRPr="00CE04C8">
        <w:t xml:space="preserve"> 564-570</w:t>
      </w:r>
    </w:p>
  </w:footnote>
  <w:footnote w:id="21">
    <w:p w14:paraId="3E2583E7" w14:textId="77777777" w:rsidR="00060BF3" w:rsidRDefault="00060BF3" w:rsidP="00C70C5D">
      <w:pPr>
        <w:pStyle w:val="FootnoteText"/>
      </w:pPr>
      <w:r>
        <w:rPr>
          <w:rStyle w:val="FootnoteReference"/>
        </w:rPr>
        <w:footnoteRef/>
      </w:r>
      <w:r>
        <w:t xml:space="preserve"> </w:t>
      </w:r>
      <w:r w:rsidRPr="00CE04C8">
        <w:t xml:space="preserve">BORG, J. Y., NEGRIER, C., DURIEU, I., DOLIMIER, E., MASQUELIER, A. M., LEVESQUE, H. &amp; GROUP, F. S. 2015. FEIBA in the treatment of acquired haemophilia A: results from the prospective multicentre French 'FEIBA dans </w:t>
      </w:r>
      <w:proofErr w:type="spellStart"/>
      <w:r w:rsidRPr="00CE04C8">
        <w:t>l'hemophilie</w:t>
      </w:r>
      <w:proofErr w:type="spellEnd"/>
      <w:r w:rsidRPr="00CE04C8">
        <w:t xml:space="preserve"> A </w:t>
      </w:r>
      <w:proofErr w:type="spellStart"/>
      <w:r w:rsidRPr="00CE04C8">
        <w:t>acquise</w:t>
      </w:r>
      <w:proofErr w:type="spellEnd"/>
      <w:r w:rsidRPr="00CE04C8">
        <w:t xml:space="preserve">' (FEIBHAC) registry. </w:t>
      </w:r>
      <w:r w:rsidRPr="00CE04C8">
        <w:rPr>
          <w:i/>
        </w:rPr>
        <w:t>Haemophilia,</w:t>
      </w:r>
      <w:r w:rsidRPr="00CE04C8">
        <w:t xml:space="preserve"> 21</w:t>
      </w:r>
      <w:r w:rsidRPr="00CE04C8">
        <w:rPr>
          <w:b/>
        </w:rPr>
        <w:t>,</w:t>
      </w:r>
      <w:r w:rsidRPr="00CE04C8">
        <w:t xml:space="preserve"> 330-337</w:t>
      </w:r>
    </w:p>
  </w:footnote>
  <w:footnote w:id="22">
    <w:p w14:paraId="40420CE2" w14:textId="77777777" w:rsidR="00060BF3" w:rsidRDefault="00060BF3" w:rsidP="00C70C5D">
      <w:pPr>
        <w:pStyle w:val="FootnoteText"/>
      </w:pPr>
      <w:r>
        <w:rPr>
          <w:rStyle w:val="FootnoteReference"/>
        </w:rPr>
        <w:footnoteRef/>
      </w:r>
      <w:r>
        <w:t xml:space="preserve"> </w:t>
      </w:r>
      <w:r w:rsidRPr="00CE04C8">
        <w:t xml:space="preserve">BAUDO, F., COLLINS, P., HUTH-KUHNE, A., LEVESQUE, H., MARCO, P., NEMES, L., PELLEGRINI, F., TENGBORN, L., KNOEBL, P. &amp; CONTRIBUTORS, E. R. 2012. Management of bleeding in acquired </w:t>
      </w:r>
      <w:proofErr w:type="spellStart"/>
      <w:r w:rsidRPr="00CE04C8">
        <w:t>hemophilia</w:t>
      </w:r>
      <w:proofErr w:type="spellEnd"/>
      <w:r w:rsidRPr="00CE04C8">
        <w:t xml:space="preserve"> A: results from the European Acquired Haemophilia (EACH2) Registry. </w:t>
      </w:r>
      <w:r w:rsidRPr="00CE04C8">
        <w:rPr>
          <w:i/>
        </w:rPr>
        <w:t>Blood,</w:t>
      </w:r>
      <w:r w:rsidRPr="00CE04C8">
        <w:t xml:space="preserve"> 120</w:t>
      </w:r>
      <w:r w:rsidRPr="00CE04C8">
        <w:rPr>
          <w:b/>
        </w:rPr>
        <w:t>,</w:t>
      </w:r>
      <w:r w:rsidRPr="00CE04C8">
        <w:t xml:space="preserve"> 39-46</w:t>
      </w:r>
    </w:p>
  </w:footnote>
  <w:footnote w:id="23">
    <w:p w14:paraId="40F51D62" w14:textId="77777777" w:rsidR="00060BF3" w:rsidRDefault="00060BF3" w:rsidP="00C70C5D">
      <w:pPr>
        <w:pStyle w:val="FootnoteText"/>
      </w:pPr>
      <w:r>
        <w:rPr>
          <w:rStyle w:val="FootnoteReference"/>
        </w:rPr>
        <w:footnoteRef/>
      </w:r>
      <w:r>
        <w:t xml:space="preserve"> C</w:t>
      </w:r>
      <w:r w:rsidRPr="001439AD">
        <w:rPr>
          <w:i/>
        </w:rPr>
        <w:t>ell ‘C26’ of Inputs sheet of ‘CMA versus FEIBA’ workbook. Instead of dividing number of infusions by the duration of treatment, duration of treatment was divided by number of infusions</w:t>
      </w:r>
    </w:p>
  </w:footnote>
  <w:footnote w:id="24">
    <w:p w14:paraId="167505EE" w14:textId="050481AE" w:rsidR="00060BF3" w:rsidRDefault="00060BF3" w:rsidP="00C70C5D">
      <w:pPr>
        <w:pStyle w:val="FootnoteText"/>
      </w:pPr>
      <w:r>
        <w:rPr>
          <w:rStyle w:val="FootnoteReference"/>
        </w:rPr>
        <w:footnoteRef/>
      </w:r>
      <w:r>
        <w:t xml:space="preserve"> 2,556,000 ug (NovoSeven – avg. annual dispensed dose) </w:t>
      </w:r>
      <w:r>
        <w:rPr>
          <w:rFonts w:cstheme="minorHAnsi"/>
        </w:rPr>
        <w:t>÷</w:t>
      </w:r>
      <w:r>
        <w:t xml:space="preserve"> </w:t>
      </w:r>
      <w:r w:rsidR="00FC670C">
        <w:t>REDACTED</w:t>
      </w:r>
      <w:r>
        <w:t xml:space="preserve"> ug (ADAR estimated dose per bleed) = </w:t>
      </w:r>
      <w:r w:rsidR="00FC670C">
        <w:t>REDACTED</w:t>
      </w:r>
      <w:r>
        <w:t xml:space="preserve"> bleeds per year</w:t>
      </w:r>
    </w:p>
  </w:footnote>
  <w:footnote w:id="25">
    <w:p w14:paraId="22714052" w14:textId="30D3B00A" w:rsidR="00060BF3" w:rsidRDefault="00060BF3" w:rsidP="00C70C5D">
      <w:pPr>
        <w:pStyle w:val="FootnoteText"/>
      </w:pPr>
      <w:r>
        <w:rPr>
          <w:rStyle w:val="FootnoteReference"/>
        </w:rPr>
        <w:footnoteRef/>
      </w:r>
      <w:r>
        <w:t xml:space="preserve"> 196,000 U (FEIBA – avg. annual dispensed dose) </w:t>
      </w:r>
      <w:r>
        <w:rPr>
          <w:rFonts w:cstheme="minorHAnsi"/>
        </w:rPr>
        <w:t>÷</w:t>
      </w:r>
      <w:r>
        <w:t xml:space="preserve"> </w:t>
      </w:r>
      <w:r w:rsidR="00FC670C">
        <w:t>REDACTED</w:t>
      </w:r>
      <w:r>
        <w:t xml:space="preserve"> U (ADAR estimated dose per bleed) = </w:t>
      </w:r>
      <w:r w:rsidR="00FC670C">
        <w:t>REDACTED</w:t>
      </w:r>
      <w:r>
        <w:t xml:space="preserve"> bleeds per year</w:t>
      </w:r>
    </w:p>
  </w:footnote>
  <w:footnote w:id="26">
    <w:p w14:paraId="349D654F" w14:textId="33C6B7B7" w:rsidR="00060BF3" w:rsidRPr="007060FA" w:rsidRDefault="00060BF3" w:rsidP="00F72C82">
      <w:pPr>
        <w:pStyle w:val="FootnoteText"/>
        <w:rPr>
          <w:rFonts w:ascii="Arial Narrow" w:hAnsi="Arial Narrow"/>
          <w:sz w:val="16"/>
          <w:szCs w:val="16"/>
        </w:rPr>
      </w:pPr>
      <w:r w:rsidRPr="007060FA">
        <w:rPr>
          <w:rStyle w:val="FootnoteReference"/>
          <w:rFonts w:ascii="Arial Narrow" w:hAnsi="Arial Narrow"/>
          <w:sz w:val="16"/>
          <w:szCs w:val="16"/>
        </w:rPr>
        <w:footnoteRef/>
      </w:r>
      <w:r w:rsidRPr="007060FA">
        <w:rPr>
          <w:rFonts w:ascii="Arial Narrow" w:hAnsi="Arial Narrow"/>
          <w:sz w:val="16"/>
          <w:szCs w:val="16"/>
        </w:rPr>
        <w:t xml:space="preserve"> Clinical commissioning policy: Susoctocog alfa for treating bleeding episodes in people with acquired haemophilia A (all ages). 29 June 2018. Available at: https://www.england.nhs.uk/wp-content/uploads/2018/07/1703-susoctcog-alfa.pdf </w:t>
      </w:r>
    </w:p>
  </w:footnote>
  <w:footnote w:id="27">
    <w:p w14:paraId="154460A4" w14:textId="6982B2C8" w:rsidR="00060BF3" w:rsidRPr="007060FA" w:rsidRDefault="00060BF3" w:rsidP="00F72C82">
      <w:pPr>
        <w:pStyle w:val="FootnoteText"/>
        <w:rPr>
          <w:rFonts w:ascii="Arial Narrow" w:hAnsi="Arial Narrow"/>
          <w:sz w:val="16"/>
          <w:szCs w:val="16"/>
        </w:rPr>
      </w:pPr>
      <w:r w:rsidRPr="007060FA">
        <w:rPr>
          <w:rStyle w:val="FootnoteReference"/>
          <w:rFonts w:ascii="Arial Narrow" w:hAnsi="Arial Narrow"/>
          <w:sz w:val="16"/>
          <w:szCs w:val="16"/>
        </w:rPr>
        <w:footnoteRef/>
      </w:r>
      <w:r w:rsidRPr="007060FA">
        <w:rPr>
          <w:rFonts w:ascii="Arial Narrow" w:hAnsi="Arial Narrow"/>
          <w:sz w:val="16"/>
          <w:szCs w:val="16"/>
        </w:rPr>
        <w:t xml:space="preserve"> </w:t>
      </w:r>
      <w:proofErr w:type="spellStart"/>
      <w:r w:rsidRPr="007060FA">
        <w:rPr>
          <w:rFonts w:ascii="Arial Narrow" w:hAnsi="Arial Narrow"/>
          <w:sz w:val="16"/>
          <w:szCs w:val="16"/>
        </w:rPr>
        <w:t>Tiede</w:t>
      </w:r>
      <w:proofErr w:type="spellEnd"/>
      <w:r w:rsidRPr="007060FA">
        <w:rPr>
          <w:rFonts w:ascii="Arial Narrow" w:hAnsi="Arial Narrow"/>
          <w:sz w:val="16"/>
          <w:szCs w:val="16"/>
        </w:rPr>
        <w:t xml:space="preserve"> A et al. (2020). International recommendations on the diagnosis and treatment of acquired </w:t>
      </w:r>
      <w:proofErr w:type="spellStart"/>
      <w:r w:rsidRPr="007060FA">
        <w:rPr>
          <w:rFonts w:ascii="Arial Narrow" w:hAnsi="Arial Narrow"/>
          <w:sz w:val="16"/>
          <w:szCs w:val="16"/>
        </w:rPr>
        <w:t>hemophilia</w:t>
      </w:r>
      <w:proofErr w:type="spellEnd"/>
      <w:r w:rsidRPr="007060FA">
        <w:rPr>
          <w:rFonts w:ascii="Arial Narrow" w:hAnsi="Arial Narrow"/>
          <w:sz w:val="16"/>
          <w:szCs w:val="16"/>
        </w:rPr>
        <w:t xml:space="preserve"> A. </w:t>
      </w:r>
      <w:proofErr w:type="spellStart"/>
      <w:r w:rsidRPr="007060FA">
        <w:rPr>
          <w:rFonts w:ascii="Arial Narrow" w:hAnsi="Arial Narrow"/>
          <w:i/>
          <w:iCs/>
          <w:sz w:val="16"/>
          <w:szCs w:val="16"/>
        </w:rPr>
        <w:t>Haematologica</w:t>
      </w:r>
      <w:proofErr w:type="spellEnd"/>
      <w:r w:rsidRPr="007060FA">
        <w:rPr>
          <w:rFonts w:ascii="Arial Narrow" w:hAnsi="Arial Narrow"/>
          <w:sz w:val="16"/>
          <w:szCs w:val="16"/>
        </w:rPr>
        <w:t xml:space="preserve"> </w:t>
      </w:r>
      <w:r w:rsidRPr="007060FA">
        <w:rPr>
          <w:rFonts w:ascii="Arial Narrow" w:hAnsi="Arial Narrow"/>
          <w:b/>
          <w:bCs/>
          <w:sz w:val="16"/>
          <w:szCs w:val="16"/>
        </w:rPr>
        <w:t>105</w:t>
      </w:r>
      <w:r w:rsidRPr="007060FA">
        <w:rPr>
          <w:rFonts w:ascii="Arial Narrow" w:hAnsi="Arial Narrow"/>
          <w:sz w:val="16"/>
          <w:szCs w:val="16"/>
        </w:rPr>
        <w:t>(7):1791-1801.</w:t>
      </w:r>
    </w:p>
  </w:footnote>
  <w:footnote w:id="28">
    <w:p w14:paraId="7B3C3E5A" w14:textId="5611918D" w:rsidR="00060BF3" w:rsidRPr="007060FA" w:rsidRDefault="00060BF3" w:rsidP="00F72C82">
      <w:pPr>
        <w:pStyle w:val="FootnoteText"/>
        <w:rPr>
          <w:rFonts w:ascii="Arial Narrow" w:hAnsi="Arial Narrow"/>
          <w:sz w:val="16"/>
          <w:szCs w:val="16"/>
        </w:rPr>
      </w:pPr>
      <w:r w:rsidRPr="007060FA">
        <w:rPr>
          <w:rStyle w:val="FootnoteReference"/>
          <w:rFonts w:ascii="Arial Narrow" w:hAnsi="Arial Narrow"/>
          <w:sz w:val="16"/>
          <w:szCs w:val="16"/>
        </w:rPr>
        <w:footnoteRef/>
      </w:r>
      <w:r w:rsidRPr="007060FA">
        <w:rPr>
          <w:rFonts w:ascii="Arial Narrow" w:hAnsi="Arial Narrow"/>
          <w:sz w:val="16"/>
          <w:szCs w:val="16"/>
        </w:rPr>
        <w:t xml:space="preserve"> Campbell S et al. (2021). Acquired haemophilia and haemostatic control with recombinant porcine factor VIII: case series. </w:t>
      </w:r>
      <w:r w:rsidRPr="007060FA">
        <w:rPr>
          <w:rFonts w:ascii="Arial Narrow" w:hAnsi="Arial Narrow"/>
          <w:i/>
          <w:iCs/>
          <w:sz w:val="16"/>
          <w:szCs w:val="16"/>
        </w:rPr>
        <w:t>Internal Medicine Journal</w:t>
      </w:r>
      <w:r w:rsidRPr="007060FA">
        <w:rPr>
          <w:rFonts w:ascii="Arial Narrow" w:hAnsi="Arial Narrow"/>
          <w:sz w:val="16"/>
          <w:szCs w:val="16"/>
        </w:rPr>
        <w:t xml:space="preserve"> </w:t>
      </w:r>
      <w:r w:rsidRPr="007060FA">
        <w:rPr>
          <w:rFonts w:ascii="Arial Narrow" w:hAnsi="Arial Narrow"/>
          <w:b/>
          <w:bCs/>
          <w:sz w:val="16"/>
          <w:szCs w:val="16"/>
        </w:rPr>
        <w:t>51</w:t>
      </w:r>
      <w:r w:rsidRPr="007060FA">
        <w:rPr>
          <w:rFonts w:ascii="Arial Narrow" w:hAnsi="Arial Narrow"/>
          <w:sz w:val="16"/>
          <w:szCs w:val="16"/>
        </w:rPr>
        <w:t>(2):215-219.</w:t>
      </w:r>
    </w:p>
  </w:footnote>
  <w:footnote w:id="29">
    <w:p w14:paraId="61B62708" w14:textId="6D08D3A3" w:rsidR="00060BF3" w:rsidRPr="00132B9E" w:rsidRDefault="00060BF3">
      <w:pPr>
        <w:pStyle w:val="FootnoteText"/>
        <w:rPr>
          <w:rFonts w:ascii="Arial Narrow" w:hAnsi="Arial Narrow"/>
          <w:sz w:val="16"/>
          <w:szCs w:val="16"/>
        </w:rPr>
      </w:pPr>
      <w:r w:rsidRPr="00132B9E">
        <w:rPr>
          <w:rStyle w:val="FootnoteReference"/>
          <w:rFonts w:ascii="Arial Narrow" w:hAnsi="Arial Narrow"/>
          <w:sz w:val="16"/>
          <w:szCs w:val="16"/>
        </w:rPr>
        <w:footnoteRef/>
      </w:r>
      <w:r w:rsidRPr="00132B9E">
        <w:rPr>
          <w:rFonts w:ascii="Arial Narrow" w:hAnsi="Arial Narrow"/>
          <w:sz w:val="16"/>
          <w:szCs w:val="16"/>
        </w:rPr>
        <w:t xml:space="preserve"> http://www.msac.gov.au/internet/msac/publishing.nsf/Content/1510-public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464F60"/>
    <w:multiLevelType w:val="hybridMultilevel"/>
    <w:tmpl w:val="01C8D428"/>
    <w:lvl w:ilvl="0" w:tplc="ABD6A7DE">
      <w:start w:val="1"/>
      <w:numFmt w:val="bullet"/>
      <w:lvlText w:val="·"/>
      <w:lvlJc w:val="left"/>
      <w:pPr>
        <w:ind w:left="720" w:hanging="360"/>
      </w:pPr>
      <w:rPr>
        <w:rFonts w:ascii="Symbol" w:hAnsi="Symbol" w:hint="default"/>
      </w:rPr>
    </w:lvl>
    <w:lvl w:ilvl="1" w:tplc="92869E30">
      <w:start w:val="1"/>
      <w:numFmt w:val="bullet"/>
      <w:lvlText w:val="o"/>
      <w:lvlJc w:val="left"/>
      <w:pPr>
        <w:ind w:left="1440" w:hanging="360"/>
      </w:pPr>
      <w:rPr>
        <w:rFonts w:ascii="Courier New" w:hAnsi="Courier New" w:hint="default"/>
      </w:rPr>
    </w:lvl>
    <w:lvl w:ilvl="2" w:tplc="0B32EEA0">
      <w:start w:val="1"/>
      <w:numFmt w:val="bullet"/>
      <w:lvlText w:val=""/>
      <w:lvlJc w:val="left"/>
      <w:pPr>
        <w:ind w:left="2160" w:hanging="360"/>
      </w:pPr>
      <w:rPr>
        <w:rFonts w:ascii="Wingdings" w:hAnsi="Wingdings" w:hint="default"/>
      </w:rPr>
    </w:lvl>
    <w:lvl w:ilvl="3" w:tplc="0D98FD48">
      <w:start w:val="1"/>
      <w:numFmt w:val="bullet"/>
      <w:lvlText w:val=""/>
      <w:lvlJc w:val="left"/>
      <w:pPr>
        <w:ind w:left="2880" w:hanging="360"/>
      </w:pPr>
      <w:rPr>
        <w:rFonts w:ascii="Symbol" w:hAnsi="Symbol" w:hint="default"/>
      </w:rPr>
    </w:lvl>
    <w:lvl w:ilvl="4" w:tplc="6F50C9CE">
      <w:start w:val="1"/>
      <w:numFmt w:val="bullet"/>
      <w:lvlText w:val="o"/>
      <w:lvlJc w:val="left"/>
      <w:pPr>
        <w:ind w:left="3600" w:hanging="360"/>
      </w:pPr>
      <w:rPr>
        <w:rFonts w:ascii="Courier New" w:hAnsi="Courier New" w:hint="default"/>
      </w:rPr>
    </w:lvl>
    <w:lvl w:ilvl="5" w:tplc="5C28C398">
      <w:start w:val="1"/>
      <w:numFmt w:val="bullet"/>
      <w:lvlText w:val=""/>
      <w:lvlJc w:val="left"/>
      <w:pPr>
        <w:ind w:left="4320" w:hanging="360"/>
      </w:pPr>
      <w:rPr>
        <w:rFonts w:ascii="Wingdings" w:hAnsi="Wingdings" w:hint="default"/>
      </w:rPr>
    </w:lvl>
    <w:lvl w:ilvl="6" w:tplc="1A84B94A">
      <w:start w:val="1"/>
      <w:numFmt w:val="bullet"/>
      <w:lvlText w:val=""/>
      <w:lvlJc w:val="left"/>
      <w:pPr>
        <w:ind w:left="5040" w:hanging="360"/>
      </w:pPr>
      <w:rPr>
        <w:rFonts w:ascii="Symbol" w:hAnsi="Symbol" w:hint="default"/>
      </w:rPr>
    </w:lvl>
    <w:lvl w:ilvl="7" w:tplc="E398E28C">
      <w:start w:val="1"/>
      <w:numFmt w:val="bullet"/>
      <w:lvlText w:val="o"/>
      <w:lvlJc w:val="left"/>
      <w:pPr>
        <w:ind w:left="5760" w:hanging="360"/>
      </w:pPr>
      <w:rPr>
        <w:rFonts w:ascii="Courier New" w:hAnsi="Courier New" w:hint="default"/>
      </w:rPr>
    </w:lvl>
    <w:lvl w:ilvl="8" w:tplc="CB4804F6">
      <w:start w:val="1"/>
      <w:numFmt w:val="bullet"/>
      <w:lvlText w:val=""/>
      <w:lvlJc w:val="left"/>
      <w:pPr>
        <w:ind w:left="6480" w:hanging="360"/>
      </w:pPr>
      <w:rPr>
        <w:rFonts w:ascii="Wingdings" w:hAnsi="Wingdings" w:hint="default"/>
      </w:rPr>
    </w:lvl>
  </w:abstractNum>
  <w:abstractNum w:abstractNumId="3"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4" w15:restartNumberingAfterBreak="0">
    <w:nsid w:val="247437B8"/>
    <w:multiLevelType w:val="hybridMultilevel"/>
    <w:tmpl w:val="1868A00E"/>
    <w:lvl w:ilvl="0" w:tplc="C23878A0">
      <w:start w:val="1"/>
      <w:numFmt w:val="bullet"/>
      <w:pStyle w:val="Bull1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BC8F1FB"/>
    <w:multiLevelType w:val="hybridMultilevel"/>
    <w:tmpl w:val="63BA3D8A"/>
    <w:lvl w:ilvl="0" w:tplc="37CCEDC2">
      <w:start w:val="1"/>
      <w:numFmt w:val="bullet"/>
      <w:lvlText w:val="·"/>
      <w:lvlJc w:val="left"/>
      <w:pPr>
        <w:ind w:left="720" w:hanging="360"/>
      </w:pPr>
      <w:rPr>
        <w:rFonts w:ascii="Symbol" w:hAnsi="Symbol" w:hint="default"/>
      </w:rPr>
    </w:lvl>
    <w:lvl w:ilvl="1" w:tplc="B2C22D5A">
      <w:start w:val="1"/>
      <w:numFmt w:val="bullet"/>
      <w:lvlText w:val="o"/>
      <w:lvlJc w:val="left"/>
      <w:pPr>
        <w:ind w:left="1440" w:hanging="360"/>
      </w:pPr>
      <w:rPr>
        <w:rFonts w:ascii="Courier New" w:hAnsi="Courier New" w:hint="default"/>
      </w:rPr>
    </w:lvl>
    <w:lvl w:ilvl="2" w:tplc="4CE0AF1E">
      <w:start w:val="1"/>
      <w:numFmt w:val="bullet"/>
      <w:lvlText w:val=""/>
      <w:lvlJc w:val="left"/>
      <w:pPr>
        <w:ind w:left="2160" w:hanging="360"/>
      </w:pPr>
      <w:rPr>
        <w:rFonts w:ascii="Wingdings" w:hAnsi="Wingdings" w:hint="default"/>
      </w:rPr>
    </w:lvl>
    <w:lvl w:ilvl="3" w:tplc="BAB41D3C">
      <w:start w:val="1"/>
      <w:numFmt w:val="bullet"/>
      <w:lvlText w:val=""/>
      <w:lvlJc w:val="left"/>
      <w:pPr>
        <w:ind w:left="2880" w:hanging="360"/>
      </w:pPr>
      <w:rPr>
        <w:rFonts w:ascii="Symbol" w:hAnsi="Symbol" w:hint="default"/>
      </w:rPr>
    </w:lvl>
    <w:lvl w:ilvl="4" w:tplc="D8920BFA">
      <w:start w:val="1"/>
      <w:numFmt w:val="bullet"/>
      <w:lvlText w:val="o"/>
      <w:lvlJc w:val="left"/>
      <w:pPr>
        <w:ind w:left="3600" w:hanging="360"/>
      </w:pPr>
      <w:rPr>
        <w:rFonts w:ascii="Courier New" w:hAnsi="Courier New" w:hint="default"/>
      </w:rPr>
    </w:lvl>
    <w:lvl w:ilvl="5" w:tplc="F51E0596">
      <w:start w:val="1"/>
      <w:numFmt w:val="bullet"/>
      <w:lvlText w:val=""/>
      <w:lvlJc w:val="left"/>
      <w:pPr>
        <w:ind w:left="4320" w:hanging="360"/>
      </w:pPr>
      <w:rPr>
        <w:rFonts w:ascii="Wingdings" w:hAnsi="Wingdings" w:hint="default"/>
      </w:rPr>
    </w:lvl>
    <w:lvl w:ilvl="6" w:tplc="92A68B06">
      <w:start w:val="1"/>
      <w:numFmt w:val="bullet"/>
      <w:lvlText w:val=""/>
      <w:lvlJc w:val="left"/>
      <w:pPr>
        <w:ind w:left="5040" w:hanging="360"/>
      </w:pPr>
      <w:rPr>
        <w:rFonts w:ascii="Symbol" w:hAnsi="Symbol" w:hint="default"/>
      </w:rPr>
    </w:lvl>
    <w:lvl w:ilvl="7" w:tplc="04208D98">
      <w:start w:val="1"/>
      <w:numFmt w:val="bullet"/>
      <w:lvlText w:val="o"/>
      <w:lvlJc w:val="left"/>
      <w:pPr>
        <w:ind w:left="5760" w:hanging="360"/>
      </w:pPr>
      <w:rPr>
        <w:rFonts w:ascii="Courier New" w:hAnsi="Courier New" w:hint="default"/>
      </w:rPr>
    </w:lvl>
    <w:lvl w:ilvl="8" w:tplc="63DECBB2">
      <w:start w:val="1"/>
      <w:numFmt w:val="bullet"/>
      <w:lvlText w:val=""/>
      <w:lvlJc w:val="left"/>
      <w:pPr>
        <w:ind w:left="6480" w:hanging="360"/>
      </w:pPr>
      <w:rPr>
        <w:rFonts w:ascii="Wingdings" w:hAnsi="Wingdings" w:hint="default"/>
      </w:rPr>
    </w:lvl>
  </w:abstractNum>
  <w:abstractNum w:abstractNumId="10" w15:restartNumberingAfterBreak="0">
    <w:nsid w:val="3F862868"/>
    <w:multiLevelType w:val="hybridMultilevel"/>
    <w:tmpl w:val="0DAE164A"/>
    <w:lvl w:ilvl="0" w:tplc="6ACA42B4">
      <w:start w:val="1"/>
      <w:numFmt w:val="decimal"/>
      <w:lvlText w:val="%1."/>
      <w:lvlJc w:val="left"/>
      <w:pPr>
        <w:ind w:left="720" w:hanging="360"/>
      </w:pPr>
    </w:lvl>
    <w:lvl w:ilvl="1" w:tplc="786AE200">
      <w:start w:val="1"/>
      <w:numFmt w:val="lowerLetter"/>
      <w:lvlText w:val="%2."/>
      <w:lvlJc w:val="left"/>
      <w:pPr>
        <w:ind w:left="1440" w:hanging="360"/>
      </w:pPr>
    </w:lvl>
    <w:lvl w:ilvl="2" w:tplc="D61EF7C2">
      <w:start w:val="1"/>
      <w:numFmt w:val="lowerRoman"/>
      <w:lvlText w:val="%3."/>
      <w:lvlJc w:val="right"/>
      <w:pPr>
        <w:ind w:left="2160" w:hanging="180"/>
      </w:pPr>
    </w:lvl>
    <w:lvl w:ilvl="3" w:tplc="9590376A">
      <w:start w:val="1"/>
      <w:numFmt w:val="decimal"/>
      <w:lvlText w:val="%4."/>
      <w:lvlJc w:val="left"/>
      <w:pPr>
        <w:ind w:left="2880" w:hanging="360"/>
      </w:pPr>
    </w:lvl>
    <w:lvl w:ilvl="4" w:tplc="5CDE321E">
      <w:start w:val="1"/>
      <w:numFmt w:val="lowerLetter"/>
      <w:lvlText w:val="%5."/>
      <w:lvlJc w:val="left"/>
      <w:pPr>
        <w:ind w:left="3600" w:hanging="360"/>
      </w:pPr>
    </w:lvl>
    <w:lvl w:ilvl="5" w:tplc="FC7A7F40">
      <w:start w:val="1"/>
      <w:numFmt w:val="lowerRoman"/>
      <w:lvlText w:val="%6."/>
      <w:lvlJc w:val="right"/>
      <w:pPr>
        <w:ind w:left="4320" w:hanging="180"/>
      </w:pPr>
    </w:lvl>
    <w:lvl w:ilvl="6" w:tplc="24788B40">
      <w:start w:val="1"/>
      <w:numFmt w:val="decimal"/>
      <w:lvlText w:val="%7."/>
      <w:lvlJc w:val="left"/>
      <w:pPr>
        <w:ind w:left="5040" w:hanging="360"/>
      </w:pPr>
    </w:lvl>
    <w:lvl w:ilvl="7" w:tplc="BA50FD00">
      <w:start w:val="1"/>
      <w:numFmt w:val="lowerLetter"/>
      <w:lvlText w:val="%8."/>
      <w:lvlJc w:val="left"/>
      <w:pPr>
        <w:ind w:left="5760" w:hanging="360"/>
      </w:pPr>
    </w:lvl>
    <w:lvl w:ilvl="8" w:tplc="7CE6EE88">
      <w:start w:val="1"/>
      <w:numFmt w:val="lowerRoman"/>
      <w:lvlText w:val="%9."/>
      <w:lvlJc w:val="right"/>
      <w:pPr>
        <w:ind w:left="6480" w:hanging="180"/>
      </w:pPr>
    </w:lvl>
  </w:abstractNum>
  <w:abstractNum w:abstractNumId="11"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CFC9251"/>
    <w:multiLevelType w:val="hybridMultilevel"/>
    <w:tmpl w:val="33780D34"/>
    <w:lvl w:ilvl="0" w:tplc="F9E21F80">
      <w:start w:val="2"/>
      <w:numFmt w:val="decimal"/>
      <w:lvlText w:val="%1."/>
      <w:lvlJc w:val="left"/>
      <w:pPr>
        <w:ind w:left="720" w:hanging="360"/>
      </w:pPr>
    </w:lvl>
    <w:lvl w:ilvl="1" w:tplc="F78A24E4">
      <w:start w:val="1"/>
      <w:numFmt w:val="lowerLetter"/>
      <w:lvlText w:val="%2."/>
      <w:lvlJc w:val="left"/>
      <w:pPr>
        <w:ind w:left="1440" w:hanging="360"/>
      </w:pPr>
    </w:lvl>
    <w:lvl w:ilvl="2" w:tplc="AC525538">
      <w:start w:val="1"/>
      <w:numFmt w:val="lowerRoman"/>
      <w:lvlText w:val="%3."/>
      <w:lvlJc w:val="right"/>
      <w:pPr>
        <w:ind w:left="2160" w:hanging="180"/>
      </w:pPr>
    </w:lvl>
    <w:lvl w:ilvl="3" w:tplc="DEE8EACA">
      <w:start w:val="1"/>
      <w:numFmt w:val="decimal"/>
      <w:lvlText w:val="%4."/>
      <w:lvlJc w:val="left"/>
      <w:pPr>
        <w:ind w:left="2880" w:hanging="360"/>
      </w:pPr>
    </w:lvl>
    <w:lvl w:ilvl="4" w:tplc="CD78E8C4">
      <w:start w:val="1"/>
      <w:numFmt w:val="lowerLetter"/>
      <w:lvlText w:val="%5."/>
      <w:lvlJc w:val="left"/>
      <w:pPr>
        <w:ind w:left="3600" w:hanging="360"/>
      </w:pPr>
    </w:lvl>
    <w:lvl w:ilvl="5" w:tplc="283C0084">
      <w:start w:val="1"/>
      <w:numFmt w:val="lowerRoman"/>
      <w:lvlText w:val="%6."/>
      <w:lvlJc w:val="right"/>
      <w:pPr>
        <w:ind w:left="4320" w:hanging="180"/>
      </w:pPr>
    </w:lvl>
    <w:lvl w:ilvl="6" w:tplc="31BEA506">
      <w:start w:val="1"/>
      <w:numFmt w:val="decimal"/>
      <w:lvlText w:val="%7."/>
      <w:lvlJc w:val="left"/>
      <w:pPr>
        <w:ind w:left="5040" w:hanging="360"/>
      </w:pPr>
    </w:lvl>
    <w:lvl w:ilvl="7" w:tplc="8A882DCC">
      <w:start w:val="1"/>
      <w:numFmt w:val="lowerLetter"/>
      <w:lvlText w:val="%8."/>
      <w:lvlJc w:val="left"/>
      <w:pPr>
        <w:ind w:left="5760" w:hanging="360"/>
      </w:pPr>
    </w:lvl>
    <w:lvl w:ilvl="8" w:tplc="6DA27BDC">
      <w:start w:val="1"/>
      <w:numFmt w:val="lowerRoman"/>
      <w:lvlText w:val="%9."/>
      <w:lvlJc w:val="right"/>
      <w:pPr>
        <w:ind w:left="6480" w:hanging="180"/>
      </w:pPr>
    </w:lvl>
  </w:abstractNum>
  <w:abstractNum w:abstractNumId="13" w15:restartNumberingAfterBreak="0">
    <w:nsid w:val="515A3338"/>
    <w:multiLevelType w:val="hybridMultilevel"/>
    <w:tmpl w:val="460249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B7361D"/>
    <w:multiLevelType w:val="hybridMultilevel"/>
    <w:tmpl w:val="1528E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3366F0"/>
    <w:multiLevelType w:val="hybridMultilevel"/>
    <w:tmpl w:val="890E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997647"/>
    <w:multiLevelType w:val="hybridMultilevel"/>
    <w:tmpl w:val="A02C3906"/>
    <w:lvl w:ilvl="0" w:tplc="2DB61874">
      <w:start w:val="1"/>
      <w:numFmt w:val="bullet"/>
      <w:lvlText w:val="·"/>
      <w:lvlJc w:val="left"/>
      <w:pPr>
        <w:ind w:left="720" w:hanging="360"/>
      </w:pPr>
      <w:rPr>
        <w:rFonts w:ascii="Symbol" w:hAnsi="Symbol" w:hint="default"/>
      </w:rPr>
    </w:lvl>
    <w:lvl w:ilvl="1" w:tplc="57E66756">
      <w:start w:val="1"/>
      <w:numFmt w:val="bullet"/>
      <w:lvlText w:val="o"/>
      <w:lvlJc w:val="left"/>
      <w:pPr>
        <w:ind w:left="1440" w:hanging="360"/>
      </w:pPr>
      <w:rPr>
        <w:rFonts w:ascii="Courier New" w:hAnsi="Courier New" w:hint="default"/>
      </w:rPr>
    </w:lvl>
    <w:lvl w:ilvl="2" w:tplc="A6A6D622">
      <w:start w:val="1"/>
      <w:numFmt w:val="bullet"/>
      <w:lvlText w:val=""/>
      <w:lvlJc w:val="left"/>
      <w:pPr>
        <w:ind w:left="2160" w:hanging="360"/>
      </w:pPr>
      <w:rPr>
        <w:rFonts w:ascii="Wingdings" w:hAnsi="Wingdings" w:hint="default"/>
      </w:rPr>
    </w:lvl>
    <w:lvl w:ilvl="3" w:tplc="5606A872">
      <w:start w:val="1"/>
      <w:numFmt w:val="bullet"/>
      <w:lvlText w:val=""/>
      <w:lvlJc w:val="left"/>
      <w:pPr>
        <w:ind w:left="2880" w:hanging="360"/>
      </w:pPr>
      <w:rPr>
        <w:rFonts w:ascii="Symbol" w:hAnsi="Symbol" w:hint="default"/>
      </w:rPr>
    </w:lvl>
    <w:lvl w:ilvl="4" w:tplc="D29E874A">
      <w:start w:val="1"/>
      <w:numFmt w:val="bullet"/>
      <w:lvlText w:val="o"/>
      <w:lvlJc w:val="left"/>
      <w:pPr>
        <w:ind w:left="3600" w:hanging="360"/>
      </w:pPr>
      <w:rPr>
        <w:rFonts w:ascii="Courier New" w:hAnsi="Courier New" w:hint="default"/>
      </w:rPr>
    </w:lvl>
    <w:lvl w:ilvl="5" w:tplc="A4B64B7E">
      <w:start w:val="1"/>
      <w:numFmt w:val="bullet"/>
      <w:lvlText w:val=""/>
      <w:lvlJc w:val="left"/>
      <w:pPr>
        <w:ind w:left="4320" w:hanging="360"/>
      </w:pPr>
      <w:rPr>
        <w:rFonts w:ascii="Wingdings" w:hAnsi="Wingdings" w:hint="default"/>
      </w:rPr>
    </w:lvl>
    <w:lvl w:ilvl="6" w:tplc="89143C1C">
      <w:start w:val="1"/>
      <w:numFmt w:val="bullet"/>
      <w:lvlText w:val=""/>
      <w:lvlJc w:val="left"/>
      <w:pPr>
        <w:ind w:left="5040" w:hanging="360"/>
      </w:pPr>
      <w:rPr>
        <w:rFonts w:ascii="Symbol" w:hAnsi="Symbol" w:hint="default"/>
      </w:rPr>
    </w:lvl>
    <w:lvl w:ilvl="7" w:tplc="81FC18F0">
      <w:start w:val="1"/>
      <w:numFmt w:val="bullet"/>
      <w:lvlText w:val="o"/>
      <w:lvlJc w:val="left"/>
      <w:pPr>
        <w:ind w:left="5760" w:hanging="360"/>
      </w:pPr>
      <w:rPr>
        <w:rFonts w:ascii="Courier New" w:hAnsi="Courier New" w:hint="default"/>
      </w:rPr>
    </w:lvl>
    <w:lvl w:ilvl="8" w:tplc="0D469DDC">
      <w:start w:val="1"/>
      <w:numFmt w:val="bullet"/>
      <w:lvlText w:val=""/>
      <w:lvlJc w:val="left"/>
      <w:pPr>
        <w:ind w:left="6480" w:hanging="360"/>
      </w:pPr>
      <w:rPr>
        <w:rFonts w:ascii="Wingdings" w:hAnsi="Wingdings" w:hint="default"/>
      </w:rPr>
    </w:lvl>
  </w:abstractNum>
  <w:abstractNum w:abstractNumId="17" w15:restartNumberingAfterBreak="0">
    <w:nsid w:val="7714143A"/>
    <w:multiLevelType w:val="hybridMultilevel"/>
    <w:tmpl w:val="85BE61BE"/>
    <w:lvl w:ilvl="0" w:tplc="445CF226">
      <w:start w:val="3"/>
      <w:numFmt w:val="decimal"/>
      <w:lvlText w:val="%1."/>
      <w:lvlJc w:val="left"/>
      <w:pPr>
        <w:ind w:left="720" w:hanging="360"/>
      </w:pPr>
    </w:lvl>
    <w:lvl w:ilvl="1" w:tplc="66926D42">
      <w:start w:val="1"/>
      <w:numFmt w:val="lowerLetter"/>
      <w:lvlText w:val="%2."/>
      <w:lvlJc w:val="left"/>
      <w:pPr>
        <w:ind w:left="1440" w:hanging="360"/>
      </w:pPr>
    </w:lvl>
    <w:lvl w:ilvl="2" w:tplc="F82A0472">
      <w:start w:val="1"/>
      <w:numFmt w:val="lowerRoman"/>
      <w:lvlText w:val="%3."/>
      <w:lvlJc w:val="right"/>
      <w:pPr>
        <w:ind w:left="2160" w:hanging="180"/>
      </w:pPr>
    </w:lvl>
    <w:lvl w:ilvl="3" w:tplc="00E6E164">
      <w:start w:val="1"/>
      <w:numFmt w:val="decimal"/>
      <w:lvlText w:val="%4."/>
      <w:lvlJc w:val="left"/>
      <w:pPr>
        <w:ind w:left="2880" w:hanging="360"/>
      </w:pPr>
    </w:lvl>
    <w:lvl w:ilvl="4" w:tplc="7CE847E8">
      <w:start w:val="1"/>
      <w:numFmt w:val="lowerLetter"/>
      <w:lvlText w:val="%5."/>
      <w:lvlJc w:val="left"/>
      <w:pPr>
        <w:ind w:left="3600" w:hanging="360"/>
      </w:pPr>
    </w:lvl>
    <w:lvl w:ilvl="5" w:tplc="EB00FC30">
      <w:start w:val="1"/>
      <w:numFmt w:val="lowerRoman"/>
      <w:lvlText w:val="%6."/>
      <w:lvlJc w:val="right"/>
      <w:pPr>
        <w:ind w:left="4320" w:hanging="180"/>
      </w:pPr>
    </w:lvl>
    <w:lvl w:ilvl="6" w:tplc="79E4BC28">
      <w:start w:val="1"/>
      <w:numFmt w:val="decimal"/>
      <w:lvlText w:val="%7."/>
      <w:lvlJc w:val="left"/>
      <w:pPr>
        <w:ind w:left="5040" w:hanging="360"/>
      </w:pPr>
    </w:lvl>
    <w:lvl w:ilvl="7" w:tplc="D6B44F86">
      <w:start w:val="1"/>
      <w:numFmt w:val="lowerLetter"/>
      <w:lvlText w:val="%8."/>
      <w:lvlJc w:val="left"/>
      <w:pPr>
        <w:ind w:left="5760" w:hanging="360"/>
      </w:pPr>
    </w:lvl>
    <w:lvl w:ilvl="8" w:tplc="49E43B38">
      <w:start w:val="1"/>
      <w:numFmt w:val="lowerRoman"/>
      <w:lvlText w:val="%9."/>
      <w:lvlJc w:val="right"/>
      <w:pPr>
        <w:ind w:left="6480" w:hanging="180"/>
      </w:pPr>
    </w:lvl>
  </w:abstractNum>
  <w:abstractNum w:abstractNumId="1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7"/>
  </w:num>
  <w:num w:numId="2">
    <w:abstractNumId w:val="12"/>
  </w:num>
  <w:num w:numId="3">
    <w:abstractNumId w:val="10"/>
  </w:num>
  <w:num w:numId="4">
    <w:abstractNumId w:val="9"/>
  </w:num>
  <w:num w:numId="5">
    <w:abstractNumId w:val="2"/>
  </w:num>
  <w:num w:numId="6">
    <w:abstractNumId w:val="16"/>
  </w:num>
  <w:num w:numId="7">
    <w:abstractNumId w:val="8"/>
  </w:num>
  <w:num w:numId="8">
    <w:abstractNumId w:val="20"/>
  </w:num>
  <w:num w:numId="9">
    <w:abstractNumId w:val="0"/>
  </w:num>
  <w:num w:numId="10">
    <w:abstractNumId w:val="3"/>
  </w:num>
  <w:num w:numId="11">
    <w:abstractNumId w:val="18"/>
  </w:num>
  <w:num w:numId="12">
    <w:abstractNumId w:val="5"/>
  </w:num>
  <w:num w:numId="13">
    <w:abstractNumId w:val="6"/>
  </w:num>
  <w:num w:numId="14">
    <w:abstractNumId w:val="7"/>
  </w:num>
  <w:num w:numId="15">
    <w:abstractNumId w:val="11"/>
  </w:num>
  <w:num w:numId="16">
    <w:abstractNumId w:val="4"/>
  </w:num>
  <w:num w:numId="17">
    <w:abstractNumId w:val="14"/>
  </w:num>
  <w:num w:numId="18">
    <w:abstractNumId w:val="1"/>
  </w:num>
  <w:num w:numId="19">
    <w:abstractNumId w:val="19"/>
  </w:num>
  <w:num w:numId="20">
    <w:abstractNumId w:val="15"/>
  </w:num>
  <w:num w:numId="21">
    <w:abstractNumId w:val="13"/>
  </w:num>
  <w:num w:numId="2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381"/>
    <w:rsid w:val="00001AE6"/>
    <w:rsid w:val="00001D55"/>
    <w:rsid w:val="000020F3"/>
    <w:rsid w:val="000024F5"/>
    <w:rsid w:val="0000286F"/>
    <w:rsid w:val="00002D18"/>
    <w:rsid w:val="0000350A"/>
    <w:rsid w:val="00003E27"/>
    <w:rsid w:val="00004D69"/>
    <w:rsid w:val="00004F52"/>
    <w:rsid w:val="00004F7F"/>
    <w:rsid w:val="00005377"/>
    <w:rsid w:val="000054C9"/>
    <w:rsid w:val="00006D92"/>
    <w:rsid w:val="00007795"/>
    <w:rsid w:val="00010381"/>
    <w:rsid w:val="00010CB5"/>
    <w:rsid w:val="00011568"/>
    <w:rsid w:val="00011882"/>
    <w:rsid w:val="00011B51"/>
    <w:rsid w:val="00011D13"/>
    <w:rsid w:val="00012423"/>
    <w:rsid w:val="000129B3"/>
    <w:rsid w:val="00013634"/>
    <w:rsid w:val="000141E3"/>
    <w:rsid w:val="00014974"/>
    <w:rsid w:val="00016158"/>
    <w:rsid w:val="00016D2B"/>
    <w:rsid w:val="00017354"/>
    <w:rsid w:val="0002012D"/>
    <w:rsid w:val="0002168D"/>
    <w:rsid w:val="000222CF"/>
    <w:rsid w:val="000228B8"/>
    <w:rsid w:val="000237EF"/>
    <w:rsid w:val="0002381B"/>
    <w:rsid w:val="000238DE"/>
    <w:rsid w:val="00024EA5"/>
    <w:rsid w:val="000251F0"/>
    <w:rsid w:val="00025C76"/>
    <w:rsid w:val="00025D7B"/>
    <w:rsid w:val="0002755F"/>
    <w:rsid w:val="000323A2"/>
    <w:rsid w:val="0003423A"/>
    <w:rsid w:val="0003477F"/>
    <w:rsid w:val="00035FB6"/>
    <w:rsid w:val="00036AD8"/>
    <w:rsid w:val="00037037"/>
    <w:rsid w:val="00037302"/>
    <w:rsid w:val="00037E10"/>
    <w:rsid w:val="0004005D"/>
    <w:rsid w:val="0004018D"/>
    <w:rsid w:val="000401F0"/>
    <w:rsid w:val="00040A7D"/>
    <w:rsid w:val="00040ADF"/>
    <w:rsid w:val="00040FB4"/>
    <w:rsid w:val="0004178C"/>
    <w:rsid w:val="00041F5D"/>
    <w:rsid w:val="0004276C"/>
    <w:rsid w:val="000429BC"/>
    <w:rsid w:val="000443A6"/>
    <w:rsid w:val="000449D1"/>
    <w:rsid w:val="00045B8D"/>
    <w:rsid w:val="00045CC5"/>
    <w:rsid w:val="00046B6A"/>
    <w:rsid w:val="000472D4"/>
    <w:rsid w:val="0004783D"/>
    <w:rsid w:val="00050375"/>
    <w:rsid w:val="00052DD3"/>
    <w:rsid w:val="0005326D"/>
    <w:rsid w:val="00053656"/>
    <w:rsid w:val="00053F6C"/>
    <w:rsid w:val="0005442F"/>
    <w:rsid w:val="000546BA"/>
    <w:rsid w:val="0005577C"/>
    <w:rsid w:val="00057D6F"/>
    <w:rsid w:val="00060BF3"/>
    <w:rsid w:val="000617E9"/>
    <w:rsid w:val="0006339C"/>
    <w:rsid w:val="00064783"/>
    <w:rsid w:val="000647A0"/>
    <w:rsid w:val="000647C2"/>
    <w:rsid w:val="00066BFE"/>
    <w:rsid w:val="0006708B"/>
    <w:rsid w:val="000673D2"/>
    <w:rsid w:val="0007021F"/>
    <w:rsid w:val="000709A0"/>
    <w:rsid w:val="00072684"/>
    <w:rsid w:val="000739EE"/>
    <w:rsid w:val="00074199"/>
    <w:rsid w:val="00075132"/>
    <w:rsid w:val="000760F3"/>
    <w:rsid w:val="000801C6"/>
    <w:rsid w:val="00080241"/>
    <w:rsid w:val="00081778"/>
    <w:rsid w:val="00082795"/>
    <w:rsid w:val="000870B6"/>
    <w:rsid w:val="00090185"/>
    <w:rsid w:val="0009042B"/>
    <w:rsid w:val="00090613"/>
    <w:rsid w:val="00090BD1"/>
    <w:rsid w:val="00091857"/>
    <w:rsid w:val="00091C59"/>
    <w:rsid w:val="00092A21"/>
    <w:rsid w:val="00092BAD"/>
    <w:rsid w:val="00093D9A"/>
    <w:rsid w:val="00094656"/>
    <w:rsid w:val="00096A6B"/>
    <w:rsid w:val="00096B28"/>
    <w:rsid w:val="00096B52"/>
    <w:rsid w:val="0009754D"/>
    <w:rsid w:val="000A0C7E"/>
    <w:rsid w:val="000A10BF"/>
    <w:rsid w:val="000A2A27"/>
    <w:rsid w:val="000A2ACD"/>
    <w:rsid w:val="000A2B65"/>
    <w:rsid w:val="000A2DA8"/>
    <w:rsid w:val="000A2E39"/>
    <w:rsid w:val="000A5C47"/>
    <w:rsid w:val="000A629E"/>
    <w:rsid w:val="000A6440"/>
    <w:rsid w:val="000A6B30"/>
    <w:rsid w:val="000B0326"/>
    <w:rsid w:val="000B2F72"/>
    <w:rsid w:val="000B3330"/>
    <w:rsid w:val="000B46A2"/>
    <w:rsid w:val="000B471C"/>
    <w:rsid w:val="000B4C3F"/>
    <w:rsid w:val="000B4E11"/>
    <w:rsid w:val="000B5172"/>
    <w:rsid w:val="000B584F"/>
    <w:rsid w:val="000B5F08"/>
    <w:rsid w:val="000B6320"/>
    <w:rsid w:val="000B6CF0"/>
    <w:rsid w:val="000B720C"/>
    <w:rsid w:val="000B74BC"/>
    <w:rsid w:val="000B7665"/>
    <w:rsid w:val="000C0FF2"/>
    <w:rsid w:val="000C1392"/>
    <w:rsid w:val="000C1AF0"/>
    <w:rsid w:val="000C7164"/>
    <w:rsid w:val="000C7C46"/>
    <w:rsid w:val="000D1A7D"/>
    <w:rsid w:val="000D1B52"/>
    <w:rsid w:val="000D2AB2"/>
    <w:rsid w:val="000D3A6C"/>
    <w:rsid w:val="000D3B1C"/>
    <w:rsid w:val="000D4C1B"/>
    <w:rsid w:val="000D5303"/>
    <w:rsid w:val="000D5523"/>
    <w:rsid w:val="000D5555"/>
    <w:rsid w:val="000E03DC"/>
    <w:rsid w:val="000E1081"/>
    <w:rsid w:val="000E1124"/>
    <w:rsid w:val="000E16D6"/>
    <w:rsid w:val="000E443F"/>
    <w:rsid w:val="000E543B"/>
    <w:rsid w:val="000E5531"/>
    <w:rsid w:val="000E5FEC"/>
    <w:rsid w:val="000E6410"/>
    <w:rsid w:val="000E678B"/>
    <w:rsid w:val="000E7E62"/>
    <w:rsid w:val="000F170C"/>
    <w:rsid w:val="000F2E01"/>
    <w:rsid w:val="000F5144"/>
    <w:rsid w:val="000F5881"/>
    <w:rsid w:val="000F5A54"/>
    <w:rsid w:val="000F5A6F"/>
    <w:rsid w:val="000F620E"/>
    <w:rsid w:val="000F68A2"/>
    <w:rsid w:val="000F7987"/>
    <w:rsid w:val="0010051C"/>
    <w:rsid w:val="00100EE4"/>
    <w:rsid w:val="00101600"/>
    <w:rsid w:val="001026B9"/>
    <w:rsid w:val="00102C58"/>
    <w:rsid w:val="00103C4E"/>
    <w:rsid w:val="00104067"/>
    <w:rsid w:val="0010448B"/>
    <w:rsid w:val="00104B99"/>
    <w:rsid w:val="0010521F"/>
    <w:rsid w:val="0010625A"/>
    <w:rsid w:val="00107524"/>
    <w:rsid w:val="00107DCD"/>
    <w:rsid w:val="00107EF0"/>
    <w:rsid w:val="00111417"/>
    <w:rsid w:val="00112C68"/>
    <w:rsid w:val="0011315E"/>
    <w:rsid w:val="00113C60"/>
    <w:rsid w:val="00114C3B"/>
    <w:rsid w:val="00115691"/>
    <w:rsid w:val="00115E2F"/>
    <w:rsid w:val="0011651E"/>
    <w:rsid w:val="00117039"/>
    <w:rsid w:val="00117F04"/>
    <w:rsid w:val="0012023B"/>
    <w:rsid w:val="0012047E"/>
    <w:rsid w:val="00120816"/>
    <w:rsid w:val="00120BD3"/>
    <w:rsid w:val="00122AE3"/>
    <w:rsid w:val="00122EE1"/>
    <w:rsid w:val="00123658"/>
    <w:rsid w:val="001237AF"/>
    <w:rsid w:val="00123BA7"/>
    <w:rsid w:val="001247EB"/>
    <w:rsid w:val="00124F3C"/>
    <w:rsid w:val="001250D1"/>
    <w:rsid w:val="00125116"/>
    <w:rsid w:val="00125B61"/>
    <w:rsid w:val="00126122"/>
    <w:rsid w:val="00131D45"/>
    <w:rsid w:val="00131F45"/>
    <w:rsid w:val="00132071"/>
    <w:rsid w:val="001320D7"/>
    <w:rsid w:val="001320F0"/>
    <w:rsid w:val="00132B9E"/>
    <w:rsid w:val="00133272"/>
    <w:rsid w:val="001336E0"/>
    <w:rsid w:val="00133F34"/>
    <w:rsid w:val="001346B4"/>
    <w:rsid w:val="00135273"/>
    <w:rsid w:val="0013553C"/>
    <w:rsid w:val="00135877"/>
    <w:rsid w:val="00135FC9"/>
    <w:rsid w:val="001360E6"/>
    <w:rsid w:val="00136932"/>
    <w:rsid w:val="00136970"/>
    <w:rsid w:val="001375F1"/>
    <w:rsid w:val="00137BD5"/>
    <w:rsid w:val="001409FB"/>
    <w:rsid w:val="00140F52"/>
    <w:rsid w:val="00141FD3"/>
    <w:rsid w:val="001424F6"/>
    <w:rsid w:val="00143478"/>
    <w:rsid w:val="00143F2F"/>
    <w:rsid w:val="001449CE"/>
    <w:rsid w:val="00146624"/>
    <w:rsid w:val="00147524"/>
    <w:rsid w:val="00150376"/>
    <w:rsid w:val="001509C6"/>
    <w:rsid w:val="001510CF"/>
    <w:rsid w:val="00151192"/>
    <w:rsid w:val="00151DBD"/>
    <w:rsid w:val="001531D6"/>
    <w:rsid w:val="00154338"/>
    <w:rsid w:val="00154D6F"/>
    <w:rsid w:val="00154EE0"/>
    <w:rsid w:val="00155434"/>
    <w:rsid w:val="00155BDA"/>
    <w:rsid w:val="00156D96"/>
    <w:rsid w:val="00156FA7"/>
    <w:rsid w:val="00157C1C"/>
    <w:rsid w:val="0016023A"/>
    <w:rsid w:val="00160D68"/>
    <w:rsid w:val="00162039"/>
    <w:rsid w:val="00162DBF"/>
    <w:rsid w:val="00162E65"/>
    <w:rsid w:val="0016391C"/>
    <w:rsid w:val="00164350"/>
    <w:rsid w:val="00164CF8"/>
    <w:rsid w:val="001653AE"/>
    <w:rsid w:val="00170D5B"/>
    <w:rsid w:val="00172B07"/>
    <w:rsid w:val="00172B8F"/>
    <w:rsid w:val="00172F84"/>
    <w:rsid w:val="001736F8"/>
    <w:rsid w:val="00173C20"/>
    <w:rsid w:val="00173D85"/>
    <w:rsid w:val="00174040"/>
    <w:rsid w:val="00174FD4"/>
    <w:rsid w:val="001751D9"/>
    <w:rsid w:val="001779FF"/>
    <w:rsid w:val="0018031E"/>
    <w:rsid w:val="00181034"/>
    <w:rsid w:val="0018116E"/>
    <w:rsid w:val="00184BAE"/>
    <w:rsid w:val="00185AE5"/>
    <w:rsid w:val="0018717B"/>
    <w:rsid w:val="00187E70"/>
    <w:rsid w:val="001919BF"/>
    <w:rsid w:val="00191B54"/>
    <w:rsid w:val="00191C65"/>
    <w:rsid w:val="001931C1"/>
    <w:rsid w:val="00193456"/>
    <w:rsid w:val="0019362A"/>
    <w:rsid w:val="0019474E"/>
    <w:rsid w:val="00195728"/>
    <w:rsid w:val="001970C0"/>
    <w:rsid w:val="001A1CB7"/>
    <w:rsid w:val="001A252A"/>
    <w:rsid w:val="001A356F"/>
    <w:rsid w:val="001A420B"/>
    <w:rsid w:val="001A4B97"/>
    <w:rsid w:val="001A4F7D"/>
    <w:rsid w:val="001A5966"/>
    <w:rsid w:val="001A604A"/>
    <w:rsid w:val="001A69C7"/>
    <w:rsid w:val="001A6A12"/>
    <w:rsid w:val="001A6F1C"/>
    <w:rsid w:val="001A7298"/>
    <w:rsid w:val="001A73A1"/>
    <w:rsid w:val="001A7B42"/>
    <w:rsid w:val="001A7D11"/>
    <w:rsid w:val="001A7D8F"/>
    <w:rsid w:val="001B1A2A"/>
    <w:rsid w:val="001B2A97"/>
    <w:rsid w:val="001B2CD4"/>
    <w:rsid w:val="001B2EA2"/>
    <w:rsid w:val="001B2FA0"/>
    <w:rsid w:val="001B2FD0"/>
    <w:rsid w:val="001B4B95"/>
    <w:rsid w:val="001B5F85"/>
    <w:rsid w:val="001B7329"/>
    <w:rsid w:val="001B7F6E"/>
    <w:rsid w:val="001C0055"/>
    <w:rsid w:val="001C0162"/>
    <w:rsid w:val="001C04EE"/>
    <w:rsid w:val="001C174A"/>
    <w:rsid w:val="001C1D05"/>
    <w:rsid w:val="001C1FCB"/>
    <w:rsid w:val="001C2A48"/>
    <w:rsid w:val="001C69E3"/>
    <w:rsid w:val="001C6DFD"/>
    <w:rsid w:val="001C7BA4"/>
    <w:rsid w:val="001D21CE"/>
    <w:rsid w:val="001D32C0"/>
    <w:rsid w:val="001D3962"/>
    <w:rsid w:val="001D3985"/>
    <w:rsid w:val="001D3A64"/>
    <w:rsid w:val="001D4A8B"/>
    <w:rsid w:val="001D4E39"/>
    <w:rsid w:val="001D4E54"/>
    <w:rsid w:val="001D4FFC"/>
    <w:rsid w:val="001D5793"/>
    <w:rsid w:val="001D74A7"/>
    <w:rsid w:val="001E15F2"/>
    <w:rsid w:val="001E22F7"/>
    <w:rsid w:val="001E2B6E"/>
    <w:rsid w:val="001E3613"/>
    <w:rsid w:val="001E465F"/>
    <w:rsid w:val="001E6305"/>
    <w:rsid w:val="001F0AFC"/>
    <w:rsid w:val="001F14FA"/>
    <w:rsid w:val="001F2902"/>
    <w:rsid w:val="001F2D0F"/>
    <w:rsid w:val="001F3F36"/>
    <w:rsid w:val="001F4096"/>
    <w:rsid w:val="001F4298"/>
    <w:rsid w:val="001F64A5"/>
    <w:rsid w:val="001F658C"/>
    <w:rsid w:val="001F675C"/>
    <w:rsid w:val="001F6F44"/>
    <w:rsid w:val="001F7563"/>
    <w:rsid w:val="001F7B19"/>
    <w:rsid w:val="00200823"/>
    <w:rsid w:val="002039B6"/>
    <w:rsid w:val="00204A57"/>
    <w:rsid w:val="00205BF1"/>
    <w:rsid w:val="00207D1C"/>
    <w:rsid w:val="00207F59"/>
    <w:rsid w:val="002108D9"/>
    <w:rsid w:val="002111BE"/>
    <w:rsid w:val="00211DC3"/>
    <w:rsid w:val="002129D3"/>
    <w:rsid w:val="0021302A"/>
    <w:rsid w:val="00213269"/>
    <w:rsid w:val="002155B6"/>
    <w:rsid w:val="00215777"/>
    <w:rsid w:val="002157E4"/>
    <w:rsid w:val="00215AFB"/>
    <w:rsid w:val="00215DEA"/>
    <w:rsid w:val="0021699A"/>
    <w:rsid w:val="00217024"/>
    <w:rsid w:val="002200D8"/>
    <w:rsid w:val="00223664"/>
    <w:rsid w:val="0022367B"/>
    <w:rsid w:val="00223A56"/>
    <w:rsid w:val="00225833"/>
    <w:rsid w:val="00225B50"/>
    <w:rsid w:val="00226095"/>
    <w:rsid w:val="00227620"/>
    <w:rsid w:val="002276B0"/>
    <w:rsid w:val="00227B89"/>
    <w:rsid w:val="00227DD1"/>
    <w:rsid w:val="00227F43"/>
    <w:rsid w:val="002324FC"/>
    <w:rsid w:val="0023263B"/>
    <w:rsid w:val="00233E44"/>
    <w:rsid w:val="00233E5D"/>
    <w:rsid w:val="00234640"/>
    <w:rsid w:val="00235610"/>
    <w:rsid w:val="00235FE5"/>
    <w:rsid w:val="00240106"/>
    <w:rsid w:val="002411C7"/>
    <w:rsid w:val="002415EB"/>
    <w:rsid w:val="00242F4E"/>
    <w:rsid w:val="0024305A"/>
    <w:rsid w:val="002442A8"/>
    <w:rsid w:val="00244CFA"/>
    <w:rsid w:val="002452A0"/>
    <w:rsid w:val="002463A6"/>
    <w:rsid w:val="00246ADB"/>
    <w:rsid w:val="00250826"/>
    <w:rsid w:val="002517A5"/>
    <w:rsid w:val="00251F6C"/>
    <w:rsid w:val="002521EC"/>
    <w:rsid w:val="0025249C"/>
    <w:rsid w:val="002526D5"/>
    <w:rsid w:val="00252EC3"/>
    <w:rsid w:val="002539ED"/>
    <w:rsid w:val="002542B2"/>
    <w:rsid w:val="0025440D"/>
    <w:rsid w:val="0025450E"/>
    <w:rsid w:val="00254736"/>
    <w:rsid w:val="002549B5"/>
    <w:rsid w:val="00254B55"/>
    <w:rsid w:val="00255152"/>
    <w:rsid w:val="002551C6"/>
    <w:rsid w:val="0025554E"/>
    <w:rsid w:val="002567BE"/>
    <w:rsid w:val="00257BA6"/>
    <w:rsid w:val="002626EA"/>
    <w:rsid w:val="002638F4"/>
    <w:rsid w:val="00265676"/>
    <w:rsid w:val="0027160C"/>
    <w:rsid w:val="00273C95"/>
    <w:rsid w:val="002751D1"/>
    <w:rsid w:val="00275209"/>
    <w:rsid w:val="00276DAF"/>
    <w:rsid w:val="0028177B"/>
    <w:rsid w:val="002825E2"/>
    <w:rsid w:val="00283EB8"/>
    <w:rsid w:val="00284340"/>
    <w:rsid w:val="00284603"/>
    <w:rsid w:val="00284BCB"/>
    <w:rsid w:val="002859B3"/>
    <w:rsid w:val="00287D32"/>
    <w:rsid w:val="00287E78"/>
    <w:rsid w:val="00290676"/>
    <w:rsid w:val="00290929"/>
    <w:rsid w:val="00291462"/>
    <w:rsid w:val="00291572"/>
    <w:rsid w:val="002936C5"/>
    <w:rsid w:val="00293F42"/>
    <w:rsid w:val="0029604E"/>
    <w:rsid w:val="00296B6D"/>
    <w:rsid w:val="00296E54"/>
    <w:rsid w:val="002970D3"/>
    <w:rsid w:val="00297F40"/>
    <w:rsid w:val="002A04B4"/>
    <w:rsid w:val="002A145B"/>
    <w:rsid w:val="002A18BE"/>
    <w:rsid w:val="002A36F6"/>
    <w:rsid w:val="002A3E2E"/>
    <w:rsid w:val="002A4084"/>
    <w:rsid w:val="002A4A60"/>
    <w:rsid w:val="002A4AD6"/>
    <w:rsid w:val="002A546D"/>
    <w:rsid w:val="002A6466"/>
    <w:rsid w:val="002A7196"/>
    <w:rsid w:val="002A76AE"/>
    <w:rsid w:val="002B05AB"/>
    <w:rsid w:val="002B1384"/>
    <w:rsid w:val="002B3681"/>
    <w:rsid w:val="002B4FD2"/>
    <w:rsid w:val="002B5F5C"/>
    <w:rsid w:val="002B63C5"/>
    <w:rsid w:val="002B667C"/>
    <w:rsid w:val="002B724F"/>
    <w:rsid w:val="002C03DE"/>
    <w:rsid w:val="002C0CB3"/>
    <w:rsid w:val="002C11CA"/>
    <w:rsid w:val="002C11D8"/>
    <w:rsid w:val="002C22D1"/>
    <w:rsid w:val="002C26C4"/>
    <w:rsid w:val="002C3221"/>
    <w:rsid w:val="002C430A"/>
    <w:rsid w:val="002C45E8"/>
    <w:rsid w:val="002C4E0F"/>
    <w:rsid w:val="002C6A52"/>
    <w:rsid w:val="002C70CE"/>
    <w:rsid w:val="002C7C5C"/>
    <w:rsid w:val="002D1DA4"/>
    <w:rsid w:val="002D3CDB"/>
    <w:rsid w:val="002D4A18"/>
    <w:rsid w:val="002D5097"/>
    <w:rsid w:val="002D55E4"/>
    <w:rsid w:val="002D66E3"/>
    <w:rsid w:val="002D690D"/>
    <w:rsid w:val="002D6CC1"/>
    <w:rsid w:val="002D7180"/>
    <w:rsid w:val="002D7A10"/>
    <w:rsid w:val="002E0708"/>
    <w:rsid w:val="002E357F"/>
    <w:rsid w:val="002E4DC5"/>
    <w:rsid w:val="002E5143"/>
    <w:rsid w:val="002E63BE"/>
    <w:rsid w:val="002E6B0F"/>
    <w:rsid w:val="002E7775"/>
    <w:rsid w:val="002E7AD2"/>
    <w:rsid w:val="002F0064"/>
    <w:rsid w:val="002F0EB7"/>
    <w:rsid w:val="002F11D7"/>
    <w:rsid w:val="002F1399"/>
    <w:rsid w:val="002F1A69"/>
    <w:rsid w:val="002F32FB"/>
    <w:rsid w:val="002F5611"/>
    <w:rsid w:val="002F593E"/>
    <w:rsid w:val="002F5F5E"/>
    <w:rsid w:val="002F5F85"/>
    <w:rsid w:val="002F64AF"/>
    <w:rsid w:val="002F6713"/>
    <w:rsid w:val="002F693F"/>
    <w:rsid w:val="003008CC"/>
    <w:rsid w:val="00301763"/>
    <w:rsid w:val="00301806"/>
    <w:rsid w:val="00302252"/>
    <w:rsid w:val="003028DF"/>
    <w:rsid w:val="00303C60"/>
    <w:rsid w:val="003040A3"/>
    <w:rsid w:val="00304FB8"/>
    <w:rsid w:val="00307299"/>
    <w:rsid w:val="00310B9B"/>
    <w:rsid w:val="00310C3F"/>
    <w:rsid w:val="00311558"/>
    <w:rsid w:val="00311D2D"/>
    <w:rsid w:val="00312050"/>
    <w:rsid w:val="003140D2"/>
    <w:rsid w:val="00314255"/>
    <w:rsid w:val="00316D4C"/>
    <w:rsid w:val="00316EC0"/>
    <w:rsid w:val="00317714"/>
    <w:rsid w:val="0031795A"/>
    <w:rsid w:val="00320A17"/>
    <w:rsid w:val="003218EA"/>
    <w:rsid w:val="003225FC"/>
    <w:rsid w:val="003228E0"/>
    <w:rsid w:val="00322941"/>
    <w:rsid w:val="00322DA9"/>
    <w:rsid w:val="00323A99"/>
    <w:rsid w:val="00323AF6"/>
    <w:rsid w:val="003251C2"/>
    <w:rsid w:val="00325FA0"/>
    <w:rsid w:val="00326F1C"/>
    <w:rsid w:val="00327162"/>
    <w:rsid w:val="00327C31"/>
    <w:rsid w:val="00330A0A"/>
    <w:rsid w:val="00331771"/>
    <w:rsid w:val="00331801"/>
    <w:rsid w:val="0033268D"/>
    <w:rsid w:val="003328A9"/>
    <w:rsid w:val="00334012"/>
    <w:rsid w:val="00334786"/>
    <w:rsid w:val="003351C6"/>
    <w:rsid w:val="003361BD"/>
    <w:rsid w:val="00336386"/>
    <w:rsid w:val="00336A2A"/>
    <w:rsid w:val="00336B06"/>
    <w:rsid w:val="003371B5"/>
    <w:rsid w:val="00337BAF"/>
    <w:rsid w:val="00340163"/>
    <w:rsid w:val="00340341"/>
    <w:rsid w:val="00341327"/>
    <w:rsid w:val="003417CB"/>
    <w:rsid w:val="003435A9"/>
    <w:rsid w:val="00344649"/>
    <w:rsid w:val="00345496"/>
    <w:rsid w:val="00345BCF"/>
    <w:rsid w:val="00345CF4"/>
    <w:rsid w:val="00345DC7"/>
    <w:rsid w:val="0034665B"/>
    <w:rsid w:val="003466F9"/>
    <w:rsid w:val="00350092"/>
    <w:rsid w:val="00350146"/>
    <w:rsid w:val="003503F0"/>
    <w:rsid w:val="00350495"/>
    <w:rsid w:val="0035105A"/>
    <w:rsid w:val="00351598"/>
    <w:rsid w:val="003519AD"/>
    <w:rsid w:val="00351E0E"/>
    <w:rsid w:val="00352094"/>
    <w:rsid w:val="00352FDA"/>
    <w:rsid w:val="003530A1"/>
    <w:rsid w:val="003534DF"/>
    <w:rsid w:val="00354217"/>
    <w:rsid w:val="003543EF"/>
    <w:rsid w:val="00354EB4"/>
    <w:rsid w:val="003557E1"/>
    <w:rsid w:val="00356438"/>
    <w:rsid w:val="0035664D"/>
    <w:rsid w:val="00356D29"/>
    <w:rsid w:val="00356DC9"/>
    <w:rsid w:val="003571C2"/>
    <w:rsid w:val="0035775C"/>
    <w:rsid w:val="00357B23"/>
    <w:rsid w:val="0036055A"/>
    <w:rsid w:val="003640A7"/>
    <w:rsid w:val="00365447"/>
    <w:rsid w:val="0036571C"/>
    <w:rsid w:val="0036761F"/>
    <w:rsid w:val="003676CA"/>
    <w:rsid w:val="0036794E"/>
    <w:rsid w:val="00367D9D"/>
    <w:rsid w:val="003703B7"/>
    <w:rsid w:val="0037044A"/>
    <w:rsid w:val="00370B60"/>
    <w:rsid w:val="00370C4B"/>
    <w:rsid w:val="00371239"/>
    <w:rsid w:val="00372F1A"/>
    <w:rsid w:val="00373AC2"/>
    <w:rsid w:val="00373EB7"/>
    <w:rsid w:val="00374097"/>
    <w:rsid w:val="00374639"/>
    <w:rsid w:val="0037467C"/>
    <w:rsid w:val="00374D29"/>
    <w:rsid w:val="00375832"/>
    <w:rsid w:val="003760D9"/>
    <w:rsid w:val="00377FD4"/>
    <w:rsid w:val="00380322"/>
    <w:rsid w:val="003811E5"/>
    <w:rsid w:val="0038146C"/>
    <w:rsid w:val="00381BEA"/>
    <w:rsid w:val="00382609"/>
    <w:rsid w:val="00382817"/>
    <w:rsid w:val="00383183"/>
    <w:rsid w:val="00384B34"/>
    <w:rsid w:val="00386124"/>
    <w:rsid w:val="003864D5"/>
    <w:rsid w:val="003879A9"/>
    <w:rsid w:val="00390567"/>
    <w:rsid w:val="003909D0"/>
    <w:rsid w:val="00396305"/>
    <w:rsid w:val="003963E4"/>
    <w:rsid w:val="003963FA"/>
    <w:rsid w:val="003966F6"/>
    <w:rsid w:val="0039677D"/>
    <w:rsid w:val="003970A9"/>
    <w:rsid w:val="003978A7"/>
    <w:rsid w:val="00397BF9"/>
    <w:rsid w:val="003A0660"/>
    <w:rsid w:val="003A0D52"/>
    <w:rsid w:val="003A0E25"/>
    <w:rsid w:val="003A1461"/>
    <w:rsid w:val="003A16DA"/>
    <w:rsid w:val="003A2ED1"/>
    <w:rsid w:val="003A3050"/>
    <w:rsid w:val="003A415D"/>
    <w:rsid w:val="003A4254"/>
    <w:rsid w:val="003A4C47"/>
    <w:rsid w:val="003A4E58"/>
    <w:rsid w:val="003A6724"/>
    <w:rsid w:val="003A6976"/>
    <w:rsid w:val="003A6AB5"/>
    <w:rsid w:val="003A6E1A"/>
    <w:rsid w:val="003A7574"/>
    <w:rsid w:val="003A7967"/>
    <w:rsid w:val="003B08A6"/>
    <w:rsid w:val="003B0BA1"/>
    <w:rsid w:val="003B15B4"/>
    <w:rsid w:val="003B40EC"/>
    <w:rsid w:val="003B44F8"/>
    <w:rsid w:val="003B4599"/>
    <w:rsid w:val="003B57FE"/>
    <w:rsid w:val="003B61B7"/>
    <w:rsid w:val="003B64BE"/>
    <w:rsid w:val="003B6ADA"/>
    <w:rsid w:val="003B76DC"/>
    <w:rsid w:val="003C1AE2"/>
    <w:rsid w:val="003C2B27"/>
    <w:rsid w:val="003C3B7B"/>
    <w:rsid w:val="003C40B6"/>
    <w:rsid w:val="003C4224"/>
    <w:rsid w:val="003C45D3"/>
    <w:rsid w:val="003C4855"/>
    <w:rsid w:val="003C4F8F"/>
    <w:rsid w:val="003C5C32"/>
    <w:rsid w:val="003C5C89"/>
    <w:rsid w:val="003C6B59"/>
    <w:rsid w:val="003C7F65"/>
    <w:rsid w:val="003D05DA"/>
    <w:rsid w:val="003D18CF"/>
    <w:rsid w:val="003D218F"/>
    <w:rsid w:val="003D22EF"/>
    <w:rsid w:val="003D27F3"/>
    <w:rsid w:val="003D299E"/>
    <w:rsid w:val="003D55E1"/>
    <w:rsid w:val="003D641A"/>
    <w:rsid w:val="003D71EB"/>
    <w:rsid w:val="003D7F39"/>
    <w:rsid w:val="003E095F"/>
    <w:rsid w:val="003E22CB"/>
    <w:rsid w:val="003E2343"/>
    <w:rsid w:val="003E406B"/>
    <w:rsid w:val="003E44D4"/>
    <w:rsid w:val="003E4F96"/>
    <w:rsid w:val="003E5CCA"/>
    <w:rsid w:val="003E76DF"/>
    <w:rsid w:val="003E7773"/>
    <w:rsid w:val="003E77A1"/>
    <w:rsid w:val="003F115E"/>
    <w:rsid w:val="003F14C2"/>
    <w:rsid w:val="003F2210"/>
    <w:rsid w:val="003F535C"/>
    <w:rsid w:val="003F53C0"/>
    <w:rsid w:val="003F5D3F"/>
    <w:rsid w:val="003F65FE"/>
    <w:rsid w:val="003F7196"/>
    <w:rsid w:val="004003CB"/>
    <w:rsid w:val="004008AF"/>
    <w:rsid w:val="00400B5F"/>
    <w:rsid w:val="00401DBF"/>
    <w:rsid w:val="004033D9"/>
    <w:rsid w:val="00404A94"/>
    <w:rsid w:val="00405288"/>
    <w:rsid w:val="0040551F"/>
    <w:rsid w:val="00405B51"/>
    <w:rsid w:val="00405F8A"/>
    <w:rsid w:val="004071DC"/>
    <w:rsid w:val="0040771F"/>
    <w:rsid w:val="0040782A"/>
    <w:rsid w:val="004111F7"/>
    <w:rsid w:val="00411340"/>
    <w:rsid w:val="0041180C"/>
    <w:rsid w:val="0041217D"/>
    <w:rsid w:val="004124B3"/>
    <w:rsid w:val="004125C6"/>
    <w:rsid w:val="0041275F"/>
    <w:rsid w:val="004127AB"/>
    <w:rsid w:val="00413DF2"/>
    <w:rsid w:val="0041479C"/>
    <w:rsid w:val="00421A89"/>
    <w:rsid w:val="00421EBC"/>
    <w:rsid w:val="00422F02"/>
    <w:rsid w:val="0042304B"/>
    <w:rsid w:val="00424084"/>
    <w:rsid w:val="00424714"/>
    <w:rsid w:val="004248BF"/>
    <w:rsid w:val="00426E4D"/>
    <w:rsid w:val="00427032"/>
    <w:rsid w:val="004273AD"/>
    <w:rsid w:val="004305AE"/>
    <w:rsid w:val="00431800"/>
    <w:rsid w:val="00431A33"/>
    <w:rsid w:val="00431AF2"/>
    <w:rsid w:val="00432333"/>
    <w:rsid w:val="004327A6"/>
    <w:rsid w:val="00433541"/>
    <w:rsid w:val="004354F3"/>
    <w:rsid w:val="00436514"/>
    <w:rsid w:val="00440A6F"/>
    <w:rsid w:val="004416F2"/>
    <w:rsid w:val="004423F7"/>
    <w:rsid w:val="004425E8"/>
    <w:rsid w:val="00442A49"/>
    <w:rsid w:val="00444128"/>
    <w:rsid w:val="0044414A"/>
    <w:rsid w:val="00445338"/>
    <w:rsid w:val="0044603F"/>
    <w:rsid w:val="0044656B"/>
    <w:rsid w:val="0044690B"/>
    <w:rsid w:val="00446BBE"/>
    <w:rsid w:val="0044782C"/>
    <w:rsid w:val="004504A8"/>
    <w:rsid w:val="0045093D"/>
    <w:rsid w:val="00451311"/>
    <w:rsid w:val="00451645"/>
    <w:rsid w:val="00451B80"/>
    <w:rsid w:val="00453F3D"/>
    <w:rsid w:val="00454E49"/>
    <w:rsid w:val="00454F8E"/>
    <w:rsid w:val="00454FB4"/>
    <w:rsid w:val="00455DE3"/>
    <w:rsid w:val="00456409"/>
    <w:rsid w:val="004607AC"/>
    <w:rsid w:val="004613DD"/>
    <w:rsid w:val="00462778"/>
    <w:rsid w:val="00464F6C"/>
    <w:rsid w:val="00465E3E"/>
    <w:rsid w:val="00466991"/>
    <w:rsid w:val="00467484"/>
    <w:rsid w:val="004701A7"/>
    <w:rsid w:val="00470F39"/>
    <w:rsid w:val="00471D0D"/>
    <w:rsid w:val="00473511"/>
    <w:rsid w:val="00473D4B"/>
    <w:rsid w:val="004744AB"/>
    <w:rsid w:val="00474E01"/>
    <w:rsid w:val="004764D8"/>
    <w:rsid w:val="00477BF2"/>
    <w:rsid w:val="004801C4"/>
    <w:rsid w:val="00482804"/>
    <w:rsid w:val="00482B47"/>
    <w:rsid w:val="00483048"/>
    <w:rsid w:val="0048323E"/>
    <w:rsid w:val="00484DC5"/>
    <w:rsid w:val="00485675"/>
    <w:rsid w:val="00486212"/>
    <w:rsid w:val="004862EB"/>
    <w:rsid w:val="00487A17"/>
    <w:rsid w:val="00487C14"/>
    <w:rsid w:val="00487C85"/>
    <w:rsid w:val="00490DC4"/>
    <w:rsid w:val="00491B57"/>
    <w:rsid w:val="00492419"/>
    <w:rsid w:val="00494F09"/>
    <w:rsid w:val="00494F64"/>
    <w:rsid w:val="004956F0"/>
    <w:rsid w:val="00495F5A"/>
    <w:rsid w:val="00497A92"/>
    <w:rsid w:val="00497B9F"/>
    <w:rsid w:val="004A0A2B"/>
    <w:rsid w:val="004A1C55"/>
    <w:rsid w:val="004A2084"/>
    <w:rsid w:val="004A32FF"/>
    <w:rsid w:val="004A34EC"/>
    <w:rsid w:val="004A4430"/>
    <w:rsid w:val="004A4762"/>
    <w:rsid w:val="004A4FDF"/>
    <w:rsid w:val="004A5489"/>
    <w:rsid w:val="004A5E73"/>
    <w:rsid w:val="004A69C4"/>
    <w:rsid w:val="004A7A52"/>
    <w:rsid w:val="004B05A0"/>
    <w:rsid w:val="004B0CF0"/>
    <w:rsid w:val="004B19FE"/>
    <w:rsid w:val="004B263A"/>
    <w:rsid w:val="004B2A4D"/>
    <w:rsid w:val="004B2F45"/>
    <w:rsid w:val="004B33C2"/>
    <w:rsid w:val="004B3967"/>
    <w:rsid w:val="004B3E6D"/>
    <w:rsid w:val="004B4214"/>
    <w:rsid w:val="004B4E32"/>
    <w:rsid w:val="004B5E3E"/>
    <w:rsid w:val="004B6824"/>
    <w:rsid w:val="004B689D"/>
    <w:rsid w:val="004B768B"/>
    <w:rsid w:val="004BE74D"/>
    <w:rsid w:val="004C04F8"/>
    <w:rsid w:val="004C0E97"/>
    <w:rsid w:val="004C3B5A"/>
    <w:rsid w:val="004C43AF"/>
    <w:rsid w:val="004C48C8"/>
    <w:rsid w:val="004C4F57"/>
    <w:rsid w:val="004C598D"/>
    <w:rsid w:val="004C7CB0"/>
    <w:rsid w:val="004D10EC"/>
    <w:rsid w:val="004D18DA"/>
    <w:rsid w:val="004D2EEC"/>
    <w:rsid w:val="004D3897"/>
    <w:rsid w:val="004D4425"/>
    <w:rsid w:val="004D4C44"/>
    <w:rsid w:val="004D58D4"/>
    <w:rsid w:val="004D709A"/>
    <w:rsid w:val="004D73C0"/>
    <w:rsid w:val="004D7E58"/>
    <w:rsid w:val="004E2BD6"/>
    <w:rsid w:val="004E4D26"/>
    <w:rsid w:val="004E7B98"/>
    <w:rsid w:val="004F042C"/>
    <w:rsid w:val="004F24E0"/>
    <w:rsid w:val="004F3067"/>
    <w:rsid w:val="004F30C0"/>
    <w:rsid w:val="004F53D5"/>
    <w:rsid w:val="004F6258"/>
    <w:rsid w:val="004F6845"/>
    <w:rsid w:val="004F6926"/>
    <w:rsid w:val="004F6AD3"/>
    <w:rsid w:val="004F74FF"/>
    <w:rsid w:val="00501386"/>
    <w:rsid w:val="00501B7F"/>
    <w:rsid w:val="00501BD9"/>
    <w:rsid w:val="00501C25"/>
    <w:rsid w:val="00501D27"/>
    <w:rsid w:val="005020E9"/>
    <w:rsid w:val="00502681"/>
    <w:rsid w:val="005027A6"/>
    <w:rsid w:val="00502DAE"/>
    <w:rsid w:val="00502FFB"/>
    <w:rsid w:val="005038A0"/>
    <w:rsid w:val="00504A82"/>
    <w:rsid w:val="00504DE8"/>
    <w:rsid w:val="0050549D"/>
    <w:rsid w:val="00505E19"/>
    <w:rsid w:val="00507073"/>
    <w:rsid w:val="0050727E"/>
    <w:rsid w:val="005103C5"/>
    <w:rsid w:val="00511D64"/>
    <w:rsid w:val="00512271"/>
    <w:rsid w:val="005131D3"/>
    <w:rsid w:val="00513372"/>
    <w:rsid w:val="0051352C"/>
    <w:rsid w:val="00514E6F"/>
    <w:rsid w:val="00514FC2"/>
    <w:rsid w:val="00515136"/>
    <w:rsid w:val="00515BFA"/>
    <w:rsid w:val="0051639D"/>
    <w:rsid w:val="00517A86"/>
    <w:rsid w:val="00520A1C"/>
    <w:rsid w:val="0052349D"/>
    <w:rsid w:val="00524BE8"/>
    <w:rsid w:val="00524EAB"/>
    <w:rsid w:val="0052575D"/>
    <w:rsid w:val="00526C92"/>
    <w:rsid w:val="005275FC"/>
    <w:rsid w:val="0052768C"/>
    <w:rsid w:val="0052790D"/>
    <w:rsid w:val="00530896"/>
    <w:rsid w:val="005310AF"/>
    <w:rsid w:val="00533EFE"/>
    <w:rsid w:val="005342C3"/>
    <w:rsid w:val="00534836"/>
    <w:rsid w:val="005362F5"/>
    <w:rsid w:val="0053725B"/>
    <w:rsid w:val="00537671"/>
    <w:rsid w:val="00537DF2"/>
    <w:rsid w:val="00540388"/>
    <w:rsid w:val="00540C57"/>
    <w:rsid w:val="00541401"/>
    <w:rsid w:val="00541AD2"/>
    <w:rsid w:val="005425A3"/>
    <w:rsid w:val="00542734"/>
    <w:rsid w:val="00543408"/>
    <w:rsid w:val="0054425B"/>
    <w:rsid w:val="005449C9"/>
    <w:rsid w:val="005459D9"/>
    <w:rsid w:val="00546964"/>
    <w:rsid w:val="00546A1B"/>
    <w:rsid w:val="00546CB9"/>
    <w:rsid w:val="00547E29"/>
    <w:rsid w:val="005531BD"/>
    <w:rsid w:val="0055375F"/>
    <w:rsid w:val="005567B2"/>
    <w:rsid w:val="005574B6"/>
    <w:rsid w:val="00557870"/>
    <w:rsid w:val="0056004E"/>
    <w:rsid w:val="00560277"/>
    <w:rsid w:val="00560938"/>
    <w:rsid w:val="00560AF1"/>
    <w:rsid w:val="00561562"/>
    <w:rsid w:val="00563DE6"/>
    <w:rsid w:val="0056528D"/>
    <w:rsid w:val="005657BF"/>
    <w:rsid w:val="00565E46"/>
    <w:rsid w:val="0056628B"/>
    <w:rsid w:val="00566298"/>
    <w:rsid w:val="005677B3"/>
    <w:rsid w:val="005678A8"/>
    <w:rsid w:val="0057091E"/>
    <w:rsid w:val="00570A1F"/>
    <w:rsid w:val="00570ACC"/>
    <w:rsid w:val="0057105B"/>
    <w:rsid w:val="00571848"/>
    <w:rsid w:val="00571C7C"/>
    <w:rsid w:val="005723D6"/>
    <w:rsid w:val="00572CBD"/>
    <w:rsid w:val="00573CC5"/>
    <w:rsid w:val="005741F6"/>
    <w:rsid w:val="00574A6E"/>
    <w:rsid w:val="00575205"/>
    <w:rsid w:val="005758A6"/>
    <w:rsid w:val="005758C8"/>
    <w:rsid w:val="00575B01"/>
    <w:rsid w:val="00575C14"/>
    <w:rsid w:val="00575FD3"/>
    <w:rsid w:val="00577145"/>
    <w:rsid w:val="005773BE"/>
    <w:rsid w:val="0058085F"/>
    <w:rsid w:val="00582365"/>
    <w:rsid w:val="005828A9"/>
    <w:rsid w:val="0058483A"/>
    <w:rsid w:val="00585395"/>
    <w:rsid w:val="00585C1B"/>
    <w:rsid w:val="00587639"/>
    <w:rsid w:val="00587D2F"/>
    <w:rsid w:val="005906E8"/>
    <w:rsid w:val="005910E8"/>
    <w:rsid w:val="00592638"/>
    <w:rsid w:val="00593138"/>
    <w:rsid w:val="00593A33"/>
    <w:rsid w:val="005947B5"/>
    <w:rsid w:val="005960BB"/>
    <w:rsid w:val="00596B55"/>
    <w:rsid w:val="00597407"/>
    <w:rsid w:val="005A0496"/>
    <w:rsid w:val="005A0768"/>
    <w:rsid w:val="005A2DC9"/>
    <w:rsid w:val="005A2F47"/>
    <w:rsid w:val="005A4047"/>
    <w:rsid w:val="005A427B"/>
    <w:rsid w:val="005A4384"/>
    <w:rsid w:val="005A5308"/>
    <w:rsid w:val="005A5A14"/>
    <w:rsid w:val="005A5BAA"/>
    <w:rsid w:val="005A669F"/>
    <w:rsid w:val="005A7012"/>
    <w:rsid w:val="005A7A5E"/>
    <w:rsid w:val="005A7DAB"/>
    <w:rsid w:val="005B177C"/>
    <w:rsid w:val="005B1C07"/>
    <w:rsid w:val="005B1DC3"/>
    <w:rsid w:val="005B3432"/>
    <w:rsid w:val="005B3BD6"/>
    <w:rsid w:val="005B44F5"/>
    <w:rsid w:val="005B6F9D"/>
    <w:rsid w:val="005B7594"/>
    <w:rsid w:val="005B7D6C"/>
    <w:rsid w:val="005C134C"/>
    <w:rsid w:val="005C32B8"/>
    <w:rsid w:val="005C355A"/>
    <w:rsid w:val="005C4C38"/>
    <w:rsid w:val="005C6BD8"/>
    <w:rsid w:val="005C7215"/>
    <w:rsid w:val="005C73C4"/>
    <w:rsid w:val="005D00EA"/>
    <w:rsid w:val="005D023B"/>
    <w:rsid w:val="005D02C4"/>
    <w:rsid w:val="005D02F0"/>
    <w:rsid w:val="005D2183"/>
    <w:rsid w:val="005D2304"/>
    <w:rsid w:val="005D2BD0"/>
    <w:rsid w:val="005D3A04"/>
    <w:rsid w:val="005D48FE"/>
    <w:rsid w:val="005D4EBD"/>
    <w:rsid w:val="005D5627"/>
    <w:rsid w:val="005D62F6"/>
    <w:rsid w:val="005D7471"/>
    <w:rsid w:val="005D749D"/>
    <w:rsid w:val="005E0924"/>
    <w:rsid w:val="005E15AA"/>
    <w:rsid w:val="005E206D"/>
    <w:rsid w:val="005E21AE"/>
    <w:rsid w:val="005E2700"/>
    <w:rsid w:val="005E2702"/>
    <w:rsid w:val="005E5874"/>
    <w:rsid w:val="005E75CD"/>
    <w:rsid w:val="005E75D5"/>
    <w:rsid w:val="005F1555"/>
    <w:rsid w:val="005F2978"/>
    <w:rsid w:val="005F3476"/>
    <w:rsid w:val="005F4721"/>
    <w:rsid w:val="005F5381"/>
    <w:rsid w:val="005F55FC"/>
    <w:rsid w:val="005F65C1"/>
    <w:rsid w:val="005F6AAD"/>
    <w:rsid w:val="005F720A"/>
    <w:rsid w:val="0060244C"/>
    <w:rsid w:val="00602ABA"/>
    <w:rsid w:val="00602F43"/>
    <w:rsid w:val="00603B08"/>
    <w:rsid w:val="006048A1"/>
    <w:rsid w:val="00605776"/>
    <w:rsid w:val="00606905"/>
    <w:rsid w:val="00607BB4"/>
    <w:rsid w:val="00610078"/>
    <w:rsid w:val="00610162"/>
    <w:rsid w:val="00610ABA"/>
    <w:rsid w:val="00610CC7"/>
    <w:rsid w:val="00610CD8"/>
    <w:rsid w:val="00610FAE"/>
    <w:rsid w:val="00613037"/>
    <w:rsid w:val="006135AB"/>
    <w:rsid w:val="006138E4"/>
    <w:rsid w:val="006144F6"/>
    <w:rsid w:val="006159D1"/>
    <w:rsid w:val="00616285"/>
    <w:rsid w:val="00616407"/>
    <w:rsid w:val="00620083"/>
    <w:rsid w:val="00620D68"/>
    <w:rsid w:val="00620E5A"/>
    <w:rsid w:val="00621B27"/>
    <w:rsid w:val="00621B30"/>
    <w:rsid w:val="006228E2"/>
    <w:rsid w:val="00622D09"/>
    <w:rsid w:val="0062306C"/>
    <w:rsid w:val="00624CFA"/>
    <w:rsid w:val="00624F44"/>
    <w:rsid w:val="006250E9"/>
    <w:rsid w:val="00625D7A"/>
    <w:rsid w:val="006272B2"/>
    <w:rsid w:val="00627B5C"/>
    <w:rsid w:val="00631F67"/>
    <w:rsid w:val="00633B2F"/>
    <w:rsid w:val="00633CB4"/>
    <w:rsid w:val="006408AF"/>
    <w:rsid w:val="00640A69"/>
    <w:rsid w:val="00640C31"/>
    <w:rsid w:val="0064156D"/>
    <w:rsid w:val="00643226"/>
    <w:rsid w:val="00644168"/>
    <w:rsid w:val="00644D79"/>
    <w:rsid w:val="00645336"/>
    <w:rsid w:val="006459EF"/>
    <w:rsid w:val="006465F3"/>
    <w:rsid w:val="0065051A"/>
    <w:rsid w:val="006527F0"/>
    <w:rsid w:val="00652F37"/>
    <w:rsid w:val="006534BF"/>
    <w:rsid w:val="006537D7"/>
    <w:rsid w:val="0065444A"/>
    <w:rsid w:val="0065480E"/>
    <w:rsid w:val="006548D5"/>
    <w:rsid w:val="00654F68"/>
    <w:rsid w:val="00655868"/>
    <w:rsid w:val="00655CF9"/>
    <w:rsid w:val="00655D45"/>
    <w:rsid w:val="00656BF0"/>
    <w:rsid w:val="00656E15"/>
    <w:rsid w:val="0065714C"/>
    <w:rsid w:val="00657FCA"/>
    <w:rsid w:val="00660A74"/>
    <w:rsid w:val="00662315"/>
    <w:rsid w:val="00662E5F"/>
    <w:rsid w:val="006630FF"/>
    <w:rsid w:val="00664434"/>
    <w:rsid w:val="0066561F"/>
    <w:rsid w:val="00666A58"/>
    <w:rsid w:val="00666B84"/>
    <w:rsid w:val="00667B7E"/>
    <w:rsid w:val="00670650"/>
    <w:rsid w:val="006712C0"/>
    <w:rsid w:val="00672C81"/>
    <w:rsid w:val="006736ED"/>
    <w:rsid w:val="006744AC"/>
    <w:rsid w:val="00674C7D"/>
    <w:rsid w:val="006763BB"/>
    <w:rsid w:val="00680150"/>
    <w:rsid w:val="00680626"/>
    <w:rsid w:val="00680B40"/>
    <w:rsid w:val="00681A1E"/>
    <w:rsid w:val="00681EC9"/>
    <w:rsid w:val="006822E0"/>
    <w:rsid w:val="006822FA"/>
    <w:rsid w:val="0068288C"/>
    <w:rsid w:val="0068320C"/>
    <w:rsid w:val="00683F36"/>
    <w:rsid w:val="00684EEF"/>
    <w:rsid w:val="00685589"/>
    <w:rsid w:val="00685889"/>
    <w:rsid w:val="006858B5"/>
    <w:rsid w:val="00685AED"/>
    <w:rsid w:val="006860CB"/>
    <w:rsid w:val="0068682C"/>
    <w:rsid w:val="00687602"/>
    <w:rsid w:val="00690BAA"/>
    <w:rsid w:val="00690E98"/>
    <w:rsid w:val="00691A7A"/>
    <w:rsid w:val="0069256A"/>
    <w:rsid w:val="006931BD"/>
    <w:rsid w:val="006938AA"/>
    <w:rsid w:val="0069393E"/>
    <w:rsid w:val="0069474B"/>
    <w:rsid w:val="0069475D"/>
    <w:rsid w:val="00695DDE"/>
    <w:rsid w:val="00697966"/>
    <w:rsid w:val="006A076B"/>
    <w:rsid w:val="006A32D3"/>
    <w:rsid w:val="006A3793"/>
    <w:rsid w:val="006A3A2B"/>
    <w:rsid w:val="006A4557"/>
    <w:rsid w:val="006A4CC9"/>
    <w:rsid w:val="006A4E12"/>
    <w:rsid w:val="006A5DB1"/>
    <w:rsid w:val="006A63FB"/>
    <w:rsid w:val="006A6BF1"/>
    <w:rsid w:val="006A7C47"/>
    <w:rsid w:val="006B00A3"/>
    <w:rsid w:val="006B0EB8"/>
    <w:rsid w:val="006B2482"/>
    <w:rsid w:val="006B3032"/>
    <w:rsid w:val="006B4B4A"/>
    <w:rsid w:val="006B4F06"/>
    <w:rsid w:val="006B75C6"/>
    <w:rsid w:val="006C0022"/>
    <w:rsid w:val="006C031C"/>
    <w:rsid w:val="006C03B2"/>
    <w:rsid w:val="006C0AE9"/>
    <w:rsid w:val="006C16F5"/>
    <w:rsid w:val="006C354C"/>
    <w:rsid w:val="006C3B76"/>
    <w:rsid w:val="006C4572"/>
    <w:rsid w:val="006C4800"/>
    <w:rsid w:val="006C51B6"/>
    <w:rsid w:val="006C6939"/>
    <w:rsid w:val="006C7B03"/>
    <w:rsid w:val="006D0718"/>
    <w:rsid w:val="006D0EC2"/>
    <w:rsid w:val="006D174D"/>
    <w:rsid w:val="006D3B8A"/>
    <w:rsid w:val="006D4C72"/>
    <w:rsid w:val="006D4E4C"/>
    <w:rsid w:val="006D4F28"/>
    <w:rsid w:val="006D5422"/>
    <w:rsid w:val="006D5585"/>
    <w:rsid w:val="006D55F8"/>
    <w:rsid w:val="006D5F76"/>
    <w:rsid w:val="006D6D96"/>
    <w:rsid w:val="006D7211"/>
    <w:rsid w:val="006D7462"/>
    <w:rsid w:val="006D75C8"/>
    <w:rsid w:val="006E0493"/>
    <w:rsid w:val="006E1E99"/>
    <w:rsid w:val="006E281B"/>
    <w:rsid w:val="006E3E04"/>
    <w:rsid w:val="006E47BE"/>
    <w:rsid w:val="006E485A"/>
    <w:rsid w:val="006E79E2"/>
    <w:rsid w:val="006F0946"/>
    <w:rsid w:val="006F0A0F"/>
    <w:rsid w:val="006F0D46"/>
    <w:rsid w:val="006F14A2"/>
    <w:rsid w:val="006F1757"/>
    <w:rsid w:val="006F23DD"/>
    <w:rsid w:val="006F3BD5"/>
    <w:rsid w:val="006F3C7B"/>
    <w:rsid w:val="006F3D7F"/>
    <w:rsid w:val="006F5158"/>
    <w:rsid w:val="006F700E"/>
    <w:rsid w:val="00700950"/>
    <w:rsid w:val="00700967"/>
    <w:rsid w:val="00700BA1"/>
    <w:rsid w:val="00701136"/>
    <w:rsid w:val="00701EF6"/>
    <w:rsid w:val="0070319A"/>
    <w:rsid w:val="00703CB4"/>
    <w:rsid w:val="0070587F"/>
    <w:rsid w:val="007060DE"/>
    <w:rsid w:val="007060FA"/>
    <w:rsid w:val="00707C18"/>
    <w:rsid w:val="007103A9"/>
    <w:rsid w:val="007104EB"/>
    <w:rsid w:val="00710656"/>
    <w:rsid w:val="00710CE0"/>
    <w:rsid w:val="00710DD2"/>
    <w:rsid w:val="00712325"/>
    <w:rsid w:val="00712F90"/>
    <w:rsid w:val="007132BC"/>
    <w:rsid w:val="00713843"/>
    <w:rsid w:val="00714937"/>
    <w:rsid w:val="0071630E"/>
    <w:rsid w:val="00716A28"/>
    <w:rsid w:val="00716AD2"/>
    <w:rsid w:val="00716F50"/>
    <w:rsid w:val="007203CA"/>
    <w:rsid w:val="0072244F"/>
    <w:rsid w:val="007226F5"/>
    <w:rsid w:val="00723B2C"/>
    <w:rsid w:val="0072468F"/>
    <w:rsid w:val="00724ED0"/>
    <w:rsid w:val="00724F92"/>
    <w:rsid w:val="007253D6"/>
    <w:rsid w:val="0072578A"/>
    <w:rsid w:val="0072597A"/>
    <w:rsid w:val="00725EB9"/>
    <w:rsid w:val="00726845"/>
    <w:rsid w:val="00730932"/>
    <w:rsid w:val="00734BCE"/>
    <w:rsid w:val="00736424"/>
    <w:rsid w:val="00736CB3"/>
    <w:rsid w:val="0073792C"/>
    <w:rsid w:val="0074126B"/>
    <w:rsid w:val="0074257A"/>
    <w:rsid w:val="00745719"/>
    <w:rsid w:val="007460D3"/>
    <w:rsid w:val="00746523"/>
    <w:rsid w:val="007467E0"/>
    <w:rsid w:val="00746AEC"/>
    <w:rsid w:val="00747434"/>
    <w:rsid w:val="007476F1"/>
    <w:rsid w:val="0074788B"/>
    <w:rsid w:val="00750408"/>
    <w:rsid w:val="00750623"/>
    <w:rsid w:val="00750B09"/>
    <w:rsid w:val="0075137C"/>
    <w:rsid w:val="00752472"/>
    <w:rsid w:val="007538A0"/>
    <w:rsid w:val="0075418A"/>
    <w:rsid w:val="00756508"/>
    <w:rsid w:val="00756C80"/>
    <w:rsid w:val="007623EE"/>
    <w:rsid w:val="0076260D"/>
    <w:rsid w:val="00763B77"/>
    <w:rsid w:val="00763F39"/>
    <w:rsid w:val="0076469D"/>
    <w:rsid w:val="007650B2"/>
    <w:rsid w:val="00765D32"/>
    <w:rsid w:val="00766387"/>
    <w:rsid w:val="00766F86"/>
    <w:rsid w:val="0076702C"/>
    <w:rsid w:val="00767F6C"/>
    <w:rsid w:val="007706F4"/>
    <w:rsid w:val="00771556"/>
    <w:rsid w:val="007715C0"/>
    <w:rsid w:val="0077237F"/>
    <w:rsid w:val="00772829"/>
    <w:rsid w:val="00773845"/>
    <w:rsid w:val="00777847"/>
    <w:rsid w:val="00777848"/>
    <w:rsid w:val="00777893"/>
    <w:rsid w:val="0077C2B7"/>
    <w:rsid w:val="0078257F"/>
    <w:rsid w:val="00782746"/>
    <w:rsid w:val="00784341"/>
    <w:rsid w:val="007852E9"/>
    <w:rsid w:val="007855CD"/>
    <w:rsid w:val="00786EBA"/>
    <w:rsid w:val="007876E6"/>
    <w:rsid w:val="00790B15"/>
    <w:rsid w:val="00790F49"/>
    <w:rsid w:val="00791884"/>
    <w:rsid w:val="007926EC"/>
    <w:rsid w:val="00793100"/>
    <w:rsid w:val="007931CB"/>
    <w:rsid w:val="0079336D"/>
    <w:rsid w:val="007946BD"/>
    <w:rsid w:val="00794775"/>
    <w:rsid w:val="00794AF6"/>
    <w:rsid w:val="007951D4"/>
    <w:rsid w:val="00796957"/>
    <w:rsid w:val="007975F0"/>
    <w:rsid w:val="00797A56"/>
    <w:rsid w:val="00797C46"/>
    <w:rsid w:val="007A19F6"/>
    <w:rsid w:val="007A1A6B"/>
    <w:rsid w:val="007A21C9"/>
    <w:rsid w:val="007A2B65"/>
    <w:rsid w:val="007A4D60"/>
    <w:rsid w:val="007A5617"/>
    <w:rsid w:val="007A6712"/>
    <w:rsid w:val="007A7499"/>
    <w:rsid w:val="007B0245"/>
    <w:rsid w:val="007B0408"/>
    <w:rsid w:val="007B083F"/>
    <w:rsid w:val="007B0880"/>
    <w:rsid w:val="007B0D01"/>
    <w:rsid w:val="007B1B3E"/>
    <w:rsid w:val="007B2085"/>
    <w:rsid w:val="007B2157"/>
    <w:rsid w:val="007B2FDC"/>
    <w:rsid w:val="007B35E1"/>
    <w:rsid w:val="007B38A0"/>
    <w:rsid w:val="007B38B7"/>
    <w:rsid w:val="007B4F7B"/>
    <w:rsid w:val="007B560F"/>
    <w:rsid w:val="007B583D"/>
    <w:rsid w:val="007B6684"/>
    <w:rsid w:val="007B6858"/>
    <w:rsid w:val="007B6B21"/>
    <w:rsid w:val="007B7024"/>
    <w:rsid w:val="007C0390"/>
    <w:rsid w:val="007C08B4"/>
    <w:rsid w:val="007C0DBB"/>
    <w:rsid w:val="007C134E"/>
    <w:rsid w:val="007C14A2"/>
    <w:rsid w:val="007C2215"/>
    <w:rsid w:val="007C300E"/>
    <w:rsid w:val="007C3245"/>
    <w:rsid w:val="007C328D"/>
    <w:rsid w:val="007C336A"/>
    <w:rsid w:val="007C336F"/>
    <w:rsid w:val="007C3376"/>
    <w:rsid w:val="007C41B1"/>
    <w:rsid w:val="007C57E2"/>
    <w:rsid w:val="007C6EBB"/>
    <w:rsid w:val="007D0A1B"/>
    <w:rsid w:val="007D1038"/>
    <w:rsid w:val="007D30B7"/>
    <w:rsid w:val="007D402A"/>
    <w:rsid w:val="007D6735"/>
    <w:rsid w:val="007D6780"/>
    <w:rsid w:val="007D71C6"/>
    <w:rsid w:val="007D7A96"/>
    <w:rsid w:val="007E08ED"/>
    <w:rsid w:val="007E15AD"/>
    <w:rsid w:val="007E2243"/>
    <w:rsid w:val="007E22A8"/>
    <w:rsid w:val="007E25ED"/>
    <w:rsid w:val="007E25FE"/>
    <w:rsid w:val="007E2A65"/>
    <w:rsid w:val="007E2BC0"/>
    <w:rsid w:val="007E3659"/>
    <w:rsid w:val="007E54E0"/>
    <w:rsid w:val="007E6026"/>
    <w:rsid w:val="007E63D5"/>
    <w:rsid w:val="007E731C"/>
    <w:rsid w:val="007E7B7C"/>
    <w:rsid w:val="007F1668"/>
    <w:rsid w:val="007F210C"/>
    <w:rsid w:val="007F531B"/>
    <w:rsid w:val="007F67E9"/>
    <w:rsid w:val="007F6ABE"/>
    <w:rsid w:val="007F7A34"/>
    <w:rsid w:val="007F7C7B"/>
    <w:rsid w:val="008016FC"/>
    <w:rsid w:val="00802E9B"/>
    <w:rsid w:val="008040A2"/>
    <w:rsid w:val="00804632"/>
    <w:rsid w:val="008054D9"/>
    <w:rsid w:val="00805B75"/>
    <w:rsid w:val="00806688"/>
    <w:rsid w:val="00806CA2"/>
    <w:rsid w:val="00806E31"/>
    <w:rsid w:val="0080726A"/>
    <w:rsid w:val="00807370"/>
    <w:rsid w:val="008078AC"/>
    <w:rsid w:val="00807A3E"/>
    <w:rsid w:val="00810338"/>
    <w:rsid w:val="00811D3E"/>
    <w:rsid w:val="00811D4F"/>
    <w:rsid w:val="0081216D"/>
    <w:rsid w:val="00812282"/>
    <w:rsid w:val="00812D48"/>
    <w:rsid w:val="0081405A"/>
    <w:rsid w:val="008148E4"/>
    <w:rsid w:val="008157F1"/>
    <w:rsid w:val="00816EC2"/>
    <w:rsid w:val="008236E1"/>
    <w:rsid w:val="00824458"/>
    <w:rsid w:val="008249F7"/>
    <w:rsid w:val="00824B74"/>
    <w:rsid w:val="008250EB"/>
    <w:rsid w:val="00825713"/>
    <w:rsid w:val="00826CD1"/>
    <w:rsid w:val="00827027"/>
    <w:rsid w:val="00830486"/>
    <w:rsid w:val="00831FD4"/>
    <w:rsid w:val="00832987"/>
    <w:rsid w:val="00833878"/>
    <w:rsid w:val="008338E2"/>
    <w:rsid w:val="0083451E"/>
    <w:rsid w:val="00835EC9"/>
    <w:rsid w:val="0084031D"/>
    <w:rsid w:val="00841388"/>
    <w:rsid w:val="00841EFB"/>
    <w:rsid w:val="00841F44"/>
    <w:rsid w:val="00842C82"/>
    <w:rsid w:val="008436D7"/>
    <w:rsid w:val="008437A6"/>
    <w:rsid w:val="008440FE"/>
    <w:rsid w:val="00846119"/>
    <w:rsid w:val="0084624D"/>
    <w:rsid w:val="008464A8"/>
    <w:rsid w:val="008468A6"/>
    <w:rsid w:val="00847376"/>
    <w:rsid w:val="008474E3"/>
    <w:rsid w:val="008527ED"/>
    <w:rsid w:val="00852B8B"/>
    <w:rsid w:val="008537F7"/>
    <w:rsid w:val="00854344"/>
    <w:rsid w:val="008546BE"/>
    <w:rsid w:val="00855169"/>
    <w:rsid w:val="00855D21"/>
    <w:rsid w:val="00856074"/>
    <w:rsid w:val="00856563"/>
    <w:rsid w:val="00856A8D"/>
    <w:rsid w:val="00857949"/>
    <w:rsid w:val="00860E08"/>
    <w:rsid w:val="00861129"/>
    <w:rsid w:val="00861629"/>
    <w:rsid w:val="008628A2"/>
    <w:rsid w:val="00862C2A"/>
    <w:rsid w:val="00862CAD"/>
    <w:rsid w:val="00863484"/>
    <w:rsid w:val="00863A5D"/>
    <w:rsid w:val="00864708"/>
    <w:rsid w:val="00864BEB"/>
    <w:rsid w:val="00865CDC"/>
    <w:rsid w:val="00870613"/>
    <w:rsid w:val="008719C2"/>
    <w:rsid w:val="0087277A"/>
    <w:rsid w:val="00872A47"/>
    <w:rsid w:val="008731D3"/>
    <w:rsid w:val="008736E2"/>
    <w:rsid w:val="00874565"/>
    <w:rsid w:val="00874AD6"/>
    <w:rsid w:val="00875FBE"/>
    <w:rsid w:val="00877247"/>
    <w:rsid w:val="0087783A"/>
    <w:rsid w:val="008801AE"/>
    <w:rsid w:val="00880AA3"/>
    <w:rsid w:val="00880D72"/>
    <w:rsid w:val="0088421C"/>
    <w:rsid w:val="0088445B"/>
    <w:rsid w:val="00884F32"/>
    <w:rsid w:val="00885F52"/>
    <w:rsid w:val="00887D66"/>
    <w:rsid w:val="00887DAD"/>
    <w:rsid w:val="00887F79"/>
    <w:rsid w:val="008910BC"/>
    <w:rsid w:val="00891AF6"/>
    <w:rsid w:val="00891BC3"/>
    <w:rsid w:val="00892A5E"/>
    <w:rsid w:val="00892B8C"/>
    <w:rsid w:val="008937C8"/>
    <w:rsid w:val="00894BF2"/>
    <w:rsid w:val="00896183"/>
    <w:rsid w:val="008967C4"/>
    <w:rsid w:val="00896897"/>
    <w:rsid w:val="00897430"/>
    <w:rsid w:val="008A0D2A"/>
    <w:rsid w:val="008A1485"/>
    <w:rsid w:val="008A1693"/>
    <w:rsid w:val="008A23ED"/>
    <w:rsid w:val="008A254F"/>
    <w:rsid w:val="008A2630"/>
    <w:rsid w:val="008A2F95"/>
    <w:rsid w:val="008A3545"/>
    <w:rsid w:val="008A39A7"/>
    <w:rsid w:val="008A450D"/>
    <w:rsid w:val="008A5655"/>
    <w:rsid w:val="008A5833"/>
    <w:rsid w:val="008A5FBD"/>
    <w:rsid w:val="008A74D5"/>
    <w:rsid w:val="008B0460"/>
    <w:rsid w:val="008B144C"/>
    <w:rsid w:val="008B18B7"/>
    <w:rsid w:val="008B27FD"/>
    <w:rsid w:val="008B33C0"/>
    <w:rsid w:val="008B3A88"/>
    <w:rsid w:val="008B3BD7"/>
    <w:rsid w:val="008B4BFC"/>
    <w:rsid w:val="008B50C0"/>
    <w:rsid w:val="008B51B4"/>
    <w:rsid w:val="008B57D2"/>
    <w:rsid w:val="008B5B67"/>
    <w:rsid w:val="008B5D7A"/>
    <w:rsid w:val="008B66E3"/>
    <w:rsid w:val="008B696D"/>
    <w:rsid w:val="008B7848"/>
    <w:rsid w:val="008B7B8E"/>
    <w:rsid w:val="008B7CD6"/>
    <w:rsid w:val="008C0178"/>
    <w:rsid w:val="008C09A3"/>
    <w:rsid w:val="008C167B"/>
    <w:rsid w:val="008C1C23"/>
    <w:rsid w:val="008C1E05"/>
    <w:rsid w:val="008C3321"/>
    <w:rsid w:val="008C34BB"/>
    <w:rsid w:val="008C3B6D"/>
    <w:rsid w:val="008C45E2"/>
    <w:rsid w:val="008C4C25"/>
    <w:rsid w:val="008C5A1C"/>
    <w:rsid w:val="008D19C3"/>
    <w:rsid w:val="008D3726"/>
    <w:rsid w:val="008D3B80"/>
    <w:rsid w:val="008D4CB0"/>
    <w:rsid w:val="008D4F50"/>
    <w:rsid w:val="008D6397"/>
    <w:rsid w:val="008D73C9"/>
    <w:rsid w:val="008E16BF"/>
    <w:rsid w:val="008E1DD9"/>
    <w:rsid w:val="008E2954"/>
    <w:rsid w:val="008E3049"/>
    <w:rsid w:val="008E35A3"/>
    <w:rsid w:val="008E4770"/>
    <w:rsid w:val="008E59C2"/>
    <w:rsid w:val="008E7274"/>
    <w:rsid w:val="008F0562"/>
    <w:rsid w:val="008F19AF"/>
    <w:rsid w:val="008F1DB1"/>
    <w:rsid w:val="008F242A"/>
    <w:rsid w:val="008F260B"/>
    <w:rsid w:val="008F416A"/>
    <w:rsid w:val="008F61A0"/>
    <w:rsid w:val="008F61AC"/>
    <w:rsid w:val="0090014B"/>
    <w:rsid w:val="009031DD"/>
    <w:rsid w:val="0090331A"/>
    <w:rsid w:val="009035DF"/>
    <w:rsid w:val="009037F3"/>
    <w:rsid w:val="0090466E"/>
    <w:rsid w:val="00905593"/>
    <w:rsid w:val="00906663"/>
    <w:rsid w:val="00906821"/>
    <w:rsid w:val="00906E65"/>
    <w:rsid w:val="00907E90"/>
    <w:rsid w:val="0091205A"/>
    <w:rsid w:val="009125A4"/>
    <w:rsid w:val="0091271E"/>
    <w:rsid w:val="009129B6"/>
    <w:rsid w:val="009144D5"/>
    <w:rsid w:val="0091495E"/>
    <w:rsid w:val="00915256"/>
    <w:rsid w:val="00915CE6"/>
    <w:rsid w:val="00915F98"/>
    <w:rsid w:val="00915FA3"/>
    <w:rsid w:val="00917023"/>
    <w:rsid w:val="009178C8"/>
    <w:rsid w:val="00917CB0"/>
    <w:rsid w:val="00920354"/>
    <w:rsid w:val="009217F8"/>
    <w:rsid w:val="00921A5E"/>
    <w:rsid w:val="00922594"/>
    <w:rsid w:val="00923D1E"/>
    <w:rsid w:val="0092470E"/>
    <w:rsid w:val="00925187"/>
    <w:rsid w:val="00926F5B"/>
    <w:rsid w:val="0092709C"/>
    <w:rsid w:val="0092717F"/>
    <w:rsid w:val="009274CF"/>
    <w:rsid w:val="00927744"/>
    <w:rsid w:val="00927B05"/>
    <w:rsid w:val="00927F12"/>
    <w:rsid w:val="00930F4E"/>
    <w:rsid w:val="00933971"/>
    <w:rsid w:val="00936062"/>
    <w:rsid w:val="0093770D"/>
    <w:rsid w:val="00937CBE"/>
    <w:rsid w:val="0094046F"/>
    <w:rsid w:val="00942A60"/>
    <w:rsid w:val="009431EE"/>
    <w:rsid w:val="00943545"/>
    <w:rsid w:val="00943A57"/>
    <w:rsid w:val="00944087"/>
    <w:rsid w:val="00944E74"/>
    <w:rsid w:val="00947D14"/>
    <w:rsid w:val="0095012E"/>
    <w:rsid w:val="009508A5"/>
    <w:rsid w:val="00950A14"/>
    <w:rsid w:val="00950DFA"/>
    <w:rsid w:val="00951934"/>
    <w:rsid w:val="0095207B"/>
    <w:rsid w:val="00953816"/>
    <w:rsid w:val="00954C8C"/>
    <w:rsid w:val="0095585C"/>
    <w:rsid w:val="00955FB7"/>
    <w:rsid w:val="00956ACE"/>
    <w:rsid w:val="00956D95"/>
    <w:rsid w:val="00956EC0"/>
    <w:rsid w:val="009572A0"/>
    <w:rsid w:val="00957B62"/>
    <w:rsid w:val="00957D24"/>
    <w:rsid w:val="009601F1"/>
    <w:rsid w:val="00960DCF"/>
    <w:rsid w:val="00961887"/>
    <w:rsid w:val="00961B53"/>
    <w:rsid w:val="009623D3"/>
    <w:rsid w:val="00963264"/>
    <w:rsid w:val="0096389D"/>
    <w:rsid w:val="009658CF"/>
    <w:rsid w:val="009676C0"/>
    <w:rsid w:val="009678DE"/>
    <w:rsid w:val="00970464"/>
    <w:rsid w:val="0097066D"/>
    <w:rsid w:val="009733F3"/>
    <w:rsid w:val="00973D6E"/>
    <w:rsid w:val="009803A9"/>
    <w:rsid w:val="009803CB"/>
    <w:rsid w:val="009803D4"/>
    <w:rsid w:val="009807A2"/>
    <w:rsid w:val="0098199C"/>
    <w:rsid w:val="0098318E"/>
    <w:rsid w:val="00986AFC"/>
    <w:rsid w:val="0098739B"/>
    <w:rsid w:val="009873F3"/>
    <w:rsid w:val="00992FC1"/>
    <w:rsid w:val="00993A73"/>
    <w:rsid w:val="00993BFA"/>
    <w:rsid w:val="00993C0B"/>
    <w:rsid w:val="009948C7"/>
    <w:rsid w:val="009954A9"/>
    <w:rsid w:val="00995E98"/>
    <w:rsid w:val="00996F15"/>
    <w:rsid w:val="00997BA8"/>
    <w:rsid w:val="009A004E"/>
    <w:rsid w:val="009A06F4"/>
    <w:rsid w:val="009A0A3D"/>
    <w:rsid w:val="009A0E4B"/>
    <w:rsid w:val="009A18E4"/>
    <w:rsid w:val="009A29F4"/>
    <w:rsid w:val="009A36E1"/>
    <w:rsid w:val="009A3778"/>
    <w:rsid w:val="009A37AB"/>
    <w:rsid w:val="009A3E2E"/>
    <w:rsid w:val="009A4B7D"/>
    <w:rsid w:val="009A5F50"/>
    <w:rsid w:val="009A6E6C"/>
    <w:rsid w:val="009A7791"/>
    <w:rsid w:val="009A7F34"/>
    <w:rsid w:val="009B14AB"/>
    <w:rsid w:val="009B2245"/>
    <w:rsid w:val="009B258E"/>
    <w:rsid w:val="009B2BD5"/>
    <w:rsid w:val="009B2E7B"/>
    <w:rsid w:val="009B39F7"/>
    <w:rsid w:val="009B5997"/>
    <w:rsid w:val="009B61A3"/>
    <w:rsid w:val="009B6B23"/>
    <w:rsid w:val="009B733E"/>
    <w:rsid w:val="009B74BA"/>
    <w:rsid w:val="009B7ABD"/>
    <w:rsid w:val="009B7E09"/>
    <w:rsid w:val="009C01E4"/>
    <w:rsid w:val="009C1B3F"/>
    <w:rsid w:val="009C1D27"/>
    <w:rsid w:val="009C274B"/>
    <w:rsid w:val="009C399A"/>
    <w:rsid w:val="009C3BD9"/>
    <w:rsid w:val="009C43FA"/>
    <w:rsid w:val="009C5B82"/>
    <w:rsid w:val="009C6043"/>
    <w:rsid w:val="009C6721"/>
    <w:rsid w:val="009C687F"/>
    <w:rsid w:val="009C756E"/>
    <w:rsid w:val="009D03DF"/>
    <w:rsid w:val="009D0CCF"/>
    <w:rsid w:val="009D1ED9"/>
    <w:rsid w:val="009D21BE"/>
    <w:rsid w:val="009D3123"/>
    <w:rsid w:val="009D31D5"/>
    <w:rsid w:val="009D36D4"/>
    <w:rsid w:val="009D3C3D"/>
    <w:rsid w:val="009D3F73"/>
    <w:rsid w:val="009D5288"/>
    <w:rsid w:val="009D55E7"/>
    <w:rsid w:val="009D7915"/>
    <w:rsid w:val="009E2A43"/>
    <w:rsid w:val="009E2AD3"/>
    <w:rsid w:val="009E47E5"/>
    <w:rsid w:val="009E55FC"/>
    <w:rsid w:val="009E6012"/>
    <w:rsid w:val="009F0C61"/>
    <w:rsid w:val="009F11D5"/>
    <w:rsid w:val="009F146F"/>
    <w:rsid w:val="009F1E28"/>
    <w:rsid w:val="009F2FFB"/>
    <w:rsid w:val="009F3106"/>
    <w:rsid w:val="009F3878"/>
    <w:rsid w:val="009F3C75"/>
    <w:rsid w:val="009F4F35"/>
    <w:rsid w:val="009F6B6B"/>
    <w:rsid w:val="009F6CEF"/>
    <w:rsid w:val="009F7EAE"/>
    <w:rsid w:val="00A0037E"/>
    <w:rsid w:val="00A00EE1"/>
    <w:rsid w:val="00A01061"/>
    <w:rsid w:val="00A01303"/>
    <w:rsid w:val="00A02C4F"/>
    <w:rsid w:val="00A02ED6"/>
    <w:rsid w:val="00A03A6A"/>
    <w:rsid w:val="00A04A09"/>
    <w:rsid w:val="00A04C85"/>
    <w:rsid w:val="00A04F07"/>
    <w:rsid w:val="00A05821"/>
    <w:rsid w:val="00A05D1D"/>
    <w:rsid w:val="00A05EA2"/>
    <w:rsid w:val="00A064DF"/>
    <w:rsid w:val="00A076CC"/>
    <w:rsid w:val="00A1124F"/>
    <w:rsid w:val="00A11318"/>
    <w:rsid w:val="00A1165C"/>
    <w:rsid w:val="00A125D6"/>
    <w:rsid w:val="00A12793"/>
    <w:rsid w:val="00A14E53"/>
    <w:rsid w:val="00A15580"/>
    <w:rsid w:val="00A1603E"/>
    <w:rsid w:val="00A162EE"/>
    <w:rsid w:val="00A16449"/>
    <w:rsid w:val="00A16878"/>
    <w:rsid w:val="00A16C32"/>
    <w:rsid w:val="00A1727D"/>
    <w:rsid w:val="00A20844"/>
    <w:rsid w:val="00A20C91"/>
    <w:rsid w:val="00A22301"/>
    <w:rsid w:val="00A22E51"/>
    <w:rsid w:val="00A22EFC"/>
    <w:rsid w:val="00A23411"/>
    <w:rsid w:val="00A241B9"/>
    <w:rsid w:val="00A25247"/>
    <w:rsid w:val="00A256DA"/>
    <w:rsid w:val="00A25985"/>
    <w:rsid w:val="00A26020"/>
    <w:rsid w:val="00A26389"/>
    <w:rsid w:val="00A27319"/>
    <w:rsid w:val="00A2743B"/>
    <w:rsid w:val="00A277D5"/>
    <w:rsid w:val="00A303B8"/>
    <w:rsid w:val="00A30C8C"/>
    <w:rsid w:val="00A30FC2"/>
    <w:rsid w:val="00A31F8D"/>
    <w:rsid w:val="00A32810"/>
    <w:rsid w:val="00A32B71"/>
    <w:rsid w:val="00A34735"/>
    <w:rsid w:val="00A352BA"/>
    <w:rsid w:val="00A361C3"/>
    <w:rsid w:val="00A363B3"/>
    <w:rsid w:val="00A37902"/>
    <w:rsid w:val="00A37A26"/>
    <w:rsid w:val="00A40AD7"/>
    <w:rsid w:val="00A411B1"/>
    <w:rsid w:val="00A411FA"/>
    <w:rsid w:val="00A41321"/>
    <w:rsid w:val="00A42ADF"/>
    <w:rsid w:val="00A44EC1"/>
    <w:rsid w:val="00A454B3"/>
    <w:rsid w:val="00A45AD2"/>
    <w:rsid w:val="00A45E52"/>
    <w:rsid w:val="00A462B2"/>
    <w:rsid w:val="00A46652"/>
    <w:rsid w:val="00A46D15"/>
    <w:rsid w:val="00A4713D"/>
    <w:rsid w:val="00A501B7"/>
    <w:rsid w:val="00A5323B"/>
    <w:rsid w:val="00A53571"/>
    <w:rsid w:val="00A5469D"/>
    <w:rsid w:val="00A54DEC"/>
    <w:rsid w:val="00A54FB4"/>
    <w:rsid w:val="00A5612C"/>
    <w:rsid w:val="00A56C14"/>
    <w:rsid w:val="00A56DE0"/>
    <w:rsid w:val="00A5725B"/>
    <w:rsid w:val="00A63C18"/>
    <w:rsid w:val="00A6416C"/>
    <w:rsid w:val="00A662DC"/>
    <w:rsid w:val="00A66DC8"/>
    <w:rsid w:val="00A6731A"/>
    <w:rsid w:val="00A6741B"/>
    <w:rsid w:val="00A7047C"/>
    <w:rsid w:val="00A7081B"/>
    <w:rsid w:val="00A73101"/>
    <w:rsid w:val="00A73EBF"/>
    <w:rsid w:val="00A74226"/>
    <w:rsid w:val="00A749A2"/>
    <w:rsid w:val="00A757B0"/>
    <w:rsid w:val="00A7580D"/>
    <w:rsid w:val="00A776A4"/>
    <w:rsid w:val="00A8049D"/>
    <w:rsid w:val="00A8068A"/>
    <w:rsid w:val="00A8126E"/>
    <w:rsid w:val="00A822C2"/>
    <w:rsid w:val="00A8262A"/>
    <w:rsid w:val="00A82990"/>
    <w:rsid w:val="00A8636A"/>
    <w:rsid w:val="00A86AD2"/>
    <w:rsid w:val="00A86BA0"/>
    <w:rsid w:val="00A902E7"/>
    <w:rsid w:val="00A90401"/>
    <w:rsid w:val="00A921E3"/>
    <w:rsid w:val="00A935D7"/>
    <w:rsid w:val="00A94D20"/>
    <w:rsid w:val="00A95995"/>
    <w:rsid w:val="00A96C36"/>
    <w:rsid w:val="00A9752B"/>
    <w:rsid w:val="00A97C9A"/>
    <w:rsid w:val="00AA050F"/>
    <w:rsid w:val="00AA12D3"/>
    <w:rsid w:val="00AA2461"/>
    <w:rsid w:val="00AA2865"/>
    <w:rsid w:val="00AA33B3"/>
    <w:rsid w:val="00AA3A9B"/>
    <w:rsid w:val="00AA3BF1"/>
    <w:rsid w:val="00AA3E33"/>
    <w:rsid w:val="00AA45CD"/>
    <w:rsid w:val="00AA53EA"/>
    <w:rsid w:val="00AA5410"/>
    <w:rsid w:val="00AA64E4"/>
    <w:rsid w:val="00AA7576"/>
    <w:rsid w:val="00AA771C"/>
    <w:rsid w:val="00AB13B9"/>
    <w:rsid w:val="00AB21C6"/>
    <w:rsid w:val="00AB2841"/>
    <w:rsid w:val="00AB285B"/>
    <w:rsid w:val="00AB2A8E"/>
    <w:rsid w:val="00AB3AEE"/>
    <w:rsid w:val="00AB4B64"/>
    <w:rsid w:val="00AB659D"/>
    <w:rsid w:val="00AB69DD"/>
    <w:rsid w:val="00AC26BF"/>
    <w:rsid w:val="00AC5238"/>
    <w:rsid w:val="00AC57F1"/>
    <w:rsid w:val="00AC58C6"/>
    <w:rsid w:val="00AC5A38"/>
    <w:rsid w:val="00AC5AAE"/>
    <w:rsid w:val="00AC68E6"/>
    <w:rsid w:val="00AC6F7D"/>
    <w:rsid w:val="00AC720A"/>
    <w:rsid w:val="00AD2E51"/>
    <w:rsid w:val="00AD4619"/>
    <w:rsid w:val="00AD4A23"/>
    <w:rsid w:val="00AD4B85"/>
    <w:rsid w:val="00AD4C25"/>
    <w:rsid w:val="00AD580D"/>
    <w:rsid w:val="00AD5F74"/>
    <w:rsid w:val="00AD60EA"/>
    <w:rsid w:val="00AD6116"/>
    <w:rsid w:val="00AD67D4"/>
    <w:rsid w:val="00AD6EA8"/>
    <w:rsid w:val="00AE228C"/>
    <w:rsid w:val="00AE399B"/>
    <w:rsid w:val="00AE4331"/>
    <w:rsid w:val="00AE49BF"/>
    <w:rsid w:val="00AE501A"/>
    <w:rsid w:val="00AE5AAC"/>
    <w:rsid w:val="00AE614D"/>
    <w:rsid w:val="00AE6B74"/>
    <w:rsid w:val="00AE7849"/>
    <w:rsid w:val="00AE7977"/>
    <w:rsid w:val="00AE79AF"/>
    <w:rsid w:val="00AF03D0"/>
    <w:rsid w:val="00AF1D0F"/>
    <w:rsid w:val="00AF1ED0"/>
    <w:rsid w:val="00AF1F10"/>
    <w:rsid w:val="00AF265D"/>
    <w:rsid w:val="00AF3D39"/>
    <w:rsid w:val="00AF497B"/>
    <w:rsid w:val="00AF4EA7"/>
    <w:rsid w:val="00AF6A4C"/>
    <w:rsid w:val="00AF6F90"/>
    <w:rsid w:val="00AF7857"/>
    <w:rsid w:val="00B02183"/>
    <w:rsid w:val="00B028D6"/>
    <w:rsid w:val="00B02D62"/>
    <w:rsid w:val="00B02F53"/>
    <w:rsid w:val="00B0352C"/>
    <w:rsid w:val="00B0429B"/>
    <w:rsid w:val="00B047C2"/>
    <w:rsid w:val="00B04CB1"/>
    <w:rsid w:val="00B05635"/>
    <w:rsid w:val="00B06CCA"/>
    <w:rsid w:val="00B07620"/>
    <w:rsid w:val="00B1062C"/>
    <w:rsid w:val="00B11B8D"/>
    <w:rsid w:val="00B12298"/>
    <w:rsid w:val="00B1314F"/>
    <w:rsid w:val="00B149F2"/>
    <w:rsid w:val="00B151CF"/>
    <w:rsid w:val="00B15F44"/>
    <w:rsid w:val="00B1679F"/>
    <w:rsid w:val="00B17C32"/>
    <w:rsid w:val="00B20445"/>
    <w:rsid w:val="00B20916"/>
    <w:rsid w:val="00B2173E"/>
    <w:rsid w:val="00B247AD"/>
    <w:rsid w:val="00B2596A"/>
    <w:rsid w:val="00B25D05"/>
    <w:rsid w:val="00B26622"/>
    <w:rsid w:val="00B26669"/>
    <w:rsid w:val="00B270DF"/>
    <w:rsid w:val="00B276B4"/>
    <w:rsid w:val="00B27805"/>
    <w:rsid w:val="00B27931"/>
    <w:rsid w:val="00B303F6"/>
    <w:rsid w:val="00B307B7"/>
    <w:rsid w:val="00B30B97"/>
    <w:rsid w:val="00B32390"/>
    <w:rsid w:val="00B32499"/>
    <w:rsid w:val="00B340C1"/>
    <w:rsid w:val="00B35621"/>
    <w:rsid w:val="00B36028"/>
    <w:rsid w:val="00B40064"/>
    <w:rsid w:val="00B41B9C"/>
    <w:rsid w:val="00B42F93"/>
    <w:rsid w:val="00B436EC"/>
    <w:rsid w:val="00B479E2"/>
    <w:rsid w:val="00B50A44"/>
    <w:rsid w:val="00B50DF3"/>
    <w:rsid w:val="00B515D8"/>
    <w:rsid w:val="00B524EB"/>
    <w:rsid w:val="00B53904"/>
    <w:rsid w:val="00B53AC4"/>
    <w:rsid w:val="00B54835"/>
    <w:rsid w:val="00B54A33"/>
    <w:rsid w:val="00B55057"/>
    <w:rsid w:val="00B55524"/>
    <w:rsid w:val="00B556E5"/>
    <w:rsid w:val="00B56ABA"/>
    <w:rsid w:val="00B571B8"/>
    <w:rsid w:val="00B575BF"/>
    <w:rsid w:val="00B612EA"/>
    <w:rsid w:val="00B61C66"/>
    <w:rsid w:val="00B62604"/>
    <w:rsid w:val="00B62DF2"/>
    <w:rsid w:val="00B652F1"/>
    <w:rsid w:val="00B65870"/>
    <w:rsid w:val="00B65D02"/>
    <w:rsid w:val="00B66A87"/>
    <w:rsid w:val="00B66C5E"/>
    <w:rsid w:val="00B66D00"/>
    <w:rsid w:val="00B66DDC"/>
    <w:rsid w:val="00B70295"/>
    <w:rsid w:val="00B712D0"/>
    <w:rsid w:val="00B72946"/>
    <w:rsid w:val="00B73D24"/>
    <w:rsid w:val="00B740E2"/>
    <w:rsid w:val="00B757E5"/>
    <w:rsid w:val="00B7753C"/>
    <w:rsid w:val="00B8032B"/>
    <w:rsid w:val="00B81813"/>
    <w:rsid w:val="00B81E68"/>
    <w:rsid w:val="00B81F38"/>
    <w:rsid w:val="00B82FA1"/>
    <w:rsid w:val="00B82FC6"/>
    <w:rsid w:val="00B83B48"/>
    <w:rsid w:val="00B83B62"/>
    <w:rsid w:val="00B84BB6"/>
    <w:rsid w:val="00B8535F"/>
    <w:rsid w:val="00B85E3A"/>
    <w:rsid w:val="00B8735A"/>
    <w:rsid w:val="00B878CD"/>
    <w:rsid w:val="00B914FC"/>
    <w:rsid w:val="00B91CB1"/>
    <w:rsid w:val="00B9249B"/>
    <w:rsid w:val="00B952D6"/>
    <w:rsid w:val="00B9536C"/>
    <w:rsid w:val="00B95B8A"/>
    <w:rsid w:val="00B95BC7"/>
    <w:rsid w:val="00B95E37"/>
    <w:rsid w:val="00B97C73"/>
    <w:rsid w:val="00BA066E"/>
    <w:rsid w:val="00BA08AD"/>
    <w:rsid w:val="00BA1FFB"/>
    <w:rsid w:val="00BA2138"/>
    <w:rsid w:val="00BA2B3F"/>
    <w:rsid w:val="00BA2BB9"/>
    <w:rsid w:val="00BA2F4A"/>
    <w:rsid w:val="00BA4E45"/>
    <w:rsid w:val="00BA59FB"/>
    <w:rsid w:val="00BB00FA"/>
    <w:rsid w:val="00BB0597"/>
    <w:rsid w:val="00BB14A3"/>
    <w:rsid w:val="00BB1758"/>
    <w:rsid w:val="00BB1A02"/>
    <w:rsid w:val="00BB1AF9"/>
    <w:rsid w:val="00BB40AC"/>
    <w:rsid w:val="00BB57A9"/>
    <w:rsid w:val="00BB6321"/>
    <w:rsid w:val="00BB6CC2"/>
    <w:rsid w:val="00BB72DB"/>
    <w:rsid w:val="00BB7346"/>
    <w:rsid w:val="00BB7350"/>
    <w:rsid w:val="00BC0419"/>
    <w:rsid w:val="00BC0ACA"/>
    <w:rsid w:val="00BC15DE"/>
    <w:rsid w:val="00BC17C8"/>
    <w:rsid w:val="00BC1B89"/>
    <w:rsid w:val="00BC369C"/>
    <w:rsid w:val="00BC4972"/>
    <w:rsid w:val="00BC5957"/>
    <w:rsid w:val="00BC6897"/>
    <w:rsid w:val="00BD097D"/>
    <w:rsid w:val="00BD177C"/>
    <w:rsid w:val="00BD1B8D"/>
    <w:rsid w:val="00BD33D4"/>
    <w:rsid w:val="00BD356C"/>
    <w:rsid w:val="00BD40B1"/>
    <w:rsid w:val="00BD5BD8"/>
    <w:rsid w:val="00BD76F6"/>
    <w:rsid w:val="00BE0B6E"/>
    <w:rsid w:val="00BE0E73"/>
    <w:rsid w:val="00BE1AD7"/>
    <w:rsid w:val="00BE249E"/>
    <w:rsid w:val="00BE251E"/>
    <w:rsid w:val="00BE47BF"/>
    <w:rsid w:val="00BE4E01"/>
    <w:rsid w:val="00BE50AE"/>
    <w:rsid w:val="00BE5374"/>
    <w:rsid w:val="00BE5695"/>
    <w:rsid w:val="00BE5C91"/>
    <w:rsid w:val="00BE60EB"/>
    <w:rsid w:val="00BE627A"/>
    <w:rsid w:val="00BE6309"/>
    <w:rsid w:val="00BE6CE8"/>
    <w:rsid w:val="00BF1DB0"/>
    <w:rsid w:val="00BF3DEA"/>
    <w:rsid w:val="00BF6CA1"/>
    <w:rsid w:val="00BF7C54"/>
    <w:rsid w:val="00BF7F5F"/>
    <w:rsid w:val="00C00F1E"/>
    <w:rsid w:val="00C01C0C"/>
    <w:rsid w:val="00C01D5F"/>
    <w:rsid w:val="00C01DBE"/>
    <w:rsid w:val="00C0345A"/>
    <w:rsid w:val="00C03511"/>
    <w:rsid w:val="00C03F9D"/>
    <w:rsid w:val="00C04A77"/>
    <w:rsid w:val="00C04C3A"/>
    <w:rsid w:val="00C050BF"/>
    <w:rsid w:val="00C0539C"/>
    <w:rsid w:val="00C05700"/>
    <w:rsid w:val="00C058A5"/>
    <w:rsid w:val="00C06303"/>
    <w:rsid w:val="00C074CD"/>
    <w:rsid w:val="00C10187"/>
    <w:rsid w:val="00C107C3"/>
    <w:rsid w:val="00C13010"/>
    <w:rsid w:val="00C13520"/>
    <w:rsid w:val="00C14947"/>
    <w:rsid w:val="00C14F9B"/>
    <w:rsid w:val="00C14FAB"/>
    <w:rsid w:val="00C15F42"/>
    <w:rsid w:val="00C1610B"/>
    <w:rsid w:val="00C1611D"/>
    <w:rsid w:val="00C16C9A"/>
    <w:rsid w:val="00C175E4"/>
    <w:rsid w:val="00C1770F"/>
    <w:rsid w:val="00C203E4"/>
    <w:rsid w:val="00C20D11"/>
    <w:rsid w:val="00C2161D"/>
    <w:rsid w:val="00C232E0"/>
    <w:rsid w:val="00C23B47"/>
    <w:rsid w:val="00C24B5E"/>
    <w:rsid w:val="00C24BAF"/>
    <w:rsid w:val="00C2534F"/>
    <w:rsid w:val="00C25C7E"/>
    <w:rsid w:val="00C25EB0"/>
    <w:rsid w:val="00C2720D"/>
    <w:rsid w:val="00C27FCA"/>
    <w:rsid w:val="00C30058"/>
    <w:rsid w:val="00C317A2"/>
    <w:rsid w:val="00C3365C"/>
    <w:rsid w:val="00C33675"/>
    <w:rsid w:val="00C343FC"/>
    <w:rsid w:val="00C3517A"/>
    <w:rsid w:val="00C35E4F"/>
    <w:rsid w:val="00C364E9"/>
    <w:rsid w:val="00C3651F"/>
    <w:rsid w:val="00C36633"/>
    <w:rsid w:val="00C36E9D"/>
    <w:rsid w:val="00C37C86"/>
    <w:rsid w:val="00C412B1"/>
    <w:rsid w:val="00C42458"/>
    <w:rsid w:val="00C42BF8"/>
    <w:rsid w:val="00C42EEB"/>
    <w:rsid w:val="00C42FA5"/>
    <w:rsid w:val="00C433B4"/>
    <w:rsid w:val="00C43952"/>
    <w:rsid w:val="00C4436C"/>
    <w:rsid w:val="00C452BF"/>
    <w:rsid w:val="00C4571B"/>
    <w:rsid w:val="00C461B2"/>
    <w:rsid w:val="00C471B0"/>
    <w:rsid w:val="00C47C8E"/>
    <w:rsid w:val="00C47CA6"/>
    <w:rsid w:val="00C5186B"/>
    <w:rsid w:val="00C520E3"/>
    <w:rsid w:val="00C52DF5"/>
    <w:rsid w:val="00C52FD1"/>
    <w:rsid w:val="00C5359B"/>
    <w:rsid w:val="00C53AF7"/>
    <w:rsid w:val="00C53B92"/>
    <w:rsid w:val="00C548B9"/>
    <w:rsid w:val="00C54DBB"/>
    <w:rsid w:val="00C554B5"/>
    <w:rsid w:val="00C56EF2"/>
    <w:rsid w:val="00C570A6"/>
    <w:rsid w:val="00C579F3"/>
    <w:rsid w:val="00C600B3"/>
    <w:rsid w:val="00C60531"/>
    <w:rsid w:val="00C60DE1"/>
    <w:rsid w:val="00C61464"/>
    <w:rsid w:val="00C61627"/>
    <w:rsid w:val="00C62076"/>
    <w:rsid w:val="00C65B49"/>
    <w:rsid w:val="00C66570"/>
    <w:rsid w:val="00C67E8E"/>
    <w:rsid w:val="00C70ADE"/>
    <w:rsid w:val="00C70C5D"/>
    <w:rsid w:val="00C7137A"/>
    <w:rsid w:val="00C71C5F"/>
    <w:rsid w:val="00C72177"/>
    <w:rsid w:val="00C7269E"/>
    <w:rsid w:val="00C74B8C"/>
    <w:rsid w:val="00C7530E"/>
    <w:rsid w:val="00C7629F"/>
    <w:rsid w:val="00C770A0"/>
    <w:rsid w:val="00C8202C"/>
    <w:rsid w:val="00C8268F"/>
    <w:rsid w:val="00C82EE7"/>
    <w:rsid w:val="00C83535"/>
    <w:rsid w:val="00C83D84"/>
    <w:rsid w:val="00C84277"/>
    <w:rsid w:val="00C844D6"/>
    <w:rsid w:val="00C86611"/>
    <w:rsid w:val="00C86AC5"/>
    <w:rsid w:val="00C86BED"/>
    <w:rsid w:val="00C871EF"/>
    <w:rsid w:val="00C87436"/>
    <w:rsid w:val="00C91651"/>
    <w:rsid w:val="00C917A4"/>
    <w:rsid w:val="00C922A2"/>
    <w:rsid w:val="00C948A0"/>
    <w:rsid w:val="00C96931"/>
    <w:rsid w:val="00C97CEE"/>
    <w:rsid w:val="00CA0B9F"/>
    <w:rsid w:val="00CA1EE3"/>
    <w:rsid w:val="00CA259E"/>
    <w:rsid w:val="00CA26EA"/>
    <w:rsid w:val="00CA2FB2"/>
    <w:rsid w:val="00CA3D3A"/>
    <w:rsid w:val="00CA42D6"/>
    <w:rsid w:val="00CA4732"/>
    <w:rsid w:val="00CA4D9A"/>
    <w:rsid w:val="00CA50D9"/>
    <w:rsid w:val="00CA528A"/>
    <w:rsid w:val="00CA6D40"/>
    <w:rsid w:val="00CA7410"/>
    <w:rsid w:val="00CB0059"/>
    <w:rsid w:val="00CB15E9"/>
    <w:rsid w:val="00CB19E3"/>
    <w:rsid w:val="00CB2109"/>
    <w:rsid w:val="00CB2BD5"/>
    <w:rsid w:val="00CB330A"/>
    <w:rsid w:val="00CB38D1"/>
    <w:rsid w:val="00CB5C55"/>
    <w:rsid w:val="00CB5E15"/>
    <w:rsid w:val="00CB7A4E"/>
    <w:rsid w:val="00CC195E"/>
    <w:rsid w:val="00CC1D1A"/>
    <w:rsid w:val="00CC1D33"/>
    <w:rsid w:val="00CC1FA1"/>
    <w:rsid w:val="00CC3117"/>
    <w:rsid w:val="00CC4EBA"/>
    <w:rsid w:val="00CC54EE"/>
    <w:rsid w:val="00CC5653"/>
    <w:rsid w:val="00CC5956"/>
    <w:rsid w:val="00CC6260"/>
    <w:rsid w:val="00CC64CF"/>
    <w:rsid w:val="00CC6D17"/>
    <w:rsid w:val="00CD06DD"/>
    <w:rsid w:val="00CD1404"/>
    <w:rsid w:val="00CD1722"/>
    <w:rsid w:val="00CD2225"/>
    <w:rsid w:val="00CD27C8"/>
    <w:rsid w:val="00CD3F2A"/>
    <w:rsid w:val="00CD5EE1"/>
    <w:rsid w:val="00CE077B"/>
    <w:rsid w:val="00CE28E3"/>
    <w:rsid w:val="00CE2A09"/>
    <w:rsid w:val="00CE6537"/>
    <w:rsid w:val="00CE6E67"/>
    <w:rsid w:val="00CF0038"/>
    <w:rsid w:val="00CF1A2D"/>
    <w:rsid w:val="00CF1AE9"/>
    <w:rsid w:val="00CF1DD1"/>
    <w:rsid w:val="00CF2913"/>
    <w:rsid w:val="00CF439F"/>
    <w:rsid w:val="00CF54EB"/>
    <w:rsid w:val="00CF69BC"/>
    <w:rsid w:val="00CF7120"/>
    <w:rsid w:val="00CF724C"/>
    <w:rsid w:val="00D001B4"/>
    <w:rsid w:val="00D003B7"/>
    <w:rsid w:val="00D00E36"/>
    <w:rsid w:val="00D020B5"/>
    <w:rsid w:val="00D02F4F"/>
    <w:rsid w:val="00D04CB3"/>
    <w:rsid w:val="00D05EED"/>
    <w:rsid w:val="00D06309"/>
    <w:rsid w:val="00D0691B"/>
    <w:rsid w:val="00D104DE"/>
    <w:rsid w:val="00D10C40"/>
    <w:rsid w:val="00D13371"/>
    <w:rsid w:val="00D13378"/>
    <w:rsid w:val="00D14E59"/>
    <w:rsid w:val="00D15843"/>
    <w:rsid w:val="00D15EE1"/>
    <w:rsid w:val="00D16BD3"/>
    <w:rsid w:val="00D16C6A"/>
    <w:rsid w:val="00D20031"/>
    <w:rsid w:val="00D21111"/>
    <w:rsid w:val="00D2122D"/>
    <w:rsid w:val="00D24E3C"/>
    <w:rsid w:val="00D2538F"/>
    <w:rsid w:val="00D25635"/>
    <w:rsid w:val="00D256F3"/>
    <w:rsid w:val="00D25BBF"/>
    <w:rsid w:val="00D25C6A"/>
    <w:rsid w:val="00D26D63"/>
    <w:rsid w:val="00D2724D"/>
    <w:rsid w:val="00D279D9"/>
    <w:rsid w:val="00D27A15"/>
    <w:rsid w:val="00D313B3"/>
    <w:rsid w:val="00D3182A"/>
    <w:rsid w:val="00D3292B"/>
    <w:rsid w:val="00D3335D"/>
    <w:rsid w:val="00D336F0"/>
    <w:rsid w:val="00D339DD"/>
    <w:rsid w:val="00D33F02"/>
    <w:rsid w:val="00D358F7"/>
    <w:rsid w:val="00D36376"/>
    <w:rsid w:val="00D36E67"/>
    <w:rsid w:val="00D37E5D"/>
    <w:rsid w:val="00D37EF5"/>
    <w:rsid w:val="00D4097E"/>
    <w:rsid w:val="00D40DBD"/>
    <w:rsid w:val="00D419C9"/>
    <w:rsid w:val="00D428B9"/>
    <w:rsid w:val="00D43246"/>
    <w:rsid w:val="00D45750"/>
    <w:rsid w:val="00D4576C"/>
    <w:rsid w:val="00D457EA"/>
    <w:rsid w:val="00D45C42"/>
    <w:rsid w:val="00D4636C"/>
    <w:rsid w:val="00D46798"/>
    <w:rsid w:val="00D5109B"/>
    <w:rsid w:val="00D5267C"/>
    <w:rsid w:val="00D52E54"/>
    <w:rsid w:val="00D52FF5"/>
    <w:rsid w:val="00D558DF"/>
    <w:rsid w:val="00D56B39"/>
    <w:rsid w:val="00D56DFA"/>
    <w:rsid w:val="00D572F2"/>
    <w:rsid w:val="00D57333"/>
    <w:rsid w:val="00D57B80"/>
    <w:rsid w:val="00D60E22"/>
    <w:rsid w:val="00D61302"/>
    <w:rsid w:val="00D616AC"/>
    <w:rsid w:val="00D61BEF"/>
    <w:rsid w:val="00D62F4D"/>
    <w:rsid w:val="00D639ED"/>
    <w:rsid w:val="00D64906"/>
    <w:rsid w:val="00D652D9"/>
    <w:rsid w:val="00D667DE"/>
    <w:rsid w:val="00D66BC0"/>
    <w:rsid w:val="00D7004D"/>
    <w:rsid w:val="00D70BFC"/>
    <w:rsid w:val="00D70DDA"/>
    <w:rsid w:val="00D72B51"/>
    <w:rsid w:val="00D73AD9"/>
    <w:rsid w:val="00D73C80"/>
    <w:rsid w:val="00D7435B"/>
    <w:rsid w:val="00D76350"/>
    <w:rsid w:val="00D77FB1"/>
    <w:rsid w:val="00D805B9"/>
    <w:rsid w:val="00D80C29"/>
    <w:rsid w:val="00D810C2"/>
    <w:rsid w:val="00D8316D"/>
    <w:rsid w:val="00D83481"/>
    <w:rsid w:val="00D8358F"/>
    <w:rsid w:val="00D83B51"/>
    <w:rsid w:val="00D84E0B"/>
    <w:rsid w:val="00D84ECA"/>
    <w:rsid w:val="00D8525E"/>
    <w:rsid w:val="00D9041B"/>
    <w:rsid w:val="00D90DBB"/>
    <w:rsid w:val="00D9141D"/>
    <w:rsid w:val="00D920D6"/>
    <w:rsid w:val="00D93B7B"/>
    <w:rsid w:val="00D946C9"/>
    <w:rsid w:val="00D94CF3"/>
    <w:rsid w:val="00D950E1"/>
    <w:rsid w:val="00D95FE5"/>
    <w:rsid w:val="00D967A8"/>
    <w:rsid w:val="00D9689D"/>
    <w:rsid w:val="00DA058E"/>
    <w:rsid w:val="00DA08B6"/>
    <w:rsid w:val="00DA2EE0"/>
    <w:rsid w:val="00DA49FC"/>
    <w:rsid w:val="00DA512C"/>
    <w:rsid w:val="00DA5161"/>
    <w:rsid w:val="00DA55DB"/>
    <w:rsid w:val="00DA6765"/>
    <w:rsid w:val="00DA74D9"/>
    <w:rsid w:val="00DA7822"/>
    <w:rsid w:val="00DB003C"/>
    <w:rsid w:val="00DB0935"/>
    <w:rsid w:val="00DB1540"/>
    <w:rsid w:val="00DB19E3"/>
    <w:rsid w:val="00DB1E91"/>
    <w:rsid w:val="00DB1EFE"/>
    <w:rsid w:val="00DB2188"/>
    <w:rsid w:val="00DB40A5"/>
    <w:rsid w:val="00DB4410"/>
    <w:rsid w:val="00DB5117"/>
    <w:rsid w:val="00DB5AE1"/>
    <w:rsid w:val="00DB5F48"/>
    <w:rsid w:val="00DB6031"/>
    <w:rsid w:val="00DB664A"/>
    <w:rsid w:val="00DB7463"/>
    <w:rsid w:val="00DC0357"/>
    <w:rsid w:val="00DC073D"/>
    <w:rsid w:val="00DC0E02"/>
    <w:rsid w:val="00DC14AF"/>
    <w:rsid w:val="00DC15D5"/>
    <w:rsid w:val="00DC1720"/>
    <w:rsid w:val="00DC2106"/>
    <w:rsid w:val="00DC2CD6"/>
    <w:rsid w:val="00DC3633"/>
    <w:rsid w:val="00DC39B2"/>
    <w:rsid w:val="00DC3B78"/>
    <w:rsid w:val="00DC3DDD"/>
    <w:rsid w:val="00DC3E18"/>
    <w:rsid w:val="00DC4108"/>
    <w:rsid w:val="00DC4EC7"/>
    <w:rsid w:val="00DC4F64"/>
    <w:rsid w:val="00DC50C5"/>
    <w:rsid w:val="00DC50D4"/>
    <w:rsid w:val="00DC556E"/>
    <w:rsid w:val="00DC64A7"/>
    <w:rsid w:val="00DC6A20"/>
    <w:rsid w:val="00DC718A"/>
    <w:rsid w:val="00DD0953"/>
    <w:rsid w:val="00DD0CC3"/>
    <w:rsid w:val="00DD1A95"/>
    <w:rsid w:val="00DD1D62"/>
    <w:rsid w:val="00DD2C81"/>
    <w:rsid w:val="00DD51DD"/>
    <w:rsid w:val="00DD5C90"/>
    <w:rsid w:val="00DD60D6"/>
    <w:rsid w:val="00DD6AEE"/>
    <w:rsid w:val="00DD74E3"/>
    <w:rsid w:val="00DE0821"/>
    <w:rsid w:val="00DE11B2"/>
    <w:rsid w:val="00DE1202"/>
    <w:rsid w:val="00DE2142"/>
    <w:rsid w:val="00DE2496"/>
    <w:rsid w:val="00DE3DD0"/>
    <w:rsid w:val="00DE6F89"/>
    <w:rsid w:val="00DE7099"/>
    <w:rsid w:val="00DF0DEC"/>
    <w:rsid w:val="00DF0FAA"/>
    <w:rsid w:val="00DF3350"/>
    <w:rsid w:val="00DF341B"/>
    <w:rsid w:val="00DF3559"/>
    <w:rsid w:val="00DF39E9"/>
    <w:rsid w:val="00DF431B"/>
    <w:rsid w:val="00DF4DA3"/>
    <w:rsid w:val="00DF528C"/>
    <w:rsid w:val="00DF74D9"/>
    <w:rsid w:val="00E01AAF"/>
    <w:rsid w:val="00E02077"/>
    <w:rsid w:val="00E0360B"/>
    <w:rsid w:val="00E0381F"/>
    <w:rsid w:val="00E03A96"/>
    <w:rsid w:val="00E05459"/>
    <w:rsid w:val="00E05B1A"/>
    <w:rsid w:val="00E05D56"/>
    <w:rsid w:val="00E079B8"/>
    <w:rsid w:val="00E07ECF"/>
    <w:rsid w:val="00E105A9"/>
    <w:rsid w:val="00E11E9A"/>
    <w:rsid w:val="00E12240"/>
    <w:rsid w:val="00E12907"/>
    <w:rsid w:val="00E129CE"/>
    <w:rsid w:val="00E137EC"/>
    <w:rsid w:val="00E13FBA"/>
    <w:rsid w:val="00E15015"/>
    <w:rsid w:val="00E15056"/>
    <w:rsid w:val="00E1559A"/>
    <w:rsid w:val="00E15ADE"/>
    <w:rsid w:val="00E15DB1"/>
    <w:rsid w:val="00E16B84"/>
    <w:rsid w:val="00E17010"/>
    <w:rsid w:val="00E17552"/>
    <w:rsid w:val="00E205B2"/>
    <w:rsid w:val="00E20CF5"/>
    <w:rsid w:val="00E21558"/>
    <w:rsid w:val="00E21ABF"/>
    <w:rsid w:val="00E21B03"/>
    <w:rsid w:val="00E2217A"/>
    <w:rsid w:val="00E22445"/>
    <w:rsid w:val="00E23E04"/>
    <w:rsid w:val="00E2473D"/>
    <w:rsid w:val="00E25B07"/>
    <w:rsid w:val="00E260A3"/>
    <w:rsid w:val="00E26D15"/>
    <w:rsid w:val="00E27DDB"/>
    <w:rsid w:val="00E315CF"/>
    <w:rsid w:val="00E31702"/>
    <w:rsid w:val="00E31B75"/>
    <w:rsid w:val="00E31D70"/>
    <w:rsid w:val="00E3235C"/>
    <w:rsid w:val="00E3242E"/>
    <w:rsid w:val="00E3279E"/>
    <w:rsid w:val="00E3287B"/>
    <w:rsid w:val="00E32E9C"/>
    <w:rsid w:val="00E32EDB"/>
    <w:rsid w:val="00E330C9"/>
    <w:rsid w:val="00E3330E"/>
    <w:rsid w:val="00E3351F"/>
    <w:rsid w:val="00E33992"/>
    <w:rsid w:val="00E343D7"/>
    <w:rsid w:val="00E40DAE"/>
    <w:rsid w:val="00E40F62"/>
    <w:rsid w:val="00E424CB"/>
    <w:rsid w:val="00E43249"/>
    <w:rsid w:val="00E436A2"/>
    <w:rsid w:val="00E43978"/>
    <w:rsid w:val="00E458D8"/>
    <w:rsid w:val="00E459C4"/>
    <w:rsid w:val="00E46BC3"/>
    <w:rsid w:val="00E471E5"/>
    <w:rsid w:val="00E504DC"/>
    <w:rsid w:val="00E50BF9"/>
    <w:rsid w:val="00E50EFC"/>
    <w:rsid w:val="00E518A7"/>
    <w:rsid w:val="00E51FC2"/>
    <w:rsid w:val="00E529F5"/>
    <w:rsid w:val="00E5356B"/>
    <w:rsid w:val="00E53E00"/>
    <w:rsid w:val="00E54221"/>
    <w:rsid w:val="00E54E7B"/>
    <w:rsid w:val="00E56324"/>
    <w:rsid w:val="00E5650A"/>
    <w:rsid w:val="00E56A62"/>
    <w:rsid w:val="00E574EC"/>
    <w:rsid w:val="00E57F9C"/>
    <w:rsid w:val="00E6063A"/>
    <w:rsid w:val="00E6093B"/>
    <w:rsid w:val="00E60FB2"/>
    <w:rsid w:val="00E615F9"/>
    <w:rsid w:val="00E6193C"/>
    <w:rsid w:val="00E61B57"/>
    <w:rsid w:val="00E62BC2"/>
    <w:rsid w:val="00E633A7"/>
    <w:rsid w:val="00E63DAA"/>
    <w:rsid w:val="00E6563F"/>
    <w:rsid w:val="00E66A7D"/>
    <w:rsid w:val="00E7016A"/>
    <w:rsid w:val="00E71E21"/>
    <w:rsid w:val="00E72022"/>
    <w:rsid w:val="00E7221D"/>
    <w:rsid w:val="00E7226C"/>
    <w:rsid w:val="00E74187"/>
    <w:rsid w:val="00E75499"/>
    <w:rsid w:val="00E7615F"/>
    <w:rsid w:val="00E76AE0"/>
    <w:rsid w:val="00E77CA2"/>
    <w:rsid w:val="00E80BB2"/>
    <w:rsid w:val="00E81A87"/>
    <w:rsid w:val="00E83948"/>
    <w:rsid w:val="00E83CF9"/>
    <w:rsid w:val="00E86102"/>
    <w:rsid w:val="00E86237"/>
    <w:rsid w:val="00E92109"/>
    <w:rsid w:val="00E92974"/>
    <w:rsid w:val="00E92F98"/>
    <w:rsid w:val="00E9331D"/>
    <w:rsid w:val="00E937F7"/>
    <w:rsid w:val="00E950F9"/>
    <w:rsid w:val="00E95322"/>
    <w:rsid w:val="00E95490"/>
    <w:rsid w:val="00E968C1"/>
    <w:rsid w:val="00E971F6"/>
    <w:rsid w:val="00E972BD"/>
    <w:rsid w:val="00E97F02"/>
    <w:rsid w:val="00EA0E54"/>
    <w:rsid w:val="00EA1769"/>
    <w:rsid w:val="00EA19AE"/>
    <w:rsid w:val="00EA353D"/>
    <w:rsid w:val="00EA3671"/>
    <w:rsid w:val="00EA6948"/>
    <w:rsid w:val="00EA6A13"/>
    <w:rsid w:val="00EB0DEA"/>
    <w:rsid w:val="00EB1F63"/>
    <w:rsid w:val="00EB27BC"/>
    <w:rsid w:val="00EB43F8"/>
    <w:rsid w:val="00EB51DF"/>
    <w:rsid w:val="00EB5802"/>
    <w:rsid w:val="00EB6A32"/>
    <w:rsid w:val="00EB79AB"/>
    <w:rsid w:val="00EC04A5"/>
    <w:rsid w:val="00EC0B2B"/>
    <w:rsid w:val="00EC17C0"/>
    <w:rsid w:val="00EC1BC8"/>
    <w:rsid w:val="00EC33A0"/>
    <w:rsid w:val="00EC3907"/>
    <w:rsid w:val="00EC4836"/>
    <w:rsid w:val="00EC5088"/>
    <w:rsid w:val="00EC7DD0"/>
    <w:rsid w:val="00ED0ABD"/>
    <w:rsid w:val="00ED1463"/>
    <w:rsid w:val="00ED1818"/>
    <w:rsid w:val="00ED1F3E"/>
    <w:rsid w:val="00ED2429"/>
    <w:rsid w:val="00ED5E38"/>
    <w:rsid w:val="00ED6350"/>
    <w:rsid w:val="00ED74C4"/>
    <w:rsid w:val="00EE010A"/>
    <w:rsid w:val="00EE12A7"/>
    <w:rsid w:val="00EE1DD1"/>
    <w:rsid w:val="00EE28A9"/>
    <w:rsid w:val="00EE35F7"/>
    <w:rsid w:val="00EE3F7F"/>
    <w:rsid w:val="00EE4490"/>
    <w:rsid w:val="00EE4863"/>
    <w:rsid w:val="00EE4EEF"/>
    <w:rsid w:val="00EE55D4"/>
    <w:rsid w:val="00EE5CB8"/>
    <w:rsid w:val="00EE6832"/>
    <w:rsid w:val="00EE6A65"/>
    <w:rsid w:val="00EE7173"/>
    <w:rsid w:val="00EF1755"/>
    <w:rsid w:val="00EF227E"/>
    <w:rsid w:val="00EF3D58"/>
    <w:rsid w:val="00EF4468"/>
    <w:rsid w:val="00EF7063"/>
    <w:rsid w:val="00EF7084"/>
    <w:rsid w:val="00EF7FFE"/>
    <w:rsid w:val="00F02D66"/>
    <w:rsid w:val="00F037A5"/>
    <w:rsid w:val="00F039C2"/>
    <w:rsid w:val="00F03B39"/>
    <w:rsid w:val="00F04052"/>
    <w:rsid w:val="00F043AA"/>
    <w:rsid w:val="00F04B52"/>
    <w:rsid w:val="00F04FED"/>
    <w:rsid w:val="00F06673"/>
    <w:rsid w:val="00F06961"/>
    <w:rsid w:val="00F06BCA"/>
    <w:rsid w:val="00F101AF"/>
    <w:rsid w:val="00F1066F"/>
    <w:rsid w:val="00F12379"/>
    <w:rsid w:val="00F12B28"/>
    <w:rsid w:val="00F1415F"/>
    <w:rsid w:val="00F14201"/>
    <w:rsid w:val="00F142BD"/>
    <w:rsid w:val="00F1435B"/>
    <w:rsid w:val="00F14664"/>
    <w:rsid w:val="00F14AE3"/>
    <w:rsid w:val="00F1508C"/>
    <w:rsid w:val="00F1578E"/>
    <w:rsid w:val="00F165E5"/>
    <w:rsid w:val="00F16A41"/>
    <w:rsid w:val="00F20763"/>
    <w:rsid w:val="00F21539"/>
    <w:rsid w:val="00F227C8"/>
    <w:rsid w:val="00F23AF8"/>
    <w:rsid w:val="00F23CB7"/>
    <w:rsid w:val="00F24D82"/>
    <w:rsid w:val="00F24FF7"/>
    <w:rsid w:val="00F257B5"/>
    <w:rsid w:val="00F26429"/>
    <w:rsid w:val="00F26C64"/>
    <w:rsid w:val="00F2720E"/>
    <w:rsid w:val="00F2776D"/>
    <w:rsid w:val="00F30A5E"/>
    <w:rsid w:val="00F31198"/>
    <w:rsid w:val="00F33885"/>
    <w:rsid w:val="00F33E20"/>
    <w:rsid w:val="00F346E6"/>
    <w:rsid w:val="00F36B79"/>
    <w:rsid w:val="00F406D6"/>
    <w:rsid w:val="00F40864"/>
    <w:rsid w:val="00F40B64"/>
    <w:rsid w:val="00F4103F"/>
    <w:rsid w:val="00F427F6"/>
    <w:rsid w:val="00F44895"/>
    <w:rsid w:val="00F4566D"/>
    <w:rsid w:val="00F45D3D"/>
    <w:rsid w:val="00F462F7"/>
    <w:rsid w:val="00F46441"/>
    <w:rsid w:val="00F464FA"/>
    <w:rsid w:val="00F50585"/>
    <w:rsid w:val="00F516E3"/>
    <w:rsid w:val="00F52F98"/>
    <w:rsid w:val="00F540A7"/>
    <w:rsid w:val="00F54832"/>
    <w:rsid w:val="00F57422"/>
    <w:rsid w:val="00F57885"/>
    <w:rsid w:val="00F60212"/>
    <w:rsid w:val="00F615AC"/>
    <w:rsid w:val="00F61E3D"/>
    <w:rsid w:val="00F63294"/>
    <w:rsid w:val="00F64F3B"/>
    <w:rsid w:val="00F66144"/>
    <w:rsid w:val="00F661ED"/>
    <w:rsid w:val="00F6713F"/>
    <w:rsid w:val="00F700A1"/>
    <w:rsid w:val="00F70E98"/>
    <w:rsid w:val="00F72583"/>
    <w:rsid w:val="00F726C7"/>
    <w:rsid w:val="00F72C82"/>
    <w:rsid w:val="00F73EEF"/>
    <w:rsid w:val="00F742C8"/>
    <w:rsid w:val="00F74B51"/>
    <w:rsid w:val="00F75F7A"/>
    <w:rsid w:val="00F81362"/>
    <w:rsid w:val="00F81FF0"/>
    <w:rsid w:val="00F829D9"/>
    <w:rsid w:val="00F82D4D"/>
    <w:rsid w:val="00F854EE"/>
    <w:rsid w:val="00F855C3"/>
    <w:rsid w:val="00F85D2B"/>
    <w:rsid w:val="00F8643F"/>
    <w:rsid w:val="00F8647B"/>
    <w:rsid w:val="00F91353"/>
    <w:rsid w:val="00F94EF8"/>
    <w:rsid w:val="00F9684A"/>
    <w:rsid w:val="00F9748E"/>
    <w:rsid w:val="00F97518"/>
    <w:rsid w:val="00F97B88"/>
    <w:rsid w:val="00FA0825"/>
    <w:rsid w:val="00FA08AD"/>
    <w:rsid w:val="00FA2F27"/>
    <w:rsid w:val="00FA3020"/>
    <w:rsid w:val="00FA31A9"/>
    <w:rsid w:val="00FA3858"/>
    <w:rsid w:val="00FA4150"/>
    <w:rsid w:val="00FA4F0D"/>
    <w:rsid w:val="00FA4FF4"/>
    <w:rsid w:val="00FA528F"/>
    <w:rsid w:val="00FA5766"/>
    <w:rsid w:val="00FA65C1"/>
    <w:rsid w:val="00FA7717"/>
    <w:rsid w:val="00FA7D7D"/>
    <w:rsid w:val="00FA7E51"/>
    <w:rsid w:val="00FB1CD6"/>
    <w:rsid w:val="00FB2648"/>
    <w:rsid w:val="00FB2A5D"/>
    <w:rsid w:val="00FB36E0"/>
    <w:rsid w:val="00FB3E47"/>
    <w:rsid w:val="00FB3FBA"/>
    <w:rsid w:val="00FB4C3D"/>
    <w:rsid w:val="00FB620D"/>
    <w:rsid w:val="00FB663A"/>
    <w:rsid w:val="00FB6F67"/>
    <w:rsid w:val="00FB7AC6"/>
    <w:rsid w:val="00FC0301"/>
    <w:rsid w:val="00FC0AD7"/>
    <w:rsid w:val="00FC10DE"/>
    <w:rsid w:val="00FC18B5"/>
    <w:rsid w:val="00FC1E8C"/>
    <w:rsid w:val="00FC2A0E"/>
    <w:rsid w:val="00FC2D5F"/>
    <w:rsid w:val="00FC5603"/>
    <w:rsid w:val="00FC5B6F"/>
    <w:rsid w:val="00FC6370"/>
    <w:rsid w:val="00FC670C"/>
    <w:rsid w:val="00FC7C4D"/>
    <w:rsid w:val="00FD0502"/>
    <w:rsid w:val="00FD0B28"/>
    <w:rsid w:val="00FD0EB0"/>
    <w:rsid w:val="00FD17BA"/>
    <w:rsid w:val="00FD1B9C"/>
    <w:rsid w:val="00FD2C9D"/>
    <w:rsid w:val="00FD2F74"/>
    <w:rsid w:val="00FD32D3"/>
    <w:rsid w:val="00FD3B94"/>
    <w:rsid w:val="00FD4002"/>
    <w:rsid w:val="00FD40DD"/>
    <w:rsid w:val="00FD43B3"/>
    <w:rsid w:val="00FD6295"/>
    <w:rsid w:val="00FD65C3"/>
    <w:rsid w:val="00FE0CE4"/>
    <w:rsid w:val="00FE1118"/>
    <w:rsid w:val="00FE3F4C"/>
    <w:rsid w:val="00FE40E5"/>
    <w:rsid w:val="00FE4739"/>
    <w:rsid w:val="00FE48EF"/>
    <w:rsid w:val="00FE4DB2"/>
    <w:rsid w:val="00FE5416"/>
    <w:rsid w:val="00FE6228"/>
    <w:rsid w:val="00FE647D"/>
    <w:rsid w:val="00FE681D"/>
    <w:rsid w:val="00FE74DF"/>
    <w:rsid w:val="00FF063F"/>
    <w:rsid w:val="00FF0DBD"/>
    <w:rsid w:val="00FF2100"/>
    <w:rsid w:val="00FF3A07"/>
    <w:rsid w:val="00FF3FEA"/>
    <w:rsid w:val="00FF4C68"/>
    <w:rsid w:val="00FF5C9C"/>
    <w:rsid w:val="00FF5D42"/>
    <w:rsid w:val="00FF69DB"/>
    <w:rsid w:val="00FF7F70"/>
    <w:rsid w:val="01987C8B"/>
    <w:rsid w:val="027F4EA5"/>
    <w:rsid w:val="02937695"/>
    <w:rsid w:val="02BD3EB5"/>
    <w:rsid w:val="02D16EE4"/>
    <w:rsid w:val="0301EDCD"/>
    <w:rsid w:val="030B0D80"/>
    <w:rsid w:val="031FDB64"/>
    <w:rsid w:val="03AD2725"/>
    <w:rsid w:val="03B7D3AF"/>
    <w:rsid w:val="03E8667B"/>
    <w:rsid w:val="042D2BF0"/>
    <w:rsid w:val="04352D0F"/>
    <w:rsid w:val="04C81459"/>
    <w:rsid w:val="04DB64E7"/>
    <w:rsid w:val="04ED2D9D"/>
    <w:rsid w:val="055CC6B4"/>
    <w:rsid w:val="056E3373"/>
    <w:rsid w:val="06631679"/>
    <w:rsid w:val="066D9CBF"/>
    <w:rsid w:val="072D5182"/>
    <w:rsid w:val="075461EC"/>
    <w:rsid w:val="0789522F"/>
    <w:rsid w:val="07C7913B"/>
    <w:rsid w:val="07C8689B"/>
    <w:rsid w:val="07F4E717"/>
    <w:rsid w:val="080FF7AD"/>
    <w:rsid w:val="08574DAC"/>
    <w:rsid w:val="088D5163"/>
    <w:rsid w:val="08C2FADB"/>
    <w:rsid w:val="09565D2B"/>
    <w:rsid w:val="09CE9351"/>
    <w:rsid w:val="09E1AD10"/>
    <w:rsid w:val="09EFC751"/>
    <w:rsid w:val="0A271533"/>
    <w:rsid w:val="0B14A3DB"/>
    <w:rsid w:val="0B261E54"/>
    <w:rsid w:val="0BA32AA0"/>
    <w:rsid w:val="0BE8639B"/>
    <w:rsid w:val="0C41B681"/>
    <w:rsid w:val="0CD673F3"/>
    <w:rsid w:val="0D103393"/>
    <w:rsid w:val="0D1D93A9"/>
    <w:rsid w:val="0D276813"/>
    <w:rsid w:val="0D3D1D62"/>
    <w:rsid w:val="0DA73958"/>
    <w:rsid w:val="0DDE8301"/>
    <w:rsid w:val="0E8B9A95"/>
    <w:rsid w:val="0E907633"/>
    <w:rsid w:val="0F386367"/>
    <w:rsid w:val="0F93225B"/>
    <w:rsid w:val="0FFB81D9"/>
    <w:rsid w:val="10625F91"/>
    <w:rsid w:val="107B6C54"/>
    <w:rsid w:val="10C2C090"/>
    <w:rsid w:val="10E469F9"/>
    <w:rsid w:val="118C1287"/>
    <w:rsid w:val="119412C6"/>
    <w:rsid w:val="11BDACAC"/>
    <w:rsid w:val="120A6171"/>
    <w:rsid w:val="120BAD48"/>
    <w:rsid w:val="12527EF0"/>
    <w:rsid w:val="12706A47"/>
    <w:rsid w:val="13231809"/>
    <w:rsid w:val="135EA8BA"/>
    <w:rsid w:val="136020A1"/>
    <w:rsid w:val="1386F505"/>
    <w:rsid w:val="13A06F50"/>
    <w:rsid w:val="13AC5EE6"/>
    <w:rsid w:val="1414781D"/>
    <w:rsid w:val="145C64D5"/>
    <w:rsid w:val="1492BCA4"/>
    <w:rsid w:val="14C59965"/>
    <w:rsid w:val="1529B215"/>
    <w:rsid w:val="159922E0"/>
    <w:rsid w:val="15D9D429"/>
    <w:rsid w:val="16484169"/>
    <w:rsid w:val="16556E22"/>
    <w:rsid w:val="16620AAF"/>
    <w:rsid w:val="16849D77"/>
    <w:rsid w:val="16A2EC24"/>
    <w:rsid w:val="16A60E30"/>
    <w:rsid w:val="16AF8373"/>
    <w:rsid w:val="16C67AFE"/>
    <w:rsid w:val="17081F9E"/>
    <w:rsid w:val="1778896A"/>
    <w:rsid w:val="179413AB"/>
    <w:rsid w:val="17EDE9AA"/>
    <w:rsid w:val="1828B18A"/>
    <w:rsid w:val="187E4AA2"/>
    <w:rsid w:val="189C4F90"/>
    <w:rsid w:val="18AFD0FE"/>
    <w:rsid w:val="1A7BF841"/>
    <w:rsid w:val="1AC6EBCD"/>
    <w:rsid w:val="1AE204B9"/>
    <w:rsid w:val="1B5B0594"/>
    <w:rsid w:val="1BE30375"/>
    <w:rsid w:val="1BFE72F7"/>
    <w:rsid w:val="1C25E49B"/>
    <w:rsid w:val="1C3F412D"/>
    <w:rsid w:val="1CB40075"/>
    <w:rsid w:val="1D004E51"/>
    <w:rsid w:val="1DA1DFC0"/>
    <w:rsid w:val="1DCD1110"/>
    <w:rsid w:val="1E0054FC"/>
    <w:rsid w:val="1E31B7E5"/>
    <w:rsid w:val="1E499E2E"/>
    <w:rsid w:val="1E57CEEB"/>
    <w:rsid w:val="1E88060E"/>
    <w:rsid w:val="1EE4A080"/>
    <w:rsid w:val="1FDE0D5A"/>
    <w:rsid w:val="204B0B85"/>
    <w:rsid w:val="20E0BD24"/>
    <w:rsid w:val="20F35882"/>
    <w:rsid w:val="21030AB6"/>
    <w:rsid w:val="2141A277"/>
    <w:rsid w:val="21AAEE9E"/>
    <w:rsid w:val="22454D4D"/>
    <w:rsid w:val="22BC6F05"/>
    <w:rsid w:val="22D6F426"/>
    <w:rsid w:val="22D80F42"/>
    <w:rsid w:val="22E0DAEC"/>
    <w:rsid w:val="22F425E6"/>
    <w:rsid w:val="23158294"/>
    <w:rsid w:val="231F867F"/>
    <w:rsid w:val="2326C471"/>
    <w:rsid w:val="23908233"/>
    <w:rsid w:val="2397742A"/>
    <w:rsid w:val="23C4BBDB"/>
    <w:rsid w:val="23D3F097"/>
    <w:rsid w:val="24203667"/>
    <w:rsid w:val="2422FDCC"/>
    <w:rsid w:val="242DC041"/>
    <w:rsid w:val="245AD948"/>
    <w:rsid w:val="2486E640"/>
    <w:rsid w:val="253105D9"/>
    <w:rsid w:val="2567EA83"/>
    <w:rsid w:val="25ACFD79"/>
    <w:rsid w:val="265F267C"/>
    <w:rsid w:val="26AB261C"/>
    <w:rsid w:val="270210F8"/>
    <w:rsid w:val="27474334"/>
    <w:rsid w:val="277B3580"/>
    <w:rsid w:val="28EC126B"/>
    <w:rsid w:val="28EFEDA6"/>
    <w:rsid w:val="292A518D"/>
    <w:rsid w:val="29607F02"/>
    <w:rsid w:val="29A83094"/>
    <w:rsid w:val="29B40B2C"/>
    <w:rsid w:val="29E5E170"/>
    <w:rsid w:val="2A05620E"/>
    <w:rsid w:val="2A1A471B"/>
    <w:rsid w:val="2A84DEB3"/>
    <w:rsid w:val="2AC23123"/>
    <w:rsid w:val="2AC8847F"/>
    <w:rsid w:val="2B1E71D8"/>
    <w:rsid w:val="2B370A9B"/>
    <w:rsid w:val="2B576990"/>
    <w:rsid w:val="2BA11FF2"/>
    <w:rsid w:val="2BB30C45"/>
    <w:rsid w:val="2BC48F9E"/>
    <w:rsid w:val="2BD60EF8"/>
    <w:rsid w:val="2C259949"/>
    <w:rsid w:val="2CC2F5B7"/>
    <w:rsid w:val="2CF30822"/>
    <w:rsid w:val="2D128BEB"/>
    <w:rsid w:val="2D1D3728"/>
    <w:rsid w:val="2D221B1A"/>
    <w:rsid w:val="2D398050"/>
    <w:rsid w:val="2D79CF6A"/>
    <w:rsid w:val="2DE7FC72"/>
    <w:rsid w:val="2E357F45"/>
    <w:rsid w:val="2E9240CB"/>
    <w:rsid w:val="2F0ED575"/>
    <w:rsid w:val="2F220D30"/>
    <w:rsid w:val="2F7315FC"/>
    <w:rsid w:val="2FD385CE"/>
    <w:rsid w:val="2FD9E6FD"/>
    <w:rsid w:val="300B3B16"/>
    <w:rsid w:val="30586433"/>
    <w:rsid w:val="306F1A11"/>
    <w:rsid w:val="3181C088"/>
    <w:rsid w:val="318A579E"/>
    <w:rsid w:val="31907BD2"/>
    <w:rsid w:val="319DA6FD"/>
    <w:rsid w:val="31C4A2D9"/>
    <w:rsid w:val="31E12B74"/>
    <w:rsid w:val="31E9781B"/>
    <w:rsid w:val="324661CE"/>
    <w:rsid w:val="3273278B"/>
    <w:rsid w:val="327BB270"/>
    <w:rsid w:val="3294DACD"/>
    <w:rsid w:val="32AB6679"/>
    <w:rsid w:val="32F52926"/>
    <w:rsid w:val="3330B0C9"/>
    <w:rsid w:val="33718994"/>
    <w:rsid w:val="3383B7B4"/>
    <w:rsid w:val="33B67926"/>
    <w:rsid w:val="341DB895"/>
    <w:rsid w:val="344B6E3E"/>
    <w:rsid w:val="345D5CF9"/>
    <w:rsid w:val="34CE8A24"/>
    <w:rsid w:val="350AC5C8"/>
    <w:rsid w:val="35149D56"/>
    <w:rsid w:val="352DFA89"/>
    <w:rsid w:val="35495C6A"/>
    <w:rsid w:val="35E8F86E"/>
    <w:rsid w:val="36EFF28B"/>
    <w:rsid w:val="3719D2F1"/>
    <w:rsid w:val="3725C5F6"/>
    <w:rsid w:val="372FDF55"/>
    <w:rsid w:val="37469DE0"/>
    <w:rsid w:val="3780991D"/>
    <w:rsid w:val="37B5670B"/>
    <w:rsid w:val="3880390D"/>
    <w:rsid w:val="389EA85F"/>
    <w:rsid w:val="38BF0104"/>
    <w:rsid w:val="399D1AED"/>
    <w:rsid w:val="39B0384C"/>
    <w:rsid w:val="39B2FA9A"/>
    <w:rsid w:val="3A6D6BD0"/>
    <w:rsid w:val="3AAFAC4C"/>
    <w:rsid w:val="3B48454B"/>
    <w:rsid w:val="3B4A4AAE"/>
    <w:rsid w:val="3B71D32E"/>
    <w:rsid w:val="3B8205A3"/>
    <w:rsid w:val="3B94F363"/>
    <w:rsid w:val="3C11822C"/>
    <w:rsid w:val="3C798ED7"/>
    <w:rsid w:val="3CC6407B"/>
    <w:rsid w:val="3CDBE941"/>
    <w:rsid w:val="3CF1FC58"/>
    <w:rsid w:val="3D868913"/>
    <w:rsid w:val="3D8D2778"/>
    <w:rsid w:val="3DA16ED2"/>
    <w:rsid w:val="3E58C5E6"/>
    <w:rsid w:val="3E6A8112"/>
    <w:rsid w:val="3EB5C7F1"/>
    <w:rsid w:val="3F3720F8"/>
    <w:rsid w:val="3F7819A9"/>
    <w:rsid w:val="3F843217"/>
    <w:rsid w:val="40065173"/>
    <w:rsid w:val="402A2AFA"/>
    <w:rsid w:val="402DE147"/>
    <w:rsid w:val="405C978C"/>
    <w:rsid w:val="40CBB162"/>
    <w:rsid w:val="4103F9CE"/>
    <w:rsid w:val="413BAB61"/>
    <w:rsid w:val="416F7951"/>
    <w:rsid w:val="417FF7CF"/>
    <w:rsid w:val="418FEE3D"/>
    <w:rsid w:val="41E11828"/>
    <w:rsid w:val="41EA29F8"/>
    <w:rsid w:val="420E1234"/>
    <w:rsid w:val="422E1EBA"/>
    <w:rsid w:val="423266ED"/>
    <w:rsid w:val="424B0643"/>
    <w:rsid w:val="428B4C23"/>
    <w:rsid w:val="42C572D1"/>
    <w:rsid w:val="42D94E17"/>
    <w:rsid w:val="435A1392"/>
    <w:rsid w:val="435C613F"/>
    <w:rsid w:val="43955161"/>
    <w:rsid w:val="440DA020"/>
    <w:rsid w:val="44332F79"/>
    <w:rsid w:val="4491CFBA"/>
    <w:rsid w:val="457D4872"/>
    <w:rsid w:val="45E003A3"/>
    <w:rsid w:val="45FCD5EF"/>
    <w:rsid w:val="4660C5BD"/>
    <w:rsid w:val="47D6415D"/>
    <w:rsid w:val="47FCB9D8"/>
    <w:rsid w:val="48615753"/>
    <w:rsid w:val="4866638C"/>
    <w:rsid w:val="49064C03"/>
    <w:rsid w:val="49090544"/>
    <w:rsid w:val="4935B917"/>
    <w:rsid w:val="49BA3100"/>
    <w:rsid w:val="4A265666"/>
    <w:rsid w:val="4A608F85"/>
    <w:rsid w:val="4ABDB1EA"/>
    <w:rsid w:val="4B1855C8"/>
    <w:rsid w:val="4B4F245B"/>
    <w:rsid w:val="4B6E920E"/>
    <w:rsid w:val="4B6EBA73"/>
    <w:rsid w:val="4B8FB540"/>
    <w:rsid w:val="4BAEA212"/>
    <w:rsid w:val="4C16514B"/>
    <w:rsid w:val="4C78CC1A"/>
    <w:rsid w:val="4D65AE6D"/>
    <w:rsid w:val="4E13CAAB"/>
    <w:rsid w:val="4E444C5A"/>
    <w:rsid w:val="4E7EBADD"/>
    <w:rsid w:val="4F355444"/>
    <w:rsid w:val="500A7886"/>
    <w:rsid w:val="50407956"/>
    <w:rsid w:val="514EFFB2"/>
    <w:rsid w:val="516E831A"/>
    <w:rsid w:val="51737943"/>
    <w:rsid w:val="51A9EF0D"/>
    <w:rsid w:val="5286CE3E"/>
    <w:rsid w:val="52BA470E"/>
    <w:rsid w:val="52DA872C"/>
    <w:rsid w:val="532499B0"/>
    <w:rsid w:val="53448098"/>
    <w:rsid w:val="535156FB"/>
    <w:rsid w:val="53C8B2BA"/>
    <w:rsid w:val="540618F3"/>
    <w:rsid w:val="5413E1CC"/>
    <w:rsid w:val="5476578D"/>
    <w:rsid w:val="5482806F"/>
    <w:rsid w:val="548B11E2"/>
    <w:rsid w:val="54BC33BD"/>
    <w:rsid w:val="55907B8D"/>
    <w:rsid w:val="55D466BA"/>
    <w:rsid w:val="5672A610"/>
    <w:rsid w:val="587CFF88"/>
    <w:rsid w:val="58E752EF"/>
    <w:rsid w:val="594AA51B"/>
    <w:rsid w:val="59A3F833"/>
    <w:rsid w:val="59AB16FC"/>
    <w:rsid w:val="5A155852"/>
    <w:rsid w:val="5AC02DB4"/>
    <w:rsid w:val="5AF78D3C"/>
    <w:rsid w:val="5B8C39B9"/>
    <w:rsid w:val="5BA4F27B"/>
    <w:rsid w:val="5BAF2109"/>
    <w:rsid w:val="5C205FC7"/>
    <w:rsid w:val="5C6F352A"/>
    <w:rsid w:val="5CB6A974"/>
    <w:rsid w:val="5CBC520D"/>
    <w:rsid w:val="5CDB98F5"/>
    <w:rsid w:val="5CDE4E5D"/>
    <w:rsid w:val="5CE2F724"/>
    <w:rsid w:val="5D280A1A"/>
    <w:rsid w:val="5D400387"/>
    <w:rsid w:val="5D95C120"/>
    <w:rsid w:val="5DD233E2"/>
    <w:rsid w:val="5E23BBE1"/>
    <w:rsid w:val="5E42BCA3"/>
    <w:rsid w:val="5E4CD0EF"/>
    <w:rsid w:val="5E7DD223"/>
    <w:rsid w:val="5E88EC71"/>
    <w:rsid w:val="5ED41BAA"/>
    <w:rsid w:val="5EF20F1D"/>
    <w:rsid w:val="5F272A17"/>
    <w:rsid w:val="5F4A1666"/>
    <w:rsid w:val="5F635558"/>
    <w:rsid w:val="5F9A00E4"/>
    <w:rsid w:val="5FD5BD73"/>
    <w:rsid w:val="60670B3F"/>
    <w:rsid w:val="60671F0C"/>
    <w:rsid w:val="60A9BC65"/>
    <w:rsid w:val="60C7B400"/>
    <w:rsid w:val="60CC9ECE"/>
    <w:rsid w:val="60D9F17E"/>
    <w:rsid w:val="613CB533"/>
    <w:rsid w:val="61C8F030"/>
    <w:rsid w:val="620604E1"/>
    <w:rsid w:val="62BF6D57"/>
    <w:rsid w:val="62CAD580"/>
    <w:rsid w:val="62FE1BB0"/>
    <w:rsid w:val="6309D9BA"/>
    <w:rsid w:val="636B5548"/>
    <w:rsid w:val="63ADE3BF"/>
    <w:rsid w:val="63C0A3F7"/>
    <w:rsid w:val="63C6E6E2"/>
    <w:rsid w:val="64324ADC"/>
    <w:rsid w:val="645FD1B6"/>
    <w:rsid w:val="647CD1F2"/>
    <w:rsid w:val="64CFBA2A"/>
    <w:rsid w:val="64F23531"/>
    <w:rsid w:val="657B31E2"/>
    <w:rsid w:val="6628F7C6"/>
    <w:rsid w:val="66311CDC"/>
    <w:rsid w:val="6658088E"/>
    <w:rsid w:val="666DF140"/>
    <w:rsid w:val="66A2F60A"/>
    <w:rsid w:val="66BDDCA0"/>
    <w:rsid w:val="66CE3AD3"/>
    <w:rsid w:val="67072C0B"/>
    <w:rsid w:val="6765945E"/>
    <w:rsid w:val="676993DE"/>
    <w:rsid w:val="67B5C633"/>
    <w:rsid w:val="67CDFB28"/>
    <w:rsid w:val="682C9CF0"/>
    <w:rsid w:val="683EC66B"/>
    <w:rsid w:val="6874170D"/>
    <w:rsid w:val="68E34C1B"/>
    <w:rsid w:val="6915867E"/>
    <w:rsid w:val="6923C3BC"/>
    <w:rsid w:val="696C690B"/>
    <w:rsid w:val="69A2886B"/>
    <w:rsid w:val="69FE98A8"/>
    <w:rsid w:val="6A4B0874"/>
    <w:rsid w:val="6A558CF6"/>
    <w:rsid w:val="6A6460CF"/>
    <w:rsid w:val="6A687C6E"/>
    <w:rsid w:val="6A81E53E"/>
    <w:rsid w:val="6AEE8D3E"/>
    <w:rsid w:val="6AFD0C46"/>
    <w:rsid w:val="6AFEC455"/>
    <w:rsid w:val="6B049587"/>
    <w:rsid w:val="6B0AC311"/>
    <w:rsid w:val="6B1FAD69"/>
    <w:rsid w:val="6B8A3240"/>
    <w:rsid w:val="6BD2E7D5"/>
    <w:rsid w:val="6C0189BE"/>
    <w:rsid w:val="6C403F04"/>
    <w:rsid w:val="6C4F6394"/>
    <w:rsid w:val="6C6B5653"/>
    <w:rsid w:val="6C84AF08"/>
    <w:rsid w:val="6CBD6B77"/>
    <w:rsid w:val="6D6278E2"/>
    <w:rsid w:val="6DB3209A"/>
    <w:rsid w:val="6DC58D88"/>
    <w:rsid w:val="6DDC8F92"/>
    <w:rsid w:val="6E002761"/>
    <w:rsid w:val="6E51F9F0"/>
    <w:rsid w:val="6EA21B04"/>
    <w:rsid w:val="6F16E28B"/>
    <w:rsid w:val="6F74A5C3"/>
    <w:rsid w:val="6FCD519D"/>
    <w:rsid w:val="6FD6D433"/>
    <w:rsid w:val="7026C049"/>
    <w:rsid w:val="70AD30D6"/>
    <w:rsid w:val="70B28253"/>
    <w:rsid w:val="70C3BD06"/>
    <w:rsid w:val="711401A0"/>
    <w:rsid w:val="714F1E74"/>
    <w:rsid w:val="720909FD"/>
    <w:rsid w:val="72609EDB"/>
    <w:rsid w:val="7304F25F"/>
    <w:rsid w:val="730846AB"/>
    <w:rsid w:val="730F98B1"/>
    <w:rsid w:val="7335465D"/>
    <w:rsid w:val="733D5C06"/>
    <w:rsid w:val="735243DA"/>
    <w:rsid w:val="73A452AF"/>
    <w:rsid w:val="73B4ED53"/>
    <w:rsid w:val="7449BD52"/>
    <w:rsid w:val="7455D09A"/>
    <w:rsid w:val="7461D5F3"/>
    <w:rsid w:val="74E23057"/>
    <w:rsid w:val="75377077"/>
    <w:rsid w:val="75873B6E"/>
    <w:rsid w:val="76631BD2"/>
    <w:rsid w:val="767D86FD"/>
    <w:rsid w:val="76976DB7"/>
    <w:rsid w:val="7720A829"/>
    <w:rsid w:val="772D9B32"/>
    <w:rsid w:val="772EE9D1"/>
    <w:rsid w:val="775298AC"/>
    <w:rsid w:val="77756FC5"/>
    <w:rsid w:val="7787A769"/>
    <w:rsid w:val="77C9050C"/>
    <w:rsid w:val="783A7DCB"/>
    <w:rsid w:val="784023B3"/>
    <w:rsid w:val="786225D9"/>
    <w:rsid w:val="7866AE80"/>
    <w:rsid w:val="7869D488"/>
    <w:rsid w:val="78B4CAFE"/>
    <w:rsid w:val="790833D5"/>
    <w:rsid w:val="792AE276"/>
    <w:rsid w:val="793BF0A1"/>
    <w:rsid w:val="796ABF53"/>
    <w:rsid w:val="79904B6B"/>
    <w:rsid w:val="7997CBCB"/>
    <w:rsid w:val="799FBF20"/>
    <w:rsid w:val="79A60F64"/>
    <w:rsid w:val="79CCCD3C"/>
    <w:rsid w:val="7A2AE812"/>
    <w:rsid w:val="7A3094A1"/>
    <w:rsid w:val="7A5C6E27"/>
    <w:rsid w:val="7A6EA2D5"/>
    <w:rsid w:val="7AD4841A"/>
    <w:rsid w:val="7AD964DC"/>
    <w:rsid w:val="7B37C52B"/>
    <w:rsid w:val="7B5B1EB4"/>
    <w:rsid w:val="7B8C9BE3"/>
    <w:rsid w:val="7B91F300"/>
    <w:rsid w:val="7BC0A161"/>
    <w:rsid w:val="7C0F457D"/>
    <w:rsid w:val="7C2F6AFD"/>
    <w:rsid w:val="7C92AC48"/>
    <w:rsid w:val="7C9C762F"/>
    <w:rsid w:val="7CB8B837"/>
    <w:rsid w:val="7D558ED9"/>
    <w:rsid w:val="7D61BA87"/>
    <w:rsid w:val="7D6288D4"/>
    <w:rsid w:val="7D84D308"/>
    <w:rsid w:val="7D8BDBC4"/>
    <w:rsid w:val="7D8E4325"/>
    <w:rsid w:val="7DACA612"/>
    <w:rsid w:val="7DDC0629"/>
    <w:rsid w:val="7E370159"/>
    <w:rsid w:val="7E505230"/>
    <w:rsid w:val="7EB8D1D4"/>
    <w:rsid w:val="7ECAC79A"/>
    <w:rsid w:val="7EF350C7"/>
    <w:rsid w:val="7F2497A1"/>
    <w:rsid w:val="7F484BB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70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62"/>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7"/>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7"/>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E72022"/>
    <w:pPr>
      <w:keepNext/>
      <w:keepLines/>
      <w:tabs>
        <w:tab w:val="num" w:pos="851"/>
      </w:tabs>
      <w:spacing w:before="200" w:after="0" w:line="360" w:lineRule="auto"/>
      <w:jc w:val="both"/>
      <w:outlineLvl w:val="4"/>
    </w:pPr>
    <w:rPr>
      <w:rFonts w:ascii="Calibri" w:eastAsiaTheme="majorEastAsia" w:hAnsi="Calibri" w:cstheme="majorBidi"/>
      <w:b/>
    </w:rPr>
  </w:style>
  <w:style w:type="paragraph" w:styleId="Heading6">
    <w:name w:val="heading 6"/>
    <w:basedOn w:val="Normal"/>
    <w:next w:val="Normal"/>
    <w:link w:val="Heading6Char"/>
    <w:uiPriority w:val="9"/>
    <w:unhideWhenUsed/>
    <w:qFormat/>
    <w:rsid w:val="00E72022"/>
    <w:pPr>
      <w:keepNext/>
      <w:keepLines/>
      <w:tabs>
        <w:tab w:val="num" w:pos="851"/>
      </w:tabs>
      <w:spacing w:before="0" w:after="0" w:line="360" w:lineRule="auto"/>
      <w:ind w:left="1294" w:hanging="1294"/>
      <w:jc w:val="both"/>
      <w:outlineLvl w:val="5"/>
    </w:pPr>
    <w:rPr>
      <w:rFonts w:ascii="Calibri" w:eastAsiaTheme="majorEastAsia" w:hAnsi="Calibri" w:cstheme="majorBidi"/>
      <w:b/>
      <w:bCs/>
      <w:szCs w:val="28"/>
    </w:rPr>
  </w:style>
  <w:style w:type="paragraph" w:styleId="Heading7">
    <w:name w:val="heading 7"/>
    <w:basedOn w:val="Normal"/>
    <w:next w:val="Normal"/>
    <w:link w:val="Heading7Char"/>
    <w:uiPriority w:val="9"/>
    <w:unhideWhenUsed/>
    <w:qFormat/>
    <w:rsid w:val="00E72022"/>
    <w:pPr>
      <w:keepNext/>
      <w:keepLines/>
      <w:tabs>
        <w:tab w:val="num" w:pos="851"/>
      </w:tabs>
      <w:spacing w:before="0" w:after="0" w:line="360" w:lineRule="auto"/>
      <w:jc w:val="both"/>
      <w:outlineLvl w:val="6"/>
    </w:pPr>
    <w:rPr>
      <w:rFonts w:ascii="Calibri" w:eastAsiaTheme="majorEastAsia" w:hAnsi="Calibri" w:cstheme="majorBidi"/>
      <w:b/>
      <w:bCs/>
      <w:szCs w:val="26"/>
    </w:rPr>
  </w:style>
  <w:style w:type="paragraph" w:styleId="Heading8">
    <w:name w:val="heading 8"/>
    <w:basedOn w:val="Normal"/>
    <w:next w:val="Normal"/>
    <w:link w:val="Heading8Char"/>
    <w:uiPriority w:val="9"/>
    <w:unhideWhenUsed/>
    <w:qFormat/>
    <w:rsid w:val="00E72022"/>
    <w:pPr>
      <w:keepNext/>
      <w:tabs>
        <w:tab w:val="num" w:pos="851"/>
      </w:tabs>
      <w:spacing w:before="0" w:after="0" w:line="360" w:lineRule="auto"/>
      <w:jc w:val="both"/>
      <w:outlineLvl w:val="7"/>
    </w:pPr>
    <w:rPr>
      <w:rFonts w:ascii="Calibri" w:hAnsi="Calibri" w:cs="Arial"/>
      <w:b/>
    </w:rPr>
  </w:style>
  <w:style w:type="paragraph" w:styleId="Heading9">
    <w:name w:val="heading 9"/>
    <w:basedOn w:val="Normal"/>
    <w:next w:val="Normal"/>
    <w:link w:val="Heading9Char"/>
    <w:uiPriority w:val="9"/>
    <w:unhideWhenUsed/>
    <w:qFormat/>
    <w:rsid w:val="00E72022"/>
    <w:pPr>
      <w:keepNext/>
      <w:keepLines/>
      <w:tabs>
        <w:tab w:val="num" w:pos="851"/>
      </w:tabs>
      <w:spacing w:before="0" w:after="0" w:line="360" w:lineRule="auto"/>
      <w:jc w:val="both"/>
      <w:outlineLvl w:val="8"/>
    </w:pPr>
    <w:rPr>
      <w:rFonts w:asciiTheme="minorHAnsi" w:eastAsiaTheme="majorEastAsia" w:hAnsiTheme="min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TXinwei" w:hAnsi="STXinwei"/>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HTAtableplain"/>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8"/>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9"/>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10"/>
      </w:numPr>
    </w:pPr>
  </w:style>
  <w:style w:type="paragraph" w:customStyle="1" w:styleId="2-SectionHeading">
    <w:name w:val="2-Section Heading"/>
    <w:qFormat/>
    <w:rsid w:val="005131D3"/>
    <w:pPr>
      <w:keepNext/>
      <w:numPr>
        <w:numId w:val="11"/>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11"/>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12"/>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STXinwei" w:hAnsi="STXinwei"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STXinwei" w:hAnsi="STXinwei"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STXinwei" w:hAnsi="STXinwei"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13"/>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4"/>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5"/>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Heading5Char">
    <w:name w:val="Heading 5 Char"/>
    <w:basedOn w:val="DefaultParagraphFont"/>
    <w:link w:val="Heading5"/>
    <w:uiPriority w:val="9"/>
    <w:rsid w:val="00E72022"/>
    <w:rPr>
      <w:rFonts w:ascii="Calibri" w:eastAsiaTheme="majorEastAsia" w:hAnsi="Calibri" w:cstheme="majorBidi"/>
      <w:b/>
    </w:rPr>
  </w:style>
  <w:style w:type="character" w:customStyle="1" w:styleId="Heading6Char">
    <w:name w:val="Heading 6 Char"/>
    <w:basedOn w:val="DefaultParagraphFont"/>
    <w:link w:val="Heading6"/>
    <w:uiPriority w:val="9"/>
    <w:rsid w:val="00E72022"/>
    <w:rPr>
      <w:rFonts w:ascii="Calibri" w:eastAsiaTheme="majorEastAsia" w:hAnsi="Calibri" w:cstheme="majorBidi"/>
      <w:b/>
      <w:bCs/>
      <w:szCs w:val="28"/>
    </w:rPr>
  </w:style>
  <w:style w:type="character" w:customStyle="1" w:styleId="Heading7Char">
    <w:name w:val="Heading 7 Char"/>
    <w:basedOn w:val="DefaultParagraphFont"/>
    <w:link w:val="Heading7"/>
    <w:uiPriority w:val="9"/>
    <w:rsid w:val="00E72022"/>
    <w:rPr>
      <w:rFonts w:ascii="Calibri" w:eastAsiaTheme="majorEastAsia" w:hAnsi="Calibri" w:cstheme="majorBidi"/>
      <w:b/>
      <w:bCs/>
      <w:szCs w:val="26"/>
    </w:rPr>
  </w:style>
  <w:style w:type="character" w:customStyle="1" w:styleId="Heading8Char">
    <w:name w:val="Heading 8 Char"/>
    <w:basedOn w:val="DefaultParagraphFont"/>
    <w:link w:val="Heading8"/>
    <w:uiPriority w:val="9"/>
    <w:rsid w:val="00E72022"/>
    <w:rPr>
      <w:rFonts w:ascii="Calibri" w:hAnsi="Calibri" w:cs="Arial"/>
      <w:b/>
    </w:rPr>
  </w:style>
  <w:style w:type="character" w:customStyle="1" w:styleId="Heading9Char">
    <w:name w:val="Heading 9 Char"/>
    <w:basedOn w:val="DefaultParagraphFont"/>
    <w:link w:val="Heading9"/>
    <w:uiPriority w:val="9"/>
    <w:rsid w:val="00E72022"/>
    <w:rPr>
      <w:rFonts w:eastAsiaTheme="majorEastAsia" w:cstheme="majorBidi"/>
      <w:b/>
      <w:bCs/>
      <w:iCs/>
    </w:rPr>
  </w:style>
  <w:style w:type="paragraph" w:customStyle="1" w:styleId="Bull1table">
    <w:name w:val="Bull1 table"/>
    <w:basedOn w:val="ListParagraph"/>
    <w:qFormat/>
    <w:rsid w:val="00E72022"/>
    <w:pPr>
      <w:numPr>
        <w:numId w:val="16"/>
      </w:numPr>
      <w:tabs>
        <w:tab w:val="left" w:pos="416"/>
        <w:tab w:val="left" w:pos="582"/>
      </w:tabs>
      <w:spacing w:before="0" w:after="0" w:line="276" w:lineRule="auto"/>
      <w:contextualSpacing w:val="0"/>
      <w:jc w:val="both"/>
    </w:pPr>
    <w:rPr>
      <w:rFonts w:asciiTheme="minorHAnsi" w:eastAsia="Times New Roman" w:hAnsiTheme="minorHAnsi" w:cstheme="minorHAnsi"/>
      <w:sz w:val="20"/>
      <w:szCs w:val="20"/>
    </w:rPr>
  </w:style>
  <w:style w:type="character" w:styleId="IntenseEmphasis">
    <w:name w:val="Intense Emphasis"/>
    <w:basedOn w:val="DefaultParagraphFont"/>
    <w:uiPriority w:val="21"/>
    <w:qFormat/>
    <w:rsid w:val="003F65FE"/>
    <w:rPr>
      <w:i/>
      <w:iCs/>
      <w:color w:val="5B9BD5" w:themeColor="accent1"/>
    </w:rPr>
  </w:style>
  <w:style w:type="paragraph" w:customStyle="1" w:styleId="Tablecentre">
    <w:name w:val="Table centre"/>
    <w:basedOn w:val="Normal"/>
    <w:qFormat/>
    <w:rsid w:val="00AC57F1"/>
    <w:pPr>
      <w:spacing w:before="0" w:after="0" w:line="276" w:lineRule="auto"/>
      <w:jc w:val="center"/>
    </w:pPr>
    <w:rPr>
      <w:rFonts w:asciiTheme="minorHAnsi" w:hAnsiTheme="minorHAnsi" w:cstheme="minorHAnsi"/>
      <w:bCs/>
      <w:sz w:val="20"/>
      <w:szCs w:val="20"/>
    </w:rPr>
  </w:style>
  <w:style w:type="paragraph" w:customStyle="1" w:styleId="Default">
    <w:name w:val="Default"/>
    <w:rsid w:val="001B2EA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BC1B89"/>
    <w:rPr>
      <w:color w:val="605E5C"/>
      <w:shd w:val="clear" w:color="auto" w:fill="E1DFDD"/>
    </w:rPr>
  </w:style>
  <w:style w:type="paragraph" w:customStyle="1" w:styleId="TableParagraph">
    <w:name w:val="Table Paragraph"/>
    <w:basedOn w:val="Normal"/>
    <w:uiPriority w:val="1"/>
    <w:qFormat/>
    <w:rsid w:val="00700967"/>
    <w:pPr>
      <w:autoSpaceDE w:val="0"/>
      <w:autoSpaceDN w:val="0"/>
      <w:adjustRightInd w:val="0"/>
      <w:spacing w:before="0" w:after="0" w:line="240" w:lineRule="auto"/>
    </w:pPr>
    <w:rPr>
      <w:rFonts w:ascii="Times New Roman" w:hAnsi="Times New Roman" w:cs="Times New Roman"/>
      <w:sz w:val="24"/>
      <w:szCs w:val="24"/>
    </w:rPr>
  </w:style>
  <w:style w:type="paragraph" w:customStyle="1" w:styleId="Btable">
    <w:name w:val="B table"/>
    <w:basedOn w:val="Normal"/>
    <w:qFormat/>
    <w:rsid w:val="00EE28A9"/>
    <w:pPr>
      <w:widowControl w:val="0"/>
      <w:tabs>
        <w:tab w:val="left" w:pos="316"/>
        <w:tab w:val="left" w:pos="416"/>
        <w:tab w:val="left" w:pos="442"/>
        <w:tab w:val="left" w:pos="582"/>
      </w:tabs>
      <w:spacing w:before="0" w:after="0" w:line="276" w:lineRule="auto"/>
      <w:jc w:val="both"/>
    </w:pPr>
    <w:rPr>
      <w:rFonts w:asciiTheme="minorHAnsi" w:eastAsia="Calibri" w:hAnsiTheme="minorHAnsi" w:cstheme="minorHAnsi"/>
      <w:b/>
      <w:bCs/>
      <w:sz w:val="20"/>
      <w:szCs w:val="20"/>
      <w:lang w:eastAsia="en-AU"/>
    </w:rPr>
  </w:style>
  <w:style w:type="table" w:customStyle="1" w:styleId="HealthConsult1">
    <w:name w:val="HealthConsult1"/>
    <w:basedOn w:val="TableNormal"/>
    <w:uiPriority w:val="59"/>
    <w:rsid w:val="001320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4B3967"/>
  </w:style>
  <w:style w:type="character" w:customStyle="1" w:styleId="highlight">
    <w:name w:val="highlight"/>
    <w:basedOn w:val="DefaultParagraphFont"/>
    <w:rsid w:val="0041180C"/>
  </w:style>
  <w:style w:type="character" w:customStyle="1" w:styleId="Subtitle1">
    <w:name w:val="Subtitle1"/>
    <w:basedOn w:val="DefaultParagraphFont"/>
    <w:rsid w:val="0041180C"/>
  </w:style>
  <w:style w:type="character" w:customStyle="1" w:styleId="colon-for-citation-subtitle">
    <w:name w:val="colon-for-citation-subtitle"/>
    <w:basedOn w:val="DefaultParagraphFont"/>
    <w:rsid w:val="0041180C"/>
  </w:style>
  <w:style w:type="character" w:customStyle="1" w:styleId="nlmstring-name">
    <w:name w:val="nlm_string-name"/>
    <w:basedOn w:val="DefaultParagraphFont"/>
    <w:rsid w:val="00BA2F4A"/>
  </w:style>
  <w:style w:type="character" w:customStyle="1" w:styleId="journalname">
    <w:name w:val="journalname"/>
    <w:basedOn w:val="DefaultParagraphFont"/>
    <w:rsid w:val="00BA2F4A"/>
  </w:style>
  <w:style w:type="character" w:customStyle="1" w:styleId="year">
    <w:name w:val="year"/>
    <w:basedOn w:val="DefaultParagraphFont"/>
    <w:rsid w:val="00BA2F4A"/>
  </w:style>
  <w:style w:type="character" w:customStyle="1" w:styleId="volume">
    <w:name w:val="volume"/>
    <w:basedOn w:val="DefaultParagraphFont"/>
    <w:rsid w:val="00BA2F4A"/>
  </w:style>
  <w:style w:type="character" w:customStyle="1" w:styleId="issue">
    <w:name w:val="issue"/>
    <w:basedOn w:val="DefaultParagraphFont"/>
    <w:rsid w:val="00BA2F4A"/>
  </w:style>
  <w:style w:type="paragraph" w:customStyle="1" w:styleId="BoxBullet">
    <w:name w:val="BoxBullet"/>
    <w:basedOn w:val="Normal"/>
    <w:rsid w:val="0058483A"/>
    <w:pPr>
      <w:numPr>
        <w:numId w:val="18"/>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ulletBeforeDash">
    <w:name w:val="BulletBeforeDash"/>
    <w:basedOn w:val="Normal"/>
    <w:rsid w:val="0058483A"/>
    <w:pPr>
      <w:numPr>
        <w:numId w:val="19"/>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58483A"/>
    <w:pPr>
      <w:numPr>
        <w:numId w:val="0"/>
      </w:numPr>
      <w:spacing w:before="0" w:after="240"/>
      <w:ind w:left="786" w:hanging="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58483A"/>
    <w:pPr>
      <w:keepNext/>
      <w:spacing w:before="0" w:after="120" w:line="240" w:lineRule="auto"/>
    </w:pPr>
    <w:rPr>
      <w:rFonts w:eastAsia="Times New Roman" w:cs="Times New Roman"/>
      <w:color w:val="000000"/>
      <w:szCs w:val="20"/>
      <w:lang w:eastAsia="en-AU"/>
    </w:rPr>
  </w:style>
  <w:style w:type="paragraph" w:styleId="BodyText">
    <w:name w:val="Body Text"/>
    <w:basedOn w:val="Normal"/>
    <w:link w:val="BodyTextChar"/>
    <w:rsid w:val="00F72C82"/>
    <w:pPr>
      <w:spacing w:before="0" w:after="0" w:line="312" w:lineRule="auto"/>
    </w:pPr>
    <w:rPr>
      <w:rFonts w:ascii="Helv" w:eastAsia="Times New Roman" w:hAnsi="Helv" w:cs="Tahoma"/>
      <w:b/>
      <w:i/>
      <w:snapToGrid w:val="0"/>
      <w:color w:val="000000"/>
      <w:sz w:val="28"/>
    </w:rPr>
  </w:style>
  <w:style w:type="character" w:customStyle="1" w:styleId="BodyTextChar">
    <w:name w:val="Body Text Char"/>
    <w:basedOn w:val="DefaultParagraphFont"/>
    <w:link w:val="BodyText"/>
    <w:rsid w:val="00F72C82"/>
    <w:rPr>
      <w:rFonts w:ascii="Helv" w:eastAsia="Times New Roman" w:hAnsi="Helv" w:cs="Tahoma"/>
      <w:b/>
      <w:i/>
      <w:snapToGrid w:val="0"/>
      <w:color w:val="000000"/>
      <w:sz w:val="28"/>
    </w:rPr>
  </w:style>
  <w:style w:type="character" w:styleId="Mention">
    <w:name w:val="Mention"/>
    <w:basedOn w:val="DefaultParagraphFont"/>
    <w:uiPriority w:val="99"/>
    <w:unhideWhenUsed/>
    <w:rsid w:val="00EB5802"/>
    <w:rPr>
      <w:color w:val="2B579A"/>
      <w:shd w:val="clear" w:color="auto" w:fill="E1DFDD"/>
    </w:rPr>
  </w:style>
  <w:style w:type="character" w:customStyle="1" w:styleId="bkciteavail">
    <w:name w:val="bk_cite_avail"/>
    <w:basedOn w:val="DefaultParagraphFont"/>
    <w:rsid w:val="00D920D6"/>
  </w:style>
  <w:style w:type="paragraph" w:styleId="EndnoteText">
    <w:name w:val="endnote text"/>
    <w:basedOn w:val="Normal"/>
    <w:link w:val="EndnoteTextChar"/>
    <w:uiPriority w:val="99"/>
    <w:semiHidden/>
    <w:unhideWhenUsed/>
    <w:rsid w:val="00BC595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C5957"/>
    <w:rPr>
      <w:rFonts w:ascii="Franklin Gothic Book" w:hAnsi="Franklin Gothic Book"/>
      <w:sz w:val="20"/>
      <w:szCs w:val="20"/>
    </w:rPr>
  </w:style>
  <w:style w:type="character" w:styleId="EndnoteReference">
    <w:name w:val="endnote reference"/>
    <w:basedOn w:val="DefaultParagraphFont"/>
    <w:uiPriority w:val="99"/>
    <w:semiHidden/>
    <w:unhideWhenUsed/>
    <w:rsid w:val="00BC5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95444194">
      <w:bodyDiv w:val="1"/>
      <w:marLeft w:val="0"/>
      <w:marRight w:val="0"/>
      <w:marTop w:val="0"/>
      <w:marBottom w:val="0"/>
      <w:divBdr>
        <w:top w:val="none" w:sz="0" w:space="0" w:color="auto"/>
        <w:left w:val="none" w:sz="0" w:space="0" w:color="auto"/>
        <w:bottom w:val="none" w:sz="0" w:space="0" w:color="auto"/>
        <w:right w:val="none" w:sz="0" w:space="0" w:color="auto"/>
      </w:divBdr>
    </w:div>
    <w:div w:id="120156772">
      <w:bodyDiv w:val="1"/>
      <w:marLeft w:val="0"/>
      <w:marRight w:val="0"/>
      <w:marTop w:val="0"/>
      <w:marBottom w:val="0"/>
      <w:divBdr>
        <w:top w:val="none" w:sz="0" w:space="0" w:color="auto"/>
        <w:left w:val="none" w:sz="0" w:space="0" w:color="auto"/>
        <w:bottom w:val="none" w:sz="0" w:space="0" w:color="auto"/>
        <w:right w:val="none" w:sz="0" w:space="0" w:color="auto"/>
      </w:divBdr>
      <w:divsChild>
        <w:div w:id="297757917">
          <w:marLeft w:val="0"/>
          <w:marRight w:val="0"/>
          <w:marTop w:val="0"/>
          <w:marBottom w:val="0"/>
          <w:divBdr>
            <w:top w:val="none" w:sz="0" w:space="0" w:color="auto"/>
            <w:left w:val="none" w:sz="0" w:space="0" w:color="auto"/>
            <w:bottom w:val="none" w:sz="0" w:space="0" w:color="auto"/>
            <w:right w:val="none" w:sz="0" w:space="0" w:color="auto"/>
          </w:divBdr>
        </w:div>
        <w:div w:id="1737244517">
          <w:marLeft w:val="0"/>
          <w:marRight w:val="0"/>
          <w:marTop w:val="0"/>
          <w:marBottom w:val="0"/>
          <w:divBdr>
            <w:top w:val="none" w:sz="0" w:space="0" w:color="auto"/>
            <w:left w:val="none" w:sz="0" w:space="0" w:color="auto"/>
            <w:bottom w:val="none" w:sz="0" w:space="0" w:color="auto"/>
            <w:right w:val="none" w:sz="0" w:space="0" w:color="auto"/>
          </w:divBdr>
        </w:div>
      </w:divsChild>
    </w:div>
    <w:div w:id="171721843">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34771160">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30977449">
      <w:bodyDiv w:val="1"/>
      <w:marLeft w:val="0"/>
      <w:marRight w:val="0"/>
      <w:marTop w:val="0"/>
      <w:marBottom w:val="0"/>
      <w:divBdr>
        <w:top w:val="none" w:sz="0" w:space="0" w:color="auto"/>
        <w:left w:val="none" w:sz="0" w:space="0" w:color="auto"/>
        <w:bottom w:val="none" w:sz="0" w:space="0" w:color="auto"/>
        <w:right w:val="none" w:sz="0" w:space="0" w:color="auto"/>
      </w:divBdr>
      <w:divsChild>
        <w:div w:id="283387430">
          <w:marLeft w:val="0"/>
          <w:marRight w:val="0"/>
          <w:marTop w:val="0"/>
          <w:marBottom w:val="0"/>
          <w:divBdr>
            <w:top w:val="none" w:sz="0" w:space="0" w:color="auto"/>
            <w:left w:val="none" w:sz="0" w:space="0" w:color="auto"/>
            <w:bottom w:val="none" w:sz="0" w:space="0" w:color="auto"/>
            <w:right w:val="none" w:sz="0" w:space="0" w:color="auto"/>
          </w:divBdr>
        </w:div>
        <w:div w:id="571282340">
          <w:marLeft w:val="0"/>
          <w:marRight w:val="0"/>
          <w:marTop w:val="0"/>
          <w:marBottom w:val="0"/>
          <w:divBdr>
            <w:top w:val="none" w:sz="0" w:space="0" w:color="auto"/>
            <w:left w:val="none" w:sz="0" w:space="0" w:color="auto"/>
            <w:bottom w:val="none" w:sz="0" w:space="0" w:color="auto"/>
            <w:right w:val="none" w:sz="0" w:space="0" w:color="auto"/>
          </w:divBdr>
        </w:div>
      </w:divsChild>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71089398">
      <w:bodyDiv w:val="1"/>
      <w:marLeft w:val="0"/>
      <w:marRight w:val="0"/>
      <w:marTop w:val="0"/>
      <w:marBottom w:val="0"/>
      <w:divBdr>
        <w:top w:val="none" w:sz="0" w:space="0" w:color="auto"/>
        <w:left w:val="none" w:sz="0" w:space="0" w:color="auto"/>
        <w:bottom w:val="none" w:sz="0" w:space="0" w:color="auto"/>
        <w:right w:val="none" w:sz="0" w:space="0" w:color="auto"/>
      </w:divBdr>
      <w:divsChild>
        <w:div w:id="69948019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59620116">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5395741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01675140">
      <w:bodyDiv w:val="1"/>
      <w:marLeft w:val="0"/>
      <w:marRight w:val="0"/>
      <w:marTop w:val="0"/>
      <w:marBottom w:val="0"/>
      <w:divBdr>
        <w:top w:val="none" w:sz="0" w:space="0" w:color="auto"/>
        <w:left w:val="none" w:sz="0" w:space="0" w:color="auto"/>
        <w:bottom w:val="none" w:sz="0" w:space="0" w:color="auto"/>
        <w:right w:val="none" w:sz="0" w:space="0" w:color="auto"/>
      </w:divBdr>
    </w:div>
    <w:div w:id="905071974">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18832126">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92432724">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068524">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63493186">
      <w:bodyDiv w:val="1"/>
      <w:marLeft w:val="0"/>
      <w:marRight w:val="0"/>
      <w:marTop w:val="0"/>
      <w:marBottom w:val="0"/>
      <w:divBdr>
        <w:top w:val="none" w:sz="0" w:space="0" w:color="auto"/>
        <w:left w:val="none" w:sz="0" w:space="0" w:color="auto"/>
        <w:bottom w:val="none" w:sz="0" w:space="0" w:color="auto"/>
        <w:right w:val="none" w:sz="0" w:space="0" w:color="auto"/>
      </w:divBdr>
      <w:divsChild>
        <w:div w:id="107212465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57851085">
      <w:bodyDiv w:val="1"/>
      <w:marLeft w:val="0"/>
      <w:marRight w:val="0"/>
      <w:marTop w:val="0"/>
      <w:marBottom w:val="0"/>
      <w:divBdr>
        <w:top w:val="none" w:sz="0" w:space="0" w:color="auto"/>
        <w:left w:val="none" w:sz="0" w:space="0" w:color="auto"/>
        <w:bottom w:val="none" w:sz="0" w:space="0" w:color="auto"/>
        <w:right w:val="none" w:sz="0" w:space="0" w:color="auto"/>
      </w:divBdr>
    </w:div>
    <w:div w:id="1386417986">
      <w:bodyDiv w:val="1"/>
      <w:marLeft w:val="0"/>
      <w:marRight w:val="0"/>
      <w:marTop w:val="0"/>
      <w:marBottom w:val="0"/>
      <w:divBdr>
        <w:top w:val="none" w:sz="0" w:space="0" w:color="auto"/>
        <w:left w:val="none" w:sz="0" w:space="0" w:color="auto"/>
        <w:bottom w:val="none" w:sz="0" w:space="0" w:color="auto"/>
        <w:right w:val="none" w:sz="0" w:space="0" w:color="auto"/>
      </w:divBdr>
    </w:div>
    <w:div w:id="1410156284">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44320502">
      <w:bodyDiv w:val="1"/>
      <w:marLeft w:val="0"/>
      <w:marRight w:val="0"/>
      <w:marTop w:val="0"/>
      <w:marBottom w:val="0"/>
      <w:divBdr>
        <w:top w:val="none" w:sz="0" w:space="0" w:color="auto"/>
        <w:left w:val="none" w:sz="0" w:space="0" w:color="auto"/>
        <w:bottom w:val="none" w:sz="0" w:space="0" w:color="auto"/>
        <w:right w:val="none" w:sz="0" w:space="0" w:color="auto"/>
      </w:divBdr>
    </w:div>
    <w:div w:id="1578053117">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1135200">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10497286">
      <w:bodyDiv w:val="1"/>
      <w:marLeft w:val="0"/>
      <w:marRight w:val="0"/>
      <w:marTop w:val="0"/>
      <w:marBottom w:val="0"/>
      <w:divBdr>
        <w:top w:val="none" w:sz="0" w:space="0" w:color="auto"/>
        <w:left w:val="none" w:sz="0" w:space="0" w:color="auto"/>
        <w:bottom w:val="none" w:sz="0" w:space="0" w:color="auto"/>
        <w:right w:val="none" w:sz="0" w:space="0" w:color="auto"/>
      </w:divBdr>
    </w:div>
    <w:div w:id="1753315994">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sac.gov.au/internet/msac/publishing.nsf/Content/Home-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ood.gov.au/national-product-price-li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books/NBK560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0" ma:contentTypeDescription="Create a new document." ma:contentTypeScope="" ma:versionID="eaa7573a245abdf6f364d16bafdf90a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46b7ca21aeec179f19aa20c19c982aef"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5D076-F4E3-4736-8D9B-F4C30313038C}">
  <ds:schemaRefs>
    <ds:schemaRef ds:uri="http://schemas.microsoft.com/office/2006/metadata/properties"/>
    <ds:schemaRef ds:uri="http://schemas.microsoft.com/office/infopath/2007/PartnerControls"/>
    <ds:schemaRef ds:uri="7513b557-581c-46d3-8cc7-77c65017dc6f"/>
    <ds:schemaRef ds:uri="e7d54a9e-4aca-451b-99db-b94fe438e987"/>
  </ds:schemaRefs>
</ds:datastoreItem>
</file>

<file path=customXml/itemProps2.xml><?xml version="1.0" encoding="utf-8"?>
<ds:datastoreItem xmlns:ds="http://schemas.openxmlformats.org/officeDocument/2006/customXml" ds:itemID="{0BB85933-F451-4A7F-B8A4-39E6D2160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1DC6C-AAFF-45AA-964E-CB3B62E48B20}">
  <ds:schemaRefs>
    <ds:schemaRef ds:uri="http://schemas.microsoft.com/sharepoint/v3/contenttype/forms"/>
  </ds:schemaRefs>
</ds:datastoreItem>
</file>

<file path=customXml/itemProps4.xml><?xml version="1.0" encoding="utf-8"?>
<ds:datastoreItem xmlns:ds="http://schemas.openxmlformats.org/officeDocument/2006/customXml" ds:itemID="{5804CDD2-4A49-49C6-B9A3-81E81B24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15476</Words>
  <Characters>88217</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2023-07-05T01:38:00Z</dcterms:created>
  <dcterms:modified xsi:type="dcterms:W3CDTF">2023-07-20T05:05:00Z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ies>
</file>