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4BB80C94" wp14:editId="6EC764CD">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F715D1">
      <w:pPr>
        <w:pStyle w:val="Subtitle"/>
      </w:pPr>
      <w:r w:rsidRPr="00F715D1">
        <w:t xml:space="preserve">Application No. </w:t>
      </w:r>
      <w:r w:rsidR="00A1409A">
        <w:t>1431</w:t>
      </w:r>
      <w:r w:rsidRPr="00F715D1">
        <w:t xml:space="preserve"> – </w:t>
      </w:r>
      <w:r w:rsidR="00A1409A">
        <w:t>HbA1c point of care testing for the diagnosis and management of diabetes mellitus</w:t>
      </w:r>
    </w:p>
    <w:p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proofErr w:type="spellStart"/>
      <w:r w:rsidR="00A1409A">
        <w:rPr>
          <w:rFonts w:ascii="Arial" w:hAnsi="Arial" w:cs="Arial"/>
          <w:b/>
          <w:szCs w:val="24"/>
        </w:rPr>
        <w:t>Optum</w:t>
      </w:r>
      <w:proofErr w:type="spellEnd"/>
      <w:r w:rsidR="0026490B">
        <w:rPr>
          <w:rFonts w:ascii="Arial" w:hAnsi="Arial" w:cs="Arial"/>
          <w:b/>
          <w:szCs w:val="24"/>
        </w:rPr>
        <w:t xml:space="preserve"> </w:t>
      </w:r>
      <w:r w:rsidR="0026490B" w:rsidRPr="0026490B">
        <w:rPr>
          <w:rFonts w:ascii="Arial" w:hAnsi="Arial" w:cs="Arial"/>
          <w:b/>
          <w:szCs w:val="24"/>
        </w:rPr>
        <w:t>for IVD Australia</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A1409A">
        <w:rPr>
          <w:rFonts w:ascii="Arial" w:hAnsi="Arial" w:cs="Arial"/>
          <w:b/>
          <w:szCs w:val="24"/>
        </w:rPr>
        <w:t>70</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A1409A">
        <w:rPr>
          <w:rFonts w:ascii="Arial" w:hAnsi="Arial" w:cs="Arial"/>
          <w:b/>
          <w:szCs w:val="24"/>
        </w:rPr>
        <w:t>27 July</w:t>
      </w:r>
      <w:r w:rsidR="001023DC">
        <w:rPr>
          <w:rFonts w:ascii="Arial" w:hAnsi="Arial" w:cs="Arial"/>
          <w:b/>
          <w:szCs w:val="24"/>
        </w:rPr>
        <w:t xml:space="preserve"> 2017</w:t>
      </w:r>
    </w:p>
    <w:p w:rsidR="00F715D1" w:rsidRDefault="006A0D97" w:rsidP="00F34F19">
      <w:pPr>
        <w:spacing w:after="360"/>
        <w:rPr>
          <w:rStyle w:val="Hyperlink"/>
          <w:szCs w:val="24"/>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tooltip="Link to the MSAC website" w:history="1">
        <w:r w:rsidR="00F715D1" w:rsidRPr="00F715D1">
          <w:rPr>
            <w:rStyle w:val="Hyperlink"/>
            <w:szCs w:val="24"/>
          </w:rPr>
          <w:t>visit the MSAC website</w:t>
        </w:r>
      </w:hyperlink>
    </w:p>
    <w:p w:rsidR="00D212A4" w:rsidRPr="00D212A4" w:rsidRDefault="003D7F29" w:rsidP="00480B82">
      <w:pPr>
        <w:pStyle w:val="Heading1"/>
        <w:spacing w:before="0"/>
      </w:pPr>
      <w:r w:rsidRPr="00F715D1">
        <w:t>Purpose of application</w:t>
      </w:r>
    </w:p>
    <w:p w:rsidR="00792417" w:rsidRDefault="00792417" w:rsidP="00480B82">
      <w:pPr>
        <w:spacing w:after="240"/>
        <w:rPr>
          <w:szCs w:val="24"/>
        </w:rPr>
      </w:pPr>
      <w:r w:rsidRPr="00DB3E9D">
        <w:rPr>
          <w:szCs w:val="24"/>
        </w:rPr>
        <w:t xml:space="preserve">An application requesting </w:t>
      </w:r>
      <w:r w:rsidR="0026490B">
        <w:rPr>
          <w:szCs w:val="24"/>
        </w:rPr>
        <w:t xml:space="preserve">three new </w:t>
      </w:r>
      <w:r w:rsidRPr="00DB3E9D">
        <w:rPr>
          <w:szCs w:val="24"/>
        </w:rPr>
        <w:t>M</w:t>
      </w:r>
      <w:r w:rsidR="0026490B">
        <w:rPr>
          <w:szCs w:val="24"/>
        </w:rPr>
        <w:t xml:space="preserve">edicare </w:t>
      </w:r>
      <w:r w:rsidRPr="00DB3E9D">
        <w:rPr>
          <w:szCs w:val="24"/>
        </w:rPr>
        <w:t>B</w:t>
      </w:r>
      <w:r w:rsidR="0026490B">
        <w:rPr>
          <w:szCs w:val="24"/>
        </w:rPr>
        <w:t xml:space="preserve">enefit </w:t>
      </w:r>
      <w:r w:rsidRPr="00DB3E9D">
        <w:rPr>
          <w:szCs w:val="24"/>
        </w:rPr>
        <w:t>S</w:t>
      </w:r>
      <w:r w:rsidR="0026490B">
        <w:rPr>
          <w:szCs w:val="24"/>
        </w:rPr>
        <w:t>chedule (MBS)</w:t>
      </w:r>
      <w:r w:rsidRPr="00DB3E9D">
        <w:rPr>
          <w:szCs w:val="24"/>
        </w:rPr>
        <w:t xml:space="preserve"> </w:t>
      </w:r>
      <w:r w:rsidR="000F74D2">
        <w:rPr>
          <w:szCs w:val="24"/>
        </w:rPr>
        <w:t>items</w:t>
      </w:r>
      <w:r w:rsidRPr="00DB3E9D">
        <w:rPr>
          <w:szCs w:val="24"/>
        </w:rPr>
        <w:t xml:space="preserve"> of </w:t>
      </w:r>
      <w:r w:rsidR="0026490B" w:rsidRPr="00BA48B5">
        <w:rPr>
          <w:szCs w:val="24"/>
        </w:rPr>
        <w:t xml:space="preserve">HbA1c </w:t>
      </w:r>
      <w:r w:rsidR="0026490B">
        <w:rPr>
          <w:szCs w:val="24"/>
        </w:rPr>
        <w:t xml:space="preserve">point-of-care </w:t>
      </w:r>
      <w:r w:rsidR="000F74D2">
        <w:rPr>
          <w:szCs w:val="24"/>
        </w:rPr>
        <w:t>(</w:t>
      </w:r>
      <w:proofErr w:type="spellStart"/>
      <w:r w:rsidR="000F74D2">
        <w:rPr>
          <w:szCs w:val="24"/>
        </w:rPr>
        <w:t>PoC</w:t>
      </w:r>
      <w:proofErr w:type="spellEnd"/>
      <w:r w:rsidR="000F74D2">
        <w:rPr>
          <w:szCs w:val="24"/>
        </w:rPr>
        <w:t xml:space="preserve">) </w:t>
      </w:r>
      <w:r w:rsidR="0026490B">
        <w:rPr>
          <w:szCs w:val="24"/>
        </w:rPr>
        <w:t>testing</w:t>
      </w:r>
      <w:r w:rsidR="0026490B" w:rsidRPr="00BA48B5">
        <w:rPr>
          <w:szCs w:val="24"/>
        </w:rPr>
        <w:t xml:space="preserve"> for the diagnosis and management of diabetes mellitus</w:t>
      </w:r>
      <w:r w:rsidR="0026490B">
        <w:rPr>
          <w:szCs w:val="24"/>
        </w:rPr>
        <w:t xml:space="preserve"> was received from by the Department of Health from </w:t>
      </w:r>
      <w:proofErr w:type="spellStart"/>
      <w:r w:rsidR="0026490B" w:rsidRPr="00BA48B5">
        <w:rPr>
          <w:szCs w:val="24"/>
        </w:rPr>
        <w:t>Optum</w:t>
      </w:r>
      <w:proofErr w:type="spellEnd"/>
      <w:r w:rsidR="00920985">
        <w:rPr>
          <w:szCs w:val="24"/>
        </w:rPr>
        <w:t xml:space="preserve">. </w:t>
      </w:r>
      <w:r w:rsidR="000F74D2">
        <w:rPr>
          <w:szCs w:val="24"/>
        </w:rPr>
        <w:t>After receipt of the application, t</w:t>
      </w:r>
      <w:r w:rsidR="0026490B" w:rsidRPr="00BA48B5">
        <w:rPr>
          <w:szCs w:val="24"/>
        </w:rPr>
        <w:t xml:space="preserve">he applicant </w:t>
      </w:r>
      <w:r w:rsidR="000F74D2">
        <w:rPr>
          <w:szCs w:val="24"/>
        </w:rPr>
        <w:t xml:space="preserve">changed to </w:t>
      </w:r>
      <w:r w:rsidR="0026490B" w:rsidRPr="00BA48B5">
        <w:rPr>
          <w:szCs w:val="24"/>
        </w:rPr>
        <w:t>In-</w:t>
      </w:r>
      <w:r w:rsidR="0026490B">
        <w:rPr>
          <w:szCs w:val="24"/>
        </w:rPr>
        <w:t>V</w:t>
      </w:r>
      <w:r w:rsidR="0026490B" w:rsidRPr="00BA48B5">
        <w:rPr>
          <w:szCs w:val="24"/>
        </w:rPr>
        <w:t>itro Diagnostics (IVD) Australia.</w:t>
      </w:r>
    </w:p>
    <w:p w:rsidR="00D212A4" w:rsidRPr="00D212A4" w:rsidRDefault="00E977EE" w:rsidP="00480B82">
      <w:pPr>
        <w:pStyle w:val="Heading1"/>
        <w:spacing w:before="0"/>
      </w:pPr>
      <w:r w:rsidRPr="00F715D1">
        <w:t>MSAC’s advice to the Minister</w:t>
      </w:r>
    </w:p>
    <w:p w:rsidR="00B15C8B" w:rsidRPr="00B15C8B" w:rsidRDefault="00B15C8B" w:rsidP="00D212A4">
      <w:pPr>
        <w:pStyle w:val="BodyText"/>
        <w:spacing w:before="0" w:line="240" w:lineRule="auto"/>
      </w:pPr>
      <w:r w:rsidRPr="00B15C8B">
        <w:t xml:space="preserve">MSAC considered the available evidence presented in relation to safety, clinical effectiveness and cost-effectiveness of HbA1c </w:t>
      </w:r>
      <w:proofErr w:type="spellStart"/>
      <w:r w:rsidR="000F74D2">
        <w:t>PoC</w:t>
      </w:r>
      <w:proofErr w:type="spellEnd"/>
      <w:r w:rsidR="000F74D2">
        <w:t xml:space="preserve"> </w:t>
      </w:r>
      <w:r w:rsidRPr="00B15C8B">
        <w:t>testing as an alternative to HbA1c testing in an accredited pathology laboratory for:</w:t>
      </w:r>
    </w:p>
    <w:p w:rsidR="00B15C8B" w:rsidRPr="00B15C8B" w:rsidRDefault="00B15C8B" w:rsidP="00D212A4">
      <w:pPr>
        <w:pStyle w:val="BodyText"/>
        <w:numPr>
          <w:ilvl w:val="0"/>
          <w:numId w:val="35"/>
        </w:numPr>
        <w:spacing w:before="0" w:line="240" w:lineRule="auto"/>
      </w:pPr>
      <w:r w:rsidRPr="00B15C8B">
        <w:t>the diagnosis of diabetes in asymptomatic patients; and</w:t>
      </w:r>
    </w:p>
    <w:p w:rsidR="00B15C8B" w:rsidRPr="00B15C8B" w:rsidRDefault="00B15C8B" w:rsidP="00D212A4">
      <w:pPr>
        <w:pStyle w:val="BodyText"/>
        <w:numPr>
          <w:ilvl w:val="0"/>
          <w:numId w:val="35"/>
        </w:numPr>
        <w:spacing w:before="0" w:line="240" w:lineRule="auto"/>
      </w:pPr>
      <w:proofErr w:type="gramStart"/>
      <w:r w:rsidRPr="00B15C8B">
        <w:t>the</w:t>
      </w:r>
      <w:proofErr w:type="gramEnd"/>
      <w:r w:rsidRPr="00B15C8B">
        <w:t xml:space="preserve"> monitoring of glycaemic management in established diabetes, including in pregnancy.</w:t>
      </w:r>
    </w:p>
    <w:p w:rsidR="00B15C8B" w:rsidRPr="00B15C8B" w:rsidRDefault="00B15C8B" w:rsidP="00D212A4">
      <w:pPr>
        <w:pStyle w:val="BodyText"/>
        <w:spacing w:before="0" w:line="240" w:lineRule="auto"/>
      </w:pPr>
      <w:r w:rsidRPr="00B15C8B">
        <w:t xml:space="preserve">MSAC did not support public funding for HbA1c </w:t>
      </w:r>
      <w:proofErr w:type="spellStart"/>
      <w:r w:rsidRPr="00B15C8B">
        <w:t>P</w:t>
      </w:r>
      <w:r w:rsidR="000F74D2" w:rsidRPr="00B15C8B">
        <w:t>o</w:t>
      </w:r>
      <w:r w:rsidRPr="00B15C8B">
        <w:t>C</w:t>
      </w:r>
      <w:proofErr w:type="spellEnd"/>
      <w:r w:rsidRPr="00B15C8B">
        <w:t xml:space="preserve"> tests for diagnosis as it does not appear to be sufficiently accurate in terms of analytical validity or clinical validity for diagnostic purposes. </w:t>
      </w:r>
    </w:p>
    <w:p w:rsidR="00D212A4" w:rsidRPr="00B15C8B" w:rsidRDefault="00B15C8B" w:rsidP="00480B82">
      <w:pPr>
        <w:pStyle w:val="BodyText"/>
        <w:spacing w:before="0" w:after="240" w:line="240" w:lineRule="auto"/>
      </w:pPr>
      <w:r w:rsidRPr="00B15C8B">
        <w:t xml:space="preserve">MSAC deferred its advice on public funding for HbA1c </w:t>
      </w:r>
      <w:proofErr w:type="spellStart"/>
      <w:r w:rsidRPr="00B15C8B">
        <w:t>P</w:t>
      </w:r>
      <w:r w:rsidR="000F74D2" w:rsidRPr="00B15C8B">
        <w:t>o</w:t>
      </w:r>
      <w:r w:rsidRPr="00B15C8B">
        <w:t>C</w:t>
      </w:r>
      <w:proofErr w:type="spellEnd"/>
      <w:r w:rsidRPr="00B15C8B">
        <w:t xml:space="preserve"> tests for monitoring of glycaemic management pending further advice on accreditation of these tests, a reduction in or further justification of the proposed test fee over the laboratory test fee, and also to request further economic analysis.</w:t>
      </w:r>
    </w:p>
    <w:p w:rsidR="009D0F0C" w:rsidRPr="00480B82" w:rsidRDefault="00550354" w:rsidP="00480B82">
      <w:pPr>
        <w:pStyle w:val="Heading1"/>
        <w:spacing w:before="0"/>
        <w:rPr>
          <w:rStyle w:val="Strong"/>
          <w:b/>
          <w:bCs/>
        </w:rPr>
      </w:pPr>
      <w:r w:rsidRPr="00F715D1">
        <w:t xml:space="preserve">Summary of consideration </w:t>
      </w:r>
      <w:r w:rsidR="005C7352">
        <w:t>and rationale for MSAC’s advice</w:t>
      </w:r>
    </w:p>
    <w:p w:rsidR="00B15C8B" w:rsidRPr="00B15C8B" w:rsidRDefault="00B15C8B" w:rsidP="00D212A4">
      <w:pPr>
        <w:rPr>
          <w:szCs w:val="24"/>
        </w:rPr>
      </w:pPr>
      <w:r w:rsidRPr="00B15C8B">
        <w:rPr>
          <w:szCs w:val="24"/>
        </w:rPr>
        <w:t xml:space="preserve">MSAC noted that the application sought to add three new MBS items for </w:t>
      </w:r>
      <w:r w:rsidR="0067110D">
        <w:rPr>
          <w:szCs w:val="24"/>
        </w:rPr>
        <w:t xml:space="preserve">HbA1c </w:t>
      </w:r>
      <w:proofErr w:type="spellStart"/>
      <w:r w:rsidRPr="00B15C8B">
        <w:rPr>
          <w:szCs w:val="24"/>
        </w:rPr>
        <w:t>P</w:t>
      </w:r>
      <w:r w:rsidR="000F74D2" w:rsidRPr="00B15C8B">
        <w:rPr>
          <w:szCs w:val="24"/>
        </w:rPr>
        <w:t>o</w:t>
      </w:r>
      <w:r w:rsidRPr="00B15C8B">
        <w:rPr>
          <w:szCs w:val="24"/>
        </w:rPr>
        <w:t>C</w:t>
      </w:r>
      <w:proofErr w:type="spellEnd"/>
      <w:r w:rsidRPr="00B15C8B">
        <w:rPr>
          <w:szCs w:val="24"/>
        </w:rPr>
        <w:t xml:space="preserve"> testing for the diagnosis and management of diabetes. MSAC noted that the proposed populations overlap with those currently funded for HbA1c laboratory testing for diabetes diagnosis and management (MBS items 66841, 66551 and 66554), and that the application proposed substituting some or all HbA1c laboratory tests with </w:t>
      </w:r>
      <w:proofErr w:type="spellStart"/>
      <w:r w:rsidRPr="00B15C8B">
        <w:rPr>
          <w:szCs w:val="24"/>
        </w:rPr>
        <w:t>P</w:t>
      </w:r>
      <w:r w:rsidR="000F74D2" w:rsidRPr="00B15C8B">
        <w:rPr>
          <w:szCs w:val="24"/>
        </w:rPr>
        <w:t>o</w:t>
      </w:r>
      <w:r w:rsidRPr="00B15C8B">
        <w:rPr>
          <w:szCs w:val="24"/>
        </w:rPr>
        <w:t>C</w:t>
      </w:r>
      <w:proofErr w:type="spellEnd"/>
      <w:r w:rsidRPr="00B15C8B">
        <w:rPr>
          <w:szCs w:val="24"/>
        </w:rPr>
        <w:t xml:space="preserve"> tests. MSAC noted that the MBS currently subsidises HbA1c testing via laboratory testing once per year for diagnosis and four times per</w:t>
      </w:r>
      <w:r w:rsidR="005C7352">
        <w:rPr>
          <w:szCs w:val="24"/>
        </w:rPr>
        <w:t xml:space="preserve"> year for established diabetes.</w:t>
      </w:r>
    </w:p>
    <w:p w:rsidR="00B15C8B" w:rsidRPr="00B15C8B" w:rsidRDefault="00B15C8B" w:rsidP="006E73D1">
      <w:pPr>
        <w:rPr>
          <w:szCs w:val="24"/>
        </w:rPr>
      </w:pPr>
      <w:r w:rsidRPr="00B15C8B">
        <w:rPr>
          <w:szCs w:val="24"/>
        </w:rPr>
        <w:lastRenderedPageBreak/>
        <w:t>MSAC noted that the application originally proposed the use of this service i</w:t>
      </w:r>
      <w:r w:rsidR="005C7352">
        <w:rPr>
          <w:szCs w:val="24"/>
        </w:rPr>
        <w:t>n three distinct circumstances:</w:t>
      </w:r>
    </w:p>
    <w:p w:rsidR="00B15C8B" w:rsidRPr="00B15C8B" w:rsidRDefault="00B15C8B" w:rsidP="006E73D1">
      <w:pPr>
        <w:numPr>
          <w:ilvl w:val="0"/>
          <w:numId w:val="37"/>
        </w:numPr>
        <w:contextualSpacing/>
        <w:rPr>
          <w:rFonts w:eastAsia="Calibri"/>
          <w:szCs w:val="24"/>
          <w:lang w:eastAsia="en-US"/>
        </w:rPr>
      </w:pPr>
      <w:r w:rsidRPr="00B15C8B">
        <w:rPr>
          <w:rFonts w:eastAsia="Calibri"/>
          <w:szCs w:val="24"/>
          <w:lang w:eastAsia="en-US"/>
        </w:rPr>
        <w:t>asymptomatic patients referred to testing</w:t>
      </w:r>
      <w:r w:rsidR="005C7352">
        <w:rPr>
          <w:rFonts w:eastAsia="Calibri"/>
          <w:szCs w:val="24"/>
          <w:lang w:eastAsia="en-US"/>
        </w:rPr>
        <w:t xml:space="preserve"> for the diagnosis of diabetes;</w:t>
      </w:r>
    </w:p>
    <w:p w:rsidR="00B15C8B" w:rsidRPr="00B15C8B" w:rsidRDefault="00B15C8B" w:rsidP="006E73D1">
      <w:pPr>
        <w:numPr>
          <w:ilvl w:val="0"/>
          <w:numId w:val="37"/>
        </w:numPr>
        <w:contextualSpacing/>
        <w:rPr>
          <w:rFonts w:eastAsia="Calibri"/>
          <w:szCs w:val="24"/>
          <w:lang w:eastAsia="en-US"/>
        </w:rPr>
      </w:pPr>
      <w:r w:rsidRPr="00B15C8B">
        <w:rPr>
          <w:rFonts w:eastAsia="Calibri"/>
          <w:szCs w:val="24"/>
          <w:lang w:eastAsia="en-US"/>
        </w:rPr>
        <w:t>management of diabetes in symptomatic patients</w:t>
      </w:r>
      <w:r w:rsidR="005C7352">
        <w:rPr>
          <w:rFonts w:eastAsia="Calibri"/>
          <w:szCs w:val="24"/>
          <w:lang w:eastAsia="en-US"/>
        </w:rPr>
        <w:t xml:space="preserve"> with established diabetes; and</w:t>
      </w:r>
    </w:p>
    <w:p w:rsidR="00B15C8B" w:rsidRPr="00B15C8B" w:rsidRDefault="00B15C8B" w:rsidP="006E73D1">
      <w:pPr>
        <w:numPr>
          <w:ilvl w:val="0"/>
          <w:numId w:val="37"/>
        </w:numPr>
        <w:ind w:left="714" w:hanging="357"/>
        <w:rPr>
          <w:rFonts w:eastAsia="Calibri"/>
          <w:szCs w:val="24"/>
          <w:lang w:eastAsia="en-US"/>
        </w:rPr>
      </w:pPr>
      <w:proofErr w:type="gramStart"/>
      <w:r w:rsidRPr="00B15C8B">
        <w:rPr>
          <w:rFonts w:eastAsia="Calibri"/>
          <w:szCs w:val="24"/>
          <w:lang w:eastAsia="en-US"/>
        </w:rPr>
        <w:t>management</w:t>
      </w:r>
      <w:proofErr w:type="gramEnd"/>
      <w:r w:rsidRPr="00B15C8B">
        <w:rPr>
          <w:rFonts w:eastAsia="Calibri"/>
          <w:szCs w:val="24"/>
          <w:lang w:eastAsia="en-US"/>
        </w:rPr>
        <w:t xml:space="preserve"> of diabetes in pregnant patie</w:t>
      </w:r>
      <w:r w:rsidR="005C7352">
        <w:rPr>
          <w:rFonts w:eastAsia="Calibri"/>
          <w:szCs w:val="24"/>
          <w:lang w:eastAsia="en-US"/>
        </w:rPr>
        <w:t>nts with pre-existing diabetes.</w:t>
      </w:r>
    </w:p>
    <w:p w:rsidR="00B15C8B" w:rsidRPr="00B15C8B" w:rsidRDefault="00B15C8B" w:rsidP="006E73D1">
      <w:pPr>
        <w:spacing w:before="240" w:after="160"/>
        <w:rPr>
          <w:rFonts w:eastAsia="Calibri"/>
          <w:szCs w:val="24"/>
          <w:lang w:eastAsia="en-US"/>
        </w:rPr>
      </w:pPr>
      <w:r w:rsidRPr="00B15C8B">
        <w:rPr>
          <w:rFonts w:eastAsia="Calibri"/>
          <w:szCs w:val="24"/>
          <w:lang w:eastAsia="en-US"/>
        </w:rPr>
        <w:t xml:space="preserve">MSAC noted that the application presented limited information on the use of </w:t>
      </w:r>
      <w:r w:rsidR="0067110D">
        <w:rPr>
          <w:szCs w:val="24"/>
        </w:rPr>
        <w:t xml:space="preserve">HbA1c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for the diagnosis of </w:t>
      </w:r>
      <w:proofErr w:type="gramStart"/>
      <w:r w:rsidRPr="00B15C8B">
        <w:rPr>
          <w:rFonts w:eastAsia="Calibri"/>
          <w:szCs w:val="24"/>
          <w:lang w:eastAsia="en-US"/>
        </w:rPr>
        <w:t>diabetes,</w:t>
      </w:r>
      <w:proofErr w:type="gramEnd"/>
      <w:r w:rsidRPr="00B15C8B">
        <w:rPr>
          <w:rFonts w:eastAsia="Calibri"/>
          <w:szCs w:val="24"/>
          <w:lang w:eastAsia="en-US"/>
        </w:rPr>
        <w:t xml:space="preserve"> and no evidence for the use of </w:t>
      </w:r>
      <w:r w:rsidR="0067110D">
        <w:rPr>
          <w:szCs w:val="24"/>
        </w:rPr>
        <w:t xml:space="preserve">HbA1c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in pregnant women with established diabetes. As such, MSAC agreed that </w:t>
      </w:r>
      <w:r w:rsidR="005C7352">
        <w:rPr>
          <w:rFonts w:eastAsia="Calibri"/>
          <w:szCs w:val="24"/>
          <w:lang w:eastAsia="en-US"/>
        </w:rPr>
        <w:t xml:space="preserve">separate consideration of symptomatic and pregnant patients </w:t>
      </w:r>
      <w:r w:rsidRPr="00B15C8B">
        <w:rPr>
          <w:rFonts w:eastAsia="Calibri"/>
          <w:szCs w:val="24"/>
          <w:lang w:eastAsia="en-US"/>
        </w:rPr>
        <w:t>was unjustified and should be presented in combin</w:t>
      </w:r>
      <w:r w:rsidR="005C7352">
        <w:rPr>
          <w:rFonts w:eastAsia="Calibri"/>
          <w:szCs w:val="24"/>
          <w:lang w:eastAsia="en-US"/>
        </w:rPr>
        <w:t>ation with each other.</w:t>
      </w:r>
    </w:p>
    <w:p w:rsidR="00B15C8B" w:rsidRPr="00B15C8B" w:rsidRDefault="00B15C8B" w:rsidP="006E73D1">
      <w:pPr>
        <w:spacing w:after="160"/>
        <w:rPr>
          <w:rFonts w:eastAsia="Calibri"/>
          <w:szCs w:val="24"/>
          <w:highlight w:val="yellow"/>
          <w:lang w:eastAsia="en-US"/>
        </w:rPr>
      </w:pPr>
      <w:r w:rsidRPr="00B15C8B">
        <w:rPr>
          <w:rFonts w:eastAsia="Calibri"/>
          <w:szCs w:val="24"/>
          <w:lang w:eastAsia="en-US"/>
        </w:rPr>
        <w:t xml:space="preserve">MSAC </w:t>
      </w:r>
      <w:r w:rsidR="005C7352">
        <w:rPr>
          <w:rFonts w:eastAsia="Calibri"/>
          <w:szCs w:val="24"/>
          <w:lang w:eastAsia="en-US"/>
        </w:rPr>
        <w:t xml:space="preserve">considered </w:t>
      </w:r>
      <w:r w:rsidRPr="00B15C8B">
        <w:rPr>
          <w:rFonts w:eastAsia="Calibri"/>
          <w:szCs w:val="24"/>
          <w:lang w:eastAsia="en-US"/>
        </w:rPr>
        <w:t xml:space="preserve">that there are no significant acute differences in the safety of the </w:t>
      </w:r>
      <w:r w:rsidR="0067110D">
        <w:rPr>
          <w:szCs w:val="24"/>
        </w:rPr>
        <w:t xml:space="preserve">HbA1c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technique over standard laboratory testing. MSAC noted that there are a number of different </w:t>
      </w:r>
      <w:r w:rsidR="0067110D">
        <w:rPr>
          <w:szCs w:val="24"/>
        </w:rPr>
        <w:t xml:space="preserve">HbA1c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w:t>
      </w:r>
      <w:r w:rsidR="0067110D">
        <w:rPr>
          <w:rFonts w:eastAsia="Calibri"/>
          <w:szCs w:val="24"/>
          <w:lang w:eastAsia="en-US"/>
        </w:rPr>
        <w:t>devices</w:t>
      </w:r>
      <w:r w:rsidRPr="00B15C8B">
        <w:rPr>
          <w:rFonts w:eastAsia="Calibri"/>
          <w:szCs w:val="24"/>
          <w:lang w:eastAsia="en-US"/>
        </w:rPr>
        <w:t xml:space="preserve"> available in Australia. MSAC </w:t>
      </w:r>
      <w:r w:rsidR="005C7352">
        <w:rPr>
          <w:rFonts w:eastAsia="Calibri"/>
          <w:szCs w:val="24"/>
          <w:lang w:eastAsia="en-US"/>
        </w:rPr>
        <w:t>considered</w:t>
      </w:r>
      <w:r w:rsidRPr="00B15C8B">
        <w:rPr>
          <w:rFonts w:eastAsia="Calibri"/>
          <w:szCs w:val="24"/>
          <w:lang w:eastAsia="en-US"/>
        </w:rPr>
        <w:t xml:space="preserve"> that most HbA1c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w:t>
      </w:r>
      <w:r w:rsidR="0067110D">
        <w:rPr>
          <w:rFonts w:eastAsia="Calibri"/>
          <w:szCs w:val="24"/>
          <w:lang w:eastAsia="en-US"/>
        </w:rPr>
        <w:t>devices</w:t>
      </w:r>
      <w:r w:rsidRPr="00B15C8B">
        <w:rPr>
          <w:rFonts w:eastAsia="Calibri"/>
          <w:szCs w:val="24"/>
          <w:lang w:eastAsia="en-US"/>
        </w:rPr>
        <w:t xml:space="preserve"> have acceptable precision (that is, coefficients of variation that are less than 3%), but that laboratory testing was more precise in most cases. MSAC noted that HbA1c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tests have greater variation than laboratory tests, and may report HbA1c levels that are up to 1% higher </w:t>
      </w:r>
      <w:r w:rsidR="005C7352">
        <w:rPr>
          <w:rFonts w:eastAsia="Calibri"/>
          <w:szCs w:val="24"/>
          <w:lang w:eastAsia="en-US"/>
        </w:rPr>
        <w:t>or lower than laboratory tests.</w:t>
      </w:r>
    </w:p>
    <w:p w:rsidR="00B15C8B" w:rsidRPr="00B15C8B" w:rsidRDefault="00B15C8B" w:rsidP="006E73D1">
      <w:pPr>
        <w:spacing w:after="160"/>
        <w:rPr>
          <w:rFonts w:eastAsia="Calibri"/>
          <w:szCs w:val="24"/>
          <w:lang w:eastAsia="en-US"/>
        </w:rPr>
      </w:pPr>
      <w:r w:rsidRPr="00B15C8B">
        <w:rPr>
          <w:rFonts w:eastAsia="Calibri"/>
          <w:szCs w:val="24"/>
          <w:lang w:eastAsia="en-US"/>
        </w:rPr>
        <w:t xml:space="preserve">MSAC </w:t>
      </w:r>
      <w:r w:rsidR="005C7352">
        <w:rPr>
          <w:rFonts w:eastAsia="Calibri"/>
          <w:szCs w:val="24"/>
          <w:lang w:eastAsia="en-US"/>
        </w:rPr>
        <w:t>considered</w:t>
      </w:r>
      <w:r w:rsidRPr="00B15C8B">
        <w:rPr>
          <w:rFonts w:eastAsia="Calibri"/>
          <w:szCs w:val="24"/>
          <w:lang w:eastAsia="en-US"/>
        </w:rPr>
        <w:t xml:space="preserve"> that the greater variation in HbA1c levels detected in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tests creates considerable uncertainty regarding the ability of these tests to accurately differentiate between asymptomatic high-risk patients with and without diabetes. </w:t>
      </w:r>
      <w:r w:rsidR="00165EDA">
        <w:rPr>
          <w:rFonts w:eastAsia="Calibri"/>
          <w:szCs w:val="24"/>
          <w:lang w:eastAsia="en-US"/>
        </w:rPr>
        <w:t>MSAC was particularly concerned that there may be evidence of a</w:t>
      </w:r>
      <w:r w:rsidR="00FE54B5">
        <w:rPr>
          <w:rFonts w:eastAsia="Calibri"/>
          <w:szCs w:val="24"/>
          <w:lang w:eastAsia="en-US"/>
        </w:rPr>
        <w:t xml:space="preserve"> </w:t>
      </w:r>
      <w:r w:rsidR="00165EDA">
        <w:rPr>
          <w:rFonts w:eastAsia="Calibri"/>
          <w:szCs w:val="24"/>
          <w:lang w:eastAsia="en-US"/>
        </w:rPr>
        <w:t>n</w:t>
      </w:r>
      <w:r w:rsidR="00FE54B5">
        <w:rPr>
          <w:rFonts w:eastAsia="Calibri"/>
          <w:szCs w:val="24"/>
          <w:lang w:eastAsia="en-US"/>
        </w:rPr>
        <w:t>egative</w:t>
      </w:r>
      <w:r w:rsidR="00165EDA">
        <w:rPr>
          <w:rFonts w:eastAsia="Calibri"/>
          <w:szCs w:val="24"/>
          <w:lang w:eastAsia="en-US"/>
        </w:rPr>
        <w:t xml:space="preserve"> assay bias </w:t>
      </w:r>
      <w:r w:rsidR="00FE54B5">
        <w:rPr>
          <w:rFonts w:eastAsia="Calibri"/>
          <w:szCs w:val="24"/>
          <w:lang w:eastAsia="en-US"/>
        </w:rPr>
        <w:t xml:space="preserve">suggesting that the </w:t>
      </w:r>
      <w:proofErr w:type="spellStart"/>
      <w:r w:rsidR="00FE54B5">
        <w:rPr>
          <w:rFonts w:eastAsia="Calibri"/>
          <w:szCs w:val="24"/>
          <w:lang w:eastAsia="en-US"/>
        </w:rPr>
        <w:t>PoC</w:t>
      </w:r>
      <w:proofErr w:type="spellEnd"/>
      <w:r w:rsidR="00FE54B5">
        <w:rPr>
          <w:rFonts w:eastAsia="Calibri"/>
          <w:szCs w:val="24"/>
          <w:lang w:eastAsia="en-US"/>
        </w:rPr>
        <w:t xml:space="preserve"> test result is </w:t>
      </w:r>
      <w:r w:rsidR="005556D3">
        <w:rPr>
          <w:rFonts w:eastAsia="Calibri"/>
          <w:szCs w:val="24"/>
          <w:lang w:eastAsia="en-US"/>
        </w:rPr>
        <w:t xml:space="preserve">more likely to be </w:t>
      </w:r>
      <w:r w:rsidR="00FE54B5">
        <w:rPr>
          <w:rFonts w:eastAsia="Calibri"/>
          <w:szCs w:val="24"/>
          <w:lang w:eastAsia="en-US"/>
        </w:rPr>
        <w:t xml:space="preserve">less than the laboratory result, which would underdiagnose diabetes </w:t>
      </w:r>
      <w:r w:rsidR="00165EDA">
        <w:rPr>
          <w:rFonts w:eastAsia="Calibri"/>
          <w:szCs w:val="24"/>
          <w:lang w:eastAsia="en-US"/>
        </w:rPr>
        <w:t>(</w:t>
      </w:r>
      <w:proofErr w:type="spellStart"/>
      <w:r w:rsidR="00165EDA">
        <w:rPr>
          <w:rFonts w:eastAsia="Calibri"/>
          <w:szCs w:val="24"/>
          <w:lang w:eastAsia="en-US"/>
        </w:rPr>
        <w:t>Hirst</w:t>
      </w:r>
      <w:proofErr w:type="spellEnd"/>
      <w:r w:rsidR="00165EDA">
        <w:rPr>
          <w:rFonts w:eastAsia="Calibri"/>
          <w:szCs w:val="24"/>
          <w:lang w:eastAsia="en-US"/>
        </w:rPr>
        <w:t xml:space="preserve"> et al, </w:t>
      </w:r>
      <w:proofErr w:type="spellStart"/>
      <w:r w:rsidR="00165EDA" w:rsidRPr="00165EDA">
        <w:rPr>
          <w:rFonts w:eastAsia="Calibri"/>
          <w:szCs w:val="24"/>
          <w:lang w:eastAsia="en-US"/>
        </w:rPr>
        <w:t>Clin</w:t>
      </w:r>
      <w:proofErr w:type="spellEnd"/>
      <w:r w:rsidR="00165EDA" w:rsidRPr="00165EDA">
        <w:rPr>
          <w:rFonts w:eastAsia="Calibri"/>
          <w:szCs w:val="24"/>
          <w:lang w:eastAsia="en-US"/>
        </w:rPr>
        <w:t xml:space="preserve"> </w:t>
      </w:r>
      <w:proofErr w:type="spellStart"/>
      <w:r w:rsidR="00165EDA" w:rsidRPr="00165EDA">
        <w:rPr>
          <w:rFonts w:eastAsia="Calibri"/>
          <w:szCs w:val="24"/>
          <w:lang w:eastAsia="en-US"/>
        </w:rPr>
        <w:t>Chem</w:t>
      </w:r>
      <w:proofErr w:type="spellEnd"/>
      <w:r w:rsidR="00165EDA" w:rsidRPr="00165EDA">
        <w:rPr>
          <w:rFonts w:eastAsia="Calibri"/>
          <w:szCs w:val="24"/>
          <w:lang w:eastAsia="en-US"/>
        </w:rPr>
        <w:t xml:space="preserve"> Lab Med 2017; 55(2): 167–180</w:t>
      </w:r>
      <w:r w:rsidR="00FE54B5">
        <w:rPr>
          <w:rFonts w:eastAsia="Calibri"/>
          <w:szCs w:val="24"/>
          <w:lang w:eastAsia="en-US"/>
        </w:rPr>
        <w:t xml:space="preserve"> and Laurence et al, 2009</w:t>
      </w:r>
      <w:r w:rsidR="00165EDA">
        <w:rPr>
          <w:rFonts w:eastAsia="Calibri"/>
          <w:szCs w:val="24"/>
          <w:lang w:eastAsia="en-US"/>
        </w:rPr>
        <w:t xml:space="preserve">). </w:t>
      </w:r>
      <w:r w:rsidRPr="00B15C8B">
        <w:rPr>
          <w:rFonts w:eastAsia="Calibri"/>
          <w:szCs w:val="24"/>
          <w:lang w:eastAsia="en-US"/>
        </w:rPr>
        <w:t xml:space="preserve">MSAC </w:t>
      </w:r>
      <w:r w:rsidR="005C7352">
        <w:rPr>
          <w:rFonts w:eastAsia="Calibri"/>
          <w:szCs w:val="24"/>
          <w:lang w:eastAsia="en-US"/>
        </w:rPr>
        <w:t>advised</w:t>
      </w:r>
      <w:r w:rsidRPr="00B15C8B">
        <w:rPr>
          <w:rFonts w:eastAsia="Calibri"/>
          <w:szCs w:val="24"/>
          <w:lang w:eastAsia="en-US"/>
        </w:rPr>
        <w:t xml:space="preserve"> that a diabetes misdiagnosis can have serious consequences, and as such, the diagnosis of diabetes should be based on the most accurate assay methodology, which </w:t>
      </w:r>
      <w:proofErr w:type="gramStart"/>
      <w:r w:rsidR="005C7352">
        <w:rPr>
          <w:rFonts w:eastAsia="Calibri"/>
          <w:szCs w:val="24"/>
          <w:lang w:eastAsia="en-US"/>
        </w:rPr>
        <w:t>is standard laboratory</w:t>
      </w:r>
      <w:proofErr w:type="gramEnd"/>
      <w:r w:rsidR="005C7352">
        <w:rPr>
          <w:rFonts w:eastAsia="Calibri"/>
          <w:szCs w:val="24"/>
          <w:lang w:eastAsia="en-US"/>
        </w:rPr>
        <w:t xml:space="preserve"> testing.</w:t>
      </w:r>
      <w:r w:rsidR="00FE54B5">
        <w:rPr>
          <w:rFonts w:eastAsia="Calibri"/>
          <w:szCs w:val="24"/>
          <w:lang w:eastAsia="en-US"/>
        </w:rPr>
        <w:t xml:space="preserve"> In addition, no analytical validity results were presented with laboratory testing as the reference </w:t>
      </w:r>
      <w:proofErr w:type="gramStart"/>
      <w:r w:rsidR="00FE54B5">
        <w:rPr>
          <w:rFonts w:eastAsia="Calibri"/>
          <w:szCs w:val="24"/>
          <w:lang w:eastAsia="en-US"/>
        </w:rPr>
        <w:t>standard,</w:t>
      </w:r>
      <w:proofErr w:type="gramEnd"/>
      <w:r w:rsidR="00FE54B5">
        <w:rPr>
          <w:rFonts w:eastAsia="Calibri"/>
          <w:szCs w:val="24"/>
          <w:lang w:eastAsia="en-US"/>
        </w:rPr>
        <w:t xml:space="preserve"> and formal estimates of sensitivity or specificity against the diagnosis of diabetes.</w:t>
      </w:r>
    </w:p>
    <w:p w:rsidR="00B15C8B" w:rsidRPr="00B15C8B" w:rsidRDefault="00B15C8B" w:rsidP="006E73D1">
      <w:pPr>
        <w:spacing w:after="160"/>
        <w:rPr>
          <w:rFonts w:eastAsia="Calibri"/>
          <w:szCs w:val="24"/>
          <w:lang w:eastAsia="en-US"/>
        </w:rPr>
      </w:pPr>
      <w:r w:rsidRPr="00B15C8B">
        <w:rPr>
          <w:rFonts w:eastAsia="Calibri"/>
          <w:szCs w:val="24"/>
          <w:lang w:eastAsia="en-US"/>
        </w:rPr>
        <w:t xml:space="preserve">MSAC </w:t>
      </w:r>
      <w:r w:rsidR="005C7352">
        <w:rPr>
          <w:rFonts w:eastAsia="Calibri"/>
          <w:szCs w:val="24"/>
          <w:lang w:eastAsia="en-US"/>
        </w:rPr>
        <w:t>considered</w:t>
      </w:r>
      <w:r w:rsidRPr="00B15C8B">
        <w:rPr>
          <w:rFonts w:eastAsia="Calibri"/>
          <w:szCs w:val="24"/>
          <w:lang w:eastAsia="en-US"/>
        </w:rPr>
        <w:t xml:space="preserve"> that the aforementioned assay imprecision associated with HbA1c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is less critical in established diabetes, as diabetes management is guided by a range of measures alongside HbA1c levels. In addition, MSAC noted that when monitoring established diabetes, clinicians are interested in trends in HbA1c levels across time. Therefore, if the same </w:t>
      </w:r>
      <w:r w:rsidR="0067110D">
        <w:rPr>
          <w:rFonts w:eastAsia="Calibri"/>
          <w:szCs w:val="24"/>
          <w:lang w:eastAsia="en-US"/>
        </w:rPr>
        <w:t>device</w:t>
      </w:r>
      <w:r w:rsidRPr="00B15C8B">
        <w:rPr>
          <w:rFonts w:eastAsia="Calibri"/>
          <w:szCs w:val="24"/>
          <w:lang w:eastAsia="en-US"/>
        </w:rPr>
        <w:t xml:space="preserve"> is used for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every time HbA1c is measured, any changes in the results can be relied upon as a measure of change in the patient’s condition.</w:t>
      </w:r>
    </w:p>
    <w:p w:rsidR="00B15C8B" w:rsidRPr="00B15C8B" w:rsidRDefault="00B15C8B" w:rsidP="006E73D1">
      <w:pPr>
        <w:autoSpaceDE w:val="0"/>
        <w:autoSpaceDN w:val="0"/>
        <w:adjustRightInd w:val="0"/>
        <w:rPr>
          <w:rFonts w:eastAsia="Calibri"/>
          <w:szCs w:val="24"/>
          <w:lang w:eastAsia="en-US"/>
        </w:rPr>
      </w:pPr>
      <w:r w:rsidRPr="00B15C8B">
        <w:rPr>
          <w:rFonts w:eastAsia="Calibri"/>
          <w:szCs w:val="24"/>
          <w:lang w:eastAsia="en-US"/>
        </w:rPr>
        <w:t xml:space="preserve">MSAC considered evidence from an Australian randomised clinical trial (n = 5,234; Laurence G et al 2009), which formed the basis of the evidence for the effectiveness of HbA1c </w:t>
      </w:r>
      <w:proofErr w:type="spellStart"/>
      <w:r w:rsidR="0067110D">
        <w:rPr>
          <w:rFonts w:eastAsia="Calibri"/>
          <w:szCs w:val="24"/>
          <w:lang w:eastAsia="en-US"/>
        </w:rPr>
        <w:t>PoC</w:t>
      </w:r>
      <w:proofErr w:type="spellEnd"/>
      <w:r w:rsidR="0067110D">
        <w:rPr>
          <w:rFonts w:eastAsia="Calibri"/>
          <w:szCs w:val="24"/>
          <w:lang w:eastAsia="en-US"/>
        </w:rPr>
        <w:t xml:space="preserve"> </w:t>
      </w:r>
      <w:r w:rsidRPr="00B15C8B">
        <w:rPr>
          <w:rFonts w:eastAsia="Calibri"/>
          <w:szCs w:val="24"/>
          <w:lang w:eastAsia="en-US"/>
        </w:rPr>
        <w:t>testing compared to laboratory testing for the management of established diabetes. In this trial</w:t>
      </w:r>
      <w:r w:rsidR="005C7352">
        <w:rPr>
          <w:rFonts w:eastAsia="Calibri"/>
          <w:szCs w:val="24"/>
          <w:lang w:eastAsia="en-US"/>
        </w:rPr>
        <w:t>,</w:t>
      </w:r>
      <w:r w:rsidRPr="00B15C8B">
        <w:rPr>
          <w:rFonts w:eastAsia="Calibri"/>
          <w:szCs w:val="24"/>
          <w:lang w:eastAsia="en-US"/>
        </w:rPr>
        <w:t xml:space="preserve"> the percentage of HbA1c tests within the target range was higher in the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group compared </w:t>
      </w:r>
      <w:r w:rsidR="005C7352">
        <w:rPr>
          <w:rFonts w:eastAsia="Calibri"/>
          <w:szCs w:val="24"/>
          <w:lang w:eastAsia="en-US"/>
        </w:rPr>
        <w:t>with</w:t>
      </w:r>
      <w:r w:rsidRPr="00B15C8B">
        <w:rPr>
          <w:rFonts w:eastAsia="Calibri"/>
          <w:szCs w:val="24"/>
          <w:lang w:eastAsia="en-US"/>
        </w:rPr>
        <w:t xml:space="preserve"> the laboratory testing group (64.11% vs 54.74%), with a difference of 9.36% (90% confidence interval [CI] 4.04–14.69). However MSAC noted the following applicability and validity concerns for this study:</w:t>
      </w:r>
    </w:p>
    <w:p w:rsidR="00B15C8B" w:rsidRPr="00B15C8B" w:rsidRDefault="00B15C8B" w:rsidP="006E73D1">
      <w:pPr>
        <w:numPr>
          <w:ilvl w:val="0"/>
          <w:numId w:val="36"/>
        </w:numPr>
        <w:spacing w:after="160"/>
        <w:contextualSpacing/>
        <w:rPr>
          <w:rFonts w:eastAsia="Calibri"/>
          <w:szCs w:val="24"/>
          <w:lang w:eastAsia="en-US"/>
        </w:rPr>
      </w:pPr>
      <w:r w:rsidRPr="00B15C8B">
        <w:rPr>
          <w:rFonts w:eastAsia="Calibri"/>
          <w:szCs w:val="24"/>
          <w:lang w:eastAsia="en-US"/>
        </w:rPr>
        <w:t xml:space="preserve">85% of dropouts were patients in the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arm (who received both laboratory and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tests);</w:t>
      </w:r>
    </w:p>
    <w:p w:rsidR="00B15C8B" w:rsidRPr="00B15C8B" w:rsidRDefault="00B15C8B" w:rsidP="006E73D1">
      <w:pPr>
        <w:numPr>
          <w:ilvl w:val="0"/>
          <w:numId w:val="36"/>
        </w:numPr>
        <w:spacing w:after="160"/>
        <w:contextualSpacing/>
        <w:rPr>
          <w:rFonts w:eastAsia="Calibri"/>
          <w:szCs w:val="24"/>
          <w:lang w:eastAsia="en-US"/>
        </w:rPr>
      </w:pPr>
      <w:r w:rsidRPr="00B15C8B">
        <w:rPr>
          <w:rFonts w:eastAsia="Calibri"/>
          <w:szCs w:val="24"/>
          <w:lang w:eastAsia="en-US"/>
        </w:rPr>
        <w:t xml:space="preserve">the study involved a suite of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tests (including the urinary albumin/creatinine ratio, lipid tests, and the international normalised ratio), that d</w:t>
      </w:r>
      <w:r w:rsidR="005C7352">
        <w:rPr>
          <w:rFonts w:eastAsia="Calibri"/>
          <w:szCs w:val="24"/>
          <w:lang w:eastAsia="en-US"/>
        </w:rPr>
        <w:t>id</w:t>
      </w:r>
      <w:r w:rsidRPr="00B15C8B">
        <w:rPr>
          <w:rFonts w:eastAsia="Calibri"/>
          <w:szCs w:val="24"/>
          <w:lang w:eastAsia="en-US"/>
        </w:rPr>
        <w:t xml:space="preserve"> not reflect the proposed management algorithms; and</w:t>
      </w:r>
    </w:p>
    <w:p w:rsidR="00B15C8B" w:rsidRPr="00B15C8B" w:rsidRDefault="00B15C8B" w:rsidP="006E73D1">
      <w:pPr>
        <w:numPr>
          <w:ilvl w:val="0"/>
          <w:numId w:val="36"/>
        </w:numPr>
        <w:spacing w:after="160"/>
        <w:ind w:left="714" w:hanging="357"/>
        <w:rPr>
          <w:rFonts w:eastAsia="Calibri"/>
          <w:szCs w:val="24"/>
          <w:lang w:eastAsia="en-US"/>
        </w:rPr>
      </w:pPr>
      <w:proofErr w:type="gramStart"/>
      <w:r w:rsidRPr="00B15C8B">
        <w:rPr>
          <w:rFonts w:eastAsia="Calibri"/>
          <w:szCs w:val="24"/>
          <w:lang w:eastAsia="en-US"/>
        </w:rPr>
        <w:lastRenderedPageBreak/>
        <w:t>the</w:t>
      </w:r>
      <w:proofErr w:type="gramEnd"/>
      <w:r w:rsidRPr="00B15C8B">
        <w:rPr>
          <w:rFonts w:eastAsia="Calibri"/>
          <w:szCs w:val="24"/>
          <w:lang w:eastAsia="en-US"/>
        </w:rPr>
        <w:t xml:space="preserve"> study included rural GPs</w:t>
      </w:r>
      <w:r w:rsidR="005C7352">
        <w:rPr>
          <w:rFonts w:eastAsia="Calibri"/>
          <w:szCs w:val="24"/>
          <w:lang w:eastAsia="en-US"/>
        </w:rPr>
        <w:t>,</w:t>
      </w:r>
      <w:r w:rsidRPr="00B15C8B">
        <w:rPr>
          <w:rFonts w:eastAsia="Calibri"/>
          <w:szCs w:val="24"/>
          <w:lang w:eastAsia="en-US"/>
        </w:rPr>
        <w:t xml:space="preserve"> but excluded populations of interest (e.g. patients with culturally and linguistically diverse backgrounds or those who had difficulty comply</w:t>
      </w:r>
      <w:r w:rsidR="005C7352">
        <w:rPr>
          <w:rFonts w:eastAsia="Calibri"/>
          <w:szCs w:val="24"/>
          <w:lang w:eastAsia="en-US"/>
        </w:rPr>
        <w:t>ing with testing requirements).</w:t>
      </w:r>
    </w:p>
    <w:p w:rsidR="00B15C8B" w:rsidRPr="00B15C8B" w:rsidRDefault="00B15C8B" w:rsidP="006E73D1">
      <w:pPr>
        <w:spacing w:after="160"/>
        <w:rPr>
          <w:rFonts w:eastAsia="Calibri"/>
          <w:szCs w:val="24"/>
          <w:lang w:eastAsia="en-US"/>
        </w:rPr>
      </w:pPr>
      <w:r w:rsidRPr="00B15C8B">
        <w:rPr>
          <w:rFonts w:eastAsia="Calibri"/>
          <w:szCs w:val="24"/>
          <w:lang w:eastAsia="en-US"/>
        </w:rPr>
        <w:t>MSAC also considered evidence from a systematic review (Al-</w:t>
      </w:r>
      <w:proofErr w:type="spellStart"/>
      <w:r w:rsidRPr="00B15C8B">
        <w:rPr>
          <w:rFonts w:eastAsia="Calibri"/>
          <w:szCs w:val="24"/>
          <w:lang w:eastAsia="en-US"/>
        </w:rPr>
        <w:t>Ansary</w:t>
      </w:r>
      <w:proofErr w:type="spellEnd"/>
      <w:r w:rsidRPr="00B15C8B">
        <w:rPr>
          <w:rFonts w:eastAsia="Calibri"/>
          <w:szCs w:val="24"/>
          <w:lang w:eastAsia="en-US"/>
        </w:rPr>
        <w:t xml:space="preserve"> L et al 2011), which supported non-inferiority of </w:t>
      </w:r>
      <w:r w:rsidR="0067110D">
        <w:rPr>
          <w:szCs w:val="24"/>
        </w:rPr>
        <w:t xml:space="preserve">HbA1c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compared with laboratory testing in overall reduction in HbA1c levels. MSAC </w:t>
      </w:r>
      <w:r w:rsidR="00382088">
        <w:rPr>
          <w:rFonts w:eastAsia="Calibri"/>
          <w:szCs w:val="24"/>
          <w:lang w:eastAsia="en-US"/>
        </w:rPr>
        <w:t>considered</w:t>
      </w:r>
      <w:r w:rsidRPr="00B15C8B">
        <w:rPr>
          <w:rFonts w:eastAsia="Calibri"/>
          <w:szCs w:val="24"/>
          <w:lang w:eastAsia="en-US"/>
        </w:rPr>
        <w:t xml:space="preserve"> that there was a non-significant trend toward greater overall reduction in HbA1c for the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groups</w:t>
      </w:r>
      <w:r w:rsidR="00382088">
        <w:rPr>
          <w:rFonts w:eastAsia="Calibri"/>
          <w:szCs w:val="24"/>
          <w:lang w:eastAsia="en-US"/>
        </w:rPr>
        <w:t>,</w:t>
      </w:r>
      <w:r w:rsidRPr="00B15C8B">
        <w:rPr>
          <w:rFonts w:eastAsia="Calibri"/>
          <w:szCs w:val="24"/>
          <w:lang w:eastAsia="en-US"/>
        </w:rPr>
        <w:t xml:space="preserve"> but that this finding was likely influenced by high levels of heterog</w:t>
      </w:r>
      <w:r w:rsidR="00382088">
        <w:rPr>
          <w:rFonts w:eastAsia="Calibri"/>
          <w:szCs w:val="24"/>
          <w:lang w:eastAsia="en-US"/>
        </w:rPr>
        <w:t>eneity in the included studies.</w:t>
      </w:r>
    </w:p>
    <w:p w:rsidR="00B15C8B" w:rsidRPr="00B15C8B" w:rsidRDefault="00B15C8B" w:rsidP="006E73D1">
      <w:pPr>
        <w:spacing w:after="160"/>
        <w:rPr>
          <w:rFonts w:eastAsia="Calibri"/>
          <w:szCs w:val="24"/>
          <w:lang w:eastAsia="en-US"/>
        </w:rPr>
      </w:pPr>
      <w:r w:rsidRPr="00B15C8B">
        <w:rPr>
          <w:rFonts w:eastAsia="Calibri"/>
          <w:szCs w:val="24"/>
          <w:lang w:eastAsia="en-US"/>
        </w:rPr>
        <w:t xml:space="preserve">MSAC noted that </w:t>
      </w:r>
      <w:r w:rsidR="0067110D">
        <w:rPr>
          <w:szCs w:val="24"/>
        </w:rPr>
        <w:t xml:space="preserve">HbA1c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was dominant (less costly and more effective) in the economic models for both diagnosis and management, but that this was based on uncertain assumptions in both </w:t>
      </w:r>
      <w:r w:rsidR="00382088">
        <w:rPr>
          <w:rFonts w:eastAsia="Calibri"/>
          <w:szCs w:val="24"/>
          <w:lang w:eastAsia="en-US"/>
        </w:rPr>
        <w:t>models</w:t>
      </w:r>
      <w:r w:rsidRPr="00B15C8B">
        <w:rPr>
          <w:rFonts w:eastAsia="Calibri"/>
          <w:szCs w:val="24"/>
          <w:lang w:eastAsia="en-US"/>
        </w:rPr>
        <w:t xml:space="preserve">. MSAC noted that the economic model for diagnosis relied upon the assumption that </w:t>
      </w:r>
      <w:r w:rsidR="0067110D">
        <w:rPr>
          <w:szCs w:val="24"/>
        </w:rPr>
        <w:t xml:space="preserve">HbA1c </w:t>
      </w:r>
      <w:proofErr w:type="spellStart"/>
      <w:r w:rsidRPr="00B15C8B">
        <w:rPr>
          <w:rFonts w:eastAsia="Calibri"/>
          <w:szCs w:val="24"/>
          <w:lang w:eastAsia="en-US"/>
        </w:rPr>
        <w:t>P</w:t>
      </w:r>
      <w:r w:rsidR="000F74D2"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would reduce the number of GP visits</w:t>
      </w:r>
      <w:r w:rsidR="00382088">
        <w:rPr>
          <w:rFonts w:eastAsia="Calibri"/>
          <w:szCs w:val="24"/>
          <w:lang w:eastAsia="en-US"/>
        </w:rPr>
        <w:t>,</w:t>
      </w:r>
      <w:r w:rsidRPr="00B15C8B">
        <w:rPr>
          <w:rFonts w:eastAsia="Calibri"/>
          <w:szCs w:val="24"/>
          <w:lang w:eastAsia="en-US"/>
        </w:rPr>
        <w:t xml:space="preserve"> but </w:t>
      </w:r>
      <w:r w:rsidR="00382088">
        <w:rPr>
          <w:rFonts w:eastAsia="Calibri"/>
          <w:szCs w:val="24"/>
          <w:lang w:eastAsia="en-US"/>
        </w:rPr>
        <w:t xml:space="preserve">considered that </w:t>
      </w:r>
      <w:r w:rsidRPr="00B15C8B">
        <w:rPr>
          <w:rFonts w:eastAsia="Calibri"/>
          <w:szCs w:val="24"/>
          <w:lang w:eastAsia="en-US"/>
        </w:rPr>
        <w:t>this was very uncertain. MSAC noted that confirmatory HbA1c laboratory tests are recommended by the National Health and Medical Research Council and the Royal Australian College of General Practitioners for the diagnosis of diabetes (although the confirmatory test is not eligible for MBS funding). In addition to confirmatory tests, many patients w</w:t>
      </w:r>
      <w:r w:rsidR="00382088">
        <w:rPr>
          <w:rFonts w:eastAsia="Calibri"/>
          <w:szCs w:val="24"/>
          <w:lang w:eastAsia="en-US"/>
        </w:rPr>
        <w:t>ould</w:t>
      </w:r>
      <w:r w:rsidRPr="00B15C8B">
        <w:rPr>
          <w:rFonts w:eastAsia="Calibri"/>
          <w:szCs w:val="24"/>
          <w:lang w:eastAsia="en-US"/>
        </w:rPr>
        <w:t xml:space="preserve"> also require additional blood tests to manage other risk factors, irrespective of whether they have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or laboratory HbA1c testing. MSAC noted that the economic model for management also assumed that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would lead to a reduction in GP visits, but as with diagnosis, </w:t>
      </w:r>
      <w:r w:rsidR="00382088">
        <w:rPr>
          <w:rFonts w:eastAsia="Calibri"/>
          <w:szCs w:val="24"/>
          <w:lang w:eastAsia="en-US"/>
        </w:rPr>
        <w:t xml:space="preserve">considered that </w:t>
      </w:r>
      <w:r w:rsidRPr="00B15C8B">
        <w:rPr>
          <w:rFonts w:eastAsia="Calibri"/>
          <w:szCs w:val="24"/>
          <w:lang w:eastAsia="en-US"/>
        </w:rPr>
        <w:t xml:space="preserve">there </w:t>
      </w:r>
      <w:r w:rsidR="00382088">
        <w:rPr>
          <w:rFonts w:eastAsia="Calibri"/>
          <w:szCs w:val="24"/>
          <w:lang w:eastAsia="en-US"/>
        </w:rPr>
        <w:t>wa</w:t>
      </w:r>
      <w:r w:rsidRPr="00B15C8B">
        <w:rPr>
          <w:rFonts w:eastAsia="Calibri"/>
          <w:szCs w:val="24"/>
          <w:lang w:eastAsia="en-US"/>
        </w:rPr>
        <w:t>s unce</w:t>
      </w:r>
      <w:r w:rsidR="00382088">
        <w:rPr>
          <w:rFonts w:eastAsia="Calibri"/>
          <w:szCs w:val="24"/>
          <w:lang w:eastAsia="en-US"/>
        </w:rPr>
        <w:t>rtainty around this assumption.</w:t>
      </w:r>
    </w:p>
    <w:p w:rsidR="00B15C8B" w:rsidRPr="00B15C8B" w:rsidRDefault="00B15C8B" w:rsidP="006E73D1">
      <w:pPr>
        <w:spacing w:after="160"/>
        <w:rPr>
          <w:rFonts w:eastAsia="Calibri"/>
          <w:szCs w:val="24"/>
          <w:lang w:eastAsia="en-US"/>
        </w:rPr>
      </w:pPr>
      <w:r w:rsidRPr="00B15C8B">
        <w:rPr>
          <w:rFonts w:eastAsia="Calibri"/>
          <w:szCs w:val="24"/>
          <w:lang w:eastAsia="en-US"/>
        </w:rPr>
        <w:t xml:space="preserve">MSAC noted that the proposed fee for </w:t>
      </w:r>
      <w:r w:rsidR="0067110D">
        <w:rPr>
          <w:szCs w:val="24"/>
        </w:rPr>
        <w:t xml:space="preserve">HbA1c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tests </w:t>
      </w:r>
      <w:r w:rsidR="0067110D">
        <w:rPr>
          <w:rFonts w:eastAsia="Calibri"/>
          <w:szCs w:val="24"/>
          <w:lang w:eastAsia="en-US"/>
        </w:rPr>
        <w:t>wa</w:t>
      </w:r>
      <w:r w:rsidRPr="00B15C8B">
        <w:rPr>
          <w:rFonts w:eastAsia="Calibri"/>
          <w:szCs w:val="24"/>
          <w:lang w:eastAsia="en-US"/>
        </w:rPr>
        <w:t>s $</w:t>
      </w:r>
      <w:r w:rsidR="00534C47" w:rsidRPr="00534C47">
        <w:rPr>
          <w:rFonts w:eastAsia="Calibri"/>
          <w:b/>
          <w:szCs w:val="24"/>
          <w:lang w:eastAsia="en-US"/>
        </w:rPr>
        <w:t>redacted</w:t>
      </w:r>
      <w:r w:rsidR="0067110D">
        <w:rPr>
          <w:rFonts w:eastAsia="Calibri"/>
          <w:szCs w:val="24"/>
          <w:lang w:eastAsia="en-US"/>
        </w:rPr>
        <w:t>,</w:t>
      </w:r>
      <w:r w:rsidRPr="00B15C8B">
        <w:rPr>
          <w:rFonts w:eastAsia="Calibri"/>
          <w:szCs w:val="24"/>
          <w:lang w:eastAsia="en-US"/>
        </w:rPr>
        <w:t xml:space="preserve"> which is approximately </w:t>
      </w:r>
      <w:r w:rsidR="00534C47" w:rsidRPr="00534C47">
        <w:rPr>
          <w:rFonts w:eastAsia="Calibri"/>
          <w:b/>
          <w:szCs w:val="24"/>
          <w:lang w:eastAsia="en-US"/>
        </w:rPr>
        <w:t>redacted</w:t>
      </w:r>
      <w:r w:rsidRPr="00B15C8B">
        <w:rPr>
          <w:rFonts w:eastAsia="Calibri"/>
          <w:szCs w:val="24"/>
          <w:lang w:eastAsia="en-US"/>
        </w:rPr>
        <w:t xml:space="preserve">% higher than the pathology laboratory test fee of $22.80. MSAC noted that the justification provided for the greater cost by the applicant was the cost of meeting quality assurance, training and accreditation requirements. MSAC noted that the price per test for the various </w:t>
      </w:r>
      <w:r w:rsidR="0067110D">
        <w:rPr>
          <w:szCs w:val="24"/>
        </w:rPr>
        <w:t xml:space="preserve">HbA1c </w:t>
      </w:r>
      <w:proofErr w:type="spellStart"/>
      <w:r w:rsidRPr="00B15C8B">
        <w:rPr>
          <w:rFonts w:eastAsia="Calibri"/>
          <w:szCs w:val="24"/>
          <w:lang w:eastAsia="en-US"/>
        </w:rPr>
        <w:t>P</w:t>
      </w:r>
      <w:r w:rsidR="001B36AA" w:rsidRPr="00B15C8B">
        <w:rPr>
          <w:rFonts w:eastAsia="Calibri"/>
          <w:szCs w:val="24"/>
          <w:lang w:eastAsia="en-US"/>
        </w:rPr>
        <w:t>o</w:t>
      </w:r>
      <w:r w:rsidR="0067110D">
        <w:rPr>
          <w:rFonts w:eastAsia="Calibri"/>
          <w:szCs w:val="24"/>
          <w:lang w:eastAsia="en-US"/>
        </w:rPr>
        <w:t>C</w:t>
      </w:r>
      <w:proofErr w:type="spellEnd"/>
      <w:r w:rsidR="0067110D">
        <w:rPr>
          <w:rFonts w:eastAsia="Calibri"/>
          <w:szCs w:val="24"/>
          <w:lang w:eastAsia="en-US"/>
        </w:rPr>
        <w:t xml:space="preserve"> test</w:t>
      </w:r>
      <w:r w:rsidRPr="00B15C8B">
        <w:rPr>
          <w:rFonts w:eastAsia="Calibri"/>
          <w:szCs w:val="24"/>
          <w:lang w:eastAsia="en-US"/>
        </w:rPr>
        <w:t xml:space="preserve"> devices ranged from $10-$24, and questioned what would be required for quality assurance, training and accreditation in this context (which could reduce cost further). Given this, MSAC queried whether the</w:t>
      </w:r>
      <w:r w:rsidR="00382088">
        <w:rPr>
          <w:rFonts w:eastAsia="Calibri"/>
          <w:szCs w:val="24"/>
          <w:lang w:eastAsia="en-US"/>
        </w:rPr>
        <w:t xml:space="preserve"> proposed fee was set too high.</w:t>
      </w:r>
    </w:p>
    <w:p w:rsidR="00B15C8B" w:rsidRPr="00B15C8B" w:rsidRDefault="00B15C8B" w:rsidP="006E73D1">
      <w:pPr>
        <w:spacing w:after="160"/>
        <w:rPr>
          <w:rFonts w:eastAsia="Calibri"/>
          <w:szCs w:val="24"/>
          <w:lang w:eastAsia="en-US"/>
        </w:rPr>
      </w:pPr>
      <w:r w:rsidRPr="00B15C8B">
        <w:rPr>
          <w:rFonts w:eastAsia="Calibri"/>
          <w:szCs w:val="24"/>
          <w:lang w:eastAsia="en-US"/>
        </w:rPr>
        <w:t xml:space="preserve">MSAC </w:t>
      </w:r>
      <w:r w:rsidR="00382088">
        <w:rPr>
          <w:rFonts w:eastAsia="Calibri"/>
          <w:szCs w:val="24"/>
          <w:lang w:eastAsia="en-US"/>
        </w:rPr>
        <w:t xml:space="preserve">considered </w:t>
      </w:r>
      <w:r w:rsidRPr="00B15C8B">
        <w:rPr>
          <w:rFonts w:eastAsia="Calibri"/>
          <w:szCs w:val="24"/>
          <w:lang w:eastAsia="en-US"/>
        </w:rPr>
        <w:t xml:space="preserve">that the cost of implementing an accreditation framework for quality control and quality assurance </w:t>
      </w:r>
      <w:r w:rsidR="00382088">
        <w:rPr>
          <w:rFonts w:eastAsia="Calibri"/>
          <w:szCs w:val="24"/>
          <w:lang w:eastAsia="en-US"/>
        </w:rPr>
        <w:t>wa</w:t>
      </w:r>
      <w:r w:rsidRPr="00B15C8B">
        <w:rPr>
          <w:rFonts w:eastAsia="Calibri"/>
          <w:szCs w:val="24"/>
          <w:lang w:eastAsia="en-US"/>
        </w:rPr>
        <w:t>s uncertain due to the wide variation in the number of GPs and patients across practices, and that the cost of the chosen framework w</w:t>
      </w:r>
      <w:r w:rsidR="00382088">
        <w:rPr>
          <w:rFonts w:eastAsia="Calibri"/>
          <w:szCs w:val="24"/>
          <w:lang w:eastAsia="en-US"/>
        </w:rPr>
        <w:t>ould</w:t>
      </w:r>
      <w:r w:rsidRPr="00B15C8B">
        <w:rPr>
          <w:rFonts w:eastAsia="Calibri"/>
          <w:szCs w:val="24"/>
          <w:lang w:eastAsia="en-US"/>
        </w:rPr>
        <w:t xml:space="preserve"> have a direct impact on service costs and MBS item fees. MSAC indicated that the current Category M accreditation framework may not be suitable for </w:t>
      </w:r>
      <w:r w:rsidR="0067110D">
        <w:rPr>
          <w:szCs w:val="24"/>
        </w:rPr>
        <w:t xml:space="preserve">HbA1c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but a viable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accreditation framework </w:t>
      </w:r>
      <w:r w:rsidR="00382088">
        <w:rPr>
          <w:rFonts w:eastAsia="Calibri"/>
          <w:szCs w:val="24"/>
          <w:lang w:eastAsia="en-US"/>
        </w:rPr>
        <w:t xml:space="preserve">would be </w:t>
      </w:r>
      <w:r w:rsidRPr="00B15C8B">
        <w:rPr>
          <w:rFonts w:eastAsia="Calibri"/>
          <w:szCs w:val="24"/>
          <w:lang w:eastAsia="en-US"/>
        </w:rPr>
        <w:t xml:space="preserve">an important component of </w:t>
      </w:r>
      <w:r w:rsidR="00382088">
        <w:rPr>
          <w:rFonts w:eastAsia="Calibri"/>
          <w:szCs w:val="24"/>
          <w:lang w:eastAsia="en-US"/>
        </w:rPr>
        <w:t xml:space="preserve">any implementation of the requested listing, </w:t>
      </w:r>
      <w:r w:rsidRPr="00B15C8B">
        <w:rPr>
          <w:rFonts w:eastAsia="Calibri"/>
          <w:szCs w:val="24"/>
          <w:lang w:eastAsia="en-US"/>
        </w:rPr>
        <w:t xml:space="preserve">and should be completed prior to resubmission. MSAC </w:t>
      </w:r>
      <w:r w:rsidR="00382088">
        <w:rPr>
          <w:rFonts w:eastAsia="Calibri"/>
          <w:szCs w:val="24"/>
          <w:lang w:eastAsia="en-US"/>
        </w:rPr>
        <w:t xml:space="preserve">suggested that </w:t>
      </w:r>
      <w:r w:rsidRPr="00B15C8B">
        <w:rPr>
          <w:rFonts w:eastAsia="Calibri"/>
          <w:szCs w:val="24"/>
          <w:lang w:eastAsia="en-US"/>
        </w:rPr>
        <w:t xml:space="preserve">the possibility of developing an accreditation framework in partnership with primary health networks (PHNs) would be a worthwhile option to investigate further. MSAC </w:t>
      </w:r>
      <w:r w:rsidR="00382088">
        <w:rPr>
          <w:rFonts w:eastAsia="Calibri"/>
          <w:szCs w:val="24"/>
          <w:lang w:eastAsia="en-US"/>
        </w:rPr>
        <w:t xml:space="preserve">also </w:t>
      </w:r>
      <w:r w:rsidRPr="00B15C8B">
        <w:rPr>
          <w:rFonts w:eastAsia="Calibri"/>
          <w:szCs w:val="24"/>
          <w:lang w:eastAsia="en-US"/>
        </w:rPr>
        <w:t xml:space="preserve">recommended the government-funded Queensland Aboriginal Health Services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program that is currently in place for Aboriginal Health</w:t>
      </w:r>
      <w:r w:rsidR="0067110D">
        <w:rPr>
          <w:rFonts w:eastAsia="Calibri"/>
          <w:szCs w:val="24"/>
          <w:lang w:eastAsia="en-US"/>
        </w:rPr>
        <w:t xml:space="preserve"> Services as a starting point</w:t>
      </w:r>
      <w:r w:rsidR="00382088">
        <w:rPr>
          <w:rFonts w:eastAsia="Calibri"/>
          <w:szCs w:val="24"/>
          <w:lang w:eastAsia="en-US"/>
        </w:rPr>
        <w:t xml:space="preserve"> for this investigation</w:t>
      </w:r>
      <w:r w:rsidR="0067110D">
        <w:rPr>
          <w:rFonts w:eastAsia="Calibri"/>
          <w:szCs w:val="24"/>
          <w:lang w:eastAsia="en-US"/>
        </w:rPr>
        <w:t>.</w:t>
      </w:r>
    </w:p>
    <w:p w:rsidR="00B15C8B" w:rsidRPr="00B15C8B" w:rsidRDefault="00B15C8B" w:rsidP="006E73D1">
      <w:pPr>
        <w:spacing w:after="160"/>
        <w:rPr>
          <w:rFonts w:eastAsia="Calibri"/>
          <w:szCs w:val="24"/>
          <w:lang w:eastAsia="en-US"/>
        </w:rPr>
      </w:pPr>
      <w:r w:rsidRPr="00B15C8B">
        <w:rPr>
          <w:rFonts w:eastAsia="Calibri"/>
          <w:szCs w:val="24"/>
          <w:lang w:eastAsia="en-US"/>
        </w:rPr>
        <w:t xml:space="preserve">MSAC </w:t>
      </w:r>
      <w:r w:rsidR="00382088">
        <w:rPr>
          <w:rFonts w:eastAsia="Calibri"/>
          <w:szCs w:val="24"/>
          <w:lang w:eastAsia="en-US"/>
        </w:rPr>
        <w:t xml:space="preserve">considered </w:t>
      </w:r>
      <w:r w:rsidRPr="00B15C8B">
        <w:rPr>
          <w:rFonts w:eastAsia="Calibri"/>
          <w:szCs w:val="24"/>
          <w:lang w:eastAsia="en-US"/>
        </w:rPr>
        <w:t xml:space="preserve">the issue of data integration and </w:t>
      </w:r>
      <w:r w:rsidR="00382088">
        <w:rPr>
          <w:rFonts w:eastAsia="Calibri"/>
          <w:szCs w:val="24"/>
          <w:lang w:eastAsia="en-US"/>
        </w:rPr>
        <w:t xml:space="preserve">emphasised </w:t>
      </w:r>
      <w:r w:rsidRPr="00B15C8B">
        <w:rPr>
          <w:rFonts w:eastAsia="Calibri"/>
          <w:szCs w:val="24"/>
          <w:lang w:eastAsia="en-US"/>
        </w:rPr>
        <w:t xml:space="preserve">the value of ensuring </w:t>
      </w:r>
      <w:r w:rsidR="00382088">
        <w:rPr>
          <w:rFonts w:eastAsia="Calibri"/>
          <w:szCs w:val="24"/>
          <w:lang w:eastAsia="en-US"/>
        </w:rPr>
        <w:t xml:space="preserve">that </w:t>
      </w:r>
      <w:r w:rsidRPr="00B15C8B">
        <w:rPr>
          <w:rFonts w:eastAsia="Calibri"/>
          <w:szCs w:val="24"/>
          <w:lang w:eastAsia="en-US"/>
        </w:rPr>
        <w:t>GPs c</w:t>
      </w:r>
      <w:r w:rsidR="00382088">
        <w:rPr>
          <w:rFonts w:eastAsia="Calibri"/>
          <w:szCs w:val="24"/>
          <w:lang w:eastAsia="en-US"/>
        </w:rPr>
        <w:t>ould</w:t>
      </w:r>
      <w:r w:rsidRPr="00B15C8B">
        <w:rPr>
          <w:rFonts w:eastAsia="Calibri"/>
          <w:szCs w:val="24"/>
          <w:lang w:eastAsia="en-US"/>
        </w:rPr>
        <w:t xml:space="preserve"> access all </w:t>
      </w:r>
      <w:r w:rsidR="0067110D">
        <w:rPr>
          <w:szCs w:val="24"/>
        </w:rPr>
        <w:t xml:space="preserve">HbA1c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 results for services administered to a patient. MSAC suggested incorporating a requirement that HbA1c test results be recorded in the clinical record (ideally in the electronic clinical </w:t>
      </w:r>
      <w:r w:rsidRPr="00B15C8B">
        <w:rPr>
          <w:rFonts w:eastAsia="Calibri"/>
          <w:i/>
          <w:szCs w:val="24"/>
          <w:lang w:eastAsia="en-US"/>
        </w:rPr>
        <w:t>My Health Record</w:t>
      </w:r>
      <w:r w:rsidRPr="00B15C8B">
        <w:rPr>
          <w:rFonts w:eastAsia="Calibri"/>
          <w:szCs w:val="24"/>
          <w:lang w:eastAsia="en-US"/>
        </w:rPr>
        <w:t xml:space="preserve">) in </w:t>
      </w:r>
      <w:r w:rsidR="00382088">
        <w:rPr>
          <w:rFonts w:eastAsia="Calibri"/>
          <w:szCs w:val="24"/>
          <w:lang w:eastAsia="en-US"/>
        </w:rPr>
        <w:t>any eventual MBS item descriptor.</w:t>
      </w:r>
    </w:p>
    <w:p w:rsidR="00B15C8B" w:rsidRPr="00B15C8B" w:rsidRDefault="00B15C8B" w:rsidP="006E73D1">
      <w:pPr>
        <w:spacing w:after="160"/>
        <w:rPr>
          <w:rFonts w:eastAsia="Calibri"/>
          <w:szCs w:val="24"/>
          <w:lang w:eastAsia="en-US"/>
        </w:rPr>
      </w:pPr>
      <w:r w:rsidRPr="00B15C8B">
        <w:rPr>
          <w:rFonts w:eastAsia="Calibri"/>
          <w:szCs w:val="24"/>
          <w:lang w:eastAsia="en-US"/>
        </w:rPr>
        <w:t xml:space="preserve">MSAC did not support funding for HbA1c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for the diagnosis of diabetes, </w:t>
      </w:r>
      <w:r w:rsidR="00382088">
        <w:rPr>
          <w:rFonts w:eastAsia="Calibri"/>
          <w:szCs w:val="24"/>
          <w:lang w:eastAsia="en-US"/>
        </w:rPr>
        <w:t xml:space="preserve">because </w:t>
      </w:r>
      <w:r w:rsidRPr="00B15C8B">
        <w:rPr>
          <w:rFonts w:eastAsia="Calibri"/>
          <w:szCs w:val="24"/>
          <w:lang w:eastAsia="en-US"/>
        </w:rPr>
        <w:t xml:space="preserve">the Committee did not </w:t>
      </w:r>
      <w:r w:rsidR="00382088">
        <w:rPr>
          <w:rFonts w:eastAsia="Calibri"/>
          <w:szCs w:val="24"/>
          <w:lang w:eastAsia="en-US"/>
        </w:rPr>
        <w:t xml:space="preserve">consider </w:t>
      </w:r>
      <w:r w:rsidRPr="00B15C8B">
        <w:rPr>
          <w:rFonts w:eastAsia="Calibri"/>
          <w:szCs w:val="24"/>
          <w:lang w:eastAsia="en-US"/>
        </w:rPr>
        <w:t xml:space="preserve">that the </w:t>
      </w:r>
      <w:r w:rsidR="00165EDA">
        <w:rPr>
          <w:rFonts w:eastAsia="Calibri"/>
          <w:szCs w:val="24"/>
          <w:lang w:eastAsia="en-US"/>
        </w:rPr>
        <w:t xml:space="preserve">analytical </w:t>
      </w:r>
      <w:r w:rsidRPr="00B15C8B">
        <w:rPr>
          <w:rFonts w:eastAsia="Calibri"/>
          <w:szCs w:val="24"/>
          <w:lang w:eastAsia="en-US"/>
        </w:rPr>
        <w:t xml:space="preserve">accuracy of the test was sufficient for diagnosis, and </w:t>
      </w:r>
      <w:r w:rsidR="00382088">
        <w:rPr>
          <w:rFonts w:eastAsia="Calibri"/>
          <w:szCs w:val="24"/>
          <w:lang w:eastAsia="en-US"/>
        </w:rPr>
        <w:t xml:space="preserve">also because of </w:t>
      </w:r>
      <w:r w:rsidRPr="00B15C8B">
        <w:rPr>
          <w:rFonts w:eastAsia="Calibri"/>
          <w:szCs w:val="24"/>
          <w:lang w:eastAsia="en-US"/>
        </w:rPr>
        <w:t xml:space="preserve">the likely need for confirmatory laboratory tests and blood </w:t>
      </w:r>
      <w:r w:rsidRPr="00B15C8B">
        <w:rPr>
          <w:rFonts w:eastAsia="Calibri"/>
          <w:szCs w:val="24"/>
          <w:lang w:eastAsia="en-US"/>
        </w:rPr>
        <w:lastRenderedPageBreak/>
        <w:t xml:space="preserve">testing for the management of other risk factors in addition to </w:t>
      </w:r>
      <w:r w:rsidR="0067110D">
        <w:rPr>
          <w:szCs w:val="24"/>
        </w:rPr>
        <w:t xml:space="preserve">HbA1c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tests. As HbA1c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tests may improve in accuracy with time, MSAC noted that new assay performance data </w:t>
      </w:r>
      <w:r w:rsidR="00382088">
        <w:rPr>
          <w:rFonts w:eastAsia="Calibri"/>
          <w:szCs w:val="24"/>
          <w:lang w:eastAsia="en-US"/>
        </w:rPr>
        <w:t xml:space="preserve">to support a conclusion of improved accuracy would </w:t>
      </w:r>
      <w:r w:rsidRPr="00B15C8B">
        <w:rPr>
          <w:rFonts w:eastAsia="Calibri"/>
          <w:szCs w:val="24"/>
          <w:lang w:eastAsia="en-US"/>
        </w:rPr>
        <w:t xml:space="preserve">assist with </w:t>
      </w:r>
      <w:r w:rsidR="00382088">
        <w:rPr>
          <w:rFonts w:eastAsia="Calibri"/>
          <w:szCs w:val="24"/>
          <w:lang w:eastAsia="en-US"/>
        </w:rPr>
        <w:t xml:space="preserve">any </w:t>
      </w:r>
      <w:r w:rsidRPr="00B15C8B">
        <w:rPr>
          <w:rFonts w:eastAsia="Calibri"/>
          <w:szCs w:val="24"/>
          <w:lang w:eastAsia="en-US"/>
        </w:rPr>
        <w:t xml:space="preserve">resubmission. Any resubmission </w:t>
      </w:r>
      <w:r w:rsidR="00382088">
        <w:rPr>
          <w:rFonts w:eastAsia="Calibri"/>
          <w:szCs w:val="24"/>
          <w:lang w:eastAsia="en-US"/>
        </w:rPr>
        <w:t xml:space="preserve">for diagnosis </w:t>
      </w:r>
      <w:r w:rsidRPr="00B15C8B">
        <w:rPr>
          <w:rFonts w:eastAsia="Calibri"/>
          <w:szCs w:val="24"/>
          <w:lang w:eastAsia="en-US"/>
        </w:rPr>
        <w:t>would need to be considered via ESC.</w:t>
      </w:r>
    </w:p>
    <w:p w:rsidR="00B15C8B" w:rsidRPr="00B15C8B" w:rsidRDefault="00B15C8B" w:rsidP="006E73D1">
      <w:pPr>
        <w:spacing w:after="160"/>
        <w:contextualSpacing/>
        <w:rPr>
          <w:rFonts w:eastAsia="Calibri"/>
          <w:szCs w:val="24"/>
          <w:lang w:eastAsia="en-US"/>
        </w:rPr>
      </w:pPr>
      <w:r w:rsidRPr="00B15C8B">
        <w:rPr>
          <w:rFonts w:eastAsia="Calibri"/>
          <w:szCs w:val="24"/>
          <w:lang w:eastAsia="en-US"/>
        </w:rPr>
        <w:t xml:space="preserve">MSAC deferred its advice on funding for the management of diabetes with HbA1c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testing to seek further advice on an accreditation framework, a reduction in or further justification of the proposed test fee over the laboratory test fee and provide improvements in the economic analyses. MSAC </w:t>
      </w:r>
      <w:r w:rsidR="00AB0BBC">
        <w:rPr>
          <w:rFonts w:eastAsia="Calibri"/>
          <w:szCs w:val="24"/>
          <w:lang w:eastAsia="en-US"/>
        </w:rPr>
        <w:t>requested</w:t>
      </w:r>
      <w:r w:rsidRPr="00B15C8B">
        <w:rPr>
          <w:rFonts w:eastAsia="Calibri"/>
          <w:szCs w:val="24"/>
          <w:lang w:eastAsia="en-US"/>
        </w:rPr>
        <w:t xml:space="preserve"> the </w:t>
      </w:r>
      <w:r w:rsidR="00AB0BBC">
        <w:rPr>
          <w:rFonts w:eastAsia="Calibri"/>
          <w:szCs w:val="24"/>
          <w:lang w:eastAsia="en-US"/>
        </w:rPr>
        <w:t xml:space="preserve">base case of the </w:t>
      </w:r>
      <w:r w:rsidRPr="00B15C8B">
        <w:rPr>
          <w:rFonts w:eastAsia="Calibri"/>
          <w:szCs w:val="24"/>
          <w:lang w:eastAsia="en-US"/>
        </w:rPr>
        <w:t xml:space="preserve">revised economic analyses </w:t>
      </w:r>
      <w:r w:rsidR="00AB0BBC">
        <w:rPr>
          <w:rFonts w:eastAsia="Calibri"/>
          <w:szCs w:val="24"/>
          <w:lang w:eastAsia="en-US"/>
        </w:rPr>
        <w:t xml:space="preserve">for management </w:t>
      </w:r>
      <w:r w:rsidRPr="00B15C8B">
        <w:rPr>
          <w:rFonts w:eastAsia="Calibri"/>
          <w:szCs w:val="24"/>
          <w:lang w:eastAsia="en-US"/>
        </w:rPr>
        <w:t>should:</w:t>
      </w:r>
    </w:p>
    <w:p w:rsidR="00B15C8B" w:rsidRPr="00B15C8B" w:rsidRDefault="00B15C8B" w:rsidP="006E73D1">
      <w:pPr>
        <w:numPr>
          <w:ilvl w:val="0"/>
          <w:numId w:val="38"/>
        </w:numPr>
        <w:spacing w:after="160"/>
        <w:contextualSpacing/>
        <w:rPr>
          <w:rFonts w:eastAsia="Calibri"/>
          <w:szCs w:val="24"/>
          <w:lang w:eastAsia="en-US"/>
        </w:rPr>
      </w:pPr>
      <w:r w:rsidRPr="00B15C8B">
        <w:rPr>
          <w:rFonts w:eastAsia="Calibri"/>
          <w:szCs w:val="24"/>
          <w:lang w:eastAsia="en-US"/>
        </w:rPr>
        <w:t>be for management alone (</w:t>
      </w:r>
      <w:proofErr w:type="spellStart"/>
      <w:r w:rsidR="00AB0BBC">
        <w:rPr>
          <w:rFonts w:eastAsia="Calibri"/>
          <w:szCs w:val="24"/>
          <w:lang w:eastAsia="en-US"/>
        </w:rPr>
        <w:t>ie</w:t>
      </w:r>
      <w:proofErr w:type="spellEnd"/>
      <w:r w:rsidR="00AB0BBC">
        <w:rPr>
          <w:rFonts w:eastAsia="Calibri"/>
          <w:szCs w:val="24"/>
          <w:lang w:eastAsia="en-US"/>
        </w:rPr>
        <w:t xml:space="preserve"> </w:t>
      </w:r>
      <w:r w:rsidRPr="00B15C8B">
        <w:rPr>
          <w:rFonts w:eastAsia="Calibri"/>
          <w:szCs w:val="24"/>
          <w:lang w:eastAsia="en-US"/>
        </w:rPr>
        <w:t xml:space="preserve">omit the use of HbA1c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for diagnostic testing);</w:t>
      </w:r>
    </w:p>
    <w:p w:rsidR="00B15C8B" w:rsidRPr="00B15C8B" w:rsidRDefault="00B15C8B" w:rsidP="006E73D1">
      <w:pPr>
        <w:numPr>
          <w:ilvl w:val="0"/>
          <w:numId w:val="38"/>
        </w:numPr>
        <w:spacing w:after="160"/>
        <w:contextualSpacing/>
        <w:rPr>
          <w:rFonts w:eastAsia="Calibri"/>
          <w:szCs w:val="24"/>
          <w:lang w:eastAsia="en-US"/>
        </w:rPr>
      </w:pPr>
      <w:r w:rsidRPr="00B15C8B">
        <w:rPr>
          <w:rFonts w:eastAsia="Calibri"/>
          <w:szCs w:val="24"/>
          <w:lang w:eastAsia="en-US"/>
        </w:rPr>
        <w:t xml:space="preserve">include a reduction in </w:t>
      </w:r>
      <w:r w:rsidR="00AB0BBC">
        <w:rPr>
          <w:rFonts w:eastAsia="Calibri"/>
          <w:szCs w:val="24"/>
          <w:lang w:eastAsia="en-US"/>
        </w:rPr>
        <w:t xml:space="preserve">HbA1c </w:t>
      </w:r>
      <w:proofErr w:type="spellStart"/>
      <w:r w:rsidR="00AB0BBC">
        <w:rPr>
          <w:rFonts w:eastAsia="Calibri"/>
          <w:szCs w:val="24"/>
          <w:lang w:eastAsia="en-US"/>
        </w:rPr>
        <w:t>PoC</w:t>
      </w:r>
      <w:proofErr w:type="spellEnd"/>
      <w:r w:rsidR="00AB0BBC">
        <w:rPr>
          <w:rFonts w:eastAsia="Calibri"/>
          <w:szCs w:val="24"/>
          <w:lang w:eastAsia="en-US"/>
        </w:rPr>
        <w:t xml:space="preserve"> </w:t>
      </w:r>
      <w:r w:rsidRPr="00B15C8B">
        <w:rPr>
          <w:rFonts w:eastAsia="Calibri"/>
          <w:szCs w:val="24"/>
          <w:lang w:eastAsia="en-US"/>
        </w:rPr>
        <w:t>test fee</w:t>
      </w:r>
      <w:r w:rsidR="00FE54B5">
        <w:rPr>
          <w:rFonts w:eastAsia="Calibri"/>
          <w:szCs w:val="24"/>
          <w:lang w:eastAsia="en-US"/>
        </w:rPr>
        <w:t xml:space="preserve"> to at or below the laboratory test cost</w:t>
      </w:r>
      <w:r w:rsidRPr="00B15C8B">
        <w:rPr>
          <w:rFonts w:eastAsia="Calibri"/>
          <w:szCs w:val="24"/>
          <w:lang w:eastAsia="en-US"/>
        </w:rPr>
        <w:t>;</w:t>
      </w:r>
    </w:p>
    <w:p w:rsidR="00B15C8B" w:rsidRPr="00B15C8B" w:rsidRDefault="00B15C8B" w:rsidP="006E73D1">
      <w:pPr>
        <w:numPr>
          <w:ilvl w:val="0"/>
          <w:numId w:val="38"/>
        </w:numPr>
        <w:spacing w:after="160"/>
        <w:contextualSpacing/>
        <w:rPr>
          <w:rFonts w:eastAsia="Calibri"/>
          <w:szCs w:val="24"/>
          <w:lang w:eastAsia="en-US"/>
        </w:rPr>
      </w:pPr>
      <w:r w:rsidRPr="00B15C8B">
        <w:rPr>
          <w:rFonts w:eastAsia="Calibri"/>
          <w:szCs w:val="24"/>
          <w:lang w:eastAsia="en-US"/>
        </w:rPr>
        <w:t>account for accreditation costs;</w:t>
      </w:r>
    </w:p>
    <w:p w:rsidR="00B15C8B" w:rsidRPr="00B15C8B" w:rsidRDefault="00B15C8B" w:rsidP="006E73D1">
      <w:pPr>
        <w:numPr>
          <w:ilvl w:val="0"/>
          <w:numId w:val="38"/>
        </w:numPr>
        <w:spacing w:after="160"/>
        <w:contextualSpacing/>
        <w:rPr>
          <w:rFonts w:eastAsia="Calibri"/>
          <w:szCs w:val="24"/>
          <w:lang w:eastAsia="en-US"/>
        </w:rPr>
      </w:pPr>
      <w:r w:rsidRPr="00B15C8B">
        <w:rPr>
          <w:rFonts w:eastAsia="Calibri"/>
          <w:szCs w:val="24"/>
          <w:lang w:eastAsia="en-US"/>
        </w:rPr>
        <w:t xml:space="preserve">factor in </w:t>
      </w:r>
      <w:r w:rsidR="00AB0BBC">
        <w:rPr>
          <w:rFonts w:eastAsia="Calibri"/>
          <w:szCs w:val="24"/>
          <w:lang w:eastAsia="en-US"/>
        </w:rPr>
        <w:t xml:space="preserve">a frequency of </w:t>
      </w:r>
      <w:r w:rsidRPr="00B15C8B">
        <w:rPr>
          <w:rFonts w:eastAsia="Calibri"/>
          <w:szCs w:val="24"/>
          <w:lang w:eastAsia="en-US"/>
        </w:rPr>
        <w:t xml:space="preserve">3-monthly </w:t>
      </w:r>
      <w:r w:rsidR="0067110D">
        <w:rPr>
          <w:szCs w:val="24"/>
        </w:rPr>
        <w:t xml:space="preserve">HbA1c </w:t>
      </w:r>
      <w:proofErr w:type="spellStart"/>
      <w:r w:rsidRPr="00B15C8B">
        <w:rPr>
          <w:rFonts w:eastAsia="Calibri"/>
          <w:szCs w:val="24"/>
          <w:lang w:eastAsia="en-US"/>
        </w:rPr>
        <w:t>P</w:t>
      </w:r>
      <w:r w:rsidR="001B36AA" w:rsidRPr="00B15C8B">
        <w:rPr>
          <w:rFonts w:eastAsia="Calibri"/>
          <w:szCs w:val="24"/>
          <w:lang w:eastAsia="en-US"/>
        </w:rPr>
        <w:t>o</w:t>
      </w:r>
      <w:r w:rsidRPr="00B15C8B">
        <w:rPr>
          <w:rFonts w:eastAsia="Calibri"/>
          <w:szCs w:val="24"/>
          <w:lang w:eastAsia="en-US"/>
        </w:rPr>
        <w:t>C</w:t>
      </w:r>
      <w:proofErr w:type="spellEnd"/>
      <w:r w:rsidRPr="00B15C8B">
        <w:rPr>
          <w:rFonts w:eastAsia="Calibri"/>
          <w:szCs w:val="24"/>
          <w:lang w:eastAsia="en-US"/>
        </w:rPr>
        <w:t xml:space="preserve"> tests, as these are routinely conducted for long-term management of diabetes; and</w:t>
      </w:r>
    </w:p>
    <w:p w:rsidR="00B15C8B" w:rsidRPr="00B15C8B" w:rsidRDefault="00B15C8B" w:rsidP="006E73D1">
      <w:pPr>
        <w:numPr>
          <w:ilvl w:val="0"/>
          <w:numId w:val="38"/>
        </w:numPr>
        <w:spacing w:after="160"/>
        <w:ind w:left="714" w:hanging="357"/>
        <w:rPr>
          <w:rFonts w:eastAsia="Calibri"/>
          <w:szCs w:val="24"/>
          <w:lang w:eastAsia="en-US"/>
        </w:rPr>
      </w:pPr>
      <w:proofErr w:type="gramStart"/>
      <w:r w:rsidRPr="00B15C8B">
        <w:rPr>
          <w:rFonts w:eastAsia="Calibri"/>
          <w:szCs w:val="24"/>
          <w:lang w:eastAsia="en-US"/>
        </w:rPr>
        <w:t>factor</w:t>
      </w:r>
      <w:proofErr w:type="gramEnd"/>
      <w:r w:rsidRPr="00B15C8B">
        <w:rPr>
          <w:rFonts w:eastAsia="Calibri"/>
          <w:szCs w:val="24"/>
          <w:lang w:eastAsia="en-US"/>
        </w:rPr>
        <w:t xml:space="preserve"> in alignment with standard laboratory tests conducted for patients on an annual basis</w:t>
      </w:r>
      <w:r w:rsidR="00AB0BBC">
        <w:rPr>
          <w:rFonts w:eastAsia="Calibri"/>
          <w:szCs w:val="24"/>
          <w:lang w:eastAsia="en-US"/>
        </w:rPr>
        <w:t xml:space="preserve"> (</w:t>
      </w:r>
      <w:proofErr w:type="spellStart"/>
      <w:r w:rsidR="00AB0BBC">
        <w:rPr>
          <w:rFonts w:eastAsia="Calibri"/>
          <w:szCs w:val="24"/>
          <w:lang w:eastAsia="en-US"/>
        </w:rPr>
        <w:t>ie</w:t>
      </w:r>
      <w:proofErr w:type="spellEnd"/>
      <w:r w:rsidR="00AB0BBC">
        <w:rPr>
          <w:rFonts w:eastAsia="Calibri"/>
          <w:szCs w:val="24"/>
          <w:lang w:eastAsia="en-US"/>
        </w:rPr>
        <w:t xml:space="preserve"> by avoiding duplication with a fourth HbA1c </w:t>
      </w:r>
      <w:proofErr w:type="spellStart"/>
      <w:r w:rsidR="00AB0BBC">
        <w:rPr>
          <w:rFonts w:eastAsia="Calibri"/>
          <w:szCs w:val="24"/>
          <w:lang w:eastAsia="en-US"/>
        </w:rPr>
        <w:t>PoC</w:t>
      </w:r>
      <w:proofErr w:type="spellEnd"/>
      <w:r w:rsidR="00AB0BBC">
        <w:rPr>
          <w:rFonts w:eastAsia="Calibri"/>
          <w:szCs w:val="24"/>
          <w:lang w:eastAsia="en-US"/>
        </w:rPr>
        <w:t xml:space="preserve"> test at this time point)</w:t>
      </w:r>
      <w:r w:rsidRPr="00B15C8B">
        <w:rPr>
          <w:rFonts w:eastAsia="Calibri"/>
          <w:szCs w:val="24"/>
          <w:lang w:eastAsia="en-US"/>
        </w:rPr>
        <w:t>.</w:t>
      </w:r>
    </w:p>
    <w:p w:rsidR="00B15C8B" w:rsidRPr="00B15C8B" w:rsidRDefault="00B15C8B" w:rsidP="006E73D1">
      <w:pPr>
        <w:spacing w:after="160"/>
        <w:rPr>
          <w:rFonts w:eastAsia="Calibri"/>
          <w:szCs w:val="24"/>
          <w:lang w:eastAsia="en-US"/>
        </w:rPr>
      </w:pPr>
      <w:r w:rsidRPr="00B15C8B">
        <w:rPr>
          <w:rFonts w:eastAsia="Calibri"/>
          <w:szCs w:val="24"/>
          <w:lang w:eastAsia="en-US"/>
        </w:rPr>
        <w:t xml:space="preserve">This </w:t>
      </w:r>
      <w:r w:rsidR="00382088">
        <w:rPr>
          <w:rFonts w:eastAsia="Calibri"/>
          <w:szCs w:val="24"/>
          <w:lang w:eastAsia="en-US"/>
        </w:rPr>
        <w:t xml:space="preserve">further </w:t>
      </w:r>
      <w:r w:rsidRPr="00B15C8B">
        <w:rPr>
          <w:rFonts w:eastAsia="Calibri"/>
          <w:szCs w:val="24"/>
          <w:lang w:eastAsia="en-US"/>
        </w:rPr>
        <w:t xml:space="preserve">information </w:t>
      </w:r>
      <w:r w:rsidR="00382088">
        <w:rPr>
          <w:rFonts w:eastAsia="Calibri"/>
          <w:szCs w:val="24"/>
          <w:lang w:eastAsia="en-US"/>
        </w:rPr>
        <w:t xml:space="preserve">for management </w:t>
      </w:r>
      <w:r w:rsidRPr="00B15C8B">
        <w:rPr>
          <w:rFonts w:eastAsia="Calibri"/>
          <w:szCs w:val="24"/>
          <w:lang w:eastAsia="en-US"/>
        </w:rPr>
        <w:t>would need to be considered via ESC.</w:t>
      </w:r>
    </w:p>
    <w:p w:rsidR="00BC1364" w:rsidRPr="00F715D1" w:rsidRDefault="00BC1364" w:rsidP="00F715D1">
      <w:pPr>
        <w:pStyle w:val="Heading1"/>
      </w:pPr>
      <w:r w:rsidRPr="00F715D1">
        <w:t>Background</w:t>
      </w:r>
    </w:p>
    <w:p w:rsidR="00920985" w:rsidRPr="00BA48B5" w:rsidRDefault="00920985" w:rsidP="00920985">
      <w:pPr>
        <w:keepNext/>
        <w:keepLines/>
        <w:tabs>
          <w:tab w:val="left" w:pos="720"/>
          <w:tab w:val="left" w:pos="1140"/>
        </w:tabs>
        <w:rPr>
          <w:szCs w:val="24"/>
        </w:rPr>
      </w:pPr>
      <w:r w:rsidRPr="00BA48B5">
        <w:rPr>
          <w:szCs w:val="24"/>
        </w:rPr>
        <w:t>MSAC ha</w:t>
      </w:r>
      <w:r>
        <w:rPr>
          <w:szCs w:val="24"/>
        </w:rPr>
        <w:t>s</w:t>
      </w:r>
      <w:r w:rsidRPr="00BA48B5">
        <w:rPr>
          <w:szCs w:val="24"/>
        </w:rPr>
        <w:t xml:space="preserve"> not previously reviewed this application.</w:t>
      </w:r>
    </w:p>
    <w:p w:rsidR="00BC1364" w:rsidRPr="00F715D1" w:rsidRDefault="00BC1364" w:rsidP="00F715D1">
      <w:pPr>
        <w:pStyle w:val="Heading1"/>
      </w:pPr>
      <w:r w:rsidRPr="00F715D1">
        <w:t>Prerequisites to implementation of any funding advice</w:t>
      </w:r>
    </w:p>
    <w:p w:rsidR="00BC1364" w:rsidRPr="00E04FAD" w:rsidRDefault="00E04FAD" w:rsidP="00F715D1">
      <w:pPr>
        <w:tabs>
          <w:tab w:val="left" w:pos="720"/>
          <w:tab w:val="left" w:pos="1140"/>
        </w:tabs>
        <w:spacing w:after="240"/>
        <w:rPr>
          <w:szCs w:val="24"/>
        </w:rPr>
      </w:pPr>
      <w:r w:rsidRPr="00E04FAD">
        <w:rPr>
          <w:szCs w:val="24"/>
        </w:rPr>
        <w:t>The tests currently funded under the Pathology Services Table (PST) must be performed in a NATA accredited pathology laboratory. In addition, under the current PST legislation, only Approved Pathology Authorities (APAs), as registered with the Department of Human Services, can provide pathology services.</w:t>
      </w:r>
    </w:p>
    <w:p w:rsidR="00BC1364" w:rsidRPr="00F715D1" w:rsidRDefault="00BC1364" w:rsidP="00F715D1">
      <w:pPr>
        <w:pStyle w:val="Heading1"/>
      </w:pPr>
      <w:r w:rsidRPr="00F715D1">
        <w:t>Proposal for public funding</w:t>
      </w:r>
    </w:p>
    <w:p w:rsidR="003D2180" w:rsidRPr="00BA48B5" w:rsidRDefault="003D2180" w:rsidP="00FD1FEB">
      <w:pPr>
        <w:spacing w:after="240" w:line="276" w:lineRule="auto"/>
        <w:rPr>
          <w:szCs w:val="24"/>
        </w:rPr>
      </w:pPr>
      <w:r w:rsidRPr="00BA48B5">
        <w:rPr>
          <w:szCs w:val="24"/>
        </w:rPr>
        <w:t xml:space="preserve">The proposed MBS item descriptors are summarised in </w:t>
      </w:r>
      <w:r w:rsidRPr="00BA48B5">
        <w:rPr>
          <w:szCs w:val="24"/>
        </w:rPr>
        <w:fldChar w:fldCharType="begin"/>
      </w:r>
      <w:r w:rsidRPr="00BA48B5">
        <w:rPr>
          <w:szCs w:val="24"/>
        </w:rPr>
        <w:instrText xml:space="preserve"> REF _Ref473893948 \h  \* MERGEFORMAT </w:instrText>
      </w:r>
      <w:r w:rsidRPr="00BA48B5">
        <w:rPr>
          <w:szCs w:val="24"/>
        </w:rPr>
      </w:r>
      <w:r w:rsidRPr="00BA48B5">
        <w:rPr>
          <w:szCs w:val="24"/>
        </w:rPr>
        <w:fldChar w:fldCharType="separate"/>
      </w:r>
      <w:r w:rsidRPr="00BA48B5">
        <w:rPr>
          <w:szCs w:val="24"/>
        </w:rPr>
        <w:t xml:space="preserve">Table </w:t>
      </w:r>
      <w:r w:rsidRPr="00BA48B5">
        <w:rPr>
          <w:noProof/>
          <w:szCs w:val="24"/>
        </w:rPr>
        <w:t>1</w:t>
      </w:r>
      <w:r w:rsidRPr="00BA48B5">
        <w:rPr>
          <w:szCs w:val="24"/>
        </w:rPr>
        <w:fldChar w:fldCharType="end"/>
      </w:r>
      <w:r w:rsidRPr="00BA48B5">
        <w:rPr>
          <w:szCs w:val="24"/>
        </w:rPr>
        <w:t xml:space="preserve">. </w:t>
      </w:r>
    </w:p>
    <w:p w:rsidR="003D2180" w:rsidRPr="00FD1FEB" w:rsidRDefault="003D2180" w:rsidP="00FD1FEB">
      <w:pPr>
        <w:rPr>
          <w:rFonts w:ascii="Arial Narrow" w:hAnsi="Arial Narrow"/>
          <w:b/>
          <w:sz w:val="20"/>
        </w:rPr>
      </w:pPr>
      <w:bookmarkStart w:id="1" w:name="_Ref478128292"/>
      <w:bookmarkStart w:id="2" w:name="_Toc399251120"/>
      <w:bookmarkStart w:id="3" w:name="_Toc478133925"/>
      <w:bookmarkStart w:id="4" w:name="_Toc479241134"/>
      <w:bookmarkStart w:id="5" w:name="_Toc480466603"/>
      <w:bookmarkStart w:id="6" w:name="_Toc480548682"/>
      <w:bookmarkStart w:id="7" w:name="_Toc480551740"/>
      <w:bookmarkStart w:id="8" w:name="_Toc481054991"/>
      <w:bookmarkStart w:id="9" w:name="_Toc481509140"/>
      <w:bookmarkStart w:id="10" w:name="_Toc481587134"/>
      <w:bookmarkStart w:id="11" w:name="_Toc481589725"/>
      <w:bookmarkStart w:id="12" w:name="_Toc481654435"/>
      <w:bookmarkStart w:id="13" w:name="_Toc481668641"/>
      <w:r w:rsidRPr="00FD1FEB">
        <w:rPr>
          <w:rFonts w:ascii="Arial Narrow" w:hAnsi="Arial Narrow"/>
          <w:b/>
          <w:sz w:val="20"/>
        </w:rPr>
        <w:t xml:space="preserve">Table </w:t>
      </w:r>
      <w:bookmarkEnd w:id="1"/>
      <w:r w:rsidR="00237EB5" w:rsidRPr="00FD1FEB">
        <w:rPr>
          <w:rFonts w:ascii="Arial Narrow" w:hAnsi="Arial Narrow"/>
          <w:b/>
          <w:sz w:val="20"/>
        </w:rPr>
        <w:t>1</w:t>
      </w:r>
      <w:r w:rsidR="00237EB5" w:rsidRPr="00FD1FEB">
        <w:rPr>
          <w:rFonts w:ascii="Arial Narrow" w:hAnsi="Arial Narrow"/>
          <w:b/>
          <w:sz w:val="20"/>
        </w:rPr>
        <w:tab/>
      </w:r>
      <w:r w:rsidRPr="00FD1FEB">
        <w:rPr>
          <w:rFonts w:ascii="Arial Narrow" w:hAnsi="Arial Narrow"/>
          <w:b/>
          <w:sz w:val="20"/>
        </w:rPr>
        <w:t>Proposed MBS item descriptor</w:t>
      </w:r>
      <w:bookmarkEnd w:id="2"/>
      <w:r w:rsidRPr="00FD1FEB">
        <w:rPr>
          <w:rFonts w:ascii="Arial Narrow" w:hAnsi="Arial Narrow"/>
          <w:b/>
          <w:sz w:val="20"/>
        </w:rPr>
        <w:t>s</w:t>
      </w:r>
      <w:bookmarkEnd w:id="3"/>
      <w:bookmarkEnd w:id="4"/>
      <w:bookmarkEnd w:id="5"/>
      <w:bookmarkEnd w:id="6"/>
      <w:bookmarkEnd w:id="7"/>
      <w:bookmarkEnd w:id="8"/>
      <w:bookmarkEnd w:id="9"/>
      <w:bookmarkEnd w:id="10"/>
      <w:bookmarkEnd w:id="11"/>
      <w:bookmarkEnd w:id="12"/>
      <w:bookmarkEnd w:id="13"/>
    </w:p>
    <w:tbl>
      <w:tblPr>
        <w:tblStyle w:val="TableGrid"/>
        <w:tblW w:w="0" w:type="auto"/>
        <w:tblLook w:val="04A0" w:firstRow="1" w:lastRow="0" w:firstColumn="1" w:lastColumn="0" w:noHBand="0" w:noVBand="1"/>
        <w:tblDescription w:val="The proposed description of the requested Medicare Benefits Schedule items."/>
      </w:tblPr>
      <w:tblGrid>
        <w:gridCol w:w="8888"/>
      </w:tblGrid>
      <w:tr w:rsidR="003D2180" w:rsidRPr="003D2180" w:rsidTr="00FD1FEB">
        <w:trPr>
          <w:tblHeader/>
        </w:trPr>
        <w:tc>
          <w:tcPr>
            <w:tcW w:w="8888" w:type="dxa"/>
          </w:tcPr>
          <w:p w:rsidR="003D2180" w:rsidRPr="003D2180" w:rsidRDefault="003D2180" w:rsidP="001B36AA">
            <w:pPr>
              <w:pStyle w:val="Tabletext"/>
              <w:rPr>
                <w:b/>
                <w:szCs w:val="20"/>
              </w:rPr>
            </w:pPr>
            <w:r w:rsidRPr="003D2180">
              <w:rPr>
                <w:b/>
                <w:szCs w:val="20"/>
              </w:rPr>
              <w:t>Category 6 – PATHOLOGY SERVICES</w:t>
            </w:r>
            <w:r w:rsidRPr="003D2180">
              <w:rPr>
                <w:b/>
                <w:szCs w:val="20"/>
              </w:rPr>
              <w:tab/>
            </w:r>
            <w:r w:rsidRPr="003D2180">
              <w:rPr>
                <w:b/>
                <w:szCs w:val="20"/>
              </w:rPr>
              <w:tab/>
              <w:t>Group PXX – Point of Care Tests</w:t>
            </w:r>
          </w:p>
        </w:tc>
      </w:tr>
      <w:tr w:rsidR="003D2180" w:rsidRPr="003D2180" w:rsidTr="00FD1FEB">
        <w:tc>
          <w:tcPr>
            <w:tcW w:w="8888" w:type="dxa"/>
          </w:tcPr>
          <w:p w:rsidR="003D2180" w:rsidRPr="003D2180" w:rsidRDefault="003D2180" w:rsidP="001B36AA">
            <w:pPr>
              <w:pStyle w:val="Tabletext"/>
              <w:rPr>
                <w:szCs w:val="20"/>
              </w:rPr>
            </w:pPr>
            <w:r w:rsidRPr="003D2180">
              <w:rPr>
                <w:szCs w:val="20"/>
              </w:rPr>
              <w:t>MBS [item number]</w:t>
            </w:r>
          </w:p>
          <w:p w:rsidR="003D2180" w:rsidRPr="003D2180" w:rsidRDefault="003D2180" w:rsidP="001B36AA">
            <w:pPr>
              <w:pStyle w:val="Tabletext"/>
              <w:rPr>
                <w:szCs w:val="20"/>
              </w:rPr>
            </w:pPr>
            <w:r w:rsidRPr="003D2180">
              <w:rPr>
                <w:szCs w:val="20"/>
              </w:rPr>
              <w:t>Quantitation of HbA1c (glycated haemoglobin) via point of care testing performed for the diagnosis of diabetes in asymptomatic patients at high risk. (Item is subject to rule 25)</w:t>
            </w:r>
          </w:p>
          <w:p w:rsidR="003D2180" w:rsidRPr="003D2180" w:rsidRDefault="003D2180" w:rsidP="001B36AA">
            <w:pPr>
              <w:pStyle w:val="Tabletext"/>
              <w:rPr>
                <w:szCs w:val="20"/>
              </w:rPr>
            </w:pPr>
            <w:r w:rsidRPr="003D2180">
              <w:rPr>
                <w:szCs w:val="20"/>
              </w:rPr>
              <w:t>Fee: $</w:t>
            </w:r>
            <w:r w:rsidR="00534C47" w:rsidRPr="00534C47">
              <w:rPr>
                <w:rFonts w:eastAsia="Calibri"/>
                <w:b/>
              </w:rPr>
              <w:t>redacted</w:t>
            </w:r>
          </w:p>
        </w:tc>
      </w:tr>
      <w:tr w:rsidR="003D2180" w:rsidRPr="003D2180" w:rsidTr="00FD1FEB">
        <w:tc>
          <w:tcPr>
            <w:tcW w:w="8888" w:type="dxa"/>
          </w:tcPr>
          <w:p w:rsidR="003D2180" w:rsidRPr="003D2180" w:rsidRDefault="003D2180" w:rsidP="001B36AA">
            <w:pPr>
              <w:pStyle w:val="Tabletext"/>
              <w:rPr>
                <w:b/>
                <w:szCs w:val="20"/>
              </w:rPr>
            </w:pPr>
            <w:r w:rsidRPr="003D2180">
              <w:rPr>
                <w:b/>
                <w:szCs w:val="20"/>
              </w:rPr>
              <w:t>Category 6 – PATHOLOGY SERVICES</w:t>
            </w:r>
            <w:r w:rsidRPr="003D2180">
              <w:rPr>
                <w:b/>
                <w:szCs w:val="20"/>
              </w:rPr>
              <w:tab/>
            </w:r>
            <w:r w:rsidRPr="003D2180">
              <w:rPr>
                <w:b/>
                <w:szCs w:val="20"/>
              </w:rPr>
              <w:tab/>
              <w:t>Group PXX – Point of Care Tests</w:t>
            </w:r>
          </w:p>
        </w:tc>
      </w:tr>
      <w:tr w:rsidR="003D2180" w:rsidRPr="003D2180" w:rsidTr="00FD1FEB">
        <w:tc>
          <w:tcPr>
            <w:tcW w:w="8888" w:type="dxa"/>
          </w:tcPr>
          <w:p w:rsidR="003D2180" w:rsidRPr="003D2180" w:rsidRDefault="003D2180" w:rsidP="001B36AA">
            <w:pPr>
              <w:pStyle w:val="Tabletext"/>
              <w:rPr>
                <w:szCs w:val="20"/>
              </w:rPr>
            </w:pPr>
            <w:r w:rsidRPr="003D2180">
              <w:rPr>
                <w:szCs w:val="20"/>
              </w:rPr>
              <w:t>MBS [item number]</w:t>
            </w:r>
          </w:p>
          <w:p w:rsidR="003D2180" w:rsidRPr="003D2180" w:rsidRDefault="003D2180" w:rsidP="001B36AA">
            <w:pPr>
              <w:pStyle w:val="Tabletext"/>
              <w:rPr>
                <w:szCs w:val="20"/>
              </w:rPr>
            </w:pPr>
            <w:r w:rsidRPr="003D2180">
              <w:rPr>
                <w:szCs w:val="20"/>
              </w:rPr>
              <w:t>Quantitation of glycated haemoglobin via point of care testing performed in the management of established diabetes. (Item is subject to rule 25)</w:t>
            </w:r>
          </w:p>
          <w:p w:rsidR="003D2180" w:rsidRPr="003D2180" w:rsidRDefault="003D2180" w:rsidP="001B36AA">
            <w:pPr>
              <w:pStyle w:val="Tabletext"/>
              <w:rPr>
                <w:szCs w:val="20"/>
              </w:rPr>
            </w:pPr>
            <w:r w:rsidRPr="003D2180">
              <w:rPr>
                <w:szCs w:val="20"/>
              </w:rPr>
              <w:t>Fee: $</w:t>
            </w:r>
            <w:r w:rsidR="00534C47" w:rsidRPr="00534C47">
              <w:rPr>
                <w:rFonts w:eastAsia="Calibri"/>
                <w:b/>
              </w:rPr>
              <w:t>redacted</w:t>
            </w:r>
          </w:p>
        </w:tc>
      </w:tr>
      <w:tr w:rsidR="003D2180" w:rsidRPr="003D2180" w:rsidTr="00FD1FEB">
        <w:tc>
          <w:tcPr>
            <w:tcW w:w="8888" w:type="dxa"/>
          </w:tcPr>
          <w:p w:rsidR="003D2180" w:rsidRPr="003D2180" w:rsidRDefault="003D2180" w:rsidP="001B36AA">
            <w:pPr>
              <w:pStyle w:val="Tabletext"/>
              <w:rPr>
                <w:b/>
                <w:szCs w:val="20"/>
              </w:rPr>
            </w:pPr>
            <w:r w:rsidRPr="003D2180">
              <w:rPr>
                <w:b/>
                <w:szCs w:val="20"/>
              </w:rPr>
              <w:t>Category 6 – PATHOLOGY SERVICES</w:t>
            </w:r>
            <w:r w:rsidRPr="003D2180">
              <w:rPr>
                <w:b/>
                <w:szCs w:val="20"/>
              </w:rPr>
              <w:tab/>
            </w:r>
            <w:r w:rsidRPr="003D2180">
              <w:rPr>
                <w:b/>
                <w:szCs w:val="20"/>
              </w:rPr>
              <w:tab/>
              <w:t>Group PXX – Point of Care Tests</w:t>
            </w:r>
          </w:p>
        </w:tc>
      </w:tr>
      <w:tr w:rsidR="003D2180" w:rsidRPr="003D2180" w:rsidTr="00FD1FEB">
        <w:tc>
          <w:tcPr>
            <w:tcW w:w="8888" w:type="dxa"/>
          </w:tcPr>
          <w:p w:rsidR="003D2180" w:rsidRPr="003D2180" w:rsidRDefault="003D2180" w:rsidP="001B36AA">
            <w:pPr>
              <w:pStyle w:val="Tabletext"/>
              <w:rPr>
                <w:szCs w:val="20"/>
              </w:rPr>
            </w:pPr>
            <w:r w:rsidRPr="003D2180">
              <w:rPr>
                <w:szCs w:val="20"/>
              </w:rPr>
              <w:t>MBS [item number]</w:t>
            </w:r>
          </w:p>
          <w:p w:rsidR="003D2180" w:rsidRPr="003D2180" w:rsidRDefault="003D2180" w:rsidP="001B36AA">
            <w:pPr>
              <w:pStyle w:val="Tabletext"/>
              <w:rPr>
                <w:szCs w:val="20"/>
              </w:rPr>
            </w:pPr>
            <w:r w:rsidRPr="003D2180">
              <w:rPr>
                <w:szCs w:val="20"/>
              </w:rPr>
              <w:t>Quantitation of glycated haemoglobin via point of care testing performed in the management of pre-existing diabetes where the patient is pregnant – including a service in item 66551 (if performed). (Item is subject to rule 25)</w:t>
            </w:r>
          </w:p>
          <w:p w:rsidR="003D2180" w:rsidRPr="003D2180" w:rsidRDefault="003D2180" w:rsidP="001B36AA">
            <w:pPr>
              <w:pStyle w:val="Tabletext"/>
              <w:rPr>
                <w:szCs w:val="20"/>
              </w:rPr>
            </w:pPr>
            <w:r w:rsidRPr="003D2180">
              <w:rPr>
                <w:szCs w:val="20"/>
              </w:rPr>
              <w:t>Fee: $</w:t>
            </w:r>
            <w:r w:rsidR="00534C47" w:rsidRPr="00534C47">
              <w:rPr>
                <w:rFonts w:eastAsia="Calibri"/>
                <w:b/>
              </w:rPr>
              <w:t>redacted</w:t>
            </w:r>
          </w:p>
        </w:tc>
      </w:tr>
    </w:tbl>
    <w:p w:rsidR="003D2180" w:rsidRDefault="003D2180" w:rsidP="003D2180">
      <w:pPr>
        <w:tabs>
          <w:tab w:val="left" w:pos="720"/>
          <w:tab w:val="left" w:pos="1140"/>
        </w:tabs>
        <w:spacing w:before="240" w:after="240"/>
        <w:rPr>
          <w:szCs w:val="24"/>
        </w:rPr>
      </w:pPr>
      <w:r w:rsidRPr="00BA48B5">
        <w:rPr>
          <w:szCs w:val="24"/>
        </w:rPr>
        <w:t xml:space="preserve">It </w:t>
      </w:r>
      <w:r w:rsidR="00AB0BBC">
        <w:rPr>
          <w:szCs w:val="24"/>
        </w:rPr>
        <w:t>wa</w:t>
      </w:r>
      <w:r w:rsidRPr="00BA48B5">
        <w:rPr>
          <w:szCs w:val="24"/>
        </w:rPr>
        <w:t xml:space="preserve">s proposed that the MBS items would be placed in a new “Point of Care Tests” Group in the pathology services table. It </w:t>
      </w:r>
      <w:r w:rsidR="00AB0BBC">
        <w:rPr>
          <w:szCs w:val="24"/>
        </w:rPr>
        <w:t>wa</w:t>
      </w:r>
      <w:r w:rsidRPr="00BA48B5">
        <w:rPr>
          <w:szCs w:val="24"/>
        </w:rPr>
        <w:t xml:space="preserve">s considered that a safe, practical level of accreditation, with corresponding quality assurance (QA) </w:t>
      </w:r>
      <w:r w:rsidR="00AB0BBC">
        <w:rPr>
          <w:szCs w:val="24"/>
        </w:rPr>
        <w:t>would be</w:t>
      </w:r>
      <w:r w:rsidRPr="00BA48B5">
        <w:rPr>
          <w:szCs w:val="24"/>
        </w:rPr>
        <w:t xml:space="preserve"> required for HbA1c </w:t>
      </w:r>
      <w:proofErr w:type="spellStart"/>
      <w:r w:rsidRPr="00BA48B5">
        <w:rPr>
          <w:szCs w:val="24"/>
        </w:rPr>
        <w:t>P</w:t>
      </w:r>
      <w:r w:rsidR="005C7352">
        <w:rPr>
          <w:szCs w:val="24"/>
        </w:rPr>
        <w:t>o</w:t>
      </w:r>
      <w:r w:rsidR="003A7B42">
        <w:rPr>
          <w:szCs w:val="24"/>
        </w:rPr>
        <w:t>C</w:t>
      </w:r>
      <w:proofErr w:type="spellEnd"/>
      <w:r w:rsidR="000F74D2">
        <w:rPr>
          <w:szCs w:val="24"/>
        </w:rPr>
        <w:t xml:space="preserve"> testing</w:t>
      </w:r>
      <w:r w:rsidR="00AB0BBC">
        <w:rPr>
          <w:szCs w:val="24"/>
        </w:rPr>
        <w:t>.</w:t>
      </w:r>
    </w:p>
    <w:p w:rsidR="00BC1364" w:rsidRPr="0041184F" w:rsidRDefault="003D2180" w:rsidP="003D2180">
      <w:pPr>
        <w:tabs>
          <w:tab w:val="left" w:pos="720"/>
          <w:tab w:val="left" w:pos="1140"/>
        </w:tabs>
        <w:spacing w:before="240" w:after="240"/>
        <w:rPr>
          <w:i/>
          <w:szCs w:val="24"/>
        </w:rPr>
      </w:pPr>
      <w:r w:rsidRPr="00BA48B5">
        <w:rPr>
          <w:szCs w:val="24"/>
        </w:rPr>
        <w:lastRenderedPageBreak/>
        <w:t xml:space="preserve">The proposed MBS item fee for </w:t>
      </w:r>
      <w:r w:rsidR="0067110D">
        <w:rPr>
          <w:szCs w:val="24"/>
        </w:rPr>
        <w:t xml:space="preserve">HbA1c </w:t>
      </w:r>
      <w:proofErr w:type="spellStart"/>
      <w:r w:rsidR="000F74D2">
        <w:rPr>
          <w:szCs w:val="24"/>
        </w:rPr>
        <w:t>P</w:t>
      </w:r>
      <w:r w:rsidR="001B36AA">
        <w:rPr>
          <w:szCs w:val="24"/>
        </w:rPr>
        <w:t>o</w:t>
      </w:r>
      <w:r w:rsidR="000F74D2">
        <w:rPr>
          <w:szCs w:val="24"/>
        </w:rPr>
        <w:t>C</w:t>
      </w:r>
      <w:proofErr w:type="spellEnd"/>
      <w:r w:rsidR="000F74D2">
        <w:rPr>
          <w:szCs w:val="24"/>
        </w:rPr>
        <w:t xml:space="preserve"> testing</w:t>
      </w:r>
      <w:r w:rsidRPr="00BA48B5">
        <w:rPr>
          <w:szCs w:val="24"/>
        </w:rPr>
        <w:t xml:space="preserve"> </w:t>
      </w:r>
      <w:r w:rsidR="0067110D">
        <w:rPr>
          <w:szCs w:val="24"/>
        </w:rPr>
        <w:t>wa</w:t>
      </w:r>
      <w:r w:rsidRPr="00BA48B5">
        <w:rPr>
          <w:szCs w:val="24"/>
        </w:rPr>
        <w:t>s $</w:t>
      </w:r>
      <w:r w:rsidR="00534C47" w:rsidRPr="00534C47">
        <w:rPr>
          <w:rFonts w:eastAsia="Calibri"/>
          <w:b/>
          <w:szCs w:val="24"/>
          <w:lang w:eastAsia="en-US"/>
        </w:rPr>
        <w:t>redacted</w:t>
      </w:r>
      <w:r w:rsidR="00AB0BBC">
        <w:rPr>
          <w:szCs w:val="24"/>
        </w:rPr>
        <w:t>,</w:t>
      </w:r>
      <w:r w:rsidRPr="00BA48B5">
        <w:rPr>
          <w:szCs w:val="24"/>
        </w:rPr>
        <w:t xml:space="preserve"> which </w:t>
      </w:r>
      <w:r w:rsidR="0067110D">
        <w:rPr>
          <w:szCs w:val="24"/>
        </w:rPr>
        <w:t>wa</w:t>
      </w:r>
      <w:r w:rsidRPr="00BA48B5">
        <w:rPr>
          <w:szCs w:val="24"/>
        </w:rPr>
        <w:t xml:space="preserve">s </w:t>
      </w:r>
      <w:r w:rsidR="00AB0BBC">
        <w:rPr>
          <w:szCs w:val="24"/>
        </w:rPr>
        <w:t xml:space="preserve">greater </w:t>
      </w:r>
      <w:r w:rsidRPr="00BA48B5">
        <w:rPr>
          <w:szCs w:val="24"/>
        </w:rPr>
        <w:t xml:space="preserve">than </w:t>
      </w:r>
      <w:r w:rsidR="00AB0BBC">
        <w:rPr>
          <w:szCs w:val="24"/>
        </w:rPr>
        <w:t xml:space="preserve">fee for the HbA1c </w:t>
      </w:r>
      <w:r w:rsidRPr="00BA48B5">
        <w:rPr>
          <w:szCs w:val="24"/>
        </w:rPr>
        <w:t xml:space="preserve">pathology laboratory test of $22.80 that includes </w:t>
      </w:r>
      <w:r>
        <w:rPr>
          <w:szCs w:val="24"/>
        </w:rPr>
        <w:t xml:space="preserve">an </w:t>
      </w:r>
      <w:r w:rsidRPr="00BA48B5">
        <w:rPr>
          <w:szCs w:val="24"/>
        </w:rPr>
        <w:t>MBS fee of $16.80 and</w:t>
      </w:r>
      <w:r>
        <w:rPr>
          <w:szCs w:val="24"/>
        </w:rPr>
        <w:t xml:space="preserve"> a</w:t>
      </w:r>
      <w:r w:rsidRPr="00BA48B5">
        <w:rPr>
          <w:szCs w:val="24"/>
        </w:rPr>
        <w:t xml:space="preserve"> patient episode fee of $6. This d</w:t>
      </w:r>
      <w:r w:rsidR="00AB0BBC">
        <w:rPr>
          <w:szCs w:val="24"/>
        </w:rPr>
        <w:t>id</w:t>
      </w:r>
      <w:r w:rsidRPr="00BA48B5">
        <w:rPr>
          <w:szCs w:val="24"/>
        </w:rPr>
        <w:t xml:space="preserve"> not take into account the additional GP visits associated with the laboratory test – as patients require an initial and review consultation versus the single consultation required with the </w:t>
      </w:r>
      <w:r w:rsidR="0067110D">
        <w:rPr>
          <w:szCs w:val="24"/>
        </w:rPr>
        <w:t xml:space="preserve">HbA1c </w:t>
      </w:r>
      <w:proofErr w:type="spellStart"/>
      <w:r w:rsidR="000F74D2">
        <w:rPr>
          <w:szCs w:val="24"/>
        </w:rPr>
        <w:t>P</w:t>
      </w:r>
      <w:r w:rsidR="001B36AA">
        <w:rPr>
          <w:szCs w:val="24"/>
        </w:rPr>
        <w:t>o</w:t>
      </w:r>
      <w:r w:rsidR="000F74D2">
        <w:rPr>
          <w:szCs w:val="24"/>
        </w:rPr>
        <w:t>C</w:t>
      </w:r>
      <w:proofErr w:type="spellEnd"/>
      <w:r w:rsidR="000F74D2">
        <w:rPr>
          <w:szCs w:val="24"/>
        </w:rPr>
        <w:t xml:space="preserve"> test</w:t>
      </w:r>
      <w:r w:rsidRPr="00BA48B5">
        <w:rPr>
          <w:szCs w:val="24"/>
        </w:rPr>
        <w:t>.</w:t>
      </w:r>
    </w:p>
    <w:p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rsidR="003A7B42" w:rsidRPr="00BA48B5" w:rsidRDefault="003A7B42" w:rsidP="003A7B42">
      <w:pPr>
        <w:rPr>
          <w:szCs w:val="24"/>
        </w:rPr>
      </w:pPr>
      <w:r>
        <w:rPr>
          <w:szCs w:val="24"/>
        </w:rPr>
        <w:t>Public c</w:t>
      </w:r>
      <w:r w:rsidRPr="00BA48B5">
        <w:rPr>
          <w:szCs w:val="24"/>
        </w:rPr>
        <w:t xml:space="preserve">onsultation feedback was received from 1 GP practice manager, 1 specialist, </w:t>
      </w:r>
      <w:proofErr w:type="gramStart"/>
      <w:r w:rsidRPr="00BA48B5">
        <w:rPr>
          <w:szCs w:val="24"/>
        </w:rPr>
        <w:t>1</w:t>
      </w:r>
      <w:proofErr w:type="gramEnd"/>
      <w:r>
        <w:rPr>
          <w:szCs w:val="24"/>
        </w:rPr>
        <w:t> </w:t>
      </w:r>
      <w:r w:rsidRPr="00BA48B5">
        <w:rPr>
          <w:szCs w:val="24"/>
        </w:rPr>
        <w:t>QAAMS program manager, 1 organisation from the IVD industry, 3 peak bodies and 1</w:t>
      </w:r>
      <w:r>
        <w:rPr>
          <w:szCs w:val="24"/>
        </w:rPr>
        <w:t> </w:t>
      </w:r>
      <w:r w:rsidR="00AB0BBC">
        <w:rPr>
          <w:szCs w:val="24"/>
        </w:rPr>
        <w:t>medical student.</w:t>
      </w:r>
    </w:p>
    <w:p w:rsidR="003A7B42" w:rsidRPr="00BA48B5" w:rsidRDefault="003A7B42" w:rsidP="003A7B42">
      <w:pPr>
        <w:spacing w:before="240"/>
        <w:rPr>
          <w:szCs w:val="24"/>
        </w:rPr>
      </w:pPr>
      <w:r w:rsidRPr="00BA48B5">
        <w:rPr>
          <w:szCs w:val="24"/>
        </w:rPr>
        <w:t xml:space="preserve">Some of the </w:t>
      </w:r>
      <w:r>
        <w:rPr>
          <w:szCs w:val="24"/>
        </w:rPr>
        <w:t>p</w:t>
      </w:r>
      <w:r w:rsidRPr="00BA48B5">
        <w:rPr>
          <w:szCs w:val="24"/>
        </w:rPr>
        <w:t>ositive feedback included the following:</w:t>
      </w:r>
    </w:p>
    <w:p w:rsidR="003A7B42" w:rsidRPr="00BA48B5" w:rsidRDefault="003A7B42" w:rsidP="003A7B42">
      <w:pPr>
        <w:pStyle w:val="ListParagraph"/>
        <w:numPr>
          <w:ilvl w:val="0"/>
          <w:numId w:val="28"/>
        </w:numPr>
        <w:rPr>
          <w:szCs w:val="24"/>
        </w:rPr>
      </w:pPr>
      <w:r w:rsidRPr="00BA48B5">
        <w:rPr>
          <w:szCs w:val="24"/>
        </w:rPr>
        <w:t>greater accessibility (particularly in regional/rural areas);</w:t>
      </w:r>
    </w:p>
    <w:p w:rsidR="003A7B42" w:rsidRPr="00BA48B5" w:rsidRDefault="003A7B42" w:rsidP="003A7B42">
      <w:pPr>
        <w:pStyle w:val="ListParagraph"/>
        <w:numPr>
          <w:ilvl w:val="0"/>
          <w:numId w:val="28"/>
        </w:numPr>
        <w:rPr>
          <w:szCs w:val="24"/>
        </w:rPr>
      </w:pPr>
      <w:r w:rsidRPr="00BA48B5">
        <w:rPr>
          <w:szCs w:val="24"/>
        </w:rPr>
        <w:t>decreased GP visits;</w:t>
      </w:r>
    </w:p>
    <w:p w:rsidR="003A7B42" w:rsidRPr="00BA48B5" w:rsidRDefault="003A7B42" w:rsidP="003A7B42">
      <w:pPr>
        <w:pStyle w:val="ListParagraph"/>
        <w:numPr>
          <w:ilvl w:val="0"/>
          <w:numId w:val="28"/>
        </w:numPr>
        <w:rPr>
          <w:szCs w:val="24"/>
        </w:rPr>
      </w:pPr>
      <w:r w:rsidRPr="00BA48B5">
        <w:rPr>
          <w:szCs w:val="24"/>
        </w:rPr>
        <w:t>decreased</w:t>
      </w:r>
      <w:r w:rsidR="00AB0BBC">
        <w:rPr>
          <w:szCs w:val="24"/>
        </w:rPr>
        <w:t xml:space="preserve"> loss of patients to follow-up;</w:t>
      </w:r>
    </w:p>
    <w:p w:rsidR="003A7B42" w:rsidRPr="00BA48B5" w:rsidRDefault="00AB0BBC" w:rsidP="003A7B42">
      <w:pPr>
        <w:pStyle w:val="ListParagraph"/>
        <w:numPr>
          <w:ilvl w:val="0"/>
          <w:numId w:val="28"/>
        </w:numPr>
        <w:rPr>
          <w:szCs w:val="24"/>
        </w:rPr>
      </w:pPr>
      <w:r>
        <w:rPr>
          <w:szCs w:val="24"/>
        </w:rPr>
        <w:t>increased patient convenience;</w:t>
      </w:r>
    </w:p>
    <w:p w:rsidR="003A7B42" w:rsidRPr="00BA48B5" w:rsidRDefault="00AB0BBC" w:rsidP="003A7B42">
      <w:pPr>
        <w:pStyle w:val="ListParagraph"/>
        <w:numPr>
          <w:ilvl w:val="0"/>
          <w:numId w:val="28"/>
        </w:numPr>
        <w:rPr>
          <w:szCs w:val="24"/>
        </w:rPr>
      </w:pPr>
      <w:r>
        <w:rPr>
          <w:szCs w:val="24"/>
        </w:rPr>
        <w:t>education and management;</w:t>
      </w:r>
    </w:p>
    <w:p w:rsidR="003A7B42" w:rsidRPr="00BA48B5" w:rsidRDefault="00AB0BBC" w:rsidP="003A7B42">
      <w:pPr>
        <w:pStyle w:val="ListParagraph"/>
        <w:numPr>
          <w:ilvl w:val="0"/>
          <w:numId w:val="28"/>
        </w:numPr>
        <w:rPr>
          <w:szCs w:val="24"/>
        </w:rPr>
      </w:pPr>
      <w:r>
        <w:rPr>
          <w:szCs w:val="24"/>
        </w:rPr>
        <w:t>increased health outcomes;</w:t>
      </w:r>
      <w:r w:rsidR="003A7B42" w:rsidRPr="00BA48B5">
        <w:rPr>
          <w:szCs w:val="24"/>
        </w:rPr>
        <w:t xml:space="preserve"> and</w:t>
      </w:r>
    </w:p>
    <w:p w:rsidR="003A7B42" w:rsidRPr="00BA48B5" w:rsidRDefault="003A7B42" w:rsidP="003A7B42">
      <w:pPr>
        <w:pStyle w:val="ListParagraph"/>
        <w:numPr>
          <w:ilvl w:val="0"/>
          <w:numId w:val="28"/>
        </w:numPr>
        <w:rPr>
          <w:szCs w:val="24"/>
        </w:rPr>
      </w:pPr>
      <w:proofErr w:type="gramStart"/>
      <w:r w:rsidRPr="00BA48B5">
        <w:rPr>
          <w:szCs w:val="24"/>
        </w:rPr>
        <w:t>improved</w:t>
      </w:r>
      <w:proofErr w:type="gramEnd"/>
      <w:r w:rsidRPr="00BA48B5">
        <w:rPr>
          <w:szCs w:val="24"/>
        </w:rPr>
        <w:t xml:space="preserve"> quality of life.</w:t>
      </w:r>
    </w:p>
    <w:p w:rsidR="003A7B42" w:rsidRPr="00BA48B5" w:rsidRDefault="003A7B42" w:rsidP="003A7B42">
      <w:pPr>
        <w:spacing w:before="240"/>
        <w:rPr>
          <w:szCs w:val="24"/>
        </w:rPr>
      </w:pPr>
      <w:r w:rsidRPr="00BA48B5">
        <w:rPr>
          <w:szCs w:val="24"/>
        </w:rPr>
        <w:t>Some of the negative feedback from the public consultation included the following:</w:t>
      </w:r>
    </w:p>
    <w:p w:rsidR="003A7B42" w:rsidRPr="00BA48B5" w:rsidRDefault="00AB0BBC" w:rsidP="003A7B42">
      <w:pPr>
        <w:pStyle w:val="ListParagraph"/>
        <w:numPr>
          <w:ilvl w:val="0"/>
          <w:numId w:val="29"/>
        </w:numPr>
        <w:rPr>
          <w:szCs w:val="24"/>
        </w:rPr>
      </w:pPr>
      <w:r>
        <w:rPr>
          <w:szCs w:val="24"/>
        </w:rPr>
        <w:t>increase in practice time;</w:t>
      </w:r>
    </w:p>
    <w:p w:rsidR="003A7B42" w:rsidRPr="00BA48B5" w:rsidRDefault="003A7B42" w:rsidP="003A7B42">
      <w:pPr>
        <w:pStyle w:val="ListParagraph"/>
        <w:numPr>
          <w:ilvl w:val="0"/>
          <w:numId w:val="29"/>
        </w:numPr>
        <w:rPr>
          <w:szCs w:val="24"/>
        </w:rPr>
      </w:pPr>
      <w:r w:rsidRPr="00BA48B5">
        <w:rPr>
          <w:szCs w:val="24"/>
        </w:rPr>
        <w:t>increase in practice costs;</w:t>
      </w:r>
    </w:p>
    <w:p w:rsidR="003A7B42" w:rsidRPr="00BA48B5" w:rsidRDefault="00AB0BBC" w:rsidP="003A7B42">
      <w:pPr>
        <w:pStyle w:val="ListParagraph"/>
        <w:numPr>
          <w:ilvl w:val="0"/>
          <w:numId w:val="29"/>
        </w:numPr>
        <w:rPr>
          <w:szCs w:val="24"/>
        </w:rPr>
      </w:pPr>
      <w:r>
        <w:rPr>
          <w:szCs w:val="24"/>
        </w:rPr>
        <w:t>changed model of care;</w:t>
      </w:r>
    </w:p>
    <w:p w:rsidR="003A7B42" w:rsidRPr="00BA48B5" w:rsidRDefault="003A7B42" w:rsidP="003A7B42">
      <w:pPr>
        <w:pStyle w:val="ListParagraph"/>
        <w:numPr>
          <w:ilvl w:val="0"/>
          <w:numId w:val="29"/>
        </w:numPr>
        <w:rPr>
          <w:szCs w:val="24"/>
        </w:rPr>
      </w:pPr>
      <w:r w:rsidRPr="00BA48B5">
        <w:rPr>
          <w:szCs w:val="24"/>
        </w:rPr>
        <w:t>requirement for other pathology tests; and</w:t>
      </w:r>
    </w:p>
    <w:p w:rsidR="00BC1364" w:rsidRPr="003A7B42" w:rsidRDefault="003A7B42" w:rsidP="003A7B42">
      <w:pPr>
        <w:pStyle w:val="ListParagraph"/>
        <w:numPr>
          <w:ilvl w:val="0"/>
          <w:numId w:val="29"/>
        </w:numPr>
        <w:rPr>
          <w:szCs w:val="24"/>
        </w:rPr>
      </w:pPr>
      <w:proofErr w:type="gramStart"/>
      <w:r w:rsidRPr="00BA48B5">
        <w:rPr>
          <w:szCs w:val="24"/>
        </w:rPr>
        <w:t>potential</w:t>
      </w:r>
      <w:proofErr w:type="gramEnd"/>
      <w:r w:rsidRPr="00BA48B5">
        <w:rPr>
          <w:szCs w:val="24"/>
        </w:rPr>
        <w:t xml:space="preserve"> duplicate testing.</w:t>
      </w:r>
    </w:p>
    <w:p w:rsidR="00BC1364" w:rsidRPr="00F715D1" w:rsidRDefault="00BC1364" w:rsidP="00F715D1">
      <w:pPr>
        <w:pStyle w:val="Heading1"/>
      </w:pPr>
      <w:r w:rsidRPr="00F715D1">
        <w:t>Proposed intervention’s place in clinical management</w:t>
      </w:r>
    </w:p>
    <w:p w:rsidR="00BC1364" w:rsidRDefault="00C077B0" w:rsidP="00F715D1">
      <w:pPr>
        <w:spacing w:after="240"/>
        <w:rPr>
          <w:szCs w:val="24"/>
          <w:shd w:val="clear" w:color="auto" w:fill="FFFFFF"/>
        </w:rPr>
      </w:pPr>
      <w:r w:rsidRPr="00BA48B5">
        <w:rPr>
          <w:szCs w:val="24"/>
          <w:shd w:val="clear" w:color="auto" w:fill="FFFFFF"/>
        </w:rPr>
        <w:t>Diabetes mellitus is a group of metabolic disorders characterised by hyperglycaemia resulting from defects in insulin secretion, action or both</w:t>
      </w:r>
      <w:r>
        <w:rPr>
          <w:szCs w:val="24"/>
          <w:shd w:val="clear" w:color="auto" w:fill="FFFFFF"/>
        </w:rPr>
        <w:t xml:space="preserve">. </w:t>
      </w:r>
      <w:r w:rsidRPr="00BA48B5">
        <w:rPr>
          <w:szCs w:val="24"/>
          <w:shd w:val="clear" w:color="auto" w:fill="FFFFFF"/>
        </w:rPr>
        <w:t>Early detection and effective therapy providing good metabolic control, can delay the onset and progression of diabetes late complications, resulting in better outcomes for patients.</w:t>
      </w:r>
    </w:p>
    <w:p w:rsidR="00C077B0" w:rsidRDefault="00C077B0" w:rsidP="00F715D1">
      <w:pPr>
        <w:spacing w:after="240"/>
        <w:rPr>
          <w:szCs w:val="24"/>
        </w:rPr>
      </w:pPr>
      <w:r w:rsidRPr="00C077B0">
        <w:rPr>
          <w:szCs w:val="24"/>
        </w:rPr>
        <w:t xml:space="preserve">The proposed medical service </w:t>
      </w:r>
      <w:r w:rsidR="00AB0BBC">
        <w:rPr>
          <w:szCs w:val="24"/>
        </w:rPr>
        <w:t>wa</w:t>
      </w:r>
      <w:r w:rsidRPr="00C077B0">
        <w:rPr>
          <w:szCs w:val="24"/>
        </w:rPr>
        <w:t>s for the use of in vitro diagnostic test instrument that meets defined acceptable performance criteria comparable to laboratory based testing being performed at or near the site of patient care (e.g. within GP consulting rooms) for the quantification of HbA1c (glycated haemoglobin) in human whole blood.</w:t>
      </w:r>
    </w:p>
    <w:p w:rsidR="00F50DC7" w:rsidRPr="00BA48B5" w:rsidRDefault="00F50DC7" w:rsidP="00F50DC7">
      <w:r w:rsidRPr="00BA48B5">
        <w:t xml:space="preserve">There </w:t>
      </w:r>
      <w:r w:rsidR="00AB0BBC">
        <w:t>we</w:t>
      </w:r>
      <w:r w:rsidRPr="00BA48B5">
        <w:t>re two populations relevant to the MBS item</w:t>
      </w:r>
      <w:r>
        <w:t>s proposed for this application:</w:t>
      </w:r>
    </w:p>
    <w:p w:rsidR="00F50DC7" w:rsidRPr="00BA48B5" w:rsidRDefault="00F50DC7" w:rsidP="00F50DC7">
      <w:pPr>
        <w:pStyle w:val="ListParagraph"/>
        <w:numPr>
          <w:ilvl w:val="0"/>
          <w:numId w:val="30"/>
        </w:numPr>
        <w:ind w:left="714" w:hanging="357"/>
        <w:contextualSpacing w:val="0"/>
      </w:pPr>
      <w:r w:rsidRPr="00BA48B5">
        <w:t>Asymptomatic patients with a high risk o</w:t>
      </w:r>
      <w:r w:rsidR="00AB0BBC">
        <w:t>f developing diabetes mellitus.</w:t>
      </w:r>
    </w:p>
    <w:p w:rsidR="00F50DC7" w:rsidRPr="00BA48B5" w:rsidRDefault="00F50DC7" w:rsidP="00AB0BBC">
      <w:pPr>
        <w:pStyle w:val="ListParagraph"/>
        <w:numPr>
          <w:ilvl w:val="0"/>
          <w:numId w:val="30"/>
        </w:numPr>
        <w:spacing w:after="240"/>
        <w:ind w:left="714" w:hanging="357"/>
        <w:contextualSpacing w:val="0"/>
      </w:pPr>
      <w:r w:rsidRPr="00BA48B5">
        <w:t>Patients with established diabetes who require ongoing management (including monitoring of pregnant patients with existing diabetes).</w:t>
      </w:r>
    </w:p>
    <w:p w:rsidR="00F50DC7" w:rsidRPr="00BA48B5" w:rsidRDefault="00F50DC7" w:rsidP="00F50DC7">
      <w:r w:rsidRPr="00BA48B5">
        <w:t xml:space="preserve">The two proposed patient populations </w:t>
      </w:r>
      <w:r w:rsidR="00AB0BBC">
        <w:t>we</w:t>
      </w:r>
      <w:r w:rsidRPr="00BA48B5">
        <w:t>re the same as those currently funded for HbA1c testing for the diagnosis and management of diabetes (MBS items 66841, 66551 and 66554).</w:t>
      </w:r>
    </w:p>
    <w:p w:rsidR="005102C8" w:rsidRPr="0074173D" w:rsidRDefault="0074173D" w:rsidP="0074173D">
      <w:pPr>
        <w:spacing w:before="240"/>
      </w:pPr>
      <w:r w:rsidRPr="0093564B">
        <w:t>Practitioners would perform the proposed medical service under the same circumstances as they would order the existing HbA1c tests and hence the clinical management algorithm w</w:t>
      </w:r>
      <w:r w:rsidR="00AB0BBC">
        <w:t>ould</w:t>
      </w:r>
      <w:r w:rsidRPr="0093564B">
        <w:t xml:space="preserve"> remain the same as current practice.</w:t>
      </w:r>
    </w:p>
    <w:p w:rsidR="00BC1364" w:rsidRPr="00F715D1" w:rsidRDefault="00BC1364" w:rsidP="00F715D1">
      <w:pPr>
        <w:pStyle w:val="Heading1"/>
      </w:pPr>
      <w:r w:rsidRPr="00F715D1">
        <w:lastRenderedPageBreak/>
        <w:t>Comparato</w:t>
      </w:r>
      <w:r w:rsidR="00AB0BBC">
        <w:t>r</w:t>
      </w:r>
    </w:p>
    <w:p w:rsidR="00E5640E" w:rsidRDefault="00E5640E" w:rsidP="00E5640E">
      <w:pPr>
        <w:tabs>
          <w:tab w:val="num" w:pos="426"/>
        </w:tabs>
        <w:spacing w:after="240"/>
      </w:pPr>
      <w:r w:rsidRPr="00E5640E">
        <w:t xml:space="preserve">The </w:t>
      </w:r>
      <w:r>
        <w:t>nominated</w:t>
      </w:r>
      <w:r w:rsidRPr="00E5640E">
        <w:t xml:space="preserve"> com</w:t>
      </w:r>
      <w:r>
        <w:t xml:space="preserve">parator for HbA1c </w:t>
      </w:r>
      <w:proofErr w:type="spellStart"/>
      <w:r>
        <w:t>P</w:t>
      </w:r>
      <w:r w:rsidR="001B36AA">
        <w:t>o</w:t>
      </w:r>
      <w:r>
        <w:t>C</w:t>
      </w:r>
      <w:proofErr w:type="spellEnd"/>
      <w:r>
        <w:t xml:space="preserve"> testing was</w:t>
      </w:r>
      <w:r w:rsidRPr="00E5640E">
        <w:t xml:space="preserve"> HbA1c testing performed in </w:t>
      </w:r>
      <w:r w:rsidR="00A719CF" w:rsidRPr="00BA48B5">
        <w:t>an accredited laboratory with blood samples drawn at a pathology collection centre</w:t>
      </w:r>
      <w:r w:rsidRPr="00E5640E">
        <w:t xml:space="preserve"> (MBS</w:t>
      </w:r>
      <w:r w:rsidR="00AB0BBC">
        <w:t xml:space="preserve"> items 66841, 66551 and 66554).</w:t>
      </w:r>
    </w:p>
    <w:p w:rsidR="00E5640E" w:rsidRPr="00E5640E" w:rsidRDefault="00E5640E" w:rsidP="00E5640E">
      <w:pPr>
        <w:tabs>
          <w:tab w:val="num" w:pos="426"/>
        </w:tabs>
        <w:spacing w:after="240"/>
      </w:pPr>
      <w:r w:rsidRPr="00E5640E">
        <w:t xml:space="preserve">Currently, HbA1c tests are predominantly performed in accredited laboratories and patients </w:t>
      </w:r>
      <w:r>
        <w:t>attend</w:t>
      </w:r>
      <w:r w:rsidRPr="00E5640E">
        <w:t xml:space="preserve"> a pathology collection centre to have </w:t>
      </w:r>
      <w:r>
        <w:t>a blood sample</w:t>
      </w:r>
      <w:r w:rsidRPr="00E5640E">
        <w:t xml:space="preserve"> drawn and sent to a laboratory for measurement.</w:t>
      </w:r>
    </w:p>
    <w:p w:rsidR="00DB5833" w:rsidRPr="00E5640E" w:rsidRDefault="00E5640E" w:rsidP="00E5640E">
      <w:pPr>
        <w:tabs>
          <w:tab w:val="num" w:pos="426"/>
        </w:tabs>
        <w:spacing w:after="240"/>
        <w:rPr>
          <w:szCs w:val="24"/>
        </w:rPr>
      </w:pPr>
      <w:r w:rsidRPr="00E5640E">
        <w:t>The three new proposed MBS items w</w:t>
      </w:r>
      <w:r w:rsidR="00437F17">
        <w:t>ould</w:t>
      </w:r>
      <w:r w:rsidRPr="00E5640E">
        <w:t xml:space="preserve"> be similar to the currently listed diagnostic tests for HbA1c currently used to diagnose diabetes in asymptomatic patients at high risk (see MBS item 66841)</w:t>
      </w:r>
      <w:r w:rsidR="00437F17">
        <w:t>,</w:t>
      </w:r>
      <w:r w:rsidRPr="00E5640E">
        <w:t xml:space="preserve"> and to monitor the effectiveness of diabetes treatment and long term blood glucose in people with established diabetes (see MBS items 66551 and 66554 in pregnant patients).</w:t>
      </w:r>
    </w:p>
    <w:p w:rsidR="00BC1364" w:rsidRPr="00F715D1" w:rsidRDefault="00BC1364" w:rsidP="00F715D1">
      <w:pPr>
        <w:pStyle w:val="Heading1"/>
      </w:pPr>
      <w:r w:rsidRPr="00F715D1">
        <w:t>Comparative safety</w:t>
      </w:r>
    </w:p>
    <w:p w:rsidR="00723F29" w:rsidRDefault="00723F29" w:rsidP="00723F29">
      <w:pPr>
        <w:spacing w:before="240"/>
        <w:rPr>
          <w:szCs w:val="24"/>
        </w:rPr>
      </w:pPr>
      <w:r w:rsidRPr="00BA48B5">
        <w:rPr>
          <w:szCs w:val="24"/>
        </w:rPr>
        <w:t xml:space="preserve">Laboratory HbA1c testing was previously evaluated by the MSAC in 2014, at which time no serious safety concerns were identified </w:t>
      </w:r>
      <w:r w:rsidRPr="00BA48B5">
        <w:rPr>
          <w:szCs w:val="24"/>
        </w:rPr>
        <w:fldChar w:fldCharType="begin"/>
      </w:r>
      <w:r w:rsidRPr="00BA48B5">
        <w:rPr>
          <w:szCs w:val="24"/>
        </w:rPr>
        <w:instrText xml:space="preserve"> ADDIN EN.CITE &lt;EndNote&gt;&lt;Cite&gt;&lt;Author&gt;Parsons&lt;/Author&gt;&lt;Year&gt;2014&lt;/Year&gt;&lt;RecNum&gt;1320&lt;/RecNum&gt;&lt;DisplayText&gt;(Parsons et al 2014)&lt;/DisplayText&gt;&lt;record&gt;&lt;rec-number&gt;1320&lt;/rec-number&gt;&lt;foreign-keys&gt;&lt;key app="EN" db-id="r0efd92z4pwzt9e509w59aalxtzdr5sdvxwa" timestamp="1490848487"&gt;1320&lt;/key&gt;&lt;/foreign-keys&gt;&lt;ref-type name="Journal Article"&gt;17&lt;/ref-type&gt;&lt;contributors&gt;&lt;authors&gt;&lt;author&gt;Parsons, J&lt;/author&gt;&lt;author&gt;Vogan, A&lt;/author&gt;&lt;author&gt;Schubert, C&lt;/author&gt;&lt;author&gt;Merlin, T&lt;/author&gt;&lt;/authors&gt;&lt;/contributors&gt;&lt;titles&gt;&lt;title&gt;HbA1c testing in the diagnosis of diabetes mellitus. MSAC Application 1267, Assessment Report, Commonwealth of Australia, Canberra, ACT.&lt;/title&gt;&lt;/titles&gt;&lt;dates&gt;&lt;year&gt;2014&lt;/year&gt;&lt;/dates&gt;&lt;urls&gt;&lt;/urls&gt;&lt;/record&gt;&lt;/Cite&gt;&lt;/EndNote&gt;</w:instrText>
      </w:r>
      <w:r w:rsidRPr="00BA48B5">
        <w:rPr>
          <w:szCs w:val="24"/>
        </w:rPr>
        <w:fldChar w:fldCharType="separate"/>
      </w:r>
      <w:r w:rsidRPr="00BA48B5">
        <w:rPr>
          <w:noProof/>
          <w:szCs w:val="24"/>
        </w:rPr>
        <w:t>(Parsons et al 2014)</w:t>
      </w:r>
      <w:r w:rsidRPr="00BA48B5">
        <w:rPr>
          <w:szCs w:val="24"/>
        </w:rPr>
        <w:fldChar w:fldCharType="end"/>
      </w:r>
      <w:r w:rsidRPr="00BA48B5">
        <w:rPr>
          <w:szCs w:val="24"/>
        </w:rPr>
        <w:t xml:space="preserve">. Point-of-care tests are comparatively safer in terms of risk of infection, as most can be conducted with a finger prick rather than venous puncture. No studies were identified that directly compared the safety of </w:t>
      </w:r>
      <w:proofErr w:type="spellStart"/>
      <w:r w:rsidRPr="00BA48B5">
        <w:rPr>
          <w:szCs w:val="24"/>
        </w:rPr>
        <w:t>PoC</w:t>
      </w:r>
      <w:proofErr w:type="spellEnd"/>
      <w:r w:rsidRPr="00BA48B5">
        <w:rPr>
          <w:szCs w:val="24"/>
        </w:rPr>
        <w:t xml:space="preserve"> and la</w:t>
      </w:r>
      <w:r w:rsidR="00437F17">
        <w:rPr>
          <w:szCs w:val="24"/>
        </w:rPr>
        <w:t>boratory HbA1c tests.</w:t>
      </w:r>
    </w:p>
    <w:p w:rsidR="00DB5833" w:rsidRPr="00723F29" w:rsidRDefault="00723F29" w:rsidP="00723F29">
      <w:pPr>
        <w:spacing w:before="240"/>
        <w:rPr>
          <w:szCs w:val="24"/>
        </w:rPr>
      </w:pPr>
      <w:r w:rsidRPr="00BA48B5">
        <w:t xml:space="preserve">HbA1c </w:t>
      </w:r>
      <w:proofErr w:type="spellStart"/>
      <w:r w:rsidR="000F74D2">
        <w:t>P</w:t>
      </w:r>
      <w:r w:rsidR="001B36AA">
        <w:t>o</w:t>
      </w:r>
      <w:r w:rsidR="000F74D2">
        <w:t>C</w:t>
      </w:r>
      <w:proofErr w:type="spellEnd"/>
      <w:r w:rsidR="000F74D2">
        <w:t xml:space="preserve"> testing</w:t>
      </w:r>
      <w:r w:rsidRPr="00BA48B5">
        <w:t xml:space="preserve"> is a simple procedure that has limited safety concerns. HbA1c </w:t>
      </w:r>
      <w:proofErr w:type="spellStart"/>
      <w:r w:rsidR="000F74D2">
        <w:t>P</w:t>
      </w:r>
      <w:r w:rsidR="001B36AA">
        <w:t>o</w:t>
      </w:r>
      <w:r w:rsidR="000F74D2">
        <w:t>C</w:t>
      </w:r>
      <w:proofErr w:type="spellEnd"/>
      <w:r w:rsidR="000F74D2">
        <w:t xml:space="preserve"> testing</w:t>
      </w:r>
      <w:r>
        <w:t xml:space="preserve"> </w:t>
      </w:r>
      <w:r w:rsidRPr="00BA48B5">
        <w:t>is non-inferior for safety when compared with pathology laboratory testing.</w:t>
      </w:r>
    </w:p>
    <w:p w:rsidR="00BC1364" w:rsidRPr="00F715D1" w:rsidRDefault="00BC1364" w:rsidP="00F715D1">
      <w:pPr>
        <w:pStyle w:val="Heading1"/>
      </w:pPr>
      <w:r w:rsidRPr="00F715D1">
        <w:t>Comparative effectiveness</w:t>
      </w:r>
    </w:p>
    <w:p w:rsidR="00723F29" w:rsidRPr="00723F29" w:rsidRDefault="00723F29" w:rsidP="00723F29">
      <w:pPr>
        <w:tabs>
          <w:tab w:val="left" w:pos="720"/>
          <w:tab w:val="left" w:pos="1140"/>
        </w:tabs>
        <w:spacing w:after="240"/>
        <w:rPr>
          <w:szCs w:val="24"/>
        </w:rPr>
      </w:pPr>
      <w:r w:rsidRPr="00723F29">
        <w:rPr>
          <w:szCs w:val="24"/>
        </w:rPr>
        <w:t xml:space="preserve">The </w:t>
      </w:r>
      <w:r w:rsidR="00A312F5">
        <w:rPr>
          <w:szCs w:val="24"/>
        </w:rPr>
        <w:t xml:space="preserve">application stated that the </w:t>
      </w:r>
      <w:r w:rsidRPr="00723F29">
        <w:rPr>
          <w:szCs w:val="24"/>
        </w:rPr>
        <w:t xml:space="preserve">effectiveness of HbA1c </w:t>
      </w:r>
      <w:proofErr w:type="spellStart"/>
      <w:r w:rsidR="000F74D2">
        <w:rPr>
          <w:szCs w:val="24"/>
        </w:rPr>
        <w:t>P</w:t>
      </w:r>
      <w:r w:rsidR="001B36AA">
        <w:rPr>
          <w:szCs w:val="24"/>
        </w:rPr>
        <w:t>o</w:t>
      </w:r>
      <w:r w:rsidR="000F74D2">
        <w:rPr>
          <w:szCs w:val="24"/>
        </w:rPr>
        <w:t>C</w:t>
      </w:r>
      <w:proofErr w:type="spellEnd"/>
      <w:r w:rsidR="000F74D2">
        <w:rPr>
          <w:szCs w:val="24"/>
        </w:rPr>
        <w:t xml:space="preserve"> testing</w:t>
      </w:r>
      <w:r w:rsidRPr="00723F29">
        <w:rPr>
          <w:szCs w:val="24"/>
        </w:rPr>
        <w:t xml:space="preserve"> has been demonstrated in several publications. Specifically the most applicable trial in terms of </w:t>
      </w:r>
      <w:r w:rsidR="00437F17">
        <w:rPr>
          <w:szCs w:val="24"/>
        </w:rPr>
        <w:t xml:space="preserve">the managed diabetes </w:t>
      </w:r>
      <w:r w:rsidRPr="00723F29">
        <w:rPr>
          <w:szCs w:val="24"/>
        </w:rPr>
        <w:t xml:space="preserve">patient population was an Australian </w:t>
      </w:r>
      <w:r w:rsidR="00437F17">
        <w:rPr>
          <w:szCs w:val="24"/>
        </w:rPr>
        <w:t xml:space="preserve">cluster randomised </w:t>
      </w:r>
      <w:r w:rsidRPr="00723F29">
        <w:rPr>
          <w:szCs w:val="24"/>
        </w:rPr>
        <w:t xml:space="preserve">trial of </w:t>
      </w:r>
      <w:proofErr w:type="spellStart"/>
      <w:r w:rsidR="000F74D2">
        <w:rPr>
          <w:szCs w:val="24"/>
        </w:rPr>
        <w:t>P</w:t>
      </w:r>
      <w:r w:rsidR="001B36AA">
        <w:rPr>
          <w:szCs w:val="24"/>
        </w:rPr>
        <w:t>o</w:t>
      </w:r>
      <w:r w:rsidR="000F74D2">
        <w:rPr>
          <w:szCs w:val="24"/>
        </w:rPr>
        <w:t>C</w:t>
      </w:r>
      <w:proofErr w:type="spellEnd"/>
      <w:r w:rsidR="000F74D2">
        <w:rPr>
          <w:szCs w:val="24"/>
        </w:rPr>
        <w:t xml:space="preserve"> testing </w:t>
      </w:r>
      <w:r w:rsidRPr="00723F29">
        <w:rPr>
          <w:szCs w:val="24"/>
        </w:rPr>
        <w:t>in rural, rem</w:t>
      </w:r>
      <w:r w:rsidR="00A87499">
        <w:rPr>
          <w:szCs w:val="24"/>
        </w:rPr>
        <w:t>ote and urban populations</w:t>
      </w:r>
      <w:r w:rsidR="00437F17">
        <w:rPr>
          <w:szCs w:val="24"/>
        </w:rPr>
        <w:t xml:space="preserve"> </w:t>
      </w:r>
      <w:r w:rsidR="00437F17" w:rsidRPr="00723F29">
        <w:rPr>
          <w:szCs w:val="24"/>
        </w:rPr>
        <w:t>reported by Laurence et al (2009)</w:t>
      </w:r>
      <w:r w:rsidR="00437F17">
        <w:rPr>
          <w:szCs w:val="24"/>
        </w:rPr>
        <w:t>.</w:t>
      </w:r>
    </w:p>
    <w:p w:rsidR="00723F29" w:rsidRPr="00723F29" w:rsidRDefault="00723F29" w:rsidP="00723F29">
      <w:pPr>
        <w:tabs>
          <w:tab w:val="left" w:pos="720"/>
          <w:tab w:val="left" w:pos="1140"/>
        </w:tabs>
        <w:spacing w:after="240"/>
        <w:rPr>
          <w:szCs w:val="24"/>
        </w:rPr>
      </w:pPr>
      <w:r w:rsidRPr="00723F29">
        <w:rPr>
          <w:szCs w:val="24"/>
        </w:rPr>
        <w:t>All patients enrolled in the trial were &gt;18 years of age with most patients using dietary control, insulin and prescription tablets to control their diabetes. Over 34% of patients had been d</w:t>
      </w:r>
      <w:r w:rsidR="00A87499">
        <w:rPr>
          <w:szCs w:val="24"/>
        </w:rPr>
        <w:t>iagnosed with diabetes between one and five</w:t>
      </w:r>
      <w:r w:rsidRPr="00723F29">
        <w:rPr>
          <w:szCs w:val="24"/>
        </w:rPr>
        <w:t xml:space="preserve"> years. The trial found no difference in results between those in</w:t>
      </w:r>
      <w:r w:rsidR="00437F17">
        <w:rPr>
          <w:szCs w:val="24"/>
        </w:rPr>
        <w:t xml:space="preserve"> rural, remote or urban areas.</w:t>
      </w:r>
    </w:p>
    <w:p w:rsidR="00BC1364" w:rsidRDefault="00723F29" w:rsidP="00723F29">
      <w:pPr>
        <w:tabs>
          <w:tab w:val="left" w:pos="720"/>
          <w:tab w:val="left" w:pos="1140"/>
        </w:tabs>
        <w:spacing w:after="240"/>
        <w:rPr>
          <w:szCs w:val="24"/>
        </w:rPr>
      </w:pPr>
      <w:r w:rsidRPr="00723F29">
        <w:rPr>
          <w:szCs w:val="24"/>
        </w:rPr>
        <w:t xml:space="preserve">The key result of this trial found that patients who received the </w:t>
      </w:r>
      <w:r w:rsidR="0067110D">
        <w:rPr>
          <w:szCs w:val="24"/>
        </w:rPr>
        <w:t xml:space="preserve">HbA1c </w:t>
      </w:r>
      <w:proofErr w:type="spellStart"/>
      <w:r w:rsidR="000F74D2">
        <w:rPr>
          <w:szCs w:val="24"/>
        </w:rPr>
        <w:t>P</w:t>
      </w:r>
      <w:r w:rsidR="001B36AA">
        <w:rPr>
          <w:szCs w:val="24"/>
        </w:rPr>
        <w:t>o</w:t>
      </w:r>
      <w:r w:rsidR="000F74D2">
        <w:rPr>
          <w:szCs w:val="24"/>
        </w:rPr>
        <w:t>C</w:t>
      </w:r>
      <w:proofErr w:type="spellEnd"/>
      <w:r w:rsidR="000F74D2">
        <w:rPr>
          <w:szCs w:val="24"/>
        </w:rPr>
        <w:t xml:space="preserve"> test</w:t>
      </w:r>
      <w:r w:rsidRPr="00723F29">
        <w:rPr>
          <w:szCs w:val="24"/>
        </w:rPr>
        <w:t xml:space="preserve"> were more likely to have controlled diabetes compared with the pathology laboratory test over the 18</w:t>
      </w:r>
      <w:r w:rsidR="006E5B85">
        <w:rPr>
          <w:szCs w:val="24"/>
        </w:rPr>
        <w:t> </w:t>
      </w:r>
      <w:r w:rsidRPr="00723F29">
        <w:rPr>
          <w:szCs w:val="24"/>
        </w:rPr>
        <w:t xml:space="preserve">month trial period (65.5% vs 56.2%, [p&lt;0.001]). Patients who received the </w:t>
      </w:r>
      <w:r w:rsidR="0067110D">
        <w:rPr>
          <w:szCs w:val="24"/>
        </w:rPr>
        <w:t xml:space="preserve">HbA1c </w:t>
      </w:r>
      <w:proofErr w:type="spellStart"/>
      <w:r w:rsidR="000F74D2">
        <w:rPr>
          <w:szCs w:val="24"/>
        </w:rPr>
        <w:t>P</w:t>
      </w:r>
      <w:r w:rsidR="001B36AA">
        <w:rPr>
          <w:szCs w:val="24"/>
        </w:rPr>
        <w:t>o</w:t>
      </w:r>
      <w:r w:rsidR="000F74D2">
        <w:rPr>
          <w:szCs w:val="24"/>
        </w:rPr>
        <w:t>C</w:t>
      </w:r>
      <w:proofErr w:type="spellEnd"/>
      <w:r w:rsidR="000F74D2">
        <w:rPr>
          <w:szCs w:val="24"/>
        </w:rPr>
        <w:t xml:space="preserve"> test</w:t>
      </w:r>
      <w:r w:rsidRPr="00723F29">
        <w:rPr>
          <w:szCs w:val="24"/>
        </w:rPr>
        <w:t xml:space="preserve"> had lower hospital costs.</w:t>
      </w:r>
    </w:p>
    <w:p w:rsidR="00723F29" w:rsidRPr="00723F29" w:rsidRDefault="00A312F5" w:rsidP="00723F29">
      <w:pPr>
        <w:tabs>
          <w:tab w:val="left" w:pos="720"/>
          <w:tab w:val="left" w:pos="1140"/>
        </w:tabs>
        <w:spacing w:after="240"/>
        <w:rPr>
          <w:szCs w:val="24"/>
        </w:rPr>
      </w:pPr>
      <w:r>
        <w:rPr>
          <w:szCs w:val="24"/>
        </w:rPr>
        <w:t>The critique noted that e</w:t>
      </w:r>
      <w:r w:rsidR="00723F29" w:rsidRPr="00723F29">
        <w:rPr>
          <w:szCs w:val="24"/>
        </w:rPr>
        <w:t xml:space="preserve">vidence of the effectiveness of HBA1c </w:t>
      </w:r>
      <w:proofErr w:type="spellStart"/>
      <w:r w:rsidR="001B36AA">
        <w:rPr>
          <w:szCs w:val="24"/>
        </w:rPr>
        <w:t>PoC</w:t>
      </w:r>
      <w:proofErr w:type="spellEnd"/>
      <w:r w:rsidR="001B36AA">
        <w:rPr>
          <w:szCs w:val="24"/>
        </w:rPr>
        <w:t xml:space="preserve"> </w:t>
      </w:r>
      <w:r w:rsidR="00723F29" w:rsidRPr="00723F29">
        <w:rPr>
          <w:szCs w:val="24"/>
        </w:rPr>
        <w:t>testing, related to the proportion of patients achieving good glycaemic control, was presented from two randomised controlled trials (RCT) (</w:t>
      </w:r>
      <w:proofErr w:type="spellStart"/>
      <w:r w:rsidR="00723F29" w:rsidRPr="00723F29">
        <w:rPr>
          <w:szCs w:val="24"/>
        </w:rPr>
        <w:t>Khunti</w:t>
      </w:r>
      <w:proofErr w:type="spellEnd"/>
      <w:r w:rsidR="00723F29" w:rsidRPr="00723F29">
        <w:rPr>
          <w:szCs w:val="24"/>
        </w:rPr>
        <w:t xml:space="preserve"> et al 2006; Laurence et al 2009). The </w:t>
      </w:r>
      <w:proofErr w:type="spellStart"/>
      <w:r w:rsidR="00723F29" w:rsidRPr="00723F29">
        <w:rPr>
          <w:szCs w:val="24"/>
        </w:rPr>
        <w:t>Khunti</w:t>
      </w:r>
      <w:proofErr w:type="spellEnd"/>
      <w:r w:rsidR="00723F29" w:rsidRPr="00723F29">
        <w:rPr>
          <w:szCs w:val="24"/>
        </w:rPr>
        <w:t xml:space="preserve"> et al (2006) trial had significant applicability issues to the Australian context. As a result, the pivotal clinical trial reported by Laurence et al (2009) formed the basis of t</w:t>
      </w:r>
      <w:r w:rsidR="00723F29">
        <w:rPr>
          <w:szCs w:val="24"/>
        </w:rPr>
        <w:t xml:space="preserve">he evidence for effectiveness. </w:t>
      </w:r>
    </w:p>
    <w:p w:rsidR="00723F29" w:rsidRPr="00723F29" w:rsidRDefault="00723F29" w:rsidP="00723F29">
      <w:pPr>
        <w:tabs>
          <w:tab w:val="left" w:pos="720"/>
          <w:tab w:val="left" w:pos="1140"/>
        </w:tabs>
        <w:rPr>
          <w:szCs w:val="24"/>
        </w:rPr>
      </w:pPr>
      <w:r w:rsidRPr="00723F29">
        <w:rPr>
          <w:szCs w:val="24"/>
        </w:rPr>
        <w:t xml:space="preserve">The trial met the criteria to demonstrate the non-inferiority of </w:t>
      </w:r>
      <w:r w:rsidR="0067110D">
        <w:rPr>
          <w:szCs w:val="24"/>
        </w:rPr>
        <w:t xml:space="preserve">HbA1c </w:t>
      </w:r>
      <w:proofErr w:type="spellStart"/>
      <w:r w:rsidR="000F74D2">
        <w:rPr>
          <w:szCs w:val="24"/>
        </w:rPr>
        <w:t>P</w:t>
      </w:r>
      <w:r w:rsidR="001B36AA">
        <w:rPr>
          <w:szCs w:val="24"/>
        </w:rPr>
        <w:t>o</w:t>
      </w:r>
      <w:r w:rsidR="000F74D2">
        <w:rPr>
          <w:szCs w:val="24"/>
        </w:rPr>
        <w:t>C</w:t>
      </w:r>
      <w:proofErr w:type="spellEnd"/>
      <w:r w:rsidR="000F74D2">
        <w:rPr>
          <w:szCs w:val="24"/>
        </w:rPr>
        <w:t xml:space="preserve"> testing</w:t>
      </w:r>
      <w:r w:rsidRPr="00723F29">
        <w:rPr>
          <w:szCs w:val="24"/>
        </w:rPr>
        <w:t xml:space="preserve"> on glycaemic control compared to laboratory testing (relative difference = 9.36% [90% CI 4.04, 14.69] of patients achieved good glycaemic control), albeit this was calculated with 90% </w:t>
      </w:r>
      <w:r w:rsidRPr="00723F29">
        <w:rPr>
          <w:szCs w:val="24"/>
        </w:rPr>
        <w:lastRenderedPageBreak/>
        <w:t>confidence; however, there are important applicability and interna</w:t>
      </w:r>
      <w:r>
        <w:rPr>
          <w:szCs w:val="24"/>
        </w:rPr>
        <w:t>l validity concerns, regarding:</w:t>
      </w:r>
    </w:p>
    <w:p w:rsidR="00723F29" w:rsidRPr="00723F29" w:rsidRDefault="00723F29" w:rsidP="00723F29">
      <w:pPr>
        <w:pStyle w:val="ListParagraph"/>
        <w:numPr>
          <w:ilvl w:val="0"/>
          <w:numId w:val="33"/>
        </w:numPr>
        <w:tabs>
          <w:tab w:val="left" w:pos="720"/>
          <w:tab w:val="left" w:pos="1140"/>
        </w:tabs>
        <w:spacing w:after="240"/>
        <w:rPr>
          <w:szCs w:val="24"/>
        </w:rPr>
      </w:pPr>
      <w:r w:rsidRPr="00723F29">
        <w:rPr>
          <w:szCs w:val="24"/>
        </w:rPr>
        <w:t xml:space="preserve">dropouts in the </w:t>
      </w:r>
      <w:proofErr w:type="spellStart"/>
      <w:r w:rsidRPr="00723F29">
        <w:rPr>
          <w:szCs w:val="24"/>
        </w:rPr>
        <w:t>PoC</w:t>
      </w:r>
      <w:proofErr w:type="spellEnd"/>
      <w:r w:rsidRPr="00723F29">
        <w:rPr>
          <w:szCs w:val="24"/>
        </w:rPr>
        <w:t xml:space="preserve"> arm, </w:t>
      </w:r>
    </w:p>
    <w:p w:rsidR="00723F29" w:rsidRPr="00723F29" w:rsidRDefault="00723F29" w:rsidP="00A87499">
      <w:pPr>
        <w:pStyle w:val="ListParagraph"/>
        <w:numPr>
          <w:ilvl w:val="0"/>
          <w:numId w:val="33"/>
        </w:numPr>
        <w:tabs>
          <w:tab w:val="left" w:pos="709"/>
        </w:tabs>
        <w:spacing w:after="240"/>
        <w:ind w:left="709" w:hanging="349"/>
        <w:rPr>
          <w:szCs w:val="24"/>
        </w:rPr>
      </w:pPr>
      <w:r w:rsidRPr="00723F29">
        <w:rPr>
          <w:szCs w:val="24"/>
        </w:rPr>
        <w:t xml:space="preserve">a suite of </w:t>
      </w:r>
      <w:proofErr w:type="spellStart"/>
      <w:r w:rsidR="000F74D2">
        <w:rPr>
          <w:szCs w:val="24"/>
        </w:rPr>
        <w:t>P</w:t>
      </w:r>
      <w:r w:rsidR="001B36AA">
        <w:rPr>
          <w:szCs w:val="24"/>
        </w:rPr>
        <w:t>o</w:t>
      </w:r>
      <w:r w:rsidR="000F74D2">
        <w:rPr>
          <w:szCs w:val="24"/>
        </w:rPr>
        <w:t>C</w:t>
      </w:r>
      <w:proofErr w:type="spellEnd"/>
      <w:r w:rsidR="000F74D2">
        <w:rPr>
          <w:szCs w:val="24"/>
        </w:rPr>
        <w:t xml:space="preserve"> tests</w:t>
      </w:r>
      <w:r w:rsidRPr="00723F29">
        <w:rPr>
          <w:szCs w:val="24"/>
        </w:rPr>
        <w:t xml:space="preserve"> were used that does not reflect the proposed management algorithms, and </w:t>
      </w:r>
    </w:p>
    <w:p w:rsidR="00723F29" w:rsidRPr="00723F29" w:rsidRDefault="00723F29" w:rsidP="00A87499">
      <w:pPr>
        <w:pStyle w:val="ListParagraph"/>
        <w:numPr>
          <w:ilvl w:val="0"/>
          <w:numId w:val="33"/>
        </w:numPr>
        <w:tabs>
          <w:tab w:val="left" w:pos="709"/>
        </w:tabs>
        <w:spacing w:after="240"/>
        <w:ind w:left="709" w:hanging="349"/>
        <w:rPr>
          <w:szCs w:val="24"/>
        </w:rPr>
      </w:pPr>
      <w:proofErr w:type="gramStart"/>
      <w:r w:rsidRPr="00723F29">
        <w:rPr>
          <w:szCs w:val="24"/>
        </w:rPr>
        <w:t>exclusion</w:t>
      </w:r>
      <w:proofErr w:type="gramEnd"/>
      <w:r w:rsidRPr="00723F29">
        <w:rPr>
          <w:szCs w:val="24"/>
        </w:rPr>
        <w:t xml:space="preserve"> of populations of interest (e.g. culturally and linguistically diverse background, difficulty complying with testing requirements).</w:t>
      </w:r>
    </w:p>
    <w:p w:rsidR="00912097" w:rsidRPr="00912097" w:rsidRDefault="00912097" w:rsidP="006E73D1">
      <w:pPr>
        <w:pStyle w:val="Heading2"/>
        <w:keepLines w:val="0"/>
        <w:spacing w:before="0" w:line="312" w:lineRule="auto"/>
        <w:jc w:val="both"/>
        <w:rPr>
          <w:rFonts w:ascii="Times New Roman" w:eastAsia="Times New Roman" w:hAnsi="Times New Roman" w:cs="Times New Roman"/>
          <w:bCs w:val="0"/>
          <w:color w:val="auto"/>
          <w:sz w:val="24"/>
          <w:szCs w:val="24"/>
        </w:rPr>
      </w:pPr>
      <w:bookmarkStart w:id="14" w:name="_Toc480466728"/>
      <w:bookmarkStart w:id="15" w:name="_Toc481055123"/>
      <w:bookmarkStart w:id="16" w:name="_Toc481587271"/>
      <w:bookmarkStart w:id="17" w:name="_Toc481589862"/>
      <w:bookmarkStart w:id="18" w:name="_Toc481668564"/>
      <w:r w:rsidRPr="00912097">
        <w:rPr>
          <w:rFonts w:ascii="Times New Roman" w:eastAsia="Times New Roman" w:hAnsi="Times New Roman" w:cs="Times New Roman"/>
          <w:bCs w:val="0"/>
          <w:color w:val="auto"/>
          <w:sz w:val="24"/>
          <w:szCs w:val="24"/>
        </w:rPr>
        <w:t>Diagnostic accuracy and mean bias</w:t>
      </w:r>
      <w:bookmarkEnd w:id="14"/>
      <w:bookmarkEnd w:id="15"/>
      <w:bookmarkEnd w:id="16"/>
      <w:bookmarkEnd w:id="17"/>
      <w:bookmarkEnd w:id="18"/>
    </w:p>
    <w:p w:rsidR="00461B0E" w:rsidRDefault="00461B0E" w:rsidP="006E73D1">
      <w:pPr>
        <w:pStyle w:val="Comment"/>
        <w:spacing w:after="0" w:line="240" w:lineRule="auto"/>
        <w:rPr>
          <w:rFonts w:ascii="Times New Roman" w:hAnsi="Times New Roman" w:cs="Times New Roman"/>
          <w:i w:val="0"/>
          <w:color w:val="auto"/>
          <w:sz w:val="24"/>
          <w:szCs w:val="24"/>
        </w:rPr>
      </w:pPr>
      <w:r w:rsidRPr="00461B0E">
        <w:rPr>
          <w:rFonts w:ascii="Times New Roman" w:hAnsi="Times New Roman" w:cs="Times New Roman"/>
          <w:i w:val="0"/>
          <w:color w:val="auto"/>
          <w:sz w:val="24"/>
          <w:szCs w:val="24"/>
        </w:rPr>
        <w:t xml:space="preserve">The application included two studies that reported the mean absolute difference between </w:t>
      </w:r>
      <w:proofErr w:type="spellStart"/>
      <w:r w:rsidRPr="00461B0E">
        <w:rPr>
          <w:rFonts w:ascii="Times New Roman" w:hAnsi="Times New Roman" w:cs="Times New Roman"/>
          <w:i w:val="0"/>
          <w:color w:val="auto"/>
          <w:sz w:val="24"/>
          <w:szCs w:val="24"/>
        </w:rPr>
        <w:t>PoC</w:t>
      </w:r>
      <w:proofErr w:type="spellEnd"/>
      <w:r w:rsidRPr="00461B0E">
        <w:rPr>
          <w:rFonts w:ascii="Times New Roman" w:hAnsi="Times New Roman" w:cs="Times New Roman"/>
          <w:i w:val="0"/>
          <w:color w:val="auto"/>
          <w:sz w:val="24"/>
          <w:szCs w:val="24"/>
        </w:rPr>
        <w:t xml:space="preserve"> and laboratory testing </w:t>
      </w:r>
      <w:r w:rsidRPr="00461B0E">
        <w:rPr>
          <w:rFonts w:ascii="Times New Roman" w:hAnsi="Times New Roman" w:cs="Times New Roman"/>
          <w:i w:val="0"/>
          <w:color w:val="auto"/>
          <w:sz w:val="24"/>
          <w:szCs w:val="24"/>
        </w:rPr>
        <w:fldChar w:fldCharType="begin">
          <w:fldData xml:space="preserve">PEVuZE5vdGU+PENpdGU+PEF1dGhvcj5MYXVyZW5jZTwvQXV0aG9yPjxZZWFyPjIwMDk8L1llYXI+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=
</w:fldData>
        </w:fldChar>
      </w:r>
      <w:r w:rsidRPr="00461B0E">
        <w:rPr>
          <w:rFonts w:ascii="Times New Roman" w:hAnsi="Times New Roman" w:cs="Times New Roman"/>
          <w:i w:val="0"/>
          <w:color w:val="auto"/>
          <w:sz w:val="24"/>
          <w:szCs w:val="24"/>
        </w:rPr>
        <w:instrText xml:space="preserve"> ADDIN EN.CITE </w:instrText>
      </w:r>
      <w:r w:rsidRPr="00461B0E">
        <w:rPr>
          <w:rFonts w:ascii="Times New Roman" w:hAnsi="Times New Roman" w:cs="Times New Roman"/>
          <w:i w:val="0"/>
          <w:color w:val="auto"/>
          <w:sz w:val="24"/>
          <w:szCs w:val="24"/>
        </w:rPr>
        <w:fldChar w:fldCharType="begin">
          <w:fldData xml:space="preserve">PEVuZE5vdGU+PENpdGU+PEF1dGhvcj5MYXVyZW5jZTwvQXV0aG9yPjxZZWFyPjIwMDk8L1llYXI+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=
</w:fldData>
        </w:fldChar>
      </w:r>
      <w:r w:rsidRPr="00461B0E">
        <w:rPr>
          <w:rFonts w:ascii="Times New Roman" w:hAnsi="Times New Roman" w:cs="Times New Roman"/>
          <w:i w:val="0"/>
          <w:color w:val="auto"/>
          <w:sz w:val="24"/>
          <w:szCs w:val="24"/>
        </w:rPr>
        <w:instrText xml:space="preserve"> ADDIN EN.CITE.DATA </w:instrText>
      </w:r>
      <w:r w:rsidRPr="00461B0E">
        <w:rPr>
          <w:rFonts w:ascii="Times New Roman" w:hAnsi="Times New Roman" w:cs="Times New Roman"/>
          <w:i w:val="0"/>
          <w:color w:val="auto"/>
          <w:sz w:val="24"/>
          <w:szCs w:val="24"/>
        </w:rPr>
      </w:r>
      <w:r w:rsidRPr="00461B0E">
        <w:rPr>
          <w:rFonts w:ascii="Times New Roman" w:hAnsi="Times New Roman" w:cs="Times New Roman"/>
          <w:i w:val="0"/>
          <w:color w:val="auto"/>
          <w:sz w:val="24"/>
          <w:szCs w:val="24"/>
        </w:rPr>
        <w:fldChar w:fldCharType="end"/>
      </w:r>
      <w:r w:rsidRPr="00461B0E">
        <w:rPr>
          <w:rFonts w:ascii="Times New Roman" w:hAnsi="Times New Roman" w:cs="Times New Roman"/>
          <w:i w:val="0"/>
          <w:color w:val="auto"/>
          <w:sz w:val="24"/>
          <w:szCs w:val="24"/>
        </w:rPr>
      </w:r>
      <w:r w:rsidRPr="00461B0E">
        <w:rPr>
          <w:rFonts w:ascii="Times New Roman" w:hAnsi="Times New Roman" w:cs="Times New Roman"/>
          <w:i w:val="0"/>
          <w:color w:val="auto"/>
          <w:sz w:val="24"/>
          <w:szCs w:val="24"/>
        </w:rPr>
        <w:fldChar w:fldCharType="separate"/>
      </w:r>
      <w:r w:rsidRPr="00461B0E">
        <w:rPr>
          <w:rFonts w:ascii="Times New Roman" w:hAnsi="Times New Roman" w:cs="Times New Roman"/>
          <w:i w:val="0"/>
          <w:color w:val="auto"/>
          <w:sz w:val="24"/>
          <w:szCs w:val="24"/>
        </w:rPr>
        <w:t>(Hirst et al 2017; Laurence et al 2009)</w:t>
      </w:r>
      <w:r w:rsidRPr="00461B0E">
        <w:rPr>
          <w:rFonts w:ascii="Times New Roman" w:hAnsi="Times New Roman" w:cs="Times New Roman"/>
          <w:i w:val="0"/>
          <w:color w:val="auto"/>
          <w:sz w:val="24"/>
          <w:szCs w:val="24"/>
        </w:rPr>
        <w:fldChar w:fldCharType="end"/>
      </w:r>
      <w:r w:rsidRPr="00461B0E">
        <w:rPr>
          <w:rFonts w:ascii="Times New Roman" w:hAnsi="Times New Roman" w:cs="Times New Roman"/>
          <w:i w:val="0"/>
          <w:color w:val="auto"/>
          <w:sz w:val="24"/>
          <w:szCs w:val="24"/>
        </w:rPr>
        <w:t xml:space="preserve">. </w:t>
      </w:r>
    </w:p>
    <w:p w:rsidR="00461B0E" w:rsidRPr="00461B0E" w:rsidRDefault="00461B0E" w:rsidP="00461B0E">
      <w:pPr>
        <w:pStyle w:val="Comment"/>
        <w:spacing w:before="240" w:line="240" w:lineRule="auto"/>
        <w:rPr>
          <w:rFonts w:ascii="Times New Roman" w:hAnsi="Times New Roman" w:cs="Times New Roman"/>
          <w:color w:val="auto"/>
          <w:sz w:val="24"/>
          <w:szCs w:val="24"/>
        </w:rPr>
      </w:pPr>
      <w:r w:rsidRPr="00461B0E">
        <w:rPr>
          <w:rFonts w:ascii="Times New Roman" w:hAnsi="Times New Roman" w:cs="Times New Roman"/>
          <w:i w:val="0"/>
          <w:color w:val="auto"/>
          <w:sz w:val="24"/>
          <w:szCs w:val="24"/>
        </w:rPr>
        <w:t xml:space="preserve">As stated in the </w:t>
      </w:r>
      <w:r>
        <w:rPr>
          <w:rFonts w:ascii="Times New Roman" w:hAnsi="Times New Roman" w:cs="Times New Roman"/>
          <w:i w:val="0"/>
          <w:color w:val="auto"/>
          <w:sz w:val="24"/>
          <w:szCs w:val="24"/>
        </w:rPr>
        <w:t>application</w:t>
      </w:r>
      <w:r w:rsidRPr="00461B0E">
        <w:rPr>
          <w:rFonts w:ascii="Times New Roman" w:hAnsi="Times New Roman" w:cs="Times New Roman"/>
          <w:i w:val="0"/>
          <w:color w:val="auto"/>
          <w:sz w:val="24"/>
          <w:szCs w:val="24"/>
        </w:rPr>
        <w:t>, and indicated by the data presented</w:t>
      </w:r>
      <w:r w:rsidR="008F1BC7">
        <w:rPr>
          <w:rFonts w:ascii="Times New Roman" w:hAnsi="Times New Roman" w:cs="Times New Roman"/>
          <w:i w:val="0"/>
          <w:color w:val="auto"/>
          <w:sz w:val="24"/>
          <w:szCs w:val="24"/>
        </w:rPr>
        <w:t xml:space="preserve"> in Figure 1</w:t>
      </w:r>
      <w:r w:rsidRPr="00461B0E">
        <w:rPr>
          <w:rFonts w:ascii="Times New Roman" w:hAnsi="Times New Roman" w:cs="Times New Roman"/>
          <w:i w:val="0"/>
          <w:color w:val="auto"/>
          <w:sz w:val="24"/>
          <w:szCs w:val="24"/>
        </w:rPr>
        <w:t xml:space="preserve">, the assessment of limits of agreement suggest that the 95% of DCA 2000 </w:t>
      </w:r>
      <w:proofErr w:type="spellStart"/>
      <w:r w:rsidRPr="00461B0E">
        <w:rPr>
          <w:rFonts w:ascii="Times New Roman" w:hAnsi="Times New Roman" w:cs="Times New Roman"/>
          <w:i w:val="0"/>
          <w:color w:val="auto"/>
          <w:sz w:val="24"/>
          <w:szCs w:val="24"/>
        </w:rPr>
        <w:t>PoC</w:t>
      </w:r>
      <w:proofErr w:type="spellEnd"/>
      <w:r w:rsidRPr="00461B0E">
        <w:rPr>
          <w:rFonts w:ascii="Times New Roman" w:hAnsi="Times New Roman" w:cs="Times New Roman"/>
          <w:i w:val="0"/>
          <w:color w:val="auto"/>
          <w:sz w:val="24"/>
          <w:szCs w:val="24"/>
        </w:rPr>
        <w:t xml:space="preserve"> test results will be within -1.07% HbB1c below, and +0.97% HbA1c higher than a laboratory test result. </w:t>
      </w:r>
    </w:p>
    <w:p w:rsidR="00461B0E" w:rsidRPr="00EE2A83" w:rsidRDefault="00461B0E" w:rsidP="00461B0E">
      <w:pPr>
        <w:keepNext/>
      </w:pPr>
      <w:r w:rsidRPr="00EE2A83">
        <w:rPr>
          <w:noProof/>
        </w:rPr>
        <w:drawing>
          <wp:inline distT="0" distB="0" distL="0" distR="0" wp14:anchorId="145EA6D9" wp14:editId="0E337CF2">
            <wp:extent cx="5732060" cy="3544138"/>
            <wp:effectExtent l="0" t="0" r="2540" b="0"/>
            <wp:docPr id="7" name="Picture 7" descr="The absolute difference in results vs average of results for HbA1c over all geographic reg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ence bland altmann analysis.png"/>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5731510" cy="3543798"/>
                    </a:xfrm>
                    <a:prstGeom prst="rect">
                      <a:avLst/>
                    </a:prstGeom>
                    <a:ln>
                      <a:noFill/>
                    </a:ln>
                    <a:extLst>
                      <a:ext uri="{53640926-AAD7-44D8-BBD7-CCE9431645EC}">
                        <a14:shadowObscured xmlns:a14="http://schemas.microsoft.com/office/drawing/2010/main"/>
                      </a:ext>
                    </a:extLst>
                  </pic:spPr>
                </pic:pic>
              </a:graphicData>
            </a:graphic>
          </wp:inline>
        </w:drawing>
      </w:r>
    </w:p>
    <w:p w:rsidR="00461B0E" w:rsidRPr="00FD1FEB" w:rsidRDefault="00461B0E" w:rsidP="00FD1FEB">
      <w:pPr>
        <w:rPr>
          <w:rFonts w:ascii="Arial Narrow" w:hAnsi="Arial Narrow"/>
          <w:b/>
          <w:sz w:val="20"/>
        </w:rPr>
      </w:pPr>
      <w:bookmarkStart w:id="19" w:name="_Ref479060592"/>
      <w:bookmarkStart w:id="20" w:name="_Toc480461739"/>
      <w:bookmarkStart w:id="21" w:name="_Toc480466597"/>
      <w:bookmarkStart w:id="22" w:name="_Toc480548677"/>
      <w:bookmarkStart w:id="23" w:name="_Toc480551805"/>
      <w:bookmarkStart w:id="24" w:name="_Toc481054986"/>
      <w:bookmarkStart w:id="25" w:name="_Toc481509135"/>
      <w:bookmarkStart w:id="26" w:name="_Toc481587129"/>
      <w:bookmarkStart w:id="27" w:name="_Toc481589720"/>
      <w:bookmarkStart w:id="28" w:name="_Toc481654430"/>
      <w:bookmarkStart w:id="29" w:name="_Toc481668709"/>
      <w:r w:rsidRPr="00FD1FEB">
        <w:rPr>
          <w:rFonts w:ascii="Arial Narrow" w:hAnsi="Arial Narrow"/>
          <w:b/>
          <w:sz w:val="20"/>
        </w:rPr>
        <w:t xml:space="preserve">Figure </w:t>
      </w:r>
      <w:bookmarkEnd w:id="19"/>
      <w:r w:rsidRPr="00FD1FEB">
        <w:rPr>
          <w:rFonts w:ascii="Arial Narrow" w:hAnsi="Arial Narrow"/>
          <w:b/>
          <w:sz w:val="20"/>
        </w:rPr>
        <w:t>1</w:t>
      </w:r>
      <w:r w:rsidR="005556D3" w:rsidRPr="00FD1FEB">
        <w:rPr>
          <w:rFonts w:ascii="Arial Narrow" w:hAnsi="Arial Narrow"/>
          <w:b/>
          <w:sz w:val="20"/>
        </w:rPr>
        <w:t xml:space="preserve">: </w:t>
      </w:r>
      <w:r w:rsidRPr="00FD1FEB">
        <w:rPr>
          <w:rFonts w:ascii="Arial Narrow" w:hAnsi="Arial Narrow"/>
          <w:b/>
          <w:sz w:val="20"/>
        </w:rPr>
        <w:t>Absolute difference in results vs average of results for HbA1c over all geographic regions</w:t>
      </w:r>
      <w:bookmarkEnd w:id="20"/>
      <w:bookmarkEnd w:id="21"/>
      <w:bookmarkEnd w:id="22"/>
      <w:bookmarkEnd w:id="23"/>
      <w:bookmarkEnd w:id="24"/>
      <w:bookmarkEnd w:id="25"/>
      <w:bookmarkEnd w:id="26"/>
      <w:bookmarkEnd w:id="27"/>
      <w:bookmarkEnd w:id="28"/>
      <w:bookmarkEnd w:id="29"/>
    </w:p>
    <w:p w:rsidR="00461B0E" w:rsidRPr="00FD1FEB" w:rsidRDefault="00461B0E" w:rsidP="00FD1FEB">
      <w:pPr>
        <w:rPr>
          <w:rFonts w:ascii="Arial Narrow" w:hAnsi="Arial Narrow"/>
          <w:b/>
          <w:sz w:val="20"/>
        </w:rPr>
      </w:pPr>
      <w:r w:rsidRPr="00FD1FEB">
        <w:rPr>
          <w:rFonts w:ascii="Arial Narrow" w:hAnsi="Arial Narrow"/>
          <w:b/>
          <w:sz w:val="20"/>
        </w:rPr>
        <w:t xml:space="preserve">Source: Laurence et al </w:t>
      </w:r>
      <w:r w:rsidRPr="00FD1FEB">
        <w:rPr>
          <w:rFonts w:ascii="Arial Narrow" w:hAnsi="Arial Narrow"/>
          <w:b/>
          <w:sz w:val="20"/>
        </w:rPr>
        <w:fldChar w:fldCharType="begin"/>
      </w:r>
      <w:r w:rsidRPr="00FD1FEB">
        <w:rPr>
          <w:rFonts w:ascii="Arial Narrow" w:hAnsi="Arial Narrow"/>
          <w:b/>
          <w:sz w:val="20"/>
        </w:rPr>
        <w:instrText xml:space="preserve"> ADDIN EN.CITE &lt;EndNote&gt;&lt;Cite ExcludeAuth="1"&gt;&lt;Author&gt;Laurence&lt;/Author&gt;&lt;Year&gt;2009&lt;/Year&gt;&lt;RecNum&gt;1328&lt;/RecNum&gt;&lt;DisplayText&gt;(2009)&lt;/DisplayText&gt;&lt;record&gt;&lt;rec-number&gt;1328&lt;/rec-number&gt;&lt;foreign-keys&gt;&lt;key app="EN" db-id="r0efd92z4pwzt9e509w59aalxtzdr5sdvxwa" timestamp="1491201507"&gt;1328&lt;/key&gt;&lt;/foreign-keys&gt;&lt;ref-type name="Report"&gt;27&lt;/ref-type&gt;&lt;contributors&gt;&lt;authors&gt;&lt;author&gt;Laurence, C.&lt;/author&gt;&lt;author&gt;Gialamas, A.&lt;/author&gt;&lt;author&gt;Yelland, L.&lt;/author&gt;&lt;author&gt;Bubner, T.&lt;/author&gt;&lt;author&gt;Glastonbury, B.&lt;/author&gt;&lt;author&gt;Beilby, J.&lt;/author&gt;&lt;author&gt;et al&lt;/author&gt;&lt;/authors&gt;&lt;/contributors&gt;&lt;titles&gt;&lt;title&gt;Point of care testingin general practice trial&lt;/title&gt;&lt;/titles&gt;&lt;dates&gt;&lt;year&gt;2009&lt;/year&gt;&lt;/dates&gt;&lt;pub-location&gt;Canberra&lt;/pub-location&gt;&lt;publisher&gt;Department of Health and Ageing&lt;/publisher&gt;&lt;urls&gt;&lt;related-urls&gt;&lt;url&gt;http://www.health.gov.au/poct&lt;/url&gt;&lt;/related-urls&gt;&lt;/urls&gt;&lt;/record&gt;&lt;/Cite&gt;&lt;/EndNote&gt;</w:instrText>
      </w:r>
      <w:r w:rsidRPr="00FD1FEB">
        <w:rPr>
          <w:rFonts w:ascii="Arial Narrow" w:hAnsi="Arial Narrow"/>
          <w:b/>
          <w:sz w:val="20"/>
        </w:rPr>
        <w:fldChar w:fldCharType="separate"/>
      </w:r>
      <w:r w:rsidRPr="00FD1FEB">
        <w:rPr>
          <w:rFonts w:ascii="Arial Narrow" w:hAnsi="Arial Narrow"/>
          <w:b/>
          <w:noProof/>
          <w:sz w:val="20"/>
        </w:rPr>
        <w:t>(2009)</w:t>
      </w:r>
      <w:r w:rsidRPr="00FD1FEB">
        <w:rPr>
          <w:rFonts w:ascii="Arial Narrow" w:hAnsi="Arial Narrow"/>
          <w:b/>
          <w:sz w:val="20"/>
        </w:rPr>
        <w:fldChar w:fldCharType="end"/>
      </w:r>
    </w:p>
    <w:p w:rsidR="002D1B03" w:rsidRPr="006E73D1" w:rsidRDefault="00461B0E" w:rsidP="00461B0E">
      <w:pPr>
        <w:tabs>
          <w:tab w:val="left" w:pos="720"/>
          <w:tab w:val="left" w:pos="1140"/>
        </w:tabs>
        <w:spacing w:before="240" w:after="120"/>
        <w:rPr>
          <w:rStyle w:val="CommentChar"/>
          <w:rFonts w:ascii="Times New Roman" w:hAnsi="Times New Roman" w:cs="Times New Roman"/>
          <w:i w:val="0"/>
          <w:color w:val="auto"/>
        </w:rPr>
      </w:pPr>
      <w:r w:rsidRPr="006E73D1">
        <w:rPr>
          <w:rStyle w:val="CommentChar"/>
          <w:rFonts w:ascii="Times New Roman" w:hAnsi="Times New Roman" w:cs="Times New Roman"/>
          <w:i w:val="0"/>
          <w:color w:val="auto"/>
        </w:rPr>
        <w:t xml:space="preserve">The systematic review by </w:t>
      </w:r>
      <w:proofErr w:type="spellStart"/>
      <w:r w:rsidRPr="006E73D1">
        <w:rPr>
          <w:rStyle w:val="CommentChar"/>
          <w:rFonts w:ascii="Times New Roman" w:hAnsi="Times New Roman" w:cs="Times New Roman"/>
          <w:i w:val="0"/>
          <w:color w:val="auto"/>
        </w:rPr>
        <w:t>Hirst</w:t>
      </w:r>
      <w:proofErr w:type="spellEnd"/>
      <w:r w:rsidRPr="006E73D1">
        <w:rPr>
          <w:rStyle w:val="CommentChar"/>
          <w:rFonts w:ascii="Times New Roman" w:hAnsi="Times New Roman" w:cs="Times New Roman"/>
          <w:i w:val="0"/>
          <w:color w:val="auto"/>
        </w:rPr>
        <w:t xml:space="preserve"> et al </w:t>
      </w:r>
      <w:r w:rsidRPr="006E73D1">
        <w:rPr>
          <w:rStyle w:val="CommentChar"/>
          <w:rFonts w:ascii="Times New Roman" w:hAnsi="Times New Roman" w:cs="Times New Roman"/>
          <w:i w:val="0"/>
          <w:color w:val="auto"/>
        </w:rPr>
        <w:fldChar w:fldCharType="begin">
          <w:fldData xml:space="preserve">PEVuZE5vdGU+PENpdGUgRXhjbHVkZUF1dGg9IjEiPjxBdXRob3I+SGlyc3Q8L0F1dGhvcj48WWVh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</w:fldData>
        </w:fldChar>
      </w:r>
      <w:r w:rsidRPr="006E73D1">
        <w:rPr>
          <w:rStyle w:val="CommentChar"/>
          <w:rFonts w:ascii="Times New Roman" w:hAnsi="Times New Roman" w:cs="Times New Roman"/>
          <w:i w:val="0"/>
          <w:color w:val="auto"/>
        </w:rPr>
        <w:instrText xml:space="preserve"> ADDIN EN.CITE </w:instrText>
      </w:r>
      <w:r w:rsidRPr="006E73D1">
        <w:rPr>
          <w:rStyle w:val="CommentChar"/>
          <w:rFonts w:ascii="Times New Roman" w:hAnsi="Times New Roman" w:cs="Times New Roman"/>
          <w:i w:val="0"/>
          <w:color w:val="auto"/>
        </w:rPr>
        <w:fldChar w:fldCharType="begin">
          <w:fldData xml:space="preserve">PEVuZE5vdGU+PENpdGUgRXhjbHVkZUF1dGg9IjEiPjxBdXRob3I+SGlyc3Q8L0F1dGhvcj48WWVh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</w:fldData>
        </w:fldChar>
      </w:r>
      <w:r w:rsidRPr="006E73D1">
        <w:rPr>
          <w:rStyle w:val="CommentChar"/>
          <w:rFonts w:ascii="Times New Roman" w:hAnsi="Times New Roman" w:cs="Times New Roman"/>
          <w:i w:val="0"/>
          <w:color w:val="auto"/>
        </w:rPr>
        <w:instrText xml:space="preserve"> ADDIN EN.CITE.DATA </w:instrText>
      </w:r>
      <w:r w:rsidRPr="006E73D1">
        <w:rPr>
          <w:rStyle w:val="CommentChar"/>
          <w:rFonts w:ascii="Times New Roman" w:hAnsi="Times New Roman" w:cs="Times New Roman"/>
          <w:i w:val="0"/>
          <w:color w:val="auto"/>
        </w:rPr>
      </w:r>
      <w:r w:rsidRPr="006E73D1">
        <w:rPr>
          <w:rStyle w:val="CommentChar"/>
          <w:rFonts w:ascii="Times New Roman" w:hAnsi="Times New Roman" w:cs="Times New Roman"/>
          <w:i w:val="0"/>
          <w:color w:val="auto"/>
        </w:rPr>
        <w:fldChar w:fldCharType="end"/>
      </w:r>
      <w:r w:rsidRPr="006E73D1">
        <w:rPr>
          <w:rStyle w:val="CommentChar"/>
          <w:rFonts w:ascii="Times New Roman" w:hAnsi="Times New Roman" w:cs="Times New Roman"/>
          <w:i w:val="0"/>
          <w:color w:val="auto"/>
        </w:rPr>
      </w:r>
      <w:r w:rsidRPr="006E73D1">
        <w:rPr>
          <w:rStyle w:val="CommentChar"/>
          <w:rFonts w:ascii="Times New Roman" w:hAnsi="Times New Roman" w:cs="Times New Roman"/>
          <w:i w:val="0"/>
          <w:color w:val="auto"/>
        </w:rPr>
        <w:fldChar w:fldCharType="separate"/>
      </w:r>
      <w:r w:rsidRPr="006E73D1">
        <w:rPr>
          <w:rStyle w:val="CommentChar"/>
          <w:rFonts w:ascii="Times New Roman" w:hAnsi="Times New Roman" w:cs="Times New Roman"/>
          <w:i w:val="0"/>
          <w:noProof/>
          <w:color w:val="auto"/>
        </w:rPr>
        <w:t>(2017)</w:t>
      </w:r>
      <w:r w:rsidRPr="006E73D1">
        <w:rPr>
          <w:rStyle w:val="CommentChar"/>
          <w:rFonts w:ascii="Times New Roman" w:hAnsi="Times New Roman" w:cs="Times New Roman"/>
          <w:i w:val="0"/>
          <w:color w:val="auto"/>
        </w:rPr>
        <w:fldChar w:fldCharType="end"/>
      </w:r>
      <w:r w:rsidRPr="006E73D1">
        <w:rPr>
          <w:rStyle w:val="CommentChar"/>
          <w:rFonts w:ascii="Times New Roman" w:hAnsi="Times New Roman" w:cs="Times New Roman"/>
          <w:i w:val="0"/>
          <w:color w:val="auto"/>
        </w:rPr>
        <w:t xml:space="preserve"> also reported the mean difference</w:t>
      </w:r>
      <w:r w:rsidR="008F1BC7" w:rsidRPr="006E73D1">
        <w:rPr>
          <w:rStyle w:val="CommentChar"/>
          <w:rFonts w:ascii="Times New Roman" w:hAnsi="Times New Roman" w:cs="Times New Roman"/>
          <w:i w:val="0"/>
          <w:color w:val="auto"/>
        </w:rPr>
        <w:t xml:space="preserve"> </w:t>
      </w:r>
      <w:r w:rsidR="00912097" w:rsidRPr="006E73D1">
        <w:rPr>
          <w:rStyle w:val="CommentChar"/>
          <w:rFonts w:ascii="Times New Roman" w:hAnsi="Times New Roman" w:cs="Times New Roman"/>
          <w:i w:val="0"/>
          <w:color w:val="auto"/>
        </w:rPr>
        <w:t>as shown in Figure 2</w:t>
      </w:r>
      <w:r w:rsidRPr="006E73D1">
        <w:rPr>
          <w:rStyle w:val="CommentChar"/>
          <w:rFonts w:ascii="Times New Roman" w:hAnsi="Times New Roman" w:cs="Times New Roman"/>
          <w:i w:val="0"/>
          <w:color w:val="auto"/>
        </w:rPr>
        <w:t>.</w:t>
      </w:r>
    </w:p>
    <w:p w:rsidR="00461B0E" w:rsidRPr="00461B0E" w:rsidRDefault="008F1BC7" w:rsidP="00461B0E">
      <w:pPr>
        <w:tabs>
          <w:tab w:val="left" w:pos="720"/>
          <w:tab w:val="left" w:pos="1140"/>
        </w:tabs>
        <w:spacing w:before="240" w:after="120"/>
        <w:rPr>
          <w:b/>
          <w:i/>
          <w:szCs w:val="24"/>
        </w:rPr>
      </w:pPr>
      <w:r>
        <w:rPr>
          <w:noProof/>
        </w:rPr>
        <w:lastRenderedPageBreak/>
        <w:drawing>
          <wp:inline distT="0" distB="0" distL="0" distR="0" wp14:anchorId="684D0689" wp14:editId="6E009F91">
            <wp:extent cx="5731510" cy="7785100"/>
            <wp:effectExtent l="0" t="0" r="2540" b="6350"/>
            <wp:docPr id="1" name="Picture 1" descr="Systematic review by Hirst et al (2017) also reported the mean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7785100"/>
                    </a:xfrm>
                    <a:prstGeom prst="rect">
                      <a:avLst/>
                    </a:prstGeom>
                  </pic:spPr>
                </pic:pic>
              </a:graphicData>
            </a:graphic>
          </wp:inline>
        </w:drawing>
      </w:r>
    </w:p>
    <w:p w:rsidR="00912097" w:rsidRPr="00FD1FEB" w:rsidRDefault="00912097" w:rsidP="00FD1FEB">
      <w:pPr>
        <w:rPr>
          <w:rFonts w:ascii="Arial Narrow" w:hAnsi="Arial Narrow"/>
          <w:b/>
          <w:sz w:val="20"/>
        </w:rPr>
      </w:pPr>
      <w:r w:rsidRPr="00FD1FEB">
        <w:rPr>
          <w:rFonts w:ascii="Arial Narrow" w:hAnsi="Arial Narrow"/>
          <w:b/>
          <w:sz w:val="20"/>
        </w:rPr>
        <w:t xml:space="preserve">Source: </w:t>
      </w:r>
      <w:proofErr w:type="spellStart"/>
      <w:r w:rsidRPr="00FD1FEB">
        <w:rPr>
          <w:rFonts w:ascii="Arial Narrow" w:hAnsi="Arial Narrow"/>
          <w:b/>
          <w:sz w:val="20"/>
        </w:rPr>
        <w:t>Hirst</w:t>
      </w:r>
      <w:proofErr w:type="spellEnd"/>
      <w:r w:rsidRPr="00FD1FEB">
        <w:rPr>
          <w:rFonts w:ascii="Arial Narrow" w:hAnsi="Arial Narrow"/>
          <w:b/>
          <w:sz w:val="20"/>
        </w:rPr>
        <w:t xml:space="preserve"> et al </w:t>
      </w:r>
      <w:r w:rsidRPr="00FD1FEB">
        <w:rPr>
          <w:rFonts w:ascii="Arial Narrow" w:hAnsi="Arial Narrow"/>
          <w:b/>
          <w:sz w:val="20"/>
        </w:rPr>
        <w:fldChar w:fldCharType="begin"/>
      </w:r>
      <w:r w:rsidRPr="00FD1FEB">
        <w:rPr>
          <w:rFonts w:ascii="Arial Narrow" w:hAnsi="Arial Narrow"/>
          <w:b/>
          <w:sz w:val="20"/>
        </w:rPr>
        <w:instrText xml:space="preserve"> ADDIN EN.CITE &lt;EndNote&gt;&lt;Cite ExcludeAuth="1"&gt;&lt;Author&gt;Laurence&lt;/Author&gt;&lt;Year&gt;2009&lt;/Year&gt;&lt;RecNum&gt;1328&lt;/RecNum&gt;&lt;DisplayText&gt;(2009)&lt;/DisplayText&gt;&lt;record&gt;&lt;rec-number&gt;1328&lt;/rec-number&gt;&lt;foreign-keys&gt;&lt;key app="EN" db-id="r0efd92z4pwzt9e509w59aalxtzdr5sdvxwa" timestamp="1491201507"&gt;1328&lt;/key&gt;&lt;/foreign-keys&gt;&lt;ref-type name="Report"&gt;27&lt;/ref-type&gt;&lt;contributors&gt;&lt;authors&gt;&lt;author&gt;Laurence, C.&lt;/author&gt;&lt;author&gt;Gialamas, A.&lt;/author&gt;&lt;author&gt;Yelland, L.&lt;/author&gt;&lt;author&gt;Bubner, T.&lt;/author&gt;&lt;author&gt;Glastonbury, B.&lt;/author&gt;&lt;author&gt;Beilby, J.&lt;/author&gt;&lt;author&gt;et al&lt;/author&gt;&lt;/authors&gt;&lt;/contributors&gt;&lt;titles&gt;&lt;title&gt;Point of care testingin general practice trial&lt;/title&gt;&lt;/titles&gt;&lt;dates&gt;&lt;year&gt;2009&lt;/year&gt;&lt;/dates&gt;&lt;pub-location&gt;Canberra&lt;/pub-location&gt;&lt;publisher&gt;Department of Health and Ageing&lt;/publisher&gt;&lt;urls&gt;&lt;related-urls&gt;&lt;url&gt;http://www.health.gov.au/poct&lt;/url&gt;&lt;/related-urls&gt;&lt;/urls&gt;&lt;/record&gt;&lt;/Cite&gt;&lt;/EndNote&gt;</w:instrText>
      </w:r>
      <w:r w:rsidRPr="00FD1FEB">
        <w:rPr>
          <w:rFonts w:ascii="Arial Narrow" w:hAnsi="Arial Narrow"/>
          <w:b/>
          <w:sz w:val="20"/>
        </w:rPr>
        <w:fldChar w:fldCharType="separate"/>
      </w:r>
      <w:r w:rsidRPr="00FD1FEB">
        <w:rPr>
          <w:rFonts w:ascii="Arial Narrow" w:hAnsi="Arial Narrow"/>
          <w:b/>
          <w:noProof/>
          <w:sz w:val="20"/>
        </w:rPr>
        <w:t>(2017)</w:t>
      </w:r>
      <w:r w:rsidRPr="00FD1FEB">
        <w:rPr>
          <w:rFonts w:ascii="Arial Narrow" w:hAnsi="Arial Narrow"/>
          <w:b/>
          <w:sz w:val="20"/>
        </w:rPr>
        <w:fldChar w:fldCharType="end"/>
      </w:r>
    </w:p>
    <w:p w:rsidR="0040672A" w:rsidRPr="0040672A" w:rsidRDefault="007C66A6" w:rsidP="005556D3">
      <w:pPr>
        <w:tabs>
          <w:tab w:val="left" w:pos="720"/>
          <w:tab w:val="left" w:pos="1140"/>
        </w:tabs>
        <w:spacing w:before="240" w:after="120"/>
        <w:rPr>
          <w:szCs w:val="24"/>
        </w:rPr>
      </w:pPr>
      <w:r w:rsidRPr="007C66A6">
        <w:rPr>
          <w:szCs w:val="24"/>
        </w:rPr>
        <w:t xml:space="preserve">For patients with established diabetes, the </w:t>
      </w:r>
      <w:proofErr w:type="spellStart"/>
      <w:r w:rsidRPr="007C66A6">
        <w:rPr>
          <w:szCs w:val="24"/>
        </w:rPr>
        <w:t>Hirst</w:t>
      </w:r>
      <w:proofErr w:type="spellEnd"/>
      <w:r w:rsidRPr="007C66A6">
        <w:rPr>
          <w:szCs w:val="24"/>
        </w:rPr>
        <w:t xml:space="preserve"> et al (2017) review reported the mean bias between </w:t>
      </w:r>
      <w:proofErr w:type="spellStart"/>
      <w:r w:rsidRPr="007C66A6">
        <w:rPr>
          <w:szCs w:val="24"/>
        </w:rPr>
        <w:t>PoC</w:t>
      </w:r>
      <w:proofErr w:type="spellEnd"/>
      <w:r w:rsidRPr="007C66A6">
        <w:rPr>
          <w:szCs w:val="24"/>
        </w:rPr>
        <w:t xml:space="preserve"> analysers available in Australia and laboratory HbA1c test results ranged between -0.96% (95% CI -1.09% to -0.83%) to +0.43 (95% CI +0.35% to +0.51%).</w:t>
      </w:r>
    </w:p>
    <w:p w:rsidR="006E73D1" w:rsidRDefault="006E73D1">
      <w:pPr>
        <w:rPr>
          <w:b/>
          <w:szCs w:val="24"/>
        </w:rPr>
      </w:pPr>
      <w:r>
        <w:rPr>
          <w:b/>
          <w:szCs w:val="24"/>
        </w:rPr>
        <w:br w:type="page"/>
      </w:r>
    </w:p>
    <w:p w:rsidR="00F37B9C" w:rsidRDefault="00F37B9C" w:rsidP="00723F29">
      <w:pPr>
        <w:tabs>
          <w:tab w:val="left" w:pos="720"/>
          <w:tab w:val="left" w:pos="1140"/>
        </w:tabs>
        <w:spacing w:after="120"/>
        <w:rPr>
          <w:b/>
          <w:szCs w:val="24"/>
        </w:rPr>
      </w:pPr>
      <w:r w:rsidRPr="00F37B9C">
        <w:rPr>
          <w:b/>
          <w:szCs w:val="24"/>
        </w:rPr>
        <w:lastRenderedPageBreak/>
        <w:t xml:space="preserve">Clinical </w:t>
      </w:r>
      <w:r w:rsidR="00437F17" w:rsidRPr="00F37B9C">
        <w:rPr>
          <w:b/>
          <w:szCs w:val="24"/>
        </w:rPr>
        <w:t>c</w:t>
      </w:r>
      <w:r w:rsidRPr="00F37B9C">
        <w:rPr>
          <w:b/>
          <w:szCs w:val="24"/>
        </w:rPr>
        <w:t>laim</w:t>
      </w:r>
    </w:p>
    <w:p w:rsidR="00723F29" w:rsidRPr="00723F29" w:rsidRDefault="00723F29" w:rsidP="00723F29">
      <w:pPr>
        <w:tabs>
          <w:tab w:val="left" w:pos="720"/>
          <w:tab w:val="left" w:pos="1140"/>
        </w:tabs>
        <w:spacing w:after="240"/>
        <w:rPr>
          <w:szCs w:val="24"/>
        </w:rPr>
      </w:pPr>
      <w:r w:rsidRPr="00723F29">
        <w:rPr>
          <w:szCs w:val="24"/>
        </w:rPr>
        <w:t xml:space="preserve">On the basis of the benefits and harms reported in the evidence base, it was suggested that, relative to laboratory HbA1c testing, HbA1c </w:t>
      </w:r>
      <w:proofErr w:type="spellStart"/>
      <w:r w:rsidR="001B36AA">
        <w:rPr>
          <w:szCs w:val="24"/>
        </w:rPr>
        <w:t>PoC</w:t>
      </w:r>
      <w:proofErr w:type="spellEnd"/>
      <w:r w:rsidR="001B36AA">
        <w:rPr>
          <w:szCs w:val="24"/>
        </w:rPr>
        <w:t xml:space="preserve"> </w:t>
      </w:r>
      <w:r w:rsidRPr="00723F29">
        <w:rPr>
          <w:szCs w:val="24"/>
        </w:rPr>
        <w:t xml:space="preserve">testing has non-inferior safety and effectiveness for the management of established diabetes. This claim is reasonably justified by the evidence presented in the </w:t>
      </w:r>
      <w:r w:rsidR="00437F17">
        <w:rPr>
          <w:szCs w:val="24"/>
        </w:rPr>
        <w:t>application</w:t>
      </w:r>
      <w:r w:rsidRPr="00723F29">
        <w:rPr>
          <w:szCs w:val="24"/>
        </w:rPr>
        <w:t>.</w:t>
      </w:r>
    </w:p>
    <w:p w:rsidR="00BC1364" w:rsidRPr="00F715D1" w:rsidRDefault="00BC1364" w:rsidP="00F715D1">
      <w:pPr>
        <w:pStyle w:val="Heading1"/>
      </w:pPr>
      <w:r w:rsidRPr="00F715D1">
        <w:t>Economic evaluation</w:t>
      </w:r>
    </w:p>
    <w:p w:rsidR="00BC1364" w:rsidRDefault="00717FE0" w:rsidP="00F715D1">
      <w:pPr>
        <w:tabs>
          <w:tab w:val="left" w:pos="720"/>
          <w:tab w:val="left" w:pos="1140"/>
        </w:tabs>
        <w:spacing w:after="240"/>
        <w:rPr>
          <w:szCs w:val="24"/>
        </w:rPr>
      </w:pPr>
      <w:r w:rsidRPr="00717FE0">
        <w:rPr>
          <w:szCs w:val="24"/>
        </w:rPr>
        <w:t>The application presented a cost-utility analysis for the diagnosis of diabetes and one for the management of diabetes</w:t>
      </w:r>
      <w:r>
        <w:rPr>
          <w:szCs w:val="24"/>
        </w:rPr>
        <w:t>,</w:t>
      </w:r>
      <w:r w:rsidRPr="00717FE0">
        <w:rPr>
          <w:szCs w:val="24"/>
        </w:rPr>
        <w:t xml:space="preserve"> in line with the proposed MBS item descriptors.</w:t>
      </w:r>
    </w:p>
    <w:p w:rsidR="00717FE0" w:rsidRPr="00D56C1C" w:rsidRDefault="00717FE0" w:rsidP="00717FE0">
      <w:pPr>
        <w:pStyle w:val="BodyTextSTD"/>
        <w:keepNext/>
        <w:spacing w:after="0" w:line="276" w:lineRule="auto"/>
        <w:jc w:val="left"/>
        <w:rPr>
          <w:rFonts w:ascii="Times New Roman" w:hAnsi="Times New Roman" w:cs="Times New Roman"/>
          <w:sz w:val="24"/>
          <w:szCs w:val="24"/>
          <w:u w:val="single"/>
        </w:rPr>
      </w:pPr>
      <w:r w:rsidRPr="00D56C1C">
        <w:rPr>
          <w:rFonts w:ascii="Times New Roman" w:hAnsi="Times New Roman" w:cs="Times New Roman"/>
          <w:sz w:val="24"/>
          <w:szCs w:val="24"/>
          <w:u w:val="single"/>
        </w:rPr>
        <w:t>Model 1: Diagnosis of diabetes</w:t>
      </w:r>
    </w:p>
    <w:p w:rsidR="00717FE0" w:rsidRPr="00D56C1C" w:rsidRDefault="00717FE0" w:rsidP="00237EB5">
      <w:pPr>
        <w:pStyle w:val="BodyTextSTD"/>
        <w:keepNext/>
        <w:spacing w:after="0" w:line="240" w:lineRule="auto"/>
        <w:jc w:val="left"/>
        <w:rPr>
          <w:rFonts w:ascii="Times New Roman" w:hAnsi="Times New Roman" w:cs="Times New Roman"/>
          <w:sz w:val="24"/>
          <w:szCs w:val="24"/>
        </w:rPr>
      </w:pPr>
      <w:r w:rsidRPr="00D56C1C">
        <w:rPr>
          <w:rFonts w:ascii="Times New Roman" w:hAnsi="Times New Roman" w:cs="Times New Roman"/>
          <w:sz w:val="24"/>
          <w:szCs w:val="24"/>
        </w:rPr>
        <w:t xml:space="preserve">A cost-utility analysis was undertaken to determine the value of HbA1c </w:t>
      </w:r>
      <w:proofErr w:type="spellStart"/>
      <w:r w:rsidR="000F74D2">
        <w:rPr>
          <w:rFonts w:ascii="Times New Roman" w:hAnsi="Times New Roman" w:cs="Times New Roman"/>
          <w:sz w:val="24"/>
          <w:szCs w:val="24"/>
        </w:rPr>
        <w:t>P</w:t>
      </w:r>
      <w:r w:rsidR="001B36AA">
        <w:rPr>
          <w:rFonts w:ascii="Times New Roman" w:hAnsi="Times New Roman" w:cs="Times New Roman"/>
          <w:sz w:val="24"/>
          <w:szCs w:val="24"/>
        </w:rPr>
        <w:t>o</w:t>
      </w:r>
      <w:r w:rsidR="000F74D2">
        <w:rPr>
          <w:rFonts w:ascii="Times New Roman" w:hAnsi="Times New Roman" w:cs="Times New Roman"/>
          <w:sz w:val="24"/>
          <w:szCs w:val="24"/>
        </w:rPr>
        <w:t>C</w:t>
      </w:r>
      <w:proofErr w:type="spellEnd"/>
      <w:r w:rsidR="000F74D2">
        <w:rPr>
          <w:rFonts w:ascii="Times New Roman" w:hAnsi="Times New Roman" w:cs="Times New Roman"/>
          <w:sz w:val="24"/>
          <w:szCs w:val="24"/>
        </w:rPr>
        <w:t xml:space="preserve"> testing compared</w:t>
      </w:r>
      <w:r w:rsidR="006E73D1">
        <w:rPr>
          <w:rFonts w:ascii="Times New Roman" w:hAnsi="Times New Roman" w:cs="Times New Roman"/>
          <w:sz w:val="24"/>
          <w:szCs w:val="24"/>
        </w:rPr>
        <w:t xml:space="preserve"> </w:t>
      </w:r>
      <w:r w:rsidRPr="00D56C1C">
        <w:rPr>
          <w:rFonts w:ascii="Times New Roman" w:hAnsi="Times New Roman" w:cs="Times New Roman"/>
          <w:sz w:val="24"/>
          <w:szCs w:val="24"/>
        </w:rPr>
        <w:t>to pathology laboratory testing in the diagnosis of diabetes in patients at high risk. A summary of the key parameters of the model are presented</w:t>
      </w:r>
      <w:r>
        <w:rPr>
          <w:rFonts w:ascii="Times New Roman" w:hAnsi="Times New Roman" w:cs="Times New Roman"/>
          <w:sz w:val="24"/>
          <w:szCs w:val="24"/>
        </w:rPr>
        <w:t xml:space="preserve"> in Table 2</w:t>
      </w:r>
      <w:r w:rsidRPr="00D56C1C">
        <w:rPr>
          <w:rFonts w:ascii="Times New Roman" w:hAnsi="Times New Roman" w:cs="Times New Roman"/>
          <w:sz w:val="24"/>
          <w:szCs w:val="24"/>
        </w:rPr>
        <w:t>.</w:t>
      </w:r>
    </w:p>
    <w:p w:rsidR="00717FE0" w:rsidRPr="00FD1FEB" w:rsidRDefault="00717FE0" w:rsidP="00FD1FEB">
      <w:pPr>
        <w:rPr>
          <w:rFonts w:ascii="Arial Narrow" w:hAnsi="Arial Narrow"/>
          <w:b/>
          <w:sz w:val="20"/>
        </w:rPr>
      </w:pPr>
      <w:bookmarkStart w:id="30" w:name="_Ref473894003"/>
      <w:bookmarkStart w:id="31" w:name="_Ref463425834"/>
      <w:r w:rsidRPr="00FD1FEB">
        <w:rPr>
          <w:rFonts w:ascii="Arial Narrow" w:hAnsi="Arial Narrow"/>
          <w:b/>
          <w:sz w:val="20"/>
        </w:rPr>
        <w:t>Table 2</w:t>
      </w:r>
      <w:bookmarkEnd w:id="30"/>
      <w:r w:rsidR="00237EB5" w:rsidRPr="00FD1FEB">
        <w:rPr>
          <w:rFonts w:ascii="Arial Narrow" w:hAnsi="Arial Narrow"/>
          <w:b/>
          <w:sz w:val="20"/>
        </w:rPr>
        <w:tab/>
      </w:r>
      <w:r w:rsidRPr="00FD1FEB">
        <w:rPr>
          <w:rFonts w:ascii="Arial Narrow" w:hAnsi="Arial Narrow"/>
          <w:b/>
          <w:sz w:val="20"/>
        </w:rPr>
        <w:t>Summary of the economic evaluation for the diagnosis of diabetes</w:t>
      </w:r>
      <w:bookmarkEnd w:id="31"/>
    </w:p>
    <w:tbl>
      <w:tblPr>
        <w:tblStyle w:val="TableGrid"/>
        <w:tblW w:w="5000" w:type="pct"/>
        <w:tblLayout w:type="fixed"/>
        <w:tblLook w:val="01E0" w:firstRow="1" w:lastRow="1" w:firstColumn="1" w:lastColumn="1" w:noHBand="0" w:noVBand="0"/>
        <w:tblDescription w:val="Summary of the economic evaluation for the diagnosis of diabetes."/>
      </w:tblPr>
      <w:tblGrid>
        <w:gridCol w:w="2860"/>
        <w:gridCol w:w="6382"/>
      </w:tblGrid>
      <w:tr w:rsidR="00717FE0" w:rsidRPr="00237EB5" w:rsidTr="00FD1FEB">
        <w:trPr>
          <w:tblHeader/>
        </w:trPr>
        <w:tc>
          <w:tcPr>
            <w:tcW w:w="2864" w:type="dxa"/>
          </w:tcPr>
          <w:p w:rsidR="00717FE0" w:rsidRPr="00237EB5" w:rsidRDefault="00717FE0" w:rsidP="001B36AA">
            <w:pPr>
              <w:pStyle w:val="TableHeading"/>
            </w:pPr>
            <w:r w:rsidRPr="00237EB5">
              <w:t>Perspective</w:t>
            </w:r>
          </w:p>
        </w:tc>
        <w:tc>
          <w:tcPr>
            <w:tcW w:w="6392" w:type="dxa"/>
          </w:tcPr>
          <w:p w:rsidR="00717FE0" w:rsidRPr="00237EB5" w:rsidRDefault="00717FE0" w:rsidP="001B36AA">
            <w:pPr>
              <w:pStyle w:val="TableHeading"/>
              <w:rPr>
                <w:b w:val="0"/>
              </w:rPr>
            </w:pPr>
            <w:r w:rsidRPr="00237EB5">
              <w:rPr>
                <w:b w:val="0"/>
              </w:rPr>
              <w:t>Australian Government</w:t>
            </w:r>
          </w:p>
        </w:tc>
      </w:tr>
      <w:tr w:rsidR="00717FE0" w:rsidRPr="00237EB5" w:rsidTr="00FD1FEB">
        <w:tc>
          <w:tcPr>
            <w:tcW w:w="2864" w:type="dxa"/>
          </w:tcPr>
          <w:p w:rsidR="00717FE0" w:rsidRPr="00237EB5" w:rsidRDefault="00717FE0" w:rsidP="001B36AA">
            <w:pPr>
              <w:pStyle w:val="Tabletext"/>
              <w:keepNext/>
              <w:rPr>
                <w:b/>
                <w:szCs w:val="20"/>
              </w:rPr>
            </w:pPr>
            <w:r w:rsidRPr="00237EB5">
              <w:rPr>
                <w:b/>
                <w:szCs w:val="20"/>
              </w:rPr>
              <w:t>Comparator</w:t>
            </w:r>
          </w:p>
        </w:tc>
        <w:tc>
          <w:tcPr>
            <w:tcW w:w="6392" w:type="dxa"/>
          </w:tcPr>
          <w:p w:rsidR="00717FE0" w:rsidRPr="00237EB5" w:rsidRDefault="00717FE0" w:rsidP="001B36AA">
            <w:pPr>
              <w:pStyle w:val="Tabletext"/>
              <w:keepNext/>
              <w:rPr>
                <w:szCs w:val="20"/>
              </w:rPr>
            </w:pPr>
            <w:r w:rsidRPr="00237EB5">
              <w:rPr>
                <w:szCs w:val="20"/>
              </w:rPr>
              <w:t>HbA1c pathology laboratory testing</w:t>
            </w:r>
          </w:p>
        </w:tc>
      </w:tr>
      <w:tr w:rsidR="00717FE0" w:rsidRPr="00237EB5" w:rsidTr="00FD1FEB">
        <w:tc>
          <w:tcPr>
            <w:tcW w:w="2864" w:type="dxa"/>
          </w:tcPr>
          <w:p w:rsidR="00717FE0" w:rsidRPr="00237EB5" w:rsidRDefault="00717FE0" w:rsidP="001B36AA">
            <w:pPr>
              <w:pStyle w:val="Tabletext"/>
              <w:keepNext/>
              <w:rPr>
                <w:b/>
                <w:szCs w:val="20"/>
              </w:rPr>
            </w:pPr>
            <w:r w:rsidRPr="00237EB5">
              <w:rPr>
                <w:b/>
                <w:szCs w:val="20"/>
              </w:rPr>
              <w:t>Type of economic evaluation</w:t>
            </w:r>
          </w:p>
        </w:tc>
        <w:tc>
          <w:tcPr>
            <w:tcW w:w="6392" w:type="dxa"/>
          </w:tcPr>
          <w:p w:rsidR="00717FE0" w:rsidRPr="00237EB5" w:rsidRDefault="00717FE0" w:rsidP="001B36AA">
            <w:pPr>
              <w:pStyle w:val="Tabletext"/>
              <w:keepNext/>
              <w:rPr>
                <w:szCs w:val="20"/>
              </w:rPr>
            </w:pPr>
            <w:r w:rsidRPr="00237EB5">
              <w:rPr>
                <w:szCs w:val="20"/>
              </w:rPr>
              <w:t>Cost-utility analysis</w:t>
            </w:r>
          </w:p>
        </w:tc>
      </w:tr>
      <w:tr w:rsidR="00717FE0" w:rsidRPr="00237EB5" w:rsidTr="00FD1FEB">
        <w:tc>
          <w:tcPr>
            <w:tcW w:w="2864" w:type="dxa"/>
          </w:tcPr>
          <w:p w:rsidR="00717FE0" w:rsidRPr="00237EB5" w:rsidRDefault="00717FE0" w:rsidP="001B36AA">
            <w:pPr>
              <w:pStyle w:val="Tabletext"/>
              <w:keepNext/>
              <w:rPr>
                <w:b/>
                <w:szCs w:val="20"/>
              </w:rPr>
            </w:pPr>
            <w:r w:rsidRPr="00237EB5">
              <w:rPr>
                <w:b/>
                <w:szCs w:val="20"/>
              </w:rPr>
              <w:t>Sources of evidence</w:t>
            </w:r>
          </w:p>
        </w:tc>
        <w:tc>
          <w:tcPr>
            <w:tcW w:w="6392" w:type="dxa"/>
          </w:tcPr>
          <w:p w:rsidR="00717FE0" w:rsidRPr="00237EB5" w:rsidRDefault="00717FE0" w:rsidP="000F74D2">
            <w:pPr>
              <w:pStyle w:val="Tabletext"/>
              <w:keepNext/>
              <w:rPr>
                <w:szCs w:val="20"/>
              </w:rPr>
            </w:pPr>
            <w:r w:rsidRPr="00237EB5">
              <w:rPr>
                <w:szCs w:val="20"/>
              </w:rPr>
              <w:t xml:space="preserve">Randomised controlled trial of </w:t>
            </w:r>
            <w:proofErr w:type="spellStart"/>
            <w:r w:rsidR="000F74D2">
              <w:rPr>
                <w:szCs w:val="20"/>
              </w:rPr>
              <w:t>P</w:t>
            </w:r>
            <w:r w:rsidR="001B36AA">
              <w:rPr>
                <w:szCs w:val="20"/>
              </w:rPr>
              <w:t>o</w:t>
            </w:r>
            <w:r w:rsidR="000F74D2">
              <w:rPr>
                <w:szCs w:val="20"/>
              </w:rPr>
              <w:t>C</w:t>
            </w:r>
            <w:proofErr w:type="spellEnd"/>
            <w:r w:rsidR="000F74D2">
              <w:rPr>
                <w:szCs w:val="20"/>
              </w:rPr>
              <w:t xml:space="preserve"> testing</w:t>
            </w:r>
            <w:r w:rsidRPr="00237EB5">
              <w:rPr>
                <w:szCs w:val="20"/>
              </w:rPr>
              <w:t xml:space="preserve"> in Australia; systematic review of economic evaluations</w:t>
            </w:r>
          </w:p>
        </w:tc>
      </w:tr>
      <w:tr w:rsidR="00717FE0" w:rsidRPr="00237EB5" w:rsidTr="00FD1FEB">
        <w:tc>
          <w:tcPr>
            <w:tcW w:w="2864" w:type="dxa"/>
          </w:tcPr>
          <w:p w:rsidR="00717FE0" w:rsidRPr="00237EB5" w:rsidRDefault="00717FE0" w:rsidP="001B36AA">
            <w:pPr>
              <w:pStyle w:val="Tabletext"/>
              <w:keepNext/>
              <w:rPr>
                <w:b/>
                <w:szCs w:val="20"/>
              </w:rPr>
            </w:pPr>
            <w:r w:rsidRPr="00237EB5">
              <w:rPr>
                <w:b/>
                <w:szCs w:val="20"/>
              </w:rPr>
              <w:t>Time horizon</w:t>
            </w:r>
          </w:p>
        </w:tc>
        <w:tc>
          <w:tcPr>
            <w:tcW w:w="6392" w:type="dxa"/>
          </w:tcPr>
          <w:p w:rsidR="00717FE0" w:rsidRPr="00237EB5" w:rsidRDefault="00717FE0" w:rsidP="001B36AA">
            <w:pPr>
              <w:pStyle w:val="Tabletext"/>
              <w:keepNext/>
              <w:rPr>
                <w:szCs w:val="20"/>
              </w:rPr>
            </w:pPr>
            <w:r w:rsidRPr="00237EB5">
              <w:rPr>
                <w:szCs w:val="20"/>
              </w:rPr>
              <w:t>12 months</w:t>
            </w:r>
          </w:p>
        </w:tc>
      </w:tr>
      <w:tr w:rsidR="00717FE0" w:rsidRPr="00237EB5" w:rsidTr="00FD1FEB">
        <w:tc>
          <w:tcPr>
            <w:tcW w:w="2864" w:type="dxa"/>
          </w:tcPr>
          <w:p w:rsidR="00717FE0" w:rsidRPr="00237EB5" w:rsidRDefault="00717FE0" w:rsidP="001B36AA">
            <w:pPr>
              <w:pStyle w:val="Tabletext"/>
              <w:keepNext/>
              <w:rPr>
                <w:b/>
                <w:szCs w:val="20"/>
              </w:rPr>
            </w:pPr>
            <w:r w:rsidRPr="00237EB5">
              <w:rPr>
                <w:b/>
                <w:szCs w:val="20"/>
              </w:rPr>
              <w:t>Outcomes</w:t>
            </w:r>
          </w:p>
        </w:tc>
        <w:tc>
          <w:tcPr>
            <w:tcW w:w="6392" w:type="dxa"/>
          </w:tcPr>
          <w:p w:rsidR="00717FE0" w:rsidRPr="00237EB5" w:rsidRDefault="00717FE0" w:rsidP="001B36AA">
            <w:pPr>
              <w:pStyle w:val="Tabletext"/>
              <w:keepNext/>
              <w:rPr>
                <w:szCs w:val="20"/>
              </w:rPr>
            </w:pPr>
            <w:r w:rsidRPr="00237EB5">
              <w:rPr>
                <w:szCs w:val="20"/>
              </w:rPr>
              <w:t>Incremental cost per QALY</w:t>
            </w:r>
          </w:p>
        </w:tc>
      </w:tr>
      <w:tr w:rsidR="00717FE0" w:rsidRPr="00237EB5" w:rsidTr="00FD1FEB">
        <w:tc>
          <w:tcPr>
            <w:tcW w:w="2864" w:type="dxa"/>
          </w:tcPr>
          <w:p w:rsidR="00717FE0" w:rsidRPr="00237EB5" w:rsidRDefault="00717FE0" w:rsidP="001B36AA">
            <w:pPr>
              <w:pStyle w:val="Tabletext"/>
              <w:keepNext/>
              <w:rPr>
                <w:b/>
                <w:szCs w:val="20"/>
              </w:rPr>
            </w:pPr>
            <w:r w:rsidRPr="00237EB5">
              <w:rPr>
                <w:b/>
                <w:szCs w:val="20"/>
              </w:rPr>
              <w:t>Methods used to generate results</w:t>
            </w:r>
          </w:p>
        </w:tc>
        <w:tc>
          <w:tcPr>
            <w:tcW w:w="6392" w:type="dxa"/>
          </w:tcPr>
          <w:p w:rsidR="00717FE0" w:rsidRPr="00237EB5" w:rsidRDefault="00717FE0" w:rsidP="001B36AA">
            <w:pPr>
              <w:pStyle w:val="Tabletext"/>
              <w:keepNext/>
              <w:rPr>
                <w:szCs w:val="20"/>
              </w:rPr>
            </w:pPr>
            <w:r w:rsidRPr="00237EB5">
              <w:rPr>
                <w:szCs w:val="20"/>
              </w:rPr>
              <w:t>Simple cost-effectiveness model</w:t>
            </w:r>
          </w:p>
        </w:tc>
      </w:tr>
      <w:tr w:rsidR="00717FE0" w:rsidRPr="00237EB5" w:rsidTr="00FD1FEB">
        <w:tc>
          <w:tcPr>
            <w:tcW w:w="2864" w:type="dxa"/>
          </w:tcPr>
          <w:p w:rsidR="00717FE0" w:rsidRPr="00237EB5" w:rsidRDefault="00717FE0" w:rsidP="001B36AA">
            <w:pPr>
              <w:pStyle w:val="Tabletext"/>
              <w:keepNext/>
              <w:rPr>
                <w:b/>
                <w:szCs w:val="20"/>
              </w:rPr>
            </w:pPr>
            <w:r w:rsidRPr="00237EB5">
              <w:rPr>
                <w:b/>
                <w:szCs w:val="20"/>
              </w:rPr>
              <w:t>Health states</w:t>
            </w:r>
          </w:p>
        </w:tc>
        <w:tc>
          <w:tcPr>
            <w:tcW w:w="6392" w:type="dxa"/>
          </w:tcPr>
          <w:p w:rsidR="00717FE0" w:rsidRPr="00237EB5" w:rsidRDefault="00717FE0" w:rsidP="001B36AA">
            <w:pPr>
              <w:pStyle w:val="Tabletext"/>
              <w:keepNext/>
              <w:rPr>
                <w:szCs w:val="20"/>
              </w:rPr>
            </w:pPr>
            <w:r w:rsidRPr="00237EB5">
              <w:rPr>
                <w:szCs w:val="20"/>
              </w:rPr>
              <w:t>Patients adherent to HbA1c test request; Patients non-adherent to HbA1c test request; Patient has diagnosed diabetes; Patient has undiagnosed diabetes; Patient does not have diabetes; Controlled diabetes; Uncontrolled diabetes</w:t>
            </w:r>
          </w:p>
        </w:tc>
      </w:tr>
      <w:tr w:rsidR="00717FE0" w:rsidRPr="00237EB5" w:rsidTr="00FD1FEB">
        <w:tc>
          <w:tcPr>
            <w:tcW w:w="2864" w:type="dxa"/>
          </w:tcPr>
          <w:p w:rsidR="00717FE0" w:rsidRPr="00237EB5" w:rsidRDefault="00717FE0" w:rsidP="001B36AA">
            <w:pPr>
              <w:pStyle w:val="Tabletext"/>
              <w:keepNext/>
              <w:rPr>
                <w:b/>
                <w:szCs w:val="20"/>
              </w:rPr>
            </w:pPr>
            <w:r w:rsidRPr="00237EB5">
              <w:rPr>
                <w:b/>
                <w:szCs w:val="20"/>
              </w:rPr>
              <w:t>Cycle length</w:t>
            </w:r>
          </w:p>
        </w:tc>
        <w:tc>
          <w:tcPr>
            <w:tcW w:w="6392" w:type="dxa"/>
          </w:tcPr>
          <w:p w:rsidR="00717FE0" w:rsidRPr="00237EB5" w:rsidRDefault="00717FE0" w:rsidP="001B36AA">
            <w:pPr>
              <w:pStyle w:val="Tabletext"/>
              <w:keepNext/>
              <w:rPr>
                <w:szCs w:val="20"/>
              </w:rPr>
            </w:pPr>
            <w:r w:rsidRPr="00237EB5">
              <w:rPr>
                <w:szCs w:val="20"/>
              </w:rPr>
              <w:t>3 months</w:t>
            </w:r>
          </w:p>
        </w:tc>
      </w:tr>
      <w:tr w:rsidR="00717FE0" w:rsidRPr="00237EB5" w:rsidTr="00FD1FEB">
        <w:tc>
          <w:tcPr>
            <w:tcW w:w="2864" w:type="dxa"/>
          </w:tcPr>
          <w:p w:rsidR="00717FE0" w:rsidRPr="00237EB5" w:rsidRDefault="00717FE0" w:rsidP="001B36AA">
            <w:pPr>
              <w:pStyle w:val="Tabletext"/>
              <w:rPr>
                <w:b/>
                <w:szCs w:val="20"/>
              </w:rPr>
            </w:pPr>
            <w:r w:rsidRPr="00237EB5">
              <w:rPr>
                <w:b/>
                <w:szCs w:val="20"/>
              </w:rPr>
              <w:t>Discount rate</w:t>
            </w:r>
          </w:p>
        </w:tc>
        <w:tc>
          <w:tcPr>
            <w:tcW w:w="6392" w:type="dxa"/>
          </w:tcPr>
          <w:p w:rsidR="00717FE0" w:rsidRPr="00237EB5" w:rsidRDefault="00717FE0" w:rsidP="001B36AA">
            <w:pPr>
              <w:pStyle w:val="Tabletext"/>
              <w:rPr>
                <w:szCs w:val="20"/>
              </w:rPr>
            </w:pPr>
            <w:r w:rsidRPr="00237EB5">
              <w:rPr>
                <w:szCs w:val="20"/>
              </w:rPr>
              <w:t>Not applicable</w:t>
            </w:r>
          </w:p>
        </w:tc>
      </w:tr>
      <w:tr w:rsidR="00717FE0" w:rsidRPr="00237EB5" w:rsidTr="00FD1FEB">
        <w:tc>
          <w:tcPr>
            <w:tcW w:w="2864" w:type="dxa"/>
          </w:tcPr>
          <w:p w:rsidR="00717FE0" w:rsidRPr="00237EB5" w:rsidRDefault="00717FE0" w:rsidP="001B36AA">
            <w:pPr>
              <w:pStyle w:val="Tabletext"/>
              <w:rPr>
                <w:b/>
                <w:szCs w:val="20"/>
              </w:rPr>
            </w:pPr>
            <w:r w:rsidRPr="00237EB5">
              <w:rPr>
                <w:b/>
                <w:szCs w:val="20"/>
              </w:rPr>
              <w:t>Software packages used</w:t>
            </w:r>
          </w:p>
        </w:tc>
        <w:tc>
          <w:tcPr>
            <w:tcW w:w="6392" w:type="dxa"/>
          </w:tcPr>
          <w:p w:rsidR="00717FE0" w:rsidRPr="00237EB5" w:rsidRDefault="00717FE0" w:rsidP="001B36AA">
            <w:pPr>
              <w:pStyle w:val="Tabletext"/>
              <w:rPr>
                <w:szCs w:val="20"/>
              </w:rPr>
            </w:pPr>
            <w:r w:rsidRPr="00237EB5">
              <w:rPr>
                <w:szCs w:val="20"/>
              </w:rPr>
              <w:t>Microsoft Excel 2010</w:t>
            </w:r>
          </w:p>
        </w:tc>
      </w:tr>
    </w:tbl>
    <w:p w:rsidR="00717FE0" w:rsidRDefault="00717FE0" w:rsidP="00237EB5">
      <w:pPr>
        <w:pStyle w:val="Tablenotes"/>
      </w:pPr>
      <w:r w:rsidRPr="00237EB5">
        <w:rPr>
          <w:i/>
        </w:rPr>
        <w:t>Abbreviations:</w:t>
      </w:r>
      <w:r w:rsidRPr="00237EB5">
        <w:t xml:space="preserve"> HbA1c, glycated haemoglobin; MBS, Medicare Benefits Schedule; </w:t>
      </w:r>
      <w:proofErr w:type="spellStart"/>
      <w:r w:rsidRPr="00237EB5">
        <w:t>P</w:t>
      </w:r>
      <w:r w:rsidR="001B36AA" w:rsidRPr="00237EB5">
        <w:t>o</w:t>
      </w:r>
      <w:r w:rsidRPr="00237EB5">
        <w:t>C</w:t>
      </w:r>
      <w:proofErr w:type="spellEnd"/>
      <w:r w:rsidRPr="00237EB5">
        <w:t>, point of care; QALY, quality adjusted life year</w:t>
      </w:r>
    </w:p>
    <w:p w:rsidR="00237EB5" w:rsidRPr="00237EB5" w:rsidRDefault="00237EB5" w:rsidP="00237EB5">
      <w:pPr>
        <w:pStyle w:val="BodyTextSTD"/>
        <w:spacing w:line="240" w:lineRule="auto"/>
        <w:jc w:val="left"/>
        <w:rPr>
          <w:rFonts w:ascii="Times New Roman" w:hAnsi="Times New Roman" w:cs="Times New Roman"/>
          <w:sz w:val="24"/>
          <w:szCs w:val="24"/>
        </w:rPr>
      </w:pPr>
      <w:r w:rsidRPr="00237EB5">
        <w:rPr>
          <w:rFonts w:ascii="Times New Roman" w:hAnsi="Times New Roman" w:cs="Times New Roman"/>
          <w:sz w:val="24"/>
          <w:szCs w:val="24"/>
        </w:rPr>
        <w:t>The overall costs and outcomes, and incremental costs and outcomes as calculated for the test and comparator in the model, with the base case assumptions for the diagnosis of diabetes</w:t>
      </w:r>
      <w:r w:rsidR="00437F17">
        <w:rPr>
          <w:rFonts w:ascii="Times New Roman" w:hAnsi="Times New Roman" w:cs="Times New Roman"/>
          <w:sz w:val="24"/>
          <w:szCs w:val="24"/>
        </w:rPr>
        <w:t>,</w:t>
      </w:r>
      <w:r w:rsidRPr="00237EB5">
        <w:rPr>
          <w:rFonts w:ascii="Times New Roman" w:hAnsi="Times New Roman" w:cs="Times New Roman"/>
          <w:sz w:val="24"/>
          <w:szCs w:val="24"/>
        </w:rPr>
        <w:t xml:space="preserve"> are shown in</w:t>
      </w:r>
      <w:r>
        <w:rPr>
          <w:rFonts w:ascii="Times New Roman" w:hAnsi="Times New Roman" w:cs="Times New Roman"/>
          <w:sz w:val="24"/>
          <w:szCs w:val="24"/>
        </w:rPr>
        <w:t xml:space="preserve"> Table 3.</w:t>
      </w:r>
    </w:p>
    <w:p w:rsidR="00237EB5" w:rsidRPr="00FD1FEB" w:rsidRDefault="00237EB5" w:rsidP="00FD1FEB">
      <w:pPr>
        <w:rPr>
          <w:rFonts w:ascii="Arial Narrow" w:hAnsi="Arial Narrow"/>
          <w:b/>
          <w:sz w:val="20"/>
          <w:u w:val="single"/>
        </w:rPr>
      </w:pPr>
      <w:bookmarkStart w:id="32" w:name="_Ref473894934"/>
      <w:r w:rsidRPr="00FD1FEB">
        <w:rPr>
          <w:rFonts w:ascii="Arial Narrow" w:hAnsi="Arial Narrow"/>
          <w:b/>
          <w:sz w:val="20"/>
        </w:rPr>
        <w:t xml:space="preserve">Table </w:t>
      </w:r>
      <w:bookmarkEnd w:id="32"/>
      <w:r w:rsidRPr="00FD1FEB">
        <w:rPr>
          <w:rFonts w:ascii="Arial Narrow" w:hAnsi="Arial Narrow"/>
          <w:b/>
          <w:sz w:val="20"/>
        </w:rPr>
        <w:t>3</w:t>
      </w:r>
      <w:r w:rsidRPr="00FD1FEB">
        <w:rPr>
          <w:rFonts w:ascii="Arial Narrow" w:hAnsi="Arial Narrow"/>
          <w:b/>
          <w:sz w:val="20"/>
        </w:rPr>
        <w:tab/>
        <w:t xml:space="preserve">Incremental cost-effectiveness ratio – </w:t>
      </w:r>
      <w:r w:rsidR="0067110D" w:rsidRPr="00FD1FEB">
        <w:rPr>
          <w:rFonts w:ascii="Arial Narrow" w:hAnsi="Arial Narrow"/>
          <w:b/>
          <w:sz w:val="20"/>
        </w:rPr>
        <w:t xml:space="preserve">HbA1c-based </w:t>
      </w:r>
      <w:r w:rsidRPr="00FD1FEB">
        <w:rPr>
          <w:rFonts w:ascii="Arial Narrow" w:hAnsi="Arial Narrow"/>
          <w:b/>
          <w:sz w:val="20"/>
        </w:rPr>
        <w:t>diagnosis of diabetes</w:t>
      </w:r>
    </w:p>
    <w:tbl>
      <w:tblPr>
        <w:tblStyle w:val="TableGrid"/>
        <w:tblW w:w="5000" w:type="pct"/>
        <w:tblLook w:val="04A0" w:firstRow="1" w:lastRow="0" w:firstColumn="1" w:lastColumn="0" w:noHBand="0" w:noVBand="1"/>
        <w:tblDescription w:val="Incremental cost-effectiveness ratio for diagnosis of diabetes"/>
      </w:tblPr>
      <w:tblGrid>
        <w:gridCol w:w="2660"/>
        <w:gridCol w:w="1843"/>
        <w:gridCol w:w="3055"/>
        <w:gridCol w:w="1684"/>
      </w:tblGrid>
      <w:tr w:rsidR="00237EB5" w:rsidRPr="00534C47" w:rsidTr="00FD1FEB">
        <w:trPr>
          <w:trHeight w:val="282"/>
          <w:tblHeader/>
        </w:trPr>
        <w:tc>
          <w:tcPr>
            <w:tcW w:w="1439" w:type="pct"/>
          </w:tcPr>
          <w:p w:rsidR="00237EB5" w:rsidRPr="00534C47" w:rsidRDefault="00237EB5" w:rsidP="00150ECC">
            <w:pPr>
              <w:pStyle w:val="TableHeading"/>
              <w:spacing w:before="0" w:after="0"/>
            </w:pPr>
            <w:r w:rsidRPr="00534C47">
              <w:t>Resource item description</w:t>
            </w:r>
          </w:p>
        </w:tc>
        <w:tc>
          <w:tcPr>
            <w:tcW w:w="997" w:type="pct"/>
          </w:tcPr>
          <w:p w:rsidR="00237EB5" w:rsidRPr="00534C47" w:rsidRDefault="00237EB5" w:rsidP="00150ECC">
            <w:pPr>
              <w:pStyle w:val="TableHeading"/>
              <w:spacing w:before="0" w:after="0"/>
            </w:pPr>
            <w:r w:rsidRPr="00534C47">
              <w:t>P</w:t>
            </w:r>
            <w:r w:rsidR="001B36AA" w:rsidRPr="00534C47">
              <w:t>o</w:t>
            </w:r>
            <w:r w:rsidRPr="00534C47">
              <w:t>C testing</w:t>
            </w:r>
          </w:p>
        </w:tc>
        <w:tc>
          <w:tcPr>
            <w:tcW w:w="1653" w:type="pct"/>
          </w:tcPr>
          <w:p w:rsidR="00237EB5" w:rsidRPr="00534C47" w:rsidRDefault="00237EB5" w:rsidP="00150ECC">
            <w:pPr>
              <w:pStyle w:val="TableHeading"/>
              <w:spacing w:before="0" w:after="0"/>
              <w:ind w:left="0" w:firstLine="0"/>
            </w:pPr>
            <w:r w:rsidRPr="00534C47">
              <w:t>Pathology laboratory testing</w:t>
            </w:r>
          </w:p>
        </w:tc>
        <w:tc>
          <w:tcPr>
            <w:tcW w:w="911" w:type="pct"/>
          </w:tcPr>
          <w:p w:rsidR="00237EB5" w:rsidRPr="00534C47" w:rsidRDefault="00237EB5" w:rsidP="00150ECC">
            <w:pPr>
              <w:pStyle w:val="TableHeading"/>
              <w:spacing w:before="0" w:after="0"/>
            </w:pPr>
            <w:r w:rsidRPr="00534C47">
              <w:t>Incremental</w:t>
            </w:r>
          </w:p>
        </w:tc>
      </w:tr>
      <w:tr w:rsidR="00237EB5" w:rsidRPr="00534C47" w:rsidTr="00FD1FEB">
        <w:tc>
          <w:tcPr>
            <w:tcW w:w="1439" w:type="pct"/>
          </w:tcPr>
          <w:p w:rsidR="00237EB5" w:rsidRPr="00534C47" w:rsidRDefault="00237EB5" w:rsidP="00150ECC">
            <w:pPr>
              <w:pStyle w:val="TableText1"/>
              <w:spacing w:before="0" w:after="0"/>
              <w:rPr>
                <w:b/>
                <w:sz w:val="20"/>
                <w:szCs w:val="20"/>
                <w:vertAlign w:val="superscript"/>
              </w:rPr>
            </w:pPr>
            <w:r w:rsidRPr="00534C47">
              <w:rPr>
                <w:b/>
                <w:sz w:val="20"/>
                <w:szCs w:val="20"/>
              </w:rPr>
              <w:t>12 months</w:t>
            </w:r>
          </w:p>
        </w:tc>
        <w:tc>
          <w:tcPr>
            <w:tcW w:w="997" w:type="pct"/>
          </w:tcPr>
          <w:p w:rsidR="00237EB5" w:rsidRPr="00534C47" w:rsidRDefault="00237EB5" w:rsidP="00150ECC">
            <w:pPr>
              <w:pStyle w:val="TableText1"/>
              <w:spacing w:before="0" w:after="0"/>
              <w:rPr>
                <w:sz w:val="20"/>
                <w:szCs w:val="20"/>
              </w:rPr>
            </w:pPr>
          </w:p>
        </w:tc>
        <w:tc>
          <w:tcPr>
            <w:tcW w:w="1653" w:type="pct"/>
          </w:tcPr>
          <w:p w:rsidR="00237EB5" w:rsidRPr="00534C47" w:rsidRDefault="00237EB5" w:rsidP="00150ECC">
            <w:pPr>
              <w:pStyle w:val="TableText1"/>
              <w:spacing w:before="0" w:after="0"/>
              <w:rPr>
                <w:sz w:val="20"/>
                <w:szCs w:val="20"/>
              </w:rPr>
            </w:pPr>
          </w:p>
        </w:tc>
        <w:tc>
          <w:tcPr>
            <w:tcW w:w="911" w:type="pct"/>
          </w:tcPr>
          <w:p w:rsidR="00237EB5" w:rsidRPr="00534C47" w:rsidRDefault="00237EB5" w:rsidP="00150ECC">
            <w:pPr>
              <w:pStyle w:val="TableText1"/>
              <w:spacing w:before="0" w:after="0"/>
              <w:rPr>
                <w:sz w:val="20"/>
                <w:szCs w:val="20"/>
              </w:rPr>
            </w:pPr>
          </w:p>
        </w:tc>
      </w:tr>
      <w:tr w:rsidR="00237EB5" w:rsidRPr="00534C47" w:rsidTr="00FD1FEB">
        <w:tc>
          <w:tcPr>
            <w:tcW w:w="1439" w:type="pct"/>
          </w:tcPr>
          <w:p w:rsidR="00237EB5" w:rsidRPr="00534C47" w:rsidRDefault="00237EB5" w:rsidP="00150ECC">
            <w:pPr>
              <w:pStyle w:val="TableText1"/>
              <w:spacing w:before="0" w:after="0"/>
              <w:rPr>
                <w:sz w:val="20"/>
                <w:szCs w:val="20"/>
                <w:lang w:val="en-US"/>
              </w:rPr>
            </w:pPr>
            <w:r w:rsidRPr="00534C47">
              <w:rPr>
                <w:sz w:val="20"/>
                <w:szCs w:val="20"/>
                <w:lang w:val="en-US"/>
              </w:rPr>
              <w:t>Cost</w:t>
            </w:r>
          </w:p>
        </w:tc>
        <w:tc>
          <w:tcPr>
            <w:tcW w:w="997" w:type="pct"/>
          </w:tcPr>
          <w:p w:rsidR="00237EB5" w:rsidRPr="00534C47" w:rsidRDefault="00237EB5" w:rsidP="00150ECC">
            <w:pPr>
              <w:pStyle w:val="TableText1"/>
              <w:spacing w:before="0" w:after="0"/>
              <w:jc w:val="center"/>
              <w:rPr>
                <w:sz w:val="20"/>
                <w:szCs w:val="20"/>
              </w:rPr>
            </w:pPr>
            <w:r w:rsidRPr="00534C47">
              <w:rPr>
                <w:sz w:val="20"/>
                <w:szCs w:val="20"/>
              </w:rPr>
              <w:t>$</w:t>
            </w:r>
            <w:r w:rsidR="00534C47" w:rsidRPr="00534C47">
              <w:rPr>
                <w:rFonts w:eastAsia="Calibri"/>
                <w:b/>
                <w:sz w:val="20"/>
                <w:szCs w:val="20"/>
              </w:rPr>
              <w:t>redacted</w:t>
            </w:r>
          </w:p>
        </w:tc>
        <w:tc>
          <w:tcPr>
            <w:tcW w:w="1653" w:type="pct"/>
          </w:tcPr>
          <w:p w:rsidR="00237EB5" w:rsidRPr="00534C47" w:rsidRDefault="00237EB5" w:rsidP="00150ECC">
            <w:pPr>
              <w:pStyle w:val="TableText1"/>
              <w:spacing w:before="0" w:after="0"/>
              <w:jc w:val="center"/>
              <w:rPr>
                <w:sz w:val="20"/>
                <w:szCs w:val="20"/>
              </w:rPr>
            </w:pPr>
            <w:r w:rsidRPr="00534C47">
              <w:rPr>
                <w:sz w:val="20"/>
                <w:szCs w:val="20"/>
              </w:rPr>
              <w:t>$</w:t>
            </w:r>
            <w:r w:rsidR="00534C47" w:rsidRPr="00534C47">
              <w:rPr>
                <w:rFonts w:eastAsia="Calibri"/>
                <w:b/>
                <w:sz w:val="20"/>
                <w:szCs w:val="20"/>
              </w:rPr>
              <w:t>redacted</w:t>
            </w:r>
          </w:p>
        </w:tc>
        <w:tc>
          <w:tcPr>
            <w:tcW w:w="911" w:type="pct"/>
          </w:tcPr>
          <w:p w:rsidR="00237EB5" w:rsidRPr="00534C47" w:rsidRDefault="00534C47" w:rsidP="00150ECC">
            <w:pPr>
              <w:pStyle w:val="TableText1"/>
              <w:spacing w:before="0" w:after="0"/>
              <w:jc w:val="center"/>
              <w:rPr>
                <w:sz w:val="20"/>
                <w:szCs w:val="20"/>
              </w:rPr>
            </w:pPr>
            <w:r w:rsidRPr="00534C47">
              <w:rPr>
                <w:rFonts w:eastAsia="Calibri"/>
                <w:b/>
                <w:sz w:val="20"/>
                <w:szCs w:val="20"/>
              </w:rPr>
              <w:t>redacted</w:t>
            </w:r>
          </w:p>
        </w:tc>
      </w:tr>
      <w:tr w:rsidR="00237EB5" w:rsidRPr="00534C47" w:rsidTr="00FD1FEB">
        <w:tc>
          <w:tcPr>
            <w:tcW w:w="1439" w:type="pct"/>
          </w:tcPr>
          <w:p w:rsidR="00237EB5" w:rsidRPr="00534C47" w:rsidRDefault="00237EB5" w:rsidP="00150ECC">
            <w:pPr>
              <w:pStyle w:val="TableText1"/>
              <w:spacing w:before="0" w:after="0"/>
              <w:rPr>
                <w:sz w:val="20"/>
                <w:szCs w:val="20"/>
                <w:lang w:val="en-US"/>
              </w:rPr>
            </w:pPr>
            <w:r w:rsidRPr="00534C47">
              <w:rPr>
                <w:sz w:val="20"/>
                <w:szCs w:val="20"/>
                <w:lang w:val="en-US"/>
              </w:rPr>
              <w:t>Effect (QALYs)</w:t>
            </w:r>
          </w:p>
        </w:tc>
        <w:tc>
          <w:tcPr>
            <w:tcW w:w="997" w:type="pct"/>
          </w:tcPr>
          <w:p w:rsidR="00237EB5" w:rsidRPr="00534C47" w:rsidRDefault="00237EB5" w:rsidP="00150ECC">
            <w:pPr>
              <w:pStyle w:val="TableText1"/>
              <w:spacing w:before="0" w:after="0"/>
              <w:jc w:val="center"/>
              <w:rPr>
                <w:sz w:val="20"/>
                <w:szCs w:val="20"/>
              </w:rPr>
            </w:pPr>
            <w:r w:rsidRPr="00534C47">
              <w:rPr>
                <w:sz w:val="20"/>
                <w:szCs w:val="20"/>
              </w:rPr>
              <w:t>0.8840</w:t>
            </w:r>
          </w:p>
        </w:tc>
        <w:tc>
          <w:tcPr>
            <w:tcW w:w="1653" w:type="pct"/>
          </w:tcPr>
          <w:p w:rsidR="00237EB5" w:rsidRPr="00534C47" w:rsidRDefault="00237EB5" w:rsidP="00150ECC">
            <w:pPr>
              <w:pStyle w:val="TableText1"/>
              <w:spacing w:before="0" w:after="0"/>
              <w:jc w:val="center"/>
              <w:rPr>
                <w:sz w:val="20"/>
                <w:szCs w:val="20"/>
              </w:rPr>
            </w:pPr>
            <w:r w:rsidRPr="00534C47">
              <w:rPr>
                <w:sz w:val="20"/>
                <w:szCs w:val="20"/>
              </w:rPr>
              <w:t>0.8836</w:t>
            </w:r>
          </w:p>
        </w:tc>
        <w:tc>
          <w:tcPr>
            <w:tcW w:w="911" w:type="pct"/>
          </w:tcPr>
          <w:p w:rsidR="00237EB5" w:rsidRPr="00534C47" w:rsidRDefault="00237EB5" w:rsidP="00150ECC">
            <w:pPr>
              <w:pStyle w:val="TableText1"/>
              <w:spacing w:before="0" w:after="0"/>
              <w:jc w:val="center"/>
              <w:rPr>
                <w:sz w:val="20"/>
                <w:szCs w:val="20"/>
              </w:rPr>
            </w:pPr>
            <w:r w:rsidRPr="00534C47">
              <w:rPr>
                <w:sz w:val="20"/>
                <w:szCs w:val="20"/>
              </w:rPr>
              <w:t>0.0004</w:t>
            </w:r>
          </w:p>
        </w:tc>
      </w:tr>
      <w:tr w:rsidR="00237EB5" w:rsidRPr="00534C47" w:rsidTr="00FD1FEB">
        <w:tc>
          <w:tcPr>
            <w:tcW w:w="1439" w:type="pct"/>
          </w:tcPr>
          <w:p w:rsidR="00237EB5" w:rsidRPr="00534C47" w:rsidRDefault="00237EB5" w:rsidP="00150ECC">
            <w:pPr>
              <w:pStyle w:val="TableText1"/>
              <w:spacing w:before="0" w:after="0"/>
              <w:rPr>
                <w:sz w:val="20"/>
                <w:szCs w:val="20"/>
                <w:lang w:val="en-US"/>
              </w:rPr>
            </w:pPr>
          </w:p>
        </w:tc>
        <w:tc>
          <w:tcPr>
            <w:tcW w:w="997" w:type="pct"/>
          </w:tcPr>
          <w:p w:rsidR="00237EB5" w:rsidRPr="00534C47" w:rsidRDefault="00237EB5" w:rsidP="00150ECC">
            <w:pPr>
              <w:pStyle w:val="TableText1"/>
              <w:spacing w:before="0" w:after="0"/>
              <w:jc w:val="center"/>
              <w:rPr>
                <w:sz w:val="20"/>
                <w:szCs w:val="20"/>
              </w:rPr>
            </w:pPr>
          </w:p>
        </w:tc>
        <w:tc>
          <w:tcPr>
            <w:tcW w:w="1653" w:type="pct"/>
          </w:tcPr>
          <w:p w:rsidR="00237EB5" w:rsidRPr="00534C47" w:rsidRDefault="00237EB5" w:rsidP="00150ECC">
            <w:pPr>
              <w:pStyle w:val="TableText1"/>
              <w:spacing w:before="0" w:after="0"/>
              <w:jc w:val="center"/>
              <w:rPr>
                <w:sz w:val="20"/>
                <w:szCs w:val="20"/>
              </w:rPr>
            </w:pPr>
            <w:r w:rsidRPr="00534C47">
              <w:rPr>
                <w:b/>
                <w:sz w:val="20"/>
                <w:szCs w:val="20"/>
              </w:rPr>
              <w:t>Incremental cost per QALY gained</w:t>
            </w:r>
          </w:p>
        </w:tc>
        <w:tc>
          <w:tcPr>
            <w:tcW w:w="911" w:type="pct"/>
          </w:tcPr>
          <w:p w:rsidR="00237EB5" w:rsidRPr="00534C47" w:rsidRDefault="00237EB5" w:rsidP="00150ECC">
            <w:pPr>
              <w:pStyle w:val="TableText1"/>
              <w:spacing w:before="0" w:after="0"/>
              <w:jc w:val="center"/>
              <w:rPr>
                <w:sz w:val="20"/>
                <w:szCs w:val="20"/>
              </w:rPr>
            </w:pPr>
            <w:r w:rsidRPr="00534C47">
              <w:rPr>
                <w:rFonts w:cs="Calibri"/>
                <w:b/>
                <w:i/>
                <w:sz w:val="20"/>
                <w:szCs w:val="20"/>
              </w:rPr>
              <w:t>DOMINANT</w:t>
            </w:r>
          </w:p>
        </w:tc>
      </w:tr>
    </w:tbl>
    <w:p w:rsidR="00237EB5" w:rsidRPr="00237EB5" w:rsidRDefault="00237EB5" w:rsidP="00237EB5">
      <w:pPr>
        <w:pStyle w:val="Tablenotes"/>
      </w:pPr>
      <w:r w:rsidRPr="00237EB5">
        <w:rPr>
          <w:i/>
        </w:rPr>
        <w:t>Abbreviations:</w:t>
      </w:r>
      <w:r w:rsidRPr="00237EB5">
        <w:t xml:space="preserve"> </w:t>
      </w:r>
      <w:proofErr w:type="spellStart"/>
      <w:r w:rsidRPr="00237EB5">
        <w:t>P</w:t>
      </w:r>
      <w:r w:rsidR="001B36AA" w:rsidRPr="00237EB5">
        <w:t>o</w:t>
      </w:r>
      <w:r w:rsidRPr="00237EB5">
        <w:t>C</w:t>
      </w:r>
      <w:proofErr w:type="spellEnd"/>
      <w:r w:rsidRPr="00237EB5">
        <w:t>, point of care; QALY, quality adjusted life year</w:t>
      </w:r>
    </w:p>
    <w:p w:rsidR="00717FE0" w:rsidRPr="0053162C" w:rsidRDefault="00237EB5" w:rsidP="006E73D1">
      <w:pPr>
        <w:tabs>
          <w:tab w:val="left" w:pos="709"/>
        </w:tabs>
        <w:spacing w:after="240"/>
        <w:rPr>
          <w:szCs w:val="24"/>
        </w:rPr>
      </w:pPr>
      <w:r w:rsidRPr="000D40B7">
        <w:t xml:space="preserve">The </w:t>
      </w:r>
      <w:r>
        <w:t xml:space="preserve">critique noted that the </w:t>
      </w:r>
      <w:r w:rsidRPr="000D40B7">
        <w:t>base</w:t>
      </w:r>
      <w:r>
        <w:t xml:space="preserve"> case result for the diagnosis of diabetes model showed</w:t>
      </w:r>
      <w:r w:rsidRPr="000D40B7">
        <w:t xml:space="preserve"> </w:t>
      </w:r>
      <w:r>
        <w:t>that HbA1c</w:t>
      </w:r>
      <w:r w:rsidRPr="000D40B7">
        <w:t xml:space="preserve"> </w:t>
      </w:r>
      <w:proofErr w:type="spellStart"/>
      <w:r w:rsidR="001B36AA">
        <w:t>PoC</w:t>
      </w:r>
      <w:proofErr w:type="spellEnd"/>
      <w:r w:rsidR="001B36AA">
        <w:t xml:space="preserve"> </w:t>
      </w:r>
      <w:r w:rsidRPr="000D40B7">
        <w:t>testing is dominant for diabetes diagnosis</w:t>
      </w:r>
      <w:r>
        <w:t xml:space="preserve"> over 12 months</w:t>
      </w:r>
      <w:r w:rsidR="0053162C" w:rsidRPr="00237EB5">
        <w:rPr>
          <w:szCs w:val="24"/>
        </w:rPr>
        <w:t xml:space="preserve"> (</w:t>
      </w:r>
      <w:proofErr w:type="spellStart"/>
      <w:r w:rsidR="0053162C" w:rsidRPr="00237EB5">
        <w:rPr>
          <w:szCs w:val="24"/>
        </w:rPr>
        <w:t>ie</w:t>
      </w:r>
      <w:proofErr w:type="spellEnd"/>
      <w:r w:rsidR="0053162C" w:rsidRPr="00237EB5">
        <w:rPr>
          <w:szCs w:val="24"/>
        </w:rPr>
        <w:t xml:space="preserve"> more effective and less costly than HbA1c laboratory testing)</w:t>
      </w:r>
      <w:r>
        <w:t>.</w:t>
      </w:r>
      <w:r w:rsidRPr="000D40B7">
        <w:t xml:space="preserve"> </w:t>
      </w:r>
      <w:r w:rsidR="003D4225">
        <w:t>The d</w:t>
      </w:r>
      <w:r>
        <w:t xml:space="preserve">iagnosis </w:t>
      </w:r>
      <w:r w:rsidR="003D4225">
        <w:t xml:space="preserve">of diabetes </w:t>
      </w:r>
      <w:r>
        <w:t xml:space="preserve">model results are driven by the cost saving from </w:t>
      </w:r>
      <w:proofErr w:type="spellStart"/>
      <w:r>
        <w:t>PoC</w:t>
      </w:r>
      <w:proofErr w:type="spellEnd"/>
      <w:r>
        <w:t xml:space="preserve"> </w:t>
      </w:r>
      <w:r w:rsidR="0053162C">
        <w:t xml:space="preserve">testing </w:t>
      </w:r>
      <w:r>
        <w:t>involving less GP visits</w:t>
      </w:r>
      <w:r w:rsidR="0053162C">
        <w:t xml:space="preserve"> than laboratory testing</w:t>
      </w:r>
      <w:r>
        <w:t>.</w:t>
      </w:r>
    </w:p>
    <w:p w:rsidR="003D4225" w:rsidRPr="003D4225" w:rsidRDefault="003D4225" w:rsidP="003D4225">
      <w:pPr>
        <w:pStyle w:val="Heading5underline"/>
        <w:spacing w:after="0" w:line="240" w:lineRule="auto"/>
        <w:rPr>
          <w:rFonts w:ascii="Times New Roman" w:hAnsi="Times New Roman" w:cs="Times New Roman"/>
          <w:sz w:val="24"/>
          <w:szCs w:val="24"/>
        </w:rPr>
      </w:pPr>
      <w:r w:rsidRPr="003D4225">
        <w:rPr>
          <w:rFonts w:ascii="Times New Roman" w:hAnsi="Times New Roman" w:cs="Times New Roman"/>
          <w:sz w:val="24"/>
          <w:szCs w:val="24"/>
        </w:rPr>
        <w:t>Model 2: Management of diabetes</w:t>
      </w:r>
    </w:p>
    <w:p w:rsidR="003D4225" w:rsidRPr="003D4225" w:rsidRDefault="003D4225" w:rsidP="003D4225">
      <w:pPr>
        <w:pStyle w:val="BodyTextSTD"/>
        <w:spacing w:after="0" w:line="240" w:lineRule="auto"/>
        <w:jc w:val="left"/>
        <w:rPr>
          <w:rFonts w:ascii="Times New Roman" w:hAnsi="Times New Roman" w:cs="Times New Roman"/>
          <w:sz w:val="24"/>
          <w:szCs w:val="24"/>
        </w:rPr>
      </w:pPr>
      <w:r w:rsidRPr="003D4225">
        <w:rPr>
          <w:rFonts w:ascii="Times New Roman" w:hAnsi="Times New Roman" w:cs="Times New Roman"/>
          <w:sz w:val="24"/>
          <w:szCs w:val="24"/>
        </w:rPr>
        <w:t>A stepped evaluation leading to a cost-utility analysis was undertaken:</w:t>
      </w:r>
    </w:p>
    <w:p w:rsidR="003D4225" w:rsidRPr="003D4225" w:rsidRDefault="003D4225" w:rsidP="003D4225">
      <w:pPr>
        <w:pStyle w:val="BodyTextSTD"/>
        <w:numPr>
          <w:ilvl w:val="0"/>
          <w:numId w:val="34"/>
        </w:numPr>
        <w:spacing w:after="0" w:line="240" w:lineRule="auto"/>
        <w:jc w:val="left"/>
        <w:rPr>
          <w:rFonts w:ascii="Times New Roman" w:hAnsi="Times New Roman" w:cs="Times New Roman"/>
          <w:sz w:val="24"/>
          <w:szCs w:val="24"/>
        </w:rPr>
      </w:pPr>
      <w:r w:rsidRPr="003D4225">
        <w:rPr>
          <w:rFonts w:ascii="Times New Roman" w:hAnsi="Times New Roman" w:cs="Times New Roman"/>
          <w:sz w:val="24"/>
          <w:szCs w:val="24"/>
        </w:rPr>
        <w:t>Step 1 – trial-based cost-effectiveness model (</w:t>
      </w:r>
      <w:proofErr w:type="spellStart"/>
      <w:r w:rsidRPr="003D4225">
        <w:rPr>
          <w:rFonts w:ascii="Times New Roman" w:hAnsi="Times New Roman" w:cs="Times New Roman"/>
          <w:sz w:val="24"/>
          <w:szCs w:val="24"/>
        </w:rPr>
        <w:t>ie</w:t>
      </w:r>
      <w:proofErr w:type="spellEnd"/>
      <w:r w:rsidRPr="003D4225">
        <w:rPr>
          <w:rFonts w:ascii="Times New Roman" w:hAnsi="Times New Roman" w:cs="Times New Roman"/>
          <w:sz w:val="24"/>
          <w:szCs w:val="24"/>
        </w:rPr>
        <w:t xml:space="preserve"> derived from the </w:t>
      </w:r>
      <w:proofErr w:type="spellStart"/>
      <w:r w:rsidRPr="003D4225">
        <w:rPr>
          <w:rFonts w:ascii="Times New Roman" w:hAnsi="Times New Roman" w:cs="Times New Roman"/>
          <w:sz w:val="24"/>
          <w:szCs w:val="24"/>
        </w:rPr>
        <w:t>P</w:t>
      </w:r>
      <w:r w:rsidR="001B36AA" w:rsidRPr="003D4225">
        <w:rPr>
          <w:rFonts w:ascii="Times New Roman" w:hAnsi="Times New Roman" w:cs="Times New Roman"/>
          <w:sz w:val="24"/>
          <w:szCs w:val="24"/>
        </w:rPr>
        <w:t>o</w:t>
      </w:r>
      <w:r w:rsidRPr="003D4225">
        <w:rPr>
          <w:rFonts w:ascii="Times New Roman" w:hAnsi="Times New Roman" w:cs="Times New Roman"/>
          <w:sz w:val="24"/>
          <w:szCs w:val="24"/>
        </w:rPr>
        <w:t>C</w:t>
      </w:r>
      <w:proofErr w:type="spellEnd"/>
      <w:r w:rsidRPr="003D4225">
        <w:rPr>
          <w:rFonts w:ascii="Times New Roman" w:hAnsi="Times New Roman" w:cs="Times New Roman"/>
          <w:sz w:val="24"/>
          <w:szCs w:val="24"/>
        </w:rPr>
        <w:t xml:space="preserve"> test GP trial results over 18 months) yielding an incremental cost per responder.</w:t>
      </w:r>
    </w:p>
    <w:p w:rsidR="003D4225" w:rsidRPr="003D4225" w:rsidRDefault="003D4225" w:rsidP="003D4225">
      <w:pPr>
        <w:pStyle w:val="BodyTextSTD"/>
        <w:numPr>
          <w:ilvl w:val="0"/>
          <w:numId w:val="34"/>
        </w:numPr>
        <w:spacing w:after="0" w:line="240" w:lineRule="auto"/>
        <w:jc w:val="left"/>
        <w:rPr>
          <w:rFonts w:ascii="Times New Roman" w:hAnsi="Times New Roman" w:cs="Times New Roman"/>
          <w:sz w:val="24"/>
          <w:szCs w:val="24"/>
        </w:rPr>
      </w:pPr>
      <w:r w:rsidRPr="003D4225">
        <w:rPr>
          <w:rFonts w:ascii="Times New Roman" w:hAnsi="Times New Roman" w:cs="Times New Roman"/>
          <w:sz w:val="24"/>
          <w:szCs w:val="24"/>
        </w:rPr>
        <w:t>Step 2 – a cost-utility model (</w:t>
      </w:r>
      <w:proofErr w:type="spellStart"/>
      <w:r w:rsidRPr="003D4225">
        <w:rPr>
          <w:rFonts w:ascii="Times New Roman" w:hAnsi="Times New Roman" w:cs="Times New Roman"/>
          <w:sz w:val="24"/>
          <w:szCs w:val="24"/>
        </w:rPr>
        <w:t>ie</w:t>
      </w:r>
      <w:proofErr w:type="spellEnd"/>
      <w:r w:rsidRPr="003D4225">
        <w:rPr>
          <w:rFonts w:ascii="Times New Roman" w:hAnsi="Times New Roman" w:cs="Times New Roman"/>
          <w:sz w:val="24"/>
          <w:szCs w:val="24"/>
        </w:rPr>
        <w:t xml:space="preserve"> derived from the </w:t>
      </w:r>
      <w:proofErr w:type="spellStart"/>
      <w:r w:rsidRPr="003D4225">
        <w:rPr>
          <w:rFonts w:ascii="Times New Roman" w:hAnsi="Times New Roman" w:cs="Times New Roman"/>
          <w:sz w:val="24"/>
          <w:szCs w:val="24"/>
        </w:rPr>
        <w:t>P</w:t>
      </w:r>
      <w:r w:rsidR="001B36AA" w:rsidRPr="003D4225">
        <w:rPr>
          <w:rFonts w:ascii="Times New Roman" w:hAnsi="Times New Roman" w:cs="Times New Roman"/>
          <w:sz w:val="24"/>
          <w:szCs w:val="24"/>
        </w:rPr>
        <w:t>o</w:t>
      </w:r>
      <w:r w:rsidRPr="003D4225">
        <w:rPr>
          <w:rFonts w:ascii="Times New Roman" w:hAnsi="Times New Roman" w:cs="Times New Roman"/>
          <w:sz w:val="24"/>
          <w:szCs w:val="24"/>
        </w:rPr>
        <w:t>C</w:t>
      </w:r>
      <w:proofErr w:type="spellEnd"/>
      <w:r w:rsidRPr="003D4225">
        <w:rPr>
          <w:rFonts w:ascii="Times New Roman" w:hAnsi="Times New Roman" w:cs="Times New Roman"/>
          <w:sz w:val="24"/>
          <w:szCs w:val="24"/>
        </w:rPr>
        <w:t xml:space="preserve"> test GP trial results over 18 months, and associated utility values) yielding an incremental cost per QALY.</w:t>
      </w:r>
    </w:p>
    <w:p w:rsidR="003D4225" w:rsidRPr="003D4225" w:rsidRDefault="003D4225" w:rsidP="003D4225">
      <w:pPr>
        <w:pStyle w:val="BodyTextSTD"/>
        <w:numPr>
          <w:ilvl w:val="0"/>
          <w:numId w:val="34"/>
        </w:numPr>
        <w:spacing w:line="240" w:lineRule="auto"/>
        <w:jc w:val="left"/>
        <w:rPr>
          <w:rFonts w:ascii="Times New Roman" w:hAnsi="Times New Roman" w:cs="Times New Roman"/>
          <w:sz w:val="24"/>
          <w:szCs w:val="24"/>
        </w:rPr>
      </w:pPr>
      <w:r w:rsidRPr="003D4225">
        <w:rPr>
          <w:rFonts w:ascii="Times New Roman" w:hAnsi="Times New Roman" w:cs="Times New Roman"/>
          <w:sz w:val="24"/>
          <w:szCs w:val="24"/>
        </w:rPr>
        <w:lastRenderedPageBreak/>
        <w:t>Step 3 – a cost-utility model (</w:t>
      </w:r>
      <w:proofErr w:type="spellStart"/>
      <w:r w:rsidRPr="003D4225">
        <w:rPr>
          <w:rFonts w:ascii="Times New Roman" w:hAnsi="Times New Roman" w:cs="Times New Roman"/>
          <w:sz w:val="24"/>
          <w:szCs w:val="24"/>
        </w:rPr>
        <w:t>ie</w:t>
      </w:r>
      <w:proofErr w:type="spellEnd"/>
      <w:r w:rsidRPr="003D4225">
        <w:rPr>
          <w:rFonts w:ascii="Times New Roman" w:hAnsi="Times New Roman" w:cs="Times New Roman"/>
          <w:sz w:val="24"/>
          <w:szCs w:val="24"/>
        </w:rPr>
        <w:t xml:space="preserve"> derived from the </w:t>
      </w:r>
      <w:proofErr w:type="spellStart"/>
      <w:r w:rsidRPr="003D4225">
        <w:rPr>
          <w:rFonts w:ascii="Times New Roman" w:hAnsi="Times New Roman" w:cs="Times New Roman"/>
          <w:sz w:val="24"/>
          <w:szCs w:val="24"/>
        </w:rPr>
        <w:t>P</w:t>
      </w:r>
      <w:r w:rsidR="001B36AA" w:rsidRPr="003D4225">
        <w:rPr>
          <w:rFonts w:ascii="Times New Roman" w:hAnsi="Times New Roman" w:cs="Times New Roman"/>
          <w:sz w:val="24"/>
          <w:szCs w:val="24"/>
        </w:rPr>
        <w:t>o</w:t>
      </w:r>
      <w:r w:rsidRPr="003D4225">
        <w:rPr>
          <w:rFonts w:ascii="Times New Roman" w:hAnsi="Times New Roman" w:cs="Times New Roman"/>
          <w:sz w:val="24"/>
          <w:szCs w:val="24"/>
        </w:rPr>
        <w:t>C</w:t>
      </w:r>
      <w:proofErr w:type="spellEnd"/>
      <w:r w:rsidRPr="003D4225">
        <w:rPr>
          <w:rFonts w:ascii="Times New Roman" w:hAnsi="Times New Roman" w:cs="Times New Roman"/>
          <w:sz w:val="24"/>
          <w:szCs w:val="24"/>
        </w:rPr>
        <w:t xml:space="preserve"> test GP trial results over 18 months with extrapolation to 3 years, and associated utility values) yielding an incremental cost per QALY.</w:t>
      </w:r>
    </w:p>
    <w:p w:rsidR="003D4225" w:rsidRPr="003D4225" w:rsidRDefault="003D4225" w:rsidP="003D4225">
      <w:pPr>
        <w:pStyle w:val="BodyTextSTD"/>
        <w:spacing w:line="240" w:lineRule="auto"/>
        <w:rPr>
          <w:rFonts w:ascii="Times New Roman" w:hAnsi="Times New Roman" w:cs="Times New Roman"/>
          <w:sz w:val="24"/>
          <w:szCs w:val="24"/>
        </w:rPr>
      </w:pPr>
      <w:r w:rsidRPr="003D4225">
        <w:rPr>
          <w:rFonts w:ascii="Times New Roman" w:hAnsi="Times New Roman" w:cs="Times New Roman"/>
          <w:sz w:val="24"/>
          <w:szCs w:val="24"/>
        </w:rPr>
        <w:t xml:space="preserve">A summary of the key characteristics of the economic evaluation are presented in </w:t>
      </w:r>
      <w:r>
        <w:rPr>
          <w:rFonts w:ascii="Times New Roman" w:hAnsi="Times New Roman" w:cs="Times New Roman"/>
          <w:sz w:val="24"/>
          <w:szCs w:val="24"/>
        </w:rPr>
        <w:t>Table 4</w:t>
      </w:r>
      <w:r w:rsidRPr="003D4225">
        <w:rPr>
          <w:rFonts w:ascii="Times New Roman" w:hAnsi="Times New Roman" w:cs="Times New Roman"/>
          <w:sz w:val="24"/>
          <w:szCs w:val="24"/>
        </w:rPr>
        <w:t>.</w:t>
      </w:r>
    </w:p>
    <w:p w:rsidR="003D4225" w:rsidRPr="00FD1FEB" w:rsidRDefault="003D4225" w:rsidP="00FD1FEB">
      <w:pPr>
        <w:rPr>
          <w:rFonts w:ascii="Arial Narrow" w:hAnsi="Arial Narrow"/>
          <w:b/>
          <w:sz w:val="20"/>
        </w:rPr>
      </w:pPr>
      <w:bookmarkStart w:id="33" w:name="_Ref473894904"/>
      <w:r w:rsidRPr="00FD1FEB">
        <w:rPr>
          <w:rFonts w:ascii="Arial Narrow" w:hAnsi="Arial Narrow"/>
          <w:b/>
          <w:sz w:val="20"/>
        </w:rPr>
        <w:t xml:space="preserve">Table </w:t>
      </w:r>
      <w:bookmarkEnd w:id="33"/>
      <w:r w:rsidRPr="00FD1FEB">
        <w:rPr>
          <w:rFonts w:ascii="Arial Narrow" w:hAnsi="Arial Narrow"/>
          <w:b/>
          <w:sz w:val="20"/>
        </w:rPr>
        <w:t>4</w:t>
      </w:r>
      <w:r w:rsidRPr="00FD1FEB">
        <w:rPr>
          <w:rFonts w:ascii="Arial Narrow" w:hAnsi="Arial Narrow"/>
          <w:b/>
          <w:sz w:val="20"/>
        </w:rPr>
        <w:tab/>
        <w:t>Summary of the economic evaluation for the management of diabetes</w:t>
      </w:r>
    </w:p>
    <w:tbl>
      <w:tblPr>
        <w:tblStyle w:val="TableGrid"/>
        <w:tblW w:w="5000" w:type="pct"/>
        <w:tblLayout w:type="fixed"/>
        <w:tblLook w:val="01E0" w:firstRow="1" w:lastRow="1" w:firstColumn="1" w:lastColumn="1" w:noHBand="0" w:noVBand="0"/>
        <w:tblDescription w:val="Summary of the economic evaluation for the management of diabetes"/>
      </w:tblPr>
      <w:tblGrid>
        <w:gridCol w:w="2264"/>
        <w:gridCol w:w="2406"/>
        <w:gridCol w:w="2265"/>
        <w:gridCol w:w="2307"/>
      </w:tblGrid>
      <w:tr w:rsidR="003D4225" w:rsidRPr="003D4225" w:rsidTr="00FD1FEB">
        <w:trPr>
          <w:tblHeader/>
        </w:trPr>
        <w:tc>
          <w:tcPr>
            <w:tcW w:w="2268" w:type="dxa"/>
          </w:tcPr>
          <w:p w:rsidR="003D4225" w:rsidRPr="003D4225" w:rsidRDefault="003D4225" w:rsidP="00150ECC">
            <w:pPr>
              <w:pStyle w:val="TableHeading"/>
              <w:spacing w:before="0" w:after="0"/>
            </w:pPr>
          </w:p>
        </w:tc>
        <w:tc>
          <w:tcPr>
            <w:tcW w:w="2410" w:type="dxa"/>
          </w:tcPr>
          <w:p w:rsidR="003D4225" w:rsidRPr="003D4225" w:rsidRDefault="003D4225" w:rsidP="00150ECC">
            <w:pPr>
              <w:pStyle w:val="TableHeading"/>
              <w:spacing w:before="0" w:after="0"/>
            </w:pPr>
            <w:r w:rsidRPr="003D4225">
              <w:t>Step 1</w:t>
            </w:r>
          </w:p>
        </w:tc>
        <w:tc>
          <w:tcPr>
            <w:tcW w:w="2268" w:type="dxa"/>
          </w:tcPr>
          <w:p w:rsidR="003D4225" w:rsidRPr="003D4225" w:rsidRDefault="003D4225" w:rsidP="00150ECC">
            <w:pPr>
              <w:pStyle w:val="TableHeading"/>
              <w:spacing w:before="0" w:after="0"/>
            </w:pPr>
            <w:r w:rsidRPr="003D4225">
              <w:t>Step 2</w:t>
            </w:r>
          </w:p>
        </w:tc>
        <w:tc>
          <w:tcPr>
            <w:tcW w:w="2310" w:type="dxa"/>
          </w:tcPr>
          <w:p w:rsidR="003D4225" w:rsidRPr="003D4225" w:rsidRDefault="003D4225" w:rsidP="00150ECC">
            <w:pPr>
              <w:pStyle w:val="TableHeading"/>
              <w:spacing w:before="0" w:after="0"/>
            </w:pPr>
            <w:r w:rsidRPr="003D4225">
              <w:t>Step 3</w:t>
            </w:r>
          </w:p>
        </w:tc>
      </w:tr>
      <w:tr w:rsidR="003D4225" w:rsidRPr="003D4225" w:rsidTr="00FD1FEB">
        <w:tc>
          <w:tcPr>
            <w:tcW w:w="2268" w:type="dxa"/>
          </w:tcPr>
          <w:p w:rsidR="003D4225" w:rsidRPr="003D4225" w:rsidRDefault="003D4225" w:rsidP="00150ECC">
            <w:pPr>
              <w:pStyle w:val="TableHeading"/>
              <w:spacing w:before="0" w:after="0"/>
            </w:pPr>
            <w:r w:rsidRPr="003D4225">
              <w:t>Perspective</w:t>
            </w:r>
          </w:p>
        </w:tc>
        <w:tc>
          <w:tcPr>
            <w:tcW w:w="2410" w:type="dxa"/>
          </w:tcPr>
          <w:p w:rsidR="003D4225" w:rsidRPr="003D4225" w:rsidRDefault="003D4225" w:rsidP="00150ECC">
            <w:pPr>
              <w:pStyle w:val="TableText1"/>
              <w:spacing w:before="0" w:after="0"/>
              <w:rPr>
                <w:sz w:val="20"/>
                <w:szCs w:val="20"/>
              </w:rPr>
            </w:pPr>
            <w:r w:rsidRPr="003D4225">
              <w:rPr>
                <w:sz w:val="20"/>
                <w:szCs w:val="20"/>
              </w:rPr>
              <w:t>Australian Government</w:t>
            </w:r>
          </w:p>
        </w:tc>
        <w:tc>
          <w:tcPr>
            <w:tcW w:w="2268" w:type="dxa"/>
          </w:tcPr>
          <w:p w:rsidR="003D4225" w:rsidRPr="003D4225" w:rsidRDefault="003D4225" w:rsidP="00150ECC">
            <w:pPr>
              <w:pStyle w:val="TableText1"/>
              <w:spacing w:before="0" w:after="0"/>
              <w:rPr>
                <w:sz w:val="20"/>
                <w:szCs w:val="20"/>
              </w:rPr>
            </w:pPr>
            <w:r w:rsidRPr="003D4225">
              <w:rPr>
                <w:sz w:val="20"/>
                <w:szCs w:val="20"/>
              </w:rPr>
              <w:t>Australian Government</w:t>
            </w:r>
          </w:p>
        </w:tc>
        <w:tc>
          <w:tcPr>
            <w:tcW w:w="2310" w:type="dxa"/>
          </w:tcPr>
          <w:p w:rsidR="003D4225" w:rsidRPr="003D4225" w:rsidRDefault="003D4225" w:rsidP="00150ECC">
            <w:pPr>
              <w:pStyle w:val="TableText1"/>
              <w:spacing w:before="0" w:after="0"/>
              <w:rPr>
                <w:sz w:val="20"/>
                <w:szCs w:val="20"/>
              </w:rPr>
            </w:pPr>
            <w:r w:rsidRPr="003D4225">
              <w:rPr>
                <w:sz w:val="20"/>
                <w:szCs w:val="20"/>
              </w:rPr>
              <w:t>Australian Government</w:t>
            </w:r>
          </w:p>
        </w:tc>
      </w:tr>
      <w:tr w:rsidR="003D4225" w:rsidRPr="003D4225" w:rsidTr="00FD1FEB">
        <w:tc>
          <w:tcPr>
            <w:tcW w:w="2268" w:type="dxa"/>
          </w:tcPr>
          <w:p w:rsidR="003D4225" w:rsidRPr="003D4225" w:rsidRDefault="003D4225" w:rsidP="00150ECC">
            <w:pPr>
              <w:pStyle w:val="Tabletext"/>
              <w:keepNext/>
              <w:rPr>
                <w:b/>
                <w:szCs w:val="20"/>
              </w:rPr>
            </w:pPr>
            <w:r w:rsidRPr="003D4225">
              <w:rPr>
                <w:b/>
                <w:szCs w:val="20"/>
              </w:rPr>
              <w:t>Comparator</w:t>
            </w:r>
          </w:p>
        </w:tc>
        <w:tc>
          <w:tcPr>
            <w:tcW w:w="2410" w:type="dxa"/>
          </w:tcPr>
          <w:p w:rsidR="003D4225" w:rsidRPr="003D4225" w:rsidRDefault="003D4225" w:rsidP="00150ECC">
            <w:pPr>
              <w:pStyle w:val="TableText1"/>
              <w:spacing w:before="0" w:after="0"/>
              <w:rPr>
                <w:sz w:val="20"/>
                <w:szCs w:val="20"/>
              </w:rPr>
            </w:pPr>
            <w:r w:rsidRPr="003D4225">
              <w:rPr>
                <w:sz w:val="20"/>
                <w:szCs w:val="20"/>
              </w:rPr>
              <w:t>HbA1c pathology laboratory testing</w:t>
            </w:r>
          </w:p>
        </w:tc>
        <w:tc>
          <w:tcPr>
            <w:tcW w:w="2268" w:type="dxa"/>
          </w:tcPr>
          <w:p w:rsidR="003D4225" w:rsidRPr="003D4225" w:rsidRDefault="003D4225" w:rsidP="00150ECC">
            <w:pPr>
              <w:pStyle w:val="TableText1"/>
              <w:spacing w:before="0" w:after="0"/>
              <w:rPr>
                <w:sz w:val="20"/>
                <w:szCs w:val="20"/>
              </w:rPr>
            </w:pPr>
            <w:r w:rsidRPr="003D4225">
              <w:rPr>
                <w:sz w:val="20"/>
                <w:szCs w:val="20"/>
              </w:rPr>
              <w:t>HbA1c pathology laboratory testing</w:t>
            </w:r>
          </w:p>
        </w:tc>
        <w:tc>
          <w:tcPr>
            <w:tcW w:w="2310" w:type="dxa"/>
          </w:tcPr>
          <w:p w:rsidR="003D4225" w:rsidRPr="003D4225" w:rsidRDefault="003D4225" w:rsidP="00150ECC">
            <w:pPr>
              <w:pStyle w:val="TableText1"/>
              <w:spacing w:before="0" w:after="0"/>
              <w:rPr>
                <w:sz w:val="20"/>
                <w:szCs w:val="20"/>
              </w:rPr>
            </w:pPr>
            <w:r w:rsidRPr="003D4225">
              <w:rPr>
                <w:sz w:val="20"/>
                <w:szCs w:val="20"/>
              </w:rPr>
              <w:t>HbA1c pathology laboratory testing</w:t>
            </w:r>
          </w:p>
        </w:tc>
      </w:tr>
      <w:tr w:rsidR="003D4225" w:rsidRPr="003D4225" w:rsidTr="00FD1FEB">
        <w:tc>
          <w:tcPr>
            <w:tcW w:w="2268" w:type="dxa"/>
          </w:tcPr>
          <w:p w:rsidR="003D4225" w:rsidRPr="003D4225" w:rsidRDefault="003D4225" w:rsidP="00150ECC">
            <w:pPr>
              <w:pStyle w:val="Tabletext"/>
              <w:keepNext/>
              <w:rPr>
                <w:b/>
                <w:szCs w:val="20"/>
              </w:rPr>
            </w:pPr>
            <w:r w:rsidRPr="003D4225">
              <w:rPr>
                <w:b/>
                <w:szCs w:val="20"/>
              </w:rPr>
              <w:t>Type of economic evaluation</w:t>
            </w:r>
          </w:p>
        </w:tc>
        <w:tc>
          <w:tcPr>
            <w:tcW w:w="2410" w:type="dxa"/>
          </w:tcPr>
          <w:p w:rsidR="003D4225" w:rsidRPr="003D4225" w:rsidRDefault="003D4225" w:rsidP="00150ECC">
            <w:pPr>
              <w:pStyle w:val="TableText1"/>
              <w:spacing w:before="0" w:after="0"/>
              <w:rPr>
                <w:sz w:val="20"/>
                <w:szCs w:val="20"/>
              </w:rPr>
            </w:pPr>
            <w:r w:rsidRPr="003D4225">
              <w:rPr>
                <w:sz w:val="20"/>
                <w:szCs w:val="20"/>
              </w:rPr>
              <w:t>Cost-effectiveness analysis</w:t>
            </w:r>
          </w:p>
        </w:tc>
        <w:tc>
          <w:tcPr>
            <w:tcW w:w="2268" w:type="dxa"/>
          </w:tcPr>
          <w:p w:rsidR="003D4225" w:rsidRPr="003D4225" w:rsidRDefault="003D4225" w:rsidP="00150ECC">
            <w:pPr>
              <w:pStyle w:val="TableText1"/>
              <w:spacing w:before="0" w:after="0"/>
              <w:rPr>
                <w:sz w:val="20"/>
                <w:szCs w:val="20"/>
              </w:rPr>
            </w:pPr>
            <w:r w:rsidRPr="003D4225">
              <w:rPr>
                <w:sz w:val="20"/>
                <w:szCs w:val="20"/>
              </w:rPr>
              <w:t>Cost-utility analysis</w:t>
            </w:r>
          </w:p>
        </w:tc>
        <w:tc>
          <w:tcPr>
            <w:tcW w:w="2310" w:type="dxa"/>
          </w:tcPr>
          <w:p w:rsidR="003D4225" w:rsidRPr="003D4225" w:rsidRDefault="003D4225" w:rsidP="00150ECC">
            <w:pPr>
              <w:pStyle w:val="TableText1"/>
              <w:spacing w:before="0" w:after="0"/>
              <w:rPr>
                <w:sz w:val="20"/>
                <w:szCs w:val="20"/>
              </w:rPr>
            </w:pPr>
            <w:r w:rsidRPr="003D4225">
              <w:rPr>
                <w:sz w:val="20"/>
                <w:szCs w:val="20"/>
              </w:rPr>
              <w:t>Cost-utility analysis</w:t>
            </w:r>
          </w:p>
        </w:tc>
      </w:tr>
      <w:tr w:rsidR="003D4225" w:rsidRPr="003D4225" w:rsidTr="00FD1FEB">
        <w:tc>
          <w:tcPr>
            <w:tcW w:w="2268" w:type="dxa"/>
          </w:tcPr>
          <w:p w:rsidR="003D4225" w:rsidRPr="003D4225" w:rsidRDefault="003D4225" w:rsidP="00150ECC">
            <w:pPr>
              <w:pStyle w:val="Tabletext"/>
              <w:keepNext/>
              <w:rPr>
                <w:b/>
                <w:szCs w:val="20"/>
              </w:rPr>
            </w:pPr>
            <w:r w:rsidRPr="003D4225">
              <w:rPr>
                <w:b/>
                <w:szCs w:val="20"/>
              </w:rPr>
              <w:t>Sources of evidence</w:t>
            </w:r>
          </w:p>
        </w:tc>
        <w:tc>
          <w:tcPr>
            <w:tcW w:w="2410" w:type="dxa"/>
          </w:tcPr>
          <w:p w:rsidR="003D4225" w:rsidRPr="003D4225" w:rsidRDefault="003D4225" w:rsidP="00150ECC">
            <w:pPr>
              <w:pStyle w:val="TableText1"/>
              <w:spacing w:before="0" w:after="0"/>
              <w:rPr>
                <w:sz w:val="20"/>
                <w:szCs w:val="20"/>
              </w:rPr>
            </w:pPr>
            <w:r w:rsidRPr="003D4225">
              <w:rPr>
                <w:sz w:val="20"/>
                <w:szCs w:val="20"/>
              </w:rPr>
              <w:t xml:space="preserve">Randomised controlled trial of </w:t>
            </w:r>
            <w:proofErr w:type="spellStart"/>
            <w:r w:rsidRPr="003D4225">
              <w:rPr>
                <w:sz w:val="20"/>
                <w:szCs w:val="20"/>
              </w:rPr>
              <w:t>P</w:t>
            </w:r>
            <w:r w:rsidR="001B36AA" w:rsidRPr="003D4225">
              <w:rPr>
                <w:sz w:val="20"/>
                <w:szCs w:val="20"/>
              </w:rPr>
              <w:t>o</w:t>
            </w:r>
            <w:r w:rsidRPr="003D4225">
              <w:rPr>
                <w:sz w:val="20"/>
                <w:szCs w:val="20"/>
              </w:rPr>
              <w:t>C</w:t>
            </w:r>
            <w:proofErr w:type="spellEnd"/>
            <w:r w:rsidRPr="003D4225">
              <w:rPr>
                <w:sz w:val="20"/>
                <w:szCs w:val="20"/>
              </w:rPr>
              <w:t xml:space="preserve"> testing in Australia; systematic review of economic evaluations</w:t>
            </w:r>
          </w:p>
        </w:tc>
        <w:tc>
          <w:tcPr>
            <w:tcW w:w="2268" w:type="dxa"/>
          </w:tcPr>
          <w:p w:rsidR="003D4225" w:rsidRPr="003D4225" w:rsidRDefault="003D4225" w:rsidP="00150ECC">
            <w:pPr>
              <w:pStyle w:val="TableText1"/>
              <w:spacing w:before="0" w:after="0"/>
              <w:rPr>
                <w:sz w:val="20"/>
                <w:szCs w:val="20"/>
              </w:rPr>
            </w:pPr>
            <w:r w:rsidRPr="003D4225">
              <w:rPr>
                <w:sz w:val="20"/>
                <w:szCs w:val="20"/>
              </w:rPr>
              <w:t xml:space="preserve">Randomised controlled trial of </w:t>
            </w:r>
            <w:proofErr w:type="spellStart"/>
            <w:r w:rsidRPr="003D4225">
              <w:rPr>
                <w:sz w:val="20"/>
                <w:szCs w:val="20"/>
              </w:rPr>
              <w:t>P</w:t>
            </w:r>
            <w:r w:rsidR="001B36AA" w:rsidRPr="003D4225">
              <w:rPr>
                <w:sz w:val="20"/>
                <w:szCs w:val="20"/>
              </w:rPr>
              <w:t>o</w:t>
            </w:r>
            <w:r w:rsidRPr="003D4225">
              <w:rPr>
                <w:sz w:val="20"/>
                <w:szCs w:val="20"/>
              </w:rPr>
              <w:t>C</w:t>
            </w:r>
            <w:proofErr w:type="spellEnd"/>
            <w:r w:rsidRPr="003D4225">
              <w:rPr>
                <w:sz w:val="20"/>
                <w:szCs w:val="20"/>
              </w:rPr>
              <w:t xml:space="preserve"> testing in Australia; systematic review of economic evaluations</w:t>
            </w:r>
          </w:p>
        </w:tc>
        <w:tc>
          <w:tcPr>
            <w:tcW w:w="2310" w:type="dxa"/>
          </w:tcPr>
          <w:p w:rsidR="003D4225" w:rsidRPr="003D4225" w:rsidRDefault="003D4225" w:rsidP="00150ECC">
            <w:pPr>
              <w:pStyle w:val="TableText1"/>
              <w:spacing w:before="0" w:after="0"/>
              <w:rPr>
                <w:sz w:val="20"/>
                <w:szCs w:val="20"/>
              </w:rPr>
            </w:pPr>
            <w:r w:rsidRPr="003D4225">
              <w:rPr>
                <w:sz w:val="20"/>
                <w:szCs w:val="20"/>
              </w:rPr>
              <w:t xml:space="preserve">Randomised controlled trial of </w:t>
            </w:r>
            <w:proofErr w:type="spellStart"/>
            <w:r w:rsidRPr="003D4225">
              <w:rPr>
                <w:sz w:val="20"/>
                <w:szCs w:val="20"/>
              </w:rPr>
              <w:t>P</w:t>
            </w:r>
            <w:r w:rsidR="001B36AA" w:rsidRPr="003D4225">
              <w:rPr>
                <w:sz w:val="20"/>
                <w:szCs w:val="20"/>
              </w:rPr>
              <w:t>o</w:t>
            </w:r>
            <w:r w:rsidRPr="003D4225">
              <w:rPr>
                <w:sz w:val="20"/>
                <w:szCs w:val="20"/>
              </w:rPr>
              <w:t>C</w:t>
            </w:r>
            <w:proofErr w:type="spellEnd"/>
            <w:r w:rsidRPr="003D4225">
              <w:rPr>
                <w:sz w:val="20"/>
                <w:szCs w:val="20"/>
              </w:rPr>
              <w:t xml:space="preserve"> testing in Australia; systematic review of economic evaluations</w:t>
            </w:r>
          </w:p>
        </w:tc>
      </w:tr>
      <w:tr w:rsidR="003D4225" w:rsidRPr="003D4225" w:rsidTr="00FD1FEB">
        <w:tc>
          <w:tcPr>
            <w:tcW w:w="2268" w:type="dxa"/>
          </w:tcPr>
          <w:p w:rsidR="003D4225" w:rsidRPr="003D4225" w:rsidRDefault="003D4225" w:rsidP="00150ECC">
            <w:pPr>
              <w:pStyle w:val="Tabletext"/>
              <w:keepNext/>
              <w:rPr>
                <w:b/>
                <w:szCs w:val="20"/>
              </w:rPr>
            </w:pPr>
            <w:r w:rsidRPr="003D4225">
              <w:rPr>
                <w:b/>
                <w:szCs w:val="20"/>
              </w:rPr>
              <w:t>Time horizon</w:t>
            </w:r>
          </w:p>
        </w:tc>
        <w:tc>
          <w:tcPr>
            <w:tcW w:w="2410" w:type="dxa"/>
          </w:tcPr>
          <w:p w:rsidR="003D4225" w:rsidRPr="003D4225" w:rsidRDefault="003D4225" w:rsidP="00150ECC">
            <w:pPr>
              <w:pStyle w:val="TableText1"/>
              <w:spacing w:before="0" w:after="0"/>
              <w:rPr>
                <w:sz w:val="20"/>
                <w:szCs w:val="20"/>
              </w:rPr>
            </w:pPr>
            <w:r w:rsidRPr="003D4225">
              <w:rPr>
                <w:sz w:val="20"/>
                <w:szCs w:val="20"/>
              </w:rPr>
              <w:t>18 months</w:t>
            </w:r>
          </w:p>
        </w:tc>
        <w:tc>
          <w:tcPr>
            <w:tcW w:w="2268" w:type="dxa"/>
          </w:tcPr>
          <w:p w:rsidR="003D4225" w:rsidRPr="003D4225" w:rsidRDefault="003D4225" w:rsidP="00150ECC">
            <w:pPr>
              <w:pStyle w:val="TableText1"/>
              <w:spacing w:before="0" w:after="0"/>
              <w:rPr>
                <w:sz w:val="20"/>
                <w:szCs w:val="20"/>
              </w:rPr>
            </w:pPr>
            <w:r w:rsidRPr="003D4225">
              <w:rPr>
                <w:sz w:val="20"/>
                <w:szCs w:val="20"/>
              </w:rPr>
              <w:t xml:space="preserve">18 months </w:t>
            </w:r>
          </w:p>
        </w:tc>
        <w:tc>
          <w:tcPr>
            <w:tcW w:w="2310" w:type="dxa"/>
          </w:tcPr>
          <w:p w:rsidR="003D4225" w:rsidRPr="003D4225" w:rsidRDefault="003D4225" w:rsidP="00150ECC">
            <w:pPr>
              <w:pStyle w:val="TableText1"/>
              <w:spacing w:before="0" w:after="0"/>
              <w:rPr>
                <w:sz w:val="20"/>
                <w:szCs w:val="20"/>
              </w:rPr>
            </w:pPr>
            <w:r w:rsidRPr="003D4225">
              <w:rPr>
                <w:sz w:val="20"/>
                <w:szCs w:val="20"/>
              </w:rPr>
              <w:t>3 years</w:t>
            </w:r>
          </w:p>
        </w:tc>
      </w:tr>
      <w:tr w:rsidR="003D4225" w:rsidRPr="003D4225" w:rsidTr="00FD1FEB">
        <w:tc>
          <w:tcPr>
            <w:tcW w:w="2268" w:type="dxa"/>
          </w:tcPr>
          <w:p w:rsidR="003D4225" w:rsidRPr="003D4225" w:rsidRDefault="003D4225" w:rsidP="00150ECC">
            <w:pPr>
              <w:pStyle w:val="Tabletext"/>
              <w:keepNext/>
              <w:rPr>
                <w:b/>
                <w:szCs w:val="20"/>
              </w:rPr>
            </w:pPr>
            <w:r w:rsidRPr="003D4225">
              <w:rPr>
                <w:b/>
                <w:szCs w:val="20"/>
              </w:rPr>
              <w:t>Outcomes</w:t>
            </w:r>
          </w:p>
        </w:tc>
        <w:tc>
          <w:tcPr>
            <w:tcW w:w="2410" w:type="dxa"/>
          </w:tcPr>
          <w:p w:rsidR="003D4225" w:rsidRPr="003D4225" w:rsidRDefault="003D4225" w:rsidP="00150ECC">
            <w:pPr>
              <w:pStyle w:val="TableText1"/>
              <w:spacing w:before="0" w:after="0"/>
              <w:rPr>
                <w:sz w:val="20"/>
                <w:szCs w:val="20"/>
              </w:rPr>
            </w:pPr>
            <w:r w:rsidRPr="003D4225">
              <w:rPr>
                <w:sz w:val="20"/>
                <w:szCs w:val="20"/>
              </w:rPr>
              <w:t>Incremental cost per responder (where a responder is defined as someone having ‘controlled diabetes’)</w:t>
            </w:r>
          </w:p>
        </w:tc>
        <w:tc>
          <w:tcPr>
            <w:tcW w:w="2268" w:type="dxa"/>
          </w:tcPr>
          <w:p w:rsidR="003D4225" w:rsidRPr="003D4225" w:rsidRDefault="003D4225" w:rsidP="00150ECC">
            <w:pPr>
              <w:pStyle w:val="TableText1"/>
              <w:spacing w:before="0" w:after="0"/>
              <w:rPr>
                <w:sz w:val="20"/>
                <w:szCs w:val="20"/>
              </w:rPr>
            </w:pPr>
            <w:r w:rsidRPr="003D4225">
              <w:rPr>
                <w:sz w:val="20"/>
                <w:szCs w:val="20"/>
              </w:rPr>
              <w:t>Incremental cost per QALY</w:t>
            </w:r>
          </w:p>
        </w:tc>
        <w:tc>
          <w:tcPr>
            <w:tcW w:w="2310" w:type="dxa"/>
          </w:tcPr>
          <w:p w:rsidR="003D4225" w:rsidRPr="003D4225" w:rsidRDefault="003D4225" w:rsidP="00150ECC">
            <w:pPr>
              <w:pStyle w:val="TableText1"/>
              <w:spacing w:before="0" w:after="0"/>
              <w:rPr>
                <w:sz w:val="20"/>
                <w:szCs w:val="20"/>
              </w:rPr>
            </w:pPr>
            <w:r w:rsidRPr="003D4225">
              <w:rPr>
                <w:sz w:val="20"/>
                <w:szCs w:val="20"/>
              </w:rPr>
              <w:t>Incremental cost per QALY</w:t>
            </w:r>
          </w:p>
        </w:tc>
      </w:tr>
      <w:tr w:rsidR="003D4225" w:rsidRPr="003D4225" w:rsidTr="00FD1FEB">
        <w:tc>
          <w:tcPr>
            <w:tcW w:w="2268" w:type="dxa"/>
          </w:tcPr>
          <w:p w:rsidR="003D4225" w:rsidRPr="003D4225" w:rsidRDefault="003D4225" w:rsidP="00150ECC">
            <w:pPr>
              <w:pStyle w:val="Tabletext"/>
              <w:rPr>
                <w:b/>
                <w:szCs w:val="20"/>
              </w:rPr>
            </w:pPr>
            <w:r w:rsidRPr="003D4225">
              <w:rPr>
                <w:b/>
                <w:szCs w:val="20"/>
              </w:rPr>
              <w:t>Methods used to generate results</w:t>
            </w:r>
          </w:p>
        </w:tc>
        <w:tc>
          <w:tcPr>
            <w:tcW w:w="2410" w:type="dxa"/>
          </w:tcPr>
          <w:p w:rsidR="003D4225" w:rsidRPr="003D4225" w:rsidRDefault="003D4225" w:rsidP="00150ECC">
            <w:pPr>
              <w:pStyle w:val="TableText1"/>
              <w:spacing w:before="0" w:after="0"/>
              <w:rPr>
                <w:sz w:val="20"/>
                <w:szCs w:val="20"/>
              </w:rPr>
            </w:pPr>
            <w:r w:rsidRPr="003D4225">
              <w:rPr>
                <w:sz w:val="20"/>
                <w:szCs w:val="20"/>
              </w:rPr>
              <w:t>Markov model</w:t>
            </w:r>
          </w:p>
        </w:tc>
        <w:tc>
          <w:tcPr>
            <w:tcW w:w="2268" w:type="dxa"/>
          </w:tcPr>
          <w:p w:rsidR="003D4225" w:rsidRPr="003D4225" w:rsidRDefault="003D4225" w:rsidP="00150ECC">
            <w:pPr>
              <w:pStyle w:val="TableText1"/>
              <w:spacing w:before="0" w:after="0"/>
              <w:rPr>
                <w:sz w:val="20"/>
                <w:szCs w:val="20"/>
              </w:rPr>
            </w:pPr>
            <w:r w:rsidRPr="003D4225">
              <w:rPr>
                <w:sz w:val="20"/>
                <w:szCs w:val="20"/>
              </w:rPr>
              <w:t>Markov model</w:t>
            </w:r>
          </w:p>
        </w:tc>
        <w:tc>
          <w:tcPr>
            <w:tcW w:w="2310" w:type="dxa"/>
          </w:tcPr>
          <w:p w:rsidR="003D4225" w:rsidRPr="003D4225" w:rsidRDefault="003D4225" w:rsidP="00150ECC">
            <w:pPr>
              <w:pStyle w:val="TableText1"/>
              <w:spacing w:before="0" w:after="0"/>
              <w:rPr>
                <w:sz w:val="20"/>
                <w:szCs w:val="20"/>
              </w:rPr>
            </w:pPr>
            <w:r w:rsidRPr="003D4225">
              <w:rPr>
                <w:sz w:val="20"/>
                <w:szCs w:val="20"/>
              </w:rPr>
              <w:t>Markov model</w:t>
            </w:r>
          </w:p>
        </w:tc>
      </w:tr>
      <w:tr w:rsidR="003D4225" w:rsidRPr="003D4225" w:rsidTr="00FD1FEB">
        <w:tc>
          <w:tcPr>
            <w:tcW w:w="2268" w:type="dxa"/>
          </w:tcPr>
          <w:p w:rsidR="003D4225" w:rsidRPr="003D4225" w:rsidRDefault="003D4225" w:rsidP="00150ECC">
            <w:pPr>
              <w:pStyle w:val="Tabletext"/>
              <w:rPr>
                <w:b/>
                <w:szCs w:val="20"/>
              </w:rPr>
            </w:pPr>
            <w:r w:rsidRPr="003D4225">
              <w:rPr>
                <w:b/>
                <w:szCs w:val="20"/>
              </w:rPr>
              <w:t>Health states</w:t>
            </w:r>
          </w:p>
        </w:tc>
        <w:tc>
          <w:tcPr>
            <w:tcW w:w="2410" w:type="dxa"/>
          </w:tcPr>
          <w:p w:rsidR="003D4225" w:rsidRPr="003D4225" w:rsidRDefault="003D4225" w:rsidP="00150ECC">
            <w:pPr>
              <w:pStyle w:val="TableText1"/>
              <w:spacing w:before="0" w:after="0"/>
              <w:rPr>
                <w:sz w:val="20"/>
                <w:szCs w:val="20"/>
              </w:rPr>
            </w:pPr>
            <w:r w:rsidRPr="003D4225">
              <w:rPr>
                <w:sz w:val="20"/>
                <w:szCs w:val="20"/>
              </w:rPr>
              <w:t>Controlled diabetes, Uncontrolled diabetes</w:t>
            </w:r>
          </w:p>
        </w:tc>
        <w:tc>
          <w:tcPr>
            <w:tcW w:w="2268" w:type="dxa"/>
          </w:tcPr>
          <w:p w:rsidR="003D4225" w:rsidRPr="003D4225" w:rsidRDefault="003D4225" w:rsidP="00150ECC">
            <w:pPr>
              <w:pStyle w:val="TableText1"/>
              <w:spacing w:before="0" w:after="0"/>
              <w:rPr>
                <w:sz w:val="20"/>
                <w:szCs w:val="20"/>
              </w:rPr>
            </w:pPr>
            <w:r w:rsidRPr="003D4225">
              <w:rPr>
                <w:sz w:val="20"/>
                <w:szCs w:val="20"/>
              </w:rPr>
              <w:t>Controlled diabetes, Uncontrolled diabetes</w:t>
            </w:r>
          </w:p>
        </w:tc>
        <w:tc>
          <w:tcPr>
            <w:tcW w:w="2310" w:type="dxa"/>
          </w:tcPr>
          <w:p w:rsidR="003D4225" w:rsidRPr="003D4225" w:rsidRDefault="003D4225" w:rsidP="00150ECC">
            <w:pPr>
              <w:pStyle w:val="TableText1"/>
              <w:spacing w:before="0" w:after="0"/>
              <w:rPr>
                <w:sz w:val="20"/>
                <w:szCs w:val="20"/>
              </w:rPr>
            </w:pPr>
            <w:r w:rsidRPr="003D4225">
              <w:rPr>
                <w:sz w:val="20"/>
                <w:szCs w:val="20"/>
              </w:rPr>
              <w:t>Controlled diabetes, Uncontrolled diabetes</w:t>
            </w:r>
          </w:p>
        </w:tc>
      </w:tr>
      <w:tr w:rsidR="003D4225" w:rsidRPr="003D4225" w:rsidTr="00FD1FEB">
        <w:tc>
          <w:tcPr>
            <w:tcW w:w="2268" w:type="dxa"/>
          </w:tcPr>
          <w:p w:rsidR="003D4225" w:rsidRPr="003D4225" w:rsidRDefault="003D4225" w:rsidP="00150ECC">
            <w:pPr>
              <w:pStyle w:val="Tabletext"/>
              <w:rPr>
                <w:b/>
                <w:szCs w:val="20"/>
              </w:rPr>
            </w:pPr>
            <w:r w:rsidRPr="003D4225">
              <w:rPr>
                <w:b/>
                <w:szCs w:val="20"/>
              </w:rPr>
              <w:t>Cycle length</w:t>
            </w:r>
          </w:p>
        </w:tc>
        <w:tc>
          <w:tcPr>
            <w:tcW w:w="2410" w:type="dxa"/>
          </w:tcPr>
          <w:p w:rsidR="003D4225" w:rsidRPr="003D4225" w:rsidRDefault="003D4225" w:rsidP="00150ECC">
            <w:pPr>
              <w:pStyle w:val="TableText1"/>
              <w:spacing w:before="0" w:after="0"/>
              <w:rPr>
                <w:sz w:val="20"/>
                <w:szCs w:val="20"/>
              </w:rPr>
            </w:pPr>
            <w:r w:rsidRPr="003D4225">
              <w:rPr>
                <w:sz w:val="20"/>
                <w:szCs w:val="20"/>
              </w:rPr>
              <w:t>3 months</w:t>
            </w:r>
          </w:p>
        </w:tc>
        <w:tc>
          <w:tcPr>
            <w:tcW w:w="2268" w:type="dxa"/>
          </w:tcPr>
          <w:p w:rsidR="003D4225" w:rsidRPr="003D4225" w:rsidRDefault="003D4225" w:rsidP="00150ECC">
            <w:pPr>
              <w:pStyle w:val="TableText1"/>
              <w:spacing w:before="0" w:after="0"/>
              <w:rPr>
                <w:sz w:val="20"/>
                <w:szCs w:val="20"/>
              </w:rPr>
            </w:pPr>
            <w:r w:rsidRPr="003D4225">
              <w:rPr>
                <w:sz w:val="20"/>
                <w:szCs w:val="20"/>
              </w:rPr>
              <w:t>3 months</w:t>
            </w:r>
          </w:p>
        </w:tc>
        <w:tc>
          <w:tcPr>
            <w:tcW w:w="2310" w:type="dxa"/>
          </w:tcPr>
          <w:p w:rsidR="003D4225" w:rsidRPr="003D4225" w:rsidRDefault="003D4225" w:rsidP="00150ECC">
            <w:pPr>
              <w:pStyle w:val="TableText1"/>
              <w:spacing w:before="0" w:after="0"/>
              <w:rPr>
                <w:sz w:val="20"/>
                <w:szCs w:val="20"/>
              </w:rPr>
            </w:pPr>
            <w:r w:rsidRPr="003D4225">
              <w:rPr>
                <w:sz w:val="20"/>
                <w:szCs w:val="20"/>
              </w:rPr>
              <w:t>3 months</w:t>
            </w:r>
          </w:p>
        </w:tc>
      </w:tr>
      <w:tr w:rsidR="003D4225" w:rsidRPr="003D4225" w:rsidTr="00FD1FEB">
        <w:tc>
          <w:tcPr>
            <w:tcW w:w="2268" w:type="dxa"/>
          </w:tcPr>
          <w:p w:rsidR="003D4225" w:rsidRPr="003D4225" w:rsidRDefault="003D4225" w:rsidP="00150ECC">
            <w:pPr>
              <w:pStyle w:val="Tabletext"/>
              <w:keepNext/>
              <w:rPr>
                <w:b/>
                <w:szCs w:val="20"/>
              </w:rPr>
            </w:pPr>
            <w:r w:rsidRPr="003D4225">
              <w:rPr>
                <w:b/>
                <w:szCs w:val="20"/>
              </w:rPr>
              <w:t>Discount rate</w:t>
            </w:r>
          </w:p>
        </w:tc>
        <w:tc>
          <w:tcPr>
            <w:tcW w:w="2410" w:type="dxa"/>
          </w:tcPr>
          <w:p w:rsidR="003D4225" w:rsidRPr="003D4225" w:rsidRDefault="003D4225" w:rsidP="00150ECC">
            <w:pPr>
              <w:pStyle w:val="TableText1"/>
              <w:spacing w:before="0" w:after="0"/>
              <w:rPr>
                <w:sz w:val="20"/>
                <w:szCs w:val="20"/>
              </w:rPr>
            </w:pPr>
            <w:r w:rsidRPr="003D4225">
              <w:rPr>
                <w:sz w:val="20"/>
                <w:szCs w:val="20"/>
              </w:rPr>
              <w:t>5% per annum</w:t>
            </w:r>
          </w:p>
        </w:tc>
        <w:tc>
          <w:tcPr>
            <w:tcW w:w="2268" w:type="dxa"/>
          </w:tcPr>
          <w:p w:rsidR="003D4225" w:rsidRPr="003D4225" w:rsidRDefault="003D4225" w:rsidP="00150ECC">
            <w:pPr>
              <w:pStyle w:val="TableText1"/>
              <w:spacing w:before="0" w:after="0"/>
              <w:rPr>
                <w:sz w:val="20"/>
                <w:szCs w:val="20"/>
              </w:rPr>
            </w:pPr>
            <w:r w:rsidRPr="003D4225">
              <w:rPr>
                <w:sz w:val="20"/>
                <w:szCs w:val="20"/>
              </w:rPr>
              <w:t>5% per annum</w:t>
            </w:r>
          </w:p>
        </w:tc>
        <w:tc>
          <w:tcPr>
            <w:tcW w:w="2310" w:type="dxa"/>
          </w:tcPr>
          <w:p w:rsidR="003D4225" w:rsidRPr="003D4225" w:rsidRDefault="003D4225" w:rsidP="00150ECC">
            <w:pPr>
              <w:pStyle w:val="TableText1"/>
              <w:spacing w:before="0" w:after="0"/>
              <w:rPr>
                <w:sz w:val="20"/>
                <w:szCs w:val="20"/>
              </w:rPr>
            </w:pPr>
            <w:r w:rsidRPr="003D4225">
              <w:rPr>
                <w:sz w:val="20"/>
                <w:szCs w:val="20"/>
              </w:rPr>
              <w:t>5% per annum</w:t>
            </w:r>
          </w:p>
        </w:tc>
      </w:tr>
      <w:tr w:rsidR="003D4225" w:rsidRPr="003D4225" w:rsidTr="00FD1FEB">
        <w:tc>
          <w:tcPr>
            <w:tcW w:w="2268" w:type="dxa"/>
          </w:tcPr>
          <w:p w:rsidR="003D4225" w:rsidRPr="003D4225" w:rsidRDefault="003D4225" w:rsidP="00150ECC">
            <w:pPr>
              <w:pStyle w:val="Tabletext"/>
              <w:rPr>
                <w:b/>
                <w:szCs w:val="20"/>
              </w:rPr>
            </w:pPr>
            <w:r w:rsidRPr="003D4225">
              <w:rPr>
                <w:b/>
                <w:szCs w:val="20"/>
              </w:rPr>
              <w:t>Software packages used</w:t>
            </w:r>
          </w:p>
        </w:tc>
        <w:tc>
          <w:tcPr>
            <w:tcW w:w="2410" w:type="dxa"/>
          </w:tcPr>
          <w:p w:rsidR="003D4225" w:rsidRPr="003D4225" w:rsidRDefault="003D4225" w:rsidP="00150ECC">
            <w:pPr>
              <w:pStyle w:val="Tabletext"/>
              <w:rPr>
                <w:szCs w:val="20"/>
              </w:rPr>
            </w:pPr>
            <w:r w:rsidRPr="003D4225">
              <w:rPr>
                <w:szCs w:val="20"/>
              </w:rPr>
              <w:t>Microsoft Excel 2010</w:t>
            </w:r>
          </w:p>
        </w:tc>
        <w:tc>
          <w:tcPr>
            <w:tcW w:w="2268" w:type="dxa"/>
          </w:tcPr>
          <w:p w:rsidR="003D4225" w:rsidRPr="003D4225" w:rsidRDefault="003D4225" w:rsidP="00150ECC">
            <w:pPr>
              <w:pStyle w:val="Tabletext"/>
              <w:rPr>
                <w:szCs w:val="20"/>
              </w:rPr>
            </w:pPr>
            <w:r w:rsidRPr="003D4225">
              <w:rPr>
                <w:szCs w:val="20"/>
              </w:rPr>
              <w:t>Microsoft Excel 2010</w:t>
            </w:r>
          </w:p>
        </w:tc>
        <w:tc>
          <w:tcPr>
            <w:tcW w:w="2310" w:type="dxa"/>
          </w:tcPr>
          <w:p w:rsidR="003D4225" w:rsidRPr="003D4225" w:rsidRDefault="003D4225" w:rsidP="00150ECC">
            <w:pPr>
              <w:pStyle w:val="Tabletext"/>
              <w:rPr>
                <w:szCs w:val="20"/>
              </w:rPr>
            </w:pPr>
            <w:r w:rsidRPr="003D4225">
              <w:rPr>
                <w:szCs w:val="20"/>
              </w:rPr>
              <w:t>Microsoft Excel 2010</w:t>
            </w:r>
          </w:p>
        </w:tc>
      </w:tr>
    </w:tbl>
    <w:p w:rsidR="003D4225" w:rsidRDefault="003D4225" w:rsidP="003D4225">
      <w:pPr>
        <w:pStyle w:val="Tablenotes"/>
      </w:pPr>
      <w:r w:rsidRPr="003D4225">
        <w:rPr>
          <w:i/>
        </w:rPr>
        <w:t>Abbreviations:</w:t>
      </w:r>
      <w:r w:rsidRPr="003D4225">
        <w:t xml:space="preserve"> HbA1c, glycated haemoglobin; MBS, Medicare Benefits Schedule; </w:t>
      </w:r>
      <w:proofErr w:type="spellStart"/>
      <w:r w:rsidRPr="003D4225">
        <w:t>P</w:t>
      </w:r>
      <w:r w:rsidR="001B36AA" w:rsidRPr="003D4225">
        <w:t>o</w:t>
      </w:r>
      <w:r w:rsidRPr="003D4225">
        <w:t>C</w:t>
      </w:r>
      <w:proofErr w:type="spellEnd"/>
      <w:r w:rsidRPr="003D4225">
        <w:t>, point of care; QALY, quality adjusted life year</w:t>
      </w:r>
    </w:p>
    <w:p w:rsidR="00393DD7" w:rsidRDefault="003D4225" w:rsidP="006E73D1">
      <w:pPr>
        <w:pStyle w:val="BodyTextSTD"/>
        <w:spacing w:line="240" w:lineRule="auto"/>
        <w:jc w:val="left"/>
        <w:rPr>
          <w:rFonts w:ascii="Times New Roman" w:hAnsi="Times New Roman" w:cs="Times New Roman"/>
          <w:sz w:val="24"/>
          <w:szCs w:val="24"/>
        </w:rPr>
      </w:pPr>
      <w:r w:rsidRPr="003D4225">
        <w:rPr>
          <w:rFonts w:ascii="Times New Roman" w:hAnsi="Times New Roman" w:cs="Times New Roman"/>
          <w:sz w:val="24"/>
          <w:szCs w:val="24"/>
        </w:rPr>
        <w:t xml:space="preserve">The overall costs and outcomes, and incremental costs and outcomes as calculated for the test and comparator in the model, with the base case assumptions for the management of diabetes are shown in </w:t>
      </w:r>
      <w:r w:rsidR="007E6664">
        <w:rPr>
          <w:rFonts w:ascii="Times New Roman" w:hAnsi="Times New Roman" w:cs="Times New Roman"/>
          <w:sz w:val="24"/>
          <w:szCs w:val="24"/>
        </w:rPr>
        <w:t>Table 5</w:t>
      </w:r>
      <w:r w:rsidRPr="003D4225">
        <w:rPr>
          <w:rFonts w:ascii="Times New Roman" w:hAnsi="Times New Roman" w:cs="Times New Roman"/>
          <w:sz w:val="24"/>
          <w:szCs w:val="24"/>
        </w:rPr>
        <w:t xml:space="preserve">. The base case result shows HbA1c </w:t>
      </w:r>
      <w:proofErr w:type="spellStart"/>
      <w:r w:rsidRPr="003D4225">
        <w:rPr>
          <w:rFonts w:ascii="Times New Roman" w:hAnsi="Times New Roman" w:cs="Times New Roman"/>
          <w:sz w:val="24"/>
          <w:szCs w:val="24"/>
        </w:rPr>
        <w:t>P</w:t>
      </w:r>
      <w:r w:rsidR="001B36AA" w:rsidRPr="003D4225">
        <w:rPr>
          <w:rFonts w:ascii="Times New Roman" w:hAnsi="Times New Roman" w:cs="Times New Roman"/>
          <w:sz w:val="24"/>
          <w:szCs w:val="24"/>
        </w:rPr>
        <w:t>o</w:t>
      </w:r>
      <w:r w:rsidRPr="003D4225">
        <w:rPr>
          <w:rFonts w:ascii="Times New Roman" w:hAnsi="Times New Roman" w:cs="Times New Roman"/>
          <w:sz w:val="24"/>
          <w:szCs w:val="24"/>
        </w:rPr>
        <w:t>C</w:t>
      </w:r>
      <w:proofErr w:type="spellEnd"/>
      <w:r w:rsidRPr="003D4225">
        <w:rPr>
          <w:rFonts w:ascii="Times New Roman" w:hAnsi="Times New Roman" w:cs="Times New Roman"/>
          <w:sz w:val="24"/>
          <w:szCs w:val="24"/>
        </w:rPr>
        <w:t xml:space="preserve"> testing is dominant (</w:t>
      </w:r>
      <w:proofErr w:type="spellStart"/>
      <w:r w:rsidRPr="003D4225">
        <w:rPr>
          <w:rFonts w:ascii="Times New Roman" w:hAnsi="Times New Roman" w:cs="Times New Roman"/>
          <w:sz w:val="24"/>
          <w:szCs w:val="24"/>
        </w:rPr>
        <w:t>ie</w:t>
      </w:r>
      <w:proofErr w:type="spellEnd"/>
      <w:r w:rsidRPr="003D4225">
        <w:rPr>
          <w:rFonts w:ascii="Times New Roman" w:hAnsi="Times New Roman" w:cs="Times New Roman"/>
          <w:sz w:val="24"/>
          <w:szCs w:val="24"/>
        </w:rPr>
        <w:t xml:space="preserve"> more effective and less costly) than HbA1c pathology laboratory testing (ICER -$31,747 per QALY gained).</w:t>
      </w:r>
    </w:p>
    <w:p w:rsidR="00521C13" w:rsidRPr="003D4225" w:rsidRDefault="00393DD7" w:rsidP="003D4225">
      <w:pPr>
        <w:pStyle w:val="BodyTextSTD"/>
        <w:spacing w:after="0" w:line="240" w:lineRule="auto"/>
        <w:jc w:val="left"/>
        <w:rPr>
          <w:rFonts w:ascii="Times New Roman" w:hAnsi="Times New Roman" w:cs="Times New Roman"/>
          <w:sz w:val="24"/>
          <w:szCs w:val="24"/>
        </w:rPr>
      </w:pPr>
      <w:r>
        <w:rPr>
          <w:rFonts w:ascii="Times New Roman" w:hAnsi="Times New Roman" w:cs="Times New Roman"/>
          <w:sz w:val="24"/>
          <w:szCs w:val="24"/>
        </w:rPr>
        <w:t>The critique noted that</w:t>
      </w:r>
      <w:r w:rsidR="0053162C">
        <w:rPr>
          <w:rFonts w:ascii="Times New Roman" w:hAnsi="Times New Roman" w:cs="Times New Roman"/>
          <w:sz w:val="24"/>
          <w:szCs w:val="24"/>
        </w:rPr>
        <w:t>,</w:t>
      </w:r>
      <w:r>
        <w:rPr>
          <w:rFonts w:ascii="Times New Roman" w:hAnsi="Times New Roman" w:cs="Times New Roman"/>
          <w:sz w:val="24"/>
          <w:szCs w:val="24"/>
        </w:rPr>
        <w:t xml:space="preserve"> o</w:t>
      </w:r>
      <w:r w:rsidRPr="00393DD7">
        <w:rPr>
          <w:rFonts w:ascii="Times New Roman" w:hAnsi="Times New Roman" w:cs="Times New Roman"/>
          <w:sz w:val="24"/>
          <w:szCs w:val="24"/>
        </w:rPr>
        <w:t xml:space="preserve">ver the </w:t>
      </w:r>
      <w:proofErr w:type="spellStart"/>
      <w:r w:rsidRPr="00393DD7">
        <w:rPr>
          <w:rFonts w:ascii="Times New Roman" w:hAnsi="Times New Roman" w:cs="Times New Roman"/>
          <w:sz w:val="24"/>
          <w:szCs w:val="24"/>
        </w:rPr>
        <w:t>PoC</w:t>
      </w:r>
      <w:proofErr w:type="spellEnd"/>
      <w:r w:rsidRPr="00393DD7">
        <w:rPr>
          <w:rFonts w:ascii="Times New Roman" w:hAnsi="Times New Roman" w:cs="Times New Roman"/>
          <w:sz w:val="24"/>
          <w:szCs w:val="24"/>
        </w:rPr>
        <w:t xml:space="preserve"> GP trial period of 18 months</w:t>
      </w:r>
      <w:r w:rsidR="0053162C">
        <w:rPr>
          <w:rFonts w:ascii="Times New Roman" w:hAnsi="Times New Roman" w:cs="Times New Roman"/>
          <w:sz w:val="24"/>
          <w:szCs w:val="24"/>
        </w:rPr>
        <w:t>,</w:t>
      </w:r>
      <w:r w:rsidRPr="00393DD7">
        <w:rPr>
          <w:rFonts w:ascii="Times New Roman" w:hAnsi="Times New Roman" w:cs="Times New Roman"/>
          <w:sz w:val="24"/>
          <w:szCs w:val="24"/>
        </w:rPr>
        <w:t xml:space="preserve"> the intervention is still dominant when the assumed cost differences were included. An additional analysis of 18</w:t>
      </w:r>
      <w:r>
        <w:rPr>
          <w:rFonts w:ascii="Times New Roman" w:hAnsi="Times New Roman" w:cs="Times New Roman"/>
          <w:sz w:val="24"/>
          <w:szCs w:val="24"/>
        </w:rPr>
        <w:t> </w:t>
      </w:r>
      <w:r w:rsidRPr="00393DD7">
        <w:rPr>
          <w:rFonts w:ascii="Times New Roman" w:hAnsi="Times New Roman" w:cs="Times New Roman"/>
          <w:sz w:val="24"/>
          <w:szCs w:val="24"/>
        </w:rPr>
        <w:t>months with no differences i</w:t>
      </w:r>
      <w:r>
        <w:rPr>
          <w:rFonts w:ascii="Times New Roman" w:hAnsi="Times New Roman" w:cs="Times New Roman"/>
          <w:sz w:val="24"/>
          <w:szCs w:val="24"/>
        </w:rPr>
        <w:t>n hospital and medicines costs wa</w:t>
      </w:r>
      <w:r w:rsidRPr="00393DD7">
        <w:rPr>
          <w:rFonts w:ascii="Times New Roman" w:hAnsi="Times New Roman" w:cs="Times New Roman"/>
          <w:sz w:val="24"/>
          <w:szCs w:val="24"/>
        </w:rPr>
        <w:t>s presented in</w:t>
      </w:r>
      <w:r>
        <w:rPr>
          <w:rFonts w:ascii="Times New Roman" w:hAnsi="Times New Roman" w:cs="Times New Roman"/>
          <w:sz w:val="24"/>
          <w:szCs w:val="24"/>
        </w:rPr>
        <w:t xml:space="preserve"> the critique and resulted in an </w:t>
      </w:r>
      <w:r w:rsidRPr="00393DD7">
        <w:rPr>
          <w:rFonts w:ascii="Times New Roman" w:hAnsi="Times New Roman" w:cs="Times New Roman"/>
          <w:sz w:val="24"/>
          <w:szCs w:val="24"/>
        </w:rPr>
        <w:t>ICER of $</w:t>
      </w:r>
      <w:r w:rsidR="00534C47" w:rsidRPr="00534C47">
        <w:rPr>
          <w:rFonts w:ascii="Times New Roman" w:eastAsia="Calibri" w:hAnsi="Times New Roman" w:cs="Times New Roman"/>
          <w:b/>
          <w:sz w:val="24"/>
          <w:szCs w:val="24"/>
          <w:lang w:eastAsia="en-US"/>
        </w:rPr>
        <w:t>redacted</w:t>
      </w:r>
      <w:r w:rsidRPr="00393DD7">
        <w:rPr>
          <w:rFonts w:ascii="Times New Roman" w:hAnsi="Times New Roman" w:cs="Times New Roman"/>
          <w:sz w:val="24"/>
          <w:szCs w:val="24"/>
        </w:rPr>
        <w:t>. This analysis correspond</w:t>
      </w:r>
      <w:r w:rsidR="0053162C">
        <w:rPr>
          <w:rFonts w:ascii="Times New Roman" w:hAnsi="Times New Roman" w:cs="Times New Roman"/>
          <w:sz w:val="24"/>
          <w:szCs w:val="24"/>
        </w:rPr>
        <w:t>ed</w:t>
      </w:r>
      <w:r w:rsidRPr="00393DD7">
        <w:rPr>
          <w:rFonts w:ascii="Times New Roman" w:hAnsi="Times New Roman" w:cs="Times New Roman"/>
          <w:sz w:val="24"/>
          <w:szCs w:val="24"/>
        </w:rPr>
        <w:t xml:space="preserve"> with the non-significant cost difference results from the </w:t>
      </w:r>
      <w:proofErr w:type="spellStart"/>
      <w:r w:rsidRPr="00393DD7">
        <w:rPr>
          <w:rFonts w:ascii="Times New Roman" w:hAnsi="Times New Roman" w:cs="Times New Roman"/>
          <w:sz w:val="24"/>
          <w:szCs w:val="24"/>
        </w:rPr>
        <w:t>PoC</w:t>
      </w:r>
      <w:proofErr w:type="spellEnd"/>
      <w:r w:rsidRPr="00393DD7">
        <w:rPr>
          <w:rFonts w:ascii="Times New Roman" w:hAnsi="Times New Roman" w:cs="Times New Roman"/>
          <w:sz w:val="24"/>
          <w:szCs w:val="24"/>
        </w:rPr>
        <w:t xml:space="preserve"> GP trial and 18-month period of follow-up.</w:t>
      </w:r>
    </w:p>
    <w:p w:rsidR="003D4225" w:rsidRPr="00FD1FEB" w:rsidRDefault="003D4225" w:rsidP="00FD1FEB">
      <w:pPr>
        <w:keepNext/>
        <w:keepLines/>
        <w:rPr>
          <w:rFonts w:ascii="Arial Narrow" w:hAnsi="Arial Narrow"/>
          <w:b/>
          <w:sz w:val="20"/>
        </w:rPr>
      </w:pPr>
      <w:bookmarkStart w:id="34" w:name="_Ref473895006"/>
      <w:r w:rsidRPr="00FD1FEB">
        <w:rPr>
          <w:rFonts w:ascii="Arial Narrow" w:hAnsi="Arial Narrow"/>
          <w:b/>
          <w:sz w:val="20"/>
        </w:rPr>
        <w:lastRenderedPageBreak/>
        <w:t xml:space="preserve">Table </w:t>
      </w:r>
      <w:bookmarkEnd w:id="34"/>
      <w:r w:rsidR="007E6664" w:rsidRPr="00FD1FEB">
        <w:rPr>
          <w:rFonts w:ascii="Arial Narrow" w:hAnsi="Arial Narrow"/>
          <w:b/>
          <w:sz w:val="20"/>
        </w:rPr>
        <w:t>5</w:t>
      </w:r>
      <w:r w:rsidRPr="00FD1FEB">
        <w:rPr>
          <w:rFonts w:ascii="Arial Narrow" w:hAnsi="Arial Narrow"/>
          <w:b/>
          <w:sz w:val="20"/>
        </w:rPr>
        <w:tab/>
        <w:t xml:space="preserve">Incremental cost-effectiveness ratio </w:t>
      </w:r>
      <w:r w:rsidR="00521C13" w:rsidRPr="00FD1FEB">
        <w:rPr>
          <w:rFonts w:ascii="Arial Narrow" w:hAnsi="Arial Narrow"/>
          <w:b/>
          <w:sz w:val="20"/>
        </w:rPr>
        <w:t xml:space="preserve">for HbA1c-based diabetes management </w:t>
      </w:r>
      <w:r w:rsidRPr="00FD1FEB">
        <w:rPr>
          <w:rFonts w:ascii="Arial Narrow" w:hAnsi="Arial Narrow"/>
          <w:b/>
          <w:sz w:val="20"/>
        </w:rPr>
        <w:t>by model time horizon (discounted)</w:t>
      </w:r>
    </w:p>
    <w:tbl>
      <w:tblPr>
        <w:tblStyle w:val="TableGrid"/>
        <w:tblW w:w="5000" w:type="pct"/>
        <w:tblLook w:val="04A0" w:firstRow="1" w:lastRow="0" w:firstColumn="1" w:lastColumn="0" w:noHBand="0" w:noVBand="1"/>
        <w:tblCaption w:val=" "/>
        <w:tblDescription w:val="The Incremental cost-effectiveness ratio (discounted)"/>
      </w:tblPr>
      <w:tblGrid>
        <w:gridCol w:w="2660"/>
        <w:gridCol w:w="1843"/>
        <w:gridCol w:w="3055"/>
        <w:gridCol w:w="1684"/>
      </w:tblGrid>
      <w:tr w:rsidR="003D4225" w:rsidRPr="00534C47" w:rsidTr="00FD1FEB">
        <w:trPr>
          <w:trHeight w:val="282"/>
          <w:tblHeader/>
        </w:trPr>
        <w:tc>
          <w:tcPr>
            <w:tcW w:w="1439" w:type="pct"/>
          </w:tcPr>
          <w:p w:rsidR="003D4225" w:rsidRPr="00C861AD" w:rsidRDefault="003D4225" w:rsidP="00531BFE">
            <w:pPr>
              <w:pStyle w:val="TableHeading"/>
              <w:keepLines/>
              <w:spacing w:before="0" w:after="0"/>
            </w:pPr>
            <w:r w:rsidRPr="00C861AD">
              <w:t>Resource item description</w:t>
            </w:r>
          </w:p>
        </w:tc>
        <w:tc>
          <w:tcPr>
            <w:tcW w:w="997" w:type="pct"/>
          </w:tcPr>
          <w:p w:rsidR="003D4225" w:rsidRPr="00534C47" w:rsidRDefault="003D4225" w:rsidP="00531BFE">
            <w:pPr>
              <w:pStyle w:val="TableHeading"/>
              <w:keepLines/>
              <w:spacing w:before="0" w:after="0"/>
            </w:pPr>
            <w:r w:rsidRPr="00534C47">
              <w:t>P</w:t>
            </w:r>
            <w:r w:rsidR="001B36AA" w:rsidRPr="00534C47">
              <w:t>o</w:t>
            </w:r>
            <w:r w:rsidRPr="00534C47">
              <w:t>C testing</w:t>
            </w:r>
          </w:p>
        </w:tc>
        <w:tc>
          <w:tcPr>
            <w:tcW w:w="1653" w:type="pct"/>
          </w:tcPr>
          <w:p w:rsidR="003D4225" w:rsidRPr="00534C47" w:rsidRDefault="003D4225" w:rsidP="00531BFE">
            <w:pPr>
              <w:pStyle w:val="TableHeading"/>
              <w:keepLines/>
              <w:spacing w:before="0" w:after="0"/>
              <w:ind w:left="0" w:firstLine="0"/>
            </w:pPr>
            <w:r w:rsidRPr="00534C47">
              <w:t>Pathology laboratory testing</w:t>
            </w:r>
          </w:p>
        </w:tc>
        <w:tc>
          <w:tcPr>
            <w:tcW w:w="911" w:type="pct"/>
          </w:tcPr>
          <w:p w:rsidR="003D4225" w:rsidRPr="00534C47" w:rsidRDefault="003D4225" w:rsidP="00531BFE">
            <w:pPr>
              <w:pStyle w:val="TableHeading"/>
              <w:keepLines/>
              <w:spacing w:before="0" w:after="0"/>
            </w:pPr>
            <w:r w:rsidRPr="00534C47">
              <w:t>Incremental</w:t>
            </w:r>
          </w:p>
        </w:tc>
      </w:tr>
      <w:tr w:rsidR="003D4225" w:rsidRPr="00534C47" w:rsidTr="00FD1FEB">
        <w:tc>
          <w:tcPr>
            <w:tcW w:w="1439" w:type="pct"/>
          </w:tcPr>
          <w:p w:rsidR="003D4225" w:rsidRPr="00C861AD" w:rsidRDefault="003D4225" w:rsidP="00531BFE">
            <w:pPr>
              <w:pStyle w:val="TableText1"/>
              <w:keepLines/>
              <w:spacing w:before="0" w:after="0"/>
              <w:rPr>
                <w:b/>
                <w:i/>
                <w:sz w:val="20"/>
                <w:szCs w:val="20"/>
              </w:rPr>
            </w:pPr>
            <w:r w:rsidRPr="00C861AD">
              <w:rPr>
                <w:b/>
                <w:i/>
                <w:sz w:val="20"/>
                <w:szCs w:val="20"/>
              </w:rPr>
              <w:t>18 months</w:t>
            </w:r>
          </w:p>
        </w:tc>
        <w:tc>
          <w:tcPr>
            <w:tcW w:w="997" w:type="pct"/>
          </w:tcPr>
          <w:p w:rsidR="003D4225" w:rsidRPr="00534C47" w:rsidRDefault="003D4225" w:rsidP="00531BFE">
            <w:pPr>
              <w:pStyle w:val="Tabletext"/>
              <w:keepNext/>
              <w:keepLines/>
              <w:rPr>
                <w:b/>
                <w:i/>
                <w:szCs w:val="20"/>
              </w:rPr>
            </w:pPr>
          </w:p>
        </w:tc>
        <w:tc>
          <w:tcPr>
            <w:tcW w:w="1653" w:type="pct"/>
          </w:tcPr>
          <w:p w:rsidR="003D4225" w:rsidRPr="00534C47" w:rsidRDefault="003D4225" w:rsidP="00531BFE">
            <w:pPr>
              <w:pStyle w:val="Tabletext"/>
              <w:keepNext/>
              <w:keepLines/>
              <w:rPr>
                <w:b/>
                <w:i/>
                <w:szCs w:val="20"/>
              </w:rPr>
            </w:pPr>
          </w:p>
        </w:tc>
        <w:tc>
          <w:tcPr>
            <w:tcW w:w="911" w:type="pct"/>
          </w:tcPr>
          <w:p w:rsidR="003D4225" w:rsidRPr="00534C47" w:rsidRDefault="003D4225" w:rsidP="00531BFE">
            <w:pPr>
              <w:pStyle w:val="Tabletext"/>
              <w:keepNext/>
              <w:keepLines/>
              <w:rPr>
                <w:b/>
                <w:i/>
                <w:szCs w:val="20"/>
              </w:rPr>
            </w:pPr>
          </w:p>
        </w:tc>
      </w:tr>
      <w:tr w:rsidR="003D4225" w:rsidRPr="00534C47" w:rsidTr="00FD1FEB">
        <w:tc>
          <w:tcPr>
            <w:tcW w:w="1439" w:type="pct"/>
          </w:tcPr>
          <w:p w:rsidR="003D4225" w:rsidRPr="00C861AD" w:rsidRDefault="003D4225" w:rsidP="00531BFE">
            <w:pPr>
              <w:pStyle w:val="TableText1"/>
              <w:keepLines/>
              <w:spacing w:before="0" w:after="0"/>
              <w:rPr>
                <w:sz w:val="20"/>
                <w:szCs w:val="20"/>
                <w:lang w:val="en-US"/>
              </w:rPr>
            </w:pPr>
            <w:r w:rsidRPr="00C861AD">
              <w:rPr>
                <w:sz w:val="20"/>
                <w:szCs w:val="20"/>
                <w:lang w:val="en-US"/>
              </w:rPr>
              <w:t>Cost</w:t>
            </w:r>
          </w:p>
        </w:tc>
        <w:tc>
          <w:tcPr>
            <w:tcW w:w="997" w:type="pct"/>
          </w:tcPr>
          <w:p w:rsidR="003D4225" w:rsidRPr="00C861AD" w:rsidRDefault="003D4225" w:rsidP="00531BFE">
            <w:pPr>
              <w:pStyle w:val="Tabletext"/>
              <w:keepNext/>
              <w:keepLines/>
              <w:jc w:val="center"/>
              <w:rPr>
                <w:szCs w:val="20"/>
              </w:rPr>
            </w:pPr>
            <w:r w:rsidRPr="00C861AD">
              <w:rPr>
                <w:szCs w:val="20"/>
              </w:rPr>
              <w:t>$</w:t>
            </w:r>
            <w:r w:rsidR="00534C47" w:rsidRPr="00C861AD">
              <w:rPr>
                <w:rFonts w:eastAsia="Calibri"/>
                <w:b/>
                <w:szCs w:val="20"/>
              </w:rPr>
              <w:t>redacted</w:t>
            </w:r>
          </w:p>
        </w:tc>
        <w:tc>
          <w:tcPr>
            <w:tcW w:w="1653" w:type="pct"/>
          </w:tcPr>
          <w:p w:rsidR="003D4225" w:rsidRPr="00534C47" w:rsidRDefault="003D4225" w:rsidP="00531BFE">
            <w:pPr>
              <w:pStyle w:val="Tabletext"/>
              <w:keepNext/>
              <w:keepLines/>
              <w:jc w:val="center"/>
              <w:rPr>
                <w:szCs w:val="20"/>
              </w:rPr>
            </w:pPr>
            <w:r w:rsidRPr="00534C47">
              <w:rPr>
                <w:szCs w:val="20"/>
              </w:rPr>
              <w:t>$3,298.14</w:t>
            </w:r>
          </w:p>
        </w:tc>
        <w:tc>
          <w:tcPr>
            <w:tcW w:w="911" w:type="pct"/>
          </w:tcPr>
          <w:p w:rsidR="003D4225" w:rsidRPr="00C861AD" w:rsidRDefault="00534C47" w:rsidP="00531BFE">
            <w:pPr>
              <w:pStyle w:val="Tabletext"/>
              <w:keepNext/>
              <w:keepLines/>
              <w:jc w:val="center"/>
              <w:rPr>
                <w:szCs w:val="20"/>
              </w:rPr>
            </w:pPr>
            <w:r w:rsidRPr="00C861AD">
              <w:rPr>
                <w:rFonts w:eastAsia="Calibri"/>
                <w:b/>
                <w:szCs w:val="20"/>
              </w:rPr>
              <w:t>redacted</w:t>
            </w:r>
          </w:p>
        </w:tc>
      </w:tr>
      <w:tr w:rsidR="003D4225" w:rsidRPr="00534C47" w:rsidTr="00FD1FEB">
        <w:tc>
          <w:tcPr>
            <w:tcW w:w="1439" w:type="pct"/>
          </w:tcPr>
          <w:p w:rsidR="003D4225" w:rsidRPr="00C861AD" w:rsidRDefault="003D4225" w:rsidP="00531BFE">
            <w:pPr>
              <w:pStyle w:val="TableText1"/>
              <w:keepLines/>
              <w:spacing w:before="0" w:after="0"/>
              <w:rPr>
                <w:b/>
                <w:sz w:val="20"/>
                <w:szCs w:val="20"/>
                <w:lang w:val="en-US"/>
              </w:rPr>
            </w:pPr>
          </w:p>
        </w:tc>
        <w:tc>
          <w:tcPr>
            <w:tcW w:w="997" w:type="pct"/>
          </w:tcPr>
          <w:p w:rsidR="003D4225" w:rsidRPr="00534C47" w:rsidRDefault="003D4225" w:rsidP="00531BFE">
            <w:pPr>
              <w:pStyle w:val="Tabletext"/>
              <w:keepNext/>
              <w:keepLines/>
              <w:jc w:val="center"/>
              <w:rPr>
                <w:b/>
                <w:szCs w:val="20"/>
              </w:rPr>
            </w:pPr>
          </w:p>
        </w:tc>
        <w:tc>
          <w:tcPr>
            <w:tcW w:w="1653" w:type="pct"/>
          </w:tcPr>
          <w:p w:rsidR="003D4225" w:rsidRPr="00534C47" w:rsidRDefault="003D4225" w:rsidP="00531BFE">
            <w:pPr>
              <w:pStyle w:val="Tabletext"/>
              <w:keepNext/>
              <w:keepLines/>
              <w:jc w:val="center"/>
              <w:rPr>
                <w:b/>
                <w:szCs w:val="20"/>
              </w:rPr>
            </w:pPr>
            <w:r w:rsidRPr="00534C47">
              <w:rPr>
                <w:b/>
                <w:szCs w:val="20"/>
              </w:rPr>
              <w:t>Incremental cost per responder</w:t>
            </w:r>
          </w:p>
        </w:tc>
        <w:tc>
          <w:tcPr>
            <w:tcW w:w="911" w:type="pct"/>
          </w:tcPr>
          <w:p w:rsidR="003D4225" w:rsidRPr="00534C47" w:rsidRDefault="003D4225" w:rsidP="00531BFE">
            <w:pPr>
              <w:pStyle w:val="Tabletext"/>
              <w:keepNext/>
              <w:keepLines/>
              <w:jc w:val="center"/>
              <w:rPr>
                <w:b/>
                <w:szCs w:val="20"/>
              </w:rPr>
            </w:pPr>
            <w:r w:rsidRPr="00534C47">
              <w:rPr>
                <w:rFonts w:cs="Calibri"/>
                <w:b/>
                <w:i/>
                <w:szCs w:val="20"/>
              </w:rPr>
              <w:t>-$810.19</w:t>
            </w:r>
          </w:p>
        </w:tc>
      </w:tr>
      <w:tr w:rsidR="003D4225" w:rsidRPr="00534C47" w:rsidTr="00FD1FEB">
        <w:tc>
          <w:tcPr>
            <w:tcW w:w="1439" w:type="pct"/>
          </w:tcPr>
          <w:p w:rsidR="003D4225" w:rsidRPr="00C861AD" w:rsidRDefault="003D4225" w:rsidP="00531BFE">
            <w:pPr>
              <w:pStyle w:val="TableText1"/>
              <w:keepLines/>
              <w:spacing w:before="0" w:after="0"/>
              <w:rPr>
                <w:b/>
                <w:i/>
                <w:sz w:val="20"/>
                <w:szCs w:val="20"/>
                <w:vertAlign w:val="superscript"/>
              </w:rPr>
            </w:pPr>
            <w:r w:rsidRPr="00C861AD">
              <w:rPr>
                <w:b/>
                <w:i/>
                <w:sz w:val="20"/>
                <w:szCs w:val="20"/>
              </w:rPr>
              <w:t>18 months</w:t>
            </w:r>
          </w:p>
        </w:tc>
        <w:tc>
          <w:tcPr>
            <w:tcW w:w="997" w:type="pct"/>
          </w:tcPr>
          <w:p w:rsidR="003D4225" w:rsidRPr="00534C47" w:rsidRDefault="003D4225" w:rsidP="00531BFE">
            <w:pPr>
              <w:pStyle w:val="Tabletext"/>
              <w:keepNext/>
              <w:keepLines/>
              <w:rPr>
                <w:b/>
                <w:i/>
                <w:szCs w:val="20"/>
              </w:rPr>
            </w:pPr>
          </w:p>
        </w:tc>
        <w:tc>
          <w:tcPr>
            <w:tcW w:w="1653" w:type="pct"/>
          </w:tcPr>
          <w:p w:rsidR="003D4225" w:rsidRPr="00534C47" w:rsidRDefault="003D4225" w:rsidP="00531BFE">
            <w:pPr>
              <w:pStyle w:val="Tabletext"/>
              <w:keepNext/>
              <w:keepLines/>
              <w:rPr>
                <w:b/>
                <w:i/>
                <w:szCs w:val="20"/>
              </w:rPr>
            </w:pPr>
          </w:p>
        </w:tc>
        <w:tc>
          <w:tcPr>
            <w:tcW w:w="911" w:type="pct"/>
          </w:tcPr>
          <w:p w:rsidR="003D4225" w:rsidRPr="00534C47" w:rsidRDefault="003D4225" w:rsidP="00531BFE">
            <w:pPr>
              <w:pStyle w:val="Tabletext"/>
              <w:keepNext/>
              <w:keepLines/>
              <w:rPr>
                <w:b/>
                <w:i/>
                <w:szCs w:val="20"/>
              </w:rPr>
            </w:pPr>
          </w:p>
        </w:tc>
      </w:tr>
      <w:tr w:rsidR="003D4225" w:rsidRPr="00534C47" w:rsidTr="00FD1FEB">
        <w:tc>
          <w:tcPr>
            <w:tcW w:w="1439" w:type="pct"/>
          </w:tcPr>
          <w:p w:rsidR="003D4225" w:rsidRPr="00C861AD" w:rsidRDefault="003D4225" w:rsidP="00531BFE">
            <w:pPr>
              <w:pStyle w:val="TableText1"/>
              <w:keepLines/>
              <w:spacing w:before="0" w:after="0"/>
              <w:rPr>
                <w:sz w:val="20"/>
                <w:szCs w:val="20"/>
                <w:lang w:val="en-US"/>
              </w:rPr>
            </w:pPr>
            <w:r w:rsidRPr="00C861AD">
              <w:rPr>
                <w:sz w:val="20"/>
                <w:szCs w:val="20"/>
                <w:lang w:val="en-US"/>
              </w:rPr>
              <w:t>Cost</w:t>
            </w:r>
          </w:p>
        </w:tc>
        <w:tc>
          <w:tcPr>
            <w:tcW w:w="997" w:type="pct"/>
          </w:tcPr>
          <w:p w:rsidR="003D4225" w:rsidRPr="00C861AD" w:rsidRDefault="003D4225" w:rsidP="00531BFE">
            <w:pPr>
              <w:pStyle w:val="Tabletext"/>
              <w:keepNext/>
              <w:keepLines/>
              <w:jc w:val="center"/>
              <w:rPr>
                <w:szCs w:val="20"/>
              </w:rPr>
            </w:pPr>
            <w:r w:rsidRPr="00C861AD">
              <w:rPr>
                <w:szCs w:val="20"/>
              </w:rPr>
              <w:t>$</w:t>
            </w:r>
            <w:r w:rsidR="00534C47" w:rsidRPr="00C861AD">
              <w:rPr>
                <w:rFonts w:eastAsia="Calibri"/>
                <w:b/>
                <w:szCs w:val="20"/>
              </w:rPr>
              <w:t>redacted</w:t>
            </w:r>
          </w:p>
        </w:tc>
        <w:tc>
          <w:tcPr>
            <w:tcW w:w="1653" w:type="pct"/>
          </w:tcPr>
          <w:p w:rsidR="003D4225" w:rsidRPr="00534C47" w:rsidRDefault="003D4225" w:rsidP="00531BFE">
            <w:pPr>
              <w:pStyle w:val="Tabletext"/>
              <w:keepNext/>
              <w:keepLines/>
              <w:jc w:val="center"/>
              <w:rPr>
                <w:szCs w:val="20"/>
              </w:rPr>
            </w:pPr>
            <w:r w:rsidRPr="00534C47">
              <w:rPr>
                <w:szCs w:val="20"/>
              </w:rPr>
              <w:t>$3,710.67</w:t>
            </w:r>
          </w:p>
        </w:tc>
        <w:tc>
          <w:tcPr>
            <w:tcW w:w="911" w:type="pct"/>
          </w:tcPr>
          <w:p w:rsidR="003D4225" w:rsidRPr="00C861AD" w:rsidRDefault="00534C47" w:rsidP="00531BFE">
            <w:pPr>
              <w:pStyle w:val="Tabletext"/>
              <w:keepNext/>
              <w:keepLines/>
              <w:jc w:val="center"/>
              <w:rPr>
                <w:szCs w:val="20"/>
              </w:rPr>
            </w:pPr>
            <w:r w:rsidRPr="00C861AD">
              <w:rPr>
                <w:rFonts w:eastAsia="Calibri"/>
                <w:b/>
                <w:szCs w:val="20"/>
              </w:rPr>
              <w:t>redacted</w:t>
            </w:r>
          </w:p>
        </w:tc>
      </w:tr>
      <w:tr w:rsidR="003D4225" w:rsidRPr="00534C47" w:rsidTr="00FD1FEB">
        <w:tc>
          <w:tcPr>
            <w:tcW w:w="1439" w:type="pct"/>
          </w:tcPr>
          <w:p w:rsidR="003D4225" w:rsidRPr="00C861AD" w:rsidRDefault="003D4225" w:rsidP="00531BFE">
            <w:pPr>
              <w:pStyle w:val="TableText1"/>
              <w:keepLines/>
              <w:spacing w:before="0" w:after="0"/>
              <w:rPr>
                <w:sz w:val="20"/>
                <w:szCs w:val="20"/>
                <w:lang w:val="en-US"/>
              </w:rPr>
            </w:pPr>
            <w:r w:rsidRPr="00C861AD">
              <w:rPr>
                <w:sz w:val="20"/>
                <w:szCs w:val="20"/>
                <w:lang w:val="en-US"/>
              </w:rPr>
              <w:t>Effect (per responder)</w:t>
            </w:r>
          </w:p>
        </w:tc>
        <w:tc>
          <w:tcPr>
            <w:tcW w:w="997" w:type="pct"/>
          </w:tcPr>
          <w:p w:rsidR="003D4225" w:rsidRPr="00534C47" w:rsidRDefault="003D4225" w:rsidP="00531BFE">
            <w:pPr>
              <w:pStyle w:val="Tabletext"/>
              <w:keepNext/>
              <w:keepLines/>
              <w:jc w:val="center"/>
              <w:rPr>
                <w:szCs w:val="20"/>
              </w:rPr>
            </w:pPr>
            <w:r w:rsidRPr="00534C47">
              <w:rPr>
                <w:szCs w:val="20"/>
              </w:rPr>
              <w:t>1.309</w:t>
            </w:r>
          </w:p>
        </w:tc>
        <w:tc>
          <w:tcPr>
            <w:tcW w:w="1653" w:type="pct"/>
          </w:tcPr>
          <w:p w:rsidR="003D4225" w:rsidRPr="00534C47" w:rsidRDefault="003D4225" w:rsidP="00531BFE">
            <w:pPr>
              <w:pStyle w:val="Tabletext"/>
              <w:keepNext/>
              <w:keepLines/>
              <w:jc w:val="center"/>
              <w:rPr>
                <w:szCs w:val="20"/>
              </w:rPr>
            </w:pPr>
            <w:r w:rsidRPr="00534C47">
              <w:rPr>
                <w:szCs w:val="20"/>
              </w:rPr>
              <w:t>1.307</w:t>
            </w:r>
          </w:p>
        </w:tc>
        <w:tc>
          <w:tcPr>
            <w:tcW w:w="911" w:type="pct"/>
          </w:tcPr>
          <w:p w:rsidR="003D4225" w:rsidRPr="00534C47" w:rsidRDefault="003D4225" w:rsidP="00531BFE">
            <w:pPr>
              <w:pStyle w:val="Tabletext"/>
              <w:keepNext/>
              <w:keepLines/>
              <w:jc w:val="center"/>
              <w:rPr>
                <w:szCs w:val="20"/>
              </w:rPr>
            </w:pPr>
            <w:r w:rsidRPr="00534C47">
              <w:rPr>
                <w:szCs w:val="20"/>
              </w:rPr>
              <w:t>0.002</w:t>
            </w:r>
          </w:p>
        </w:tc>
      </w:tr>
      <w:tr w:rsidR="003D4225" w:rsidRPr="00534C47" w:rsidTr="00FD1FEB">
        <w:tc>
          <w:tcPr>
            <w:tcW w:w="1439" w:type="pct"/>
          </w:tcPr>
          <w:p w:rsidR="003D4225" w:rsidRPr="00C861AD" w:rsidRDefault="003D4225" w:rsidP="00531BFE">
            <w:pPr>
              <w:pStyle w:val="TableText1"/>
              <w:keepLines/>
              <w:spacing w:before="0" w:after="0"/>
              <w:rPr>
                <w:b/>
                <w:sz w:val="20"/>
                <w:szCs w:val="20"/>
                <w:lang w:val="en-US"/>
              </w:rPr>
            </w:pPr>
          </w:p>
        </w:tc>
        <w:tc>
          <w:tcPr>
            <w:tcW w:w="997" w:type="pct"/>
          </w:tcPr>
          <w:p w:rsidR="003D4225" w:rsidRPr="00534C47" w:rsidRDefault="003D4225" w:rsidP="00531BFE">
            <w:pPr>
              <w:pStyle w:val="Tabletext"/>
              <w:keepNext/>
              <w:keepLines/>
              <w:jc w:val="center"/>
              <w:rPr>
                <w:b/>
                <w:szCs w:val="20"/>
              </w:rPr>
            </w:pPr>
          </w:p>
        </w:tc>
        <w:tc>
          <w:tcPr>
            <w:tcW w:w="1653" w:type="pct"/>
          </w:tcPr>
          <w:p w:rsidR="003D4225" w:rsidRPr="00534C47" w:rsidRDefault="003D4225" w:rsidP="00531BFE">
            <w:pPr>
              <w:pStyle w:val="Tabletext"/>
              <w:keepNext/>
              <w:keepLines/>
              <w:jc w:val="center"/>
              <w:rPr>
                <w:b/>
                <w:szCs w:val="20"/>
              </w:rPr>
            </w:pPr>
            <w:r w:rsidRPr="00534C47">
              <w:rPr>
                <w:b/>
                <w:szCs w:val="20"/>
              </w:rPr>
              <w:t>Incremental cost per QALY gained</w:t>
            </w:r>
          </w:p>
        </w:tc>
        <w:tc>
          <w:tcPr>
            <w:tcW w:w="911" w:type="pct"/>
          </w:tcPr>
          <w:p w:rsidR="003D4225" w:rsidRPr="00534C47" w:rsidRDefault="003D4225" w:rsidP="00531BFE">
            <w:pPr>
              <w:pStyle w:val="Tabletext"/>
              <w:keepNext/>
              <w:keepLines/>
              <w:jc w:val="center"/>
              <w:rPr>
                <w:b/>
                <w:szCs w:val="20"/>
              </w:rPr>
            </w:pPr>
            <w:r w:rsidRPr="00534C47">
              <w:rPr>
                <w:rFonts w:cs="Calibri"/>
                <w:b/>
                <w:i/>
                <w:szCs w:val="20"/>
              </w:rPr>
              <w:t>DOMINANT</w:t>
            </w:r>
          </w:p>
        </w:tc>
      </w:tr>
      <w:tr w:rsidR="003D4225" w:rsidRPr="00534C47" w:rsidTr="00FD1FEB">
        <w:tc>
          <w:tcPr>
            <w:tcW w:w="1439" w:type="pct"/>
          </w:tcPr>
          <w:p w:rsidR="003D4225" w:rsidRPr="00C861AD" w:rsidRDefault="003D4225" w:rsidP="00531BFE">
            <w:pPr>
              <w:pStyle w:val="TableText1"/>
              <w:keepLines/>
              <w:spacing w:before="0" w:after="0"/>
              <w:rPr>
                <w:b/>
                <w:i/>
                <w:sz w:val="20"/>
                <w:szCs w:val="20"/>
                <w:vertAlign w:val="superscript"/>
              </w:rPr>
            </w:pPr>
            <w:r w:rsidRPr="00C861AD">
              <w:rPr>
                <w:b/>
                <w:i/>
                <w:sz w:val="20"/>
                <w:szCs w:val="20"/>
              </w:rPr>
              <w:t>3 years (base case)</w:t>
            </w:r>
          </w:p>
        </w:tc>
        <w:tc>
          <w:tcPr>
            <w:tcW w:w="997" w:type="pct"/>
          </w:tcPr>
          <w:p w:rsidR="003D4225" w:rsidRPr="00534C47" w:rsidRDefault="003D4225" w:rsidP="00531BFE">
            <w:pPr>
              <w:pStyle w:val="Tabletext"/>
              <w:keepNext/>
              <w:keepLines/>
              <w:rPr>
                <w:i/>
                <w:szCs w:val="20"/>
              </w:rPr>
            </w:pPr>
          </w:p>
        </w:tc>
        <w:tc>
          <w:tcPr>
            <w:tcW w:w="1653" w:type="pct"/>
          </w:tcPr>
          <w:p w:rsidR="003D4225" w:rsidRPr="00534C47" w:rsidRDefault="003D4225" w:rsidP="00531BFE">
            <w:pPr>
              <w:pStyle w:val="Tabletext"/>
              <w:keepNext/>
              <w:keepLines/>
              <w:rPr>
                <w:i/>
                <w:szCs w:val="20"/>
              </w:rPr>
            </w:pPr>
          </w:p>
        </w:tc>
        <w:tc>
          <w:tcPr>
            <w:tcW w:w="911" w:type="pct"/>
          </w:tcPr>
          <w:p w:rsidR="003D4225" w:rsidRPr="00534C47" w:rsidRDefault="003D4225" w:rsidP="00531BFE">
            <w:pPr>
              <w:pStyle w:val="Tabletext"/>
              <w:keepNext/>
              <w:keepLines/>
              <w:rPr>
                <w:b/>
                <w:i/>
                <w:szCs w:val="20"/>
              </w:rPr>
            </w:pPr>
          </w:p>
        </w:tc>
      </w:tr>
      <w:tr w:rsidR="003D4225" w:rsidRPr="00534C47" w:rsidTr="00FD1FEB">
        <w:tc>
          <w:tcPr>
            <w:tcW w:w="1439" w:type="pct"/>
          </w:tcPr>
          <w:p w:rsidR="003D4225" w:rsidRPr="00C861AD" w:rsidRDefault="003D4225" w:rsidP="00531BFE">
            <w:pPr>
              <w:pStyle w:val="Tabletext"/>
              <w:keepNext/>
              <w:keepLines/>
              <w:rPr>
                <w:szCs w:val="20"/>
                <w:lang w:val="en-US"/>
              </w:rPr>
            </w:pPr>
            <w:r w:rsidRPr="00C861AD">
              <w:rPr>
                <w:szCs w:val="20"/>
                <w:lang w:val="en-US"/>
              </w:rPr>
              <w:t>Cost</w:t>
            </w:r>
          </w:p>
        </w:tc>
        <w:tc>
          <w:tcPr>
            <w:tcW w:w="997" w:type="pct"/>
          </w:tcPr>
          <w:p w:rsidR="003D4225" w:rsidRPr="00C861AD" w:rsidRDefault="003D4225" w:rsidP="00531BFE">
            <w:pPr>
              <w:pStyle w:val="Tabletext"/>
              <w:keepNext/>
              <w:keepLines/>
              <w:jc w:val="center"/>
              <w:rPr>
                <w:szCs w:val="20"/>
              </w:rPr>
            </w:pPr>
            <w:r w:rsidRPr="00C861AD">
              <w:rPr>
                <w:szCs w:val="20"/>
              </w:rPr>
              <w:t>$</w:t>
            </w:r>
            <w:r w:rsidR="00534C47" w:rsidRPr="00C861AD">
              <w:rPr>
                <w:rFonts w:eastAsia="Calibri"/>
                <w:b/>
                <w:szCs w:val="20"/>
              </w:rPr>
              <w:t>redacted</w:t>
            </w:r>
          </w:p>
        </w:tc>
        <w:tc>
          <w:tcPr>
            <w:tcW w:w="1653" w:type="pct"/>
          </w:tcPr>
          <w:p w:rsidR="003D4225" w:rsidRPr="00534C47" w:rsidRDefault="003D4225" w:rsidP="00531BFE">
            <w:pPr>
              <w:pStyle w:val="Tabletext"/>
              <w:keepNext/>
              <w:keepLines/>
              <w:jc w:val="center"/>
              <w:rPr>
                <w:szCs w:val="20"/>
              </w:rPr>
            </w:pPr>
            <w:r w:rsidRPr="00534C47">
              <w:rPr>
                <w:szCs w:val="20"/>
              </w:rPr>
              <w:t>$6,648.58</w:t>
            </w:r>
          </w:p>
        </w:tc>
        <w:tc>
          <w:tcPr>
            <w:tcW w:w="911" w:type="pct"/>
          </w:tcPr>
          <w:p w:rsidR="003D4225" w:rsidRPr="00C861AD" w:rsidRDefault="00534C47" w:rsidP="00531BFE">
            <w:pPr>
              <w:pStyle w:val="Tabletext"/>
              <w:keepNext/>
              <w:keepLines/>
              <w:jc w:val="center"/>
              <w:rPr>
                <w:szCs w:val="20"/>
              </w:rPr>
            </w:pPr>
            <w:r w:rsidRPr="00C861AD">
              <w:rPr>
                <w:rFonts w:eastAsia="Calibri"/>
                <w:b/>
                <w:szCs w:val="20"/>
              </w:rPr>
              <w:t>redacted</w:t>
            </w:r>
          </w:p>
        </w:tc>
      </w:tr>
      <w:tr w:rsidR="003D4225" w:rsidRPr="00534C47" w:rsidTr="00FD1FEB">
        <w:tc>
          <w:tcPr>
            <w:tcW w:w="1439" w:type="pct"/>
          </w:tcPr>
          <w:p w:rsidR="003D4225" w:rsidRPr="00C861AD" w:rsidRDefault="003D4225" w:rsidP="00531BFE">
            <w:pPr>
              <w:pStyle w:val="Tabletext"/>
              <w:keepNext/>
              <w:keepLines/>
              <w:rPr>
                <w:szCs w:val="20"/>
                <w:lang w:val="en-US"/>
              </w:rPr>
            </w:pPr>
            <w:r w:rsidRPr="00C861AD">
              <w:rPr>
                <w:szCs w:val="20"/>
                <w:lang w:val="en-US"/>
              </w:rPr>
              <w:t>Effect (QALYs)</w:t>
            </w:r>
          </w:p>
        </w:tc>
        <w:tc>
          <w:tcPr>
            <w:tcW w:w="997" w:type="pct"/>
          </w:tcPr>
          <w:p w:rsidR="003D4225" w:rsidRPr="00534C47" w:rsidRDefault="003D4225" w:rsidP="00531BFE">
            <w:pPr>
              <w:pStyle w:val="Tabletext"/>
              <w:keepNext/>
              <w:keepLines/>
              <w:jc w:val="center"/>
              <w:rPr>
                <w:szCs w:val="20"/>
              </w:rPr>
            </w:pPr>
            <w:r w:rsidRPr="00534C47">
              <w:rPr>
                <w:szCs w:val="20"/>
              </w:rPr>
              <w:t>2.346</w:t>
            </w:r>
          </w:p>
        </w:tc>
        <w:tc>
          <w:tcPr>
            <w:tcW w:w="1653" w:type="pct"/>
          </w:tcPr>
          <w:p w:rsidR="003D4225" w:rsidRPr="00534C47" w:rsidRDefault="003D4225" w:rsidP="00531BFE">
            <w:pPr>
              <w:pStyle w:val="Tabletext"/>
              <w:keepNext/>
              <w:keepLines/>
              <w:jc w:val="center"/>
              <w:rPr>
                <w:szCs w:val="20"/>
              </w:rPr>
            </w:pPr>
            <w:r w:rsidRPr="00534C47">
              <w:rPr>
                <w:szCs w:val="20"/>
              </w:rPr>
              <w:t>2.342</w:t>
            </w:r>
          </w:p>
        </w:tc>
        <w:tc>
          <w:tcPr>
            <w:tcW w:w="911" w:type="pct"/>
          </w:tcPr>
          <w:p w:rsidR="003D4225" w:rsidRPr="00534C47" w:rsidRDefault="003D4225" w:rsidP="00531BFE">
            <w:pPr>
              <w:pStyle w:val="Tabletext"/>
              <w:keepNext/>
              <w:keepLines/>
              <w:jc w:val="center"/>
              <w:rPr>
                <w:szCs w:val="20"/>
              </w:rPr>
            </w:pPr>
            <w:r w:rsidRPr="00534C47">
              <w:rPr>
                <w:szCs w:val="20"/>
              </w:rPr>
              <w:t>0.005</w:t>
            </w:r>
          </w:p>
        </w:tc>
      </w:tr>
      <w:tr w:rsidR="003D4225" w:rsidRPr="00534C47" w:rsidTr="00FD1FEB">
        <w:tc>
          <w:tcPr>
            <w:tcW w:w="1439" w:type="pct"/>
          </w:tcPr>
          <w:p w:rsidR="003D4225" w:rsidRPr="00C861AD" w:rsidRDefault="003D4225" w:rsidP="00531BFE">
            <w:pPr>
              <w:pStyle w:val="Tabletext"/>
              <w:keepNext/>
              <w:keepLines/>
              <w:rPr>
                <w:b/>
                <w:szCs w:val="20"/>
                <w:lang w:val="en-US"/>
              </w:rPr>
            </w:pPr>
          </w:p>
        </w:tc>
        <w:tc>
          <w:tcPr>
            <w:tcW w:w="997" w:type="pct"/>
          </w:tcPr>
          <w:p w:rsidR="003D4225" w:rsidRPr="00534C47" w:rsidRDefault="003D4225" w:rsidP="00531BFE">
            <w:pPr>
              <w:pStyle w:val="Tabletext"/>
              <w:keepNext/>
              <w:keepLines/>
              <w:jc w:val="center"/>
              <w:rPr>
                <w:b/>
                <w:szCs w:val="20"/>
              </w:rPr>
            </w:pPr>
          </w:p>
        </w:tc>
        <w:tc>
          <w:tcPr>
            <w:tcW w:w="1653" w:type="pct"/>
          </w:tcPr>
          <w:p w:rsidR="003D4225" w:rsidRPr="00534C47" w:rsidRDefault="003D4225" w:rsidP="00531BFE">
            <w:pPr>
              <w:pStyle w:val="Tabletext"/>
              <w:keepNext/>
              <w:keepLines/>
              <w:jc w:val="center"/>
              <w:rPr>
                <w:b/>
                <w:szCs w:val="20"/>
              </w:rPr>
            </w:pPr>
            <w:r w:rsidRPr="00534C47">
              <w:rPr>
                <w:b/>
                <w:szCs w:val="20"/>
              </w:rPr>
              <w:t>Incremental cost per QALY gained</w:t>
            </w:r>
          </w:p>
        </w:tc>
        <w:tc>
          <w:tcPr>
            <w:tcW w:w="911" w:type="pct"/>
          </w:tcPr>
          <w:p w:rsidR="003D4225" w:rsidRPr="00534C47" w:rsidRDefault="003D4225" w:rsidP="00531BFE">
            <w:pPr>
              <w:pStyle w:val="Tabletext"/>
              <w:keepNext/>
              <w:keepLines/>
              <w:jc w:val="center"/>
              <w:rPr>
                <w:b/>
                <w:szCs w:val="20"/>
              </w:rPr>
            </w:pPr>
            <w:r w:rsidRPr="00534C47">
              <w:rPr>
                <w:rFonts w:cs="Calibri"/>
                <w:b/>
                <w:i/>
                <w:szCs w:val="20"/>
              </w:rPr>
              <w:t>DOMINANT</w:t>
            </w:r>
          </w:p>
        </w:tc>
      </w:tr>
    </w:tbl>
    <w:p w:rsidR="003D4225" w:rsidRPr="00974BEC" w:rsidRDefault="003D4225" w:rsidP="00FD1FEB">
      <w:pPr>
        <w:pStyle w:val="Tablenotes"/>
        <w:keepNext/>
        <w:keepLines/>
      </w:pPr>
      <w:r w:rsidRPr="007E6664">
        <w:rPr>
          <w:i/>
        </w:rPr>
        <w:t>Abbreviations:</w:t>
      </w:r>
      <w:r w:rsidRPr="007E6664">
        <w:t xml:space="preserve"> </w:t>
      </w:r>
      <w:proofErr w:type="spellStart"/>
      <w:r w:rsidRPr="007E6664">
        <w:t>P</w:t>
      </w:r>
      <w:r w:rsidR="001B36AA" w:rsidRPr="007E6664">
        <w:t>o</w:t>
      </w:r>
      <w:r w:rsidRPr="007E6664">
        <w:t>C</w:t>
      </w:r>
      <w:proofErr w:type="spellEnd"/>
      <w:r w:rsidRPr="007E6664">
        <w:t>, point of care; QALY, quality adjusted life year</w:t>
      </w:r>
    </w:p>
    <w:p w:rsidR="00BC1364" w:rsidRPr="00F715D1" w:rsidRDefault="00BC1364" w:rsidP="00F715D1">
      <w:pPr>
        <w:pStyle w:val="Heading1"/>
      </w:pPr>
      <w:r w:rsidRPr="00F715D1">
        <w:t>Financial/budgetary impacts</w:t>
      </w:r>
    </w:p>
    <w:p w:rsidR="00896AFB" w:rsidRDefault="00896AFB" w:rsidP="006E73D1">
      <w:pPr>
        <w:tabs>
          <w:tab w:val="left" w:pos="720"/>
          <w:tab w:val="left" w:pos="1140"/>
        </w:tabs>
        <w:spacing w:after="240"/>
        <w:rPr>
          <w:szCs w:val="24"/>
        </w:rPr>
      </w:pPr>
      <w:r w:rsidRPr="00D70827">
        <w:rPr>
          <w:szCs w:val="24"/>
        </w:rPr>
        <w:t xml:space="preserve">The </w:t>
      </w:r>
      <w:r w:rsidR="002D31D1">
        <w:rPr>
          <w:szCs w:val="24"/>
        </w:rPr>
        <w:t xml:space="preserve">application estimated the </w:t>
      </w:r>
      <w:r w:rsidRPr="00D70827">
        <w:rPr>
          <w:szCs w:val="24"/>
        </w:rPr>
        <w:t xml:space="preserve">budgetary impact for both the diagnosis and management of diabetes using data from the MBS for items 66551 (management of diabetes) and 66841 (diagnosis of diabetes). As noted by PASC, the MBS data </w:t>
      </w:r>
      <w:r>
        <w:rPr>
          <w:szCs w:val="24"/>
        </w:rPr>
        <w:t>are</w:t>
      </w:r>
      <w:r w:rsidRPr="00D70827">
        <w:rPr>
          <w:szCs w:val="24"/>
        </w:rPr>
        <w:t xml:space="preserve"> coned, and therefore underestimate the actual number of Hb</w:t>
      </w:r>
      <w:r>
        <w:rPr>
          <w:szCs w:val="24"/>
        </w:rPr>
        <w:t>A</w:t>
      </w:r>
      <w:r w:rsidRPr="00D70827">
        <w:rPr>
          <w:szCs w:val="24"/>
        </w:rPr>
        <w:t xml:space="preserve">1c pathology laboratory tests performed. </w:t>
      </w:r>
    </w:p>
    <w:p w:rsidR="00896AFB" w:rsidRDefault="00896AFB" w:rsidP="006E73D1">
      <w:pPr>
        <w:tabs>
          <w:tab w:val="left" w:pos="720"/>
          <w:tab w:val="left" w:pos="1140"/>
        </w:tabs>
        <w:spacing w:after="240"/>
        <w:rPr>
          <w:szCs w:val="24"/>
        </w:rPr>
      </w:pPr>
      <w:r w:rsidRPr="00D70827">
        <w:rPr>
          <w:szCs w:val="24"/>
        </w:rPr>
        <w:t xml:space="preserve">The number of services was adjusted by the coning rate of 34% to estimate the real number of HbA1c tests. The costs associated with both the diagnosis and management of diabetes included costs associated with the MBS, PBS and the hospital setting. The costs used in the budget impact model sourced data from the MBS, the </w:t>
      </w:r>
      <w:proofErr w:type="spellStart"/>
      <w:r w:rsidRPr="00D70827">
        <w:rPr>
          <w:szCs w:val="24"/>
        </w:rPr>
        <w:t>DoH</w:t>
      </w:r>
      <w:proofErr w:type="spellEnd"/>
      <w:r w:rsidRPr="00D70827">
        <w:rPr>
          <w:szCs w:val="24"/>
        </w:rPr>
        <w:t xml:space="preserve"> </w:t>
      </w:r>
      <w:proofErr w:type="spellStart"/>
      <w:r w:rsidR="000F74D2">
        <w:rPr>
          <w:szCs w:val="24"/>
        </w:rPr>
        <w:t>P</w:t>
      </w:r>
      <w:r w:rsidR="001B36AA">
        <w:rPr>
          <w:szCs w:val="24"/>
        </w:rPr>
        <w:t>o</w:t>
      </w:r>
      <w:r w:rsidR="000F74D2">
        <w:rPr>
          <w:szCs w:val="24"/>
        </w:rPr>
        <w:t>C</w:t>
      </w:r>
      <w:proofErr w:type="spellEnd"/>
      <w:r w:rsidR="000F74D2">
        <w:rPr>
          <w:szCs w:val="24"/>
        </w:rPr>
        <w:t xml:space="preserve"> testing </w:t>
      </w:r>
      <w:r w:rsidRPr="00D70827">
        <w:rPr>
          <w:szCs w:val="24"/>
        </w:rPr>
        <w:t>GP trial and the Australian Government Department of Human Services.</w:t>
      </w:r>
    </w:p>
    <w:p w:rsidR="00896AFB" w:rsidRPr="00D70827" w:rsidRDefault="00896AFB" w:rsidP="002D31D1">
      <w:pPr>
        <w:pStyle w:val="BodyTextSTD"/>
        <w:spacing w:line="240" w:lineRule="auto"/>
        <w:jc w:val="left"/>
        <w:rPr>
          <w:rFonts w:ascii="Times New Roman" w:hAnsi="Times New Roman" w:cs="Times New Roman"/>
          <w:sz w:val="24"/>
          <w:szCs w:val="24"/>
        </w:rPr>
      </w:pPr>
      <w:r w:rsidRPr="00D70827">
        <w:rPr>
          <w:rFonts w:ascii="Times New Roman" w:hAnsi="Times New Roman" w:cs="Times New Roman"/>
          <w:sz w:val="24"/>
          <w:szCs w:val="24"/>
        </w:rPr>
        <w:t xml:space="preserve">The estimated number of HbA1c </w:t>
      </w:r>
      <w:proofErr w:type="spellStart"/>
      <w:r w:rsidR="001B36AA">
        <w:rPr>
          <w:rFonts w:ascii="Times New Roman" w:hAnsi="Times New Roman" w:cs="Times New Roman"/>
          <w:sz w:val="24"/>
          <w:szCs w:val="24"/>
        </w:rPr>
        <w:t>PoC</w:t>
      </w:r>
      <w:proofErr w:type="spellEnd"/>
      <w:r w:rsidR="001B36AA">
        <w:rPr>
          <w:rFonts w:ascii="Times New Roman" w:hAnsi="Times New Roman" w:cs="Times New Roman"/>
          <w:sz w:val="24"/>
          <w:szCs w:val="24"/>
        </w:rPr>
        <w:t xml:space="preserve"> </w:t>
      </w:r>
      <w:r w:rsidR="00521C13">
        <w:rPr>
          <w:rFonts w:ascii="Times New Roman" w:hAnsi="Times New Roman" w:cs="Times New Roman"/>
          <w:sz w:val="24"/>
          <w:szCs w:val="24"/>
        </w:rPr>
        <w:t xml:space="preserve">test </w:t>
      </w:r>
      <w:r w:rsidRPr="00D70827">
        <w:rPr>
          <w:rFonts w:ascii="Times New Roman" w:hAnsi="Times New Roman" w:cs="Times New Roman"/>
          <w:sz w:val="24"/>
          <w:szCs w:val="24"/>
        </w:rPr>
        <w:t xml:space="preserve">services was </w:t>
      </w:r>
      <w:r w:rsidR="00534C47" w:rsidRPr="00534C47">
        <w:rPr>
          <w:rFonts w:ascii="Times New Roman" w:eastAsia="Calibri" w:hAnsi="Times New Roman" w:cs="Times New Roman"/>
          <w:b/>
          <w:sz w:val="24"/>
          <w:szCs w:val="24"/>
          <w:lang w:eastAsia="en-US"/>
        </w:rPr>
        <w:t>redacted</w:t>
      </w:r>
      <w:r w:rsidR="00534C47" w:rsidRPr="00D70827" w:rsidDel="00534C47">
        <w:rPr>
          <w:rFonts w:ascii="Times New Roman" w:hAnsi="Times New Roman" w:cs="Times New Roman"/>
          <w:sz w:val="24"/>
          <w:szCs w:val="24"/>
        </w:rPr>
        <w:t xml:space="preserve"> </w:t>
      </w:r>
      <w:r w:rsidRPr="00D70827">
        <w:rPr>
          <w:rFonts w:ascii="Times New Roman" w:hAnsi="Times New Roman" w:cs="Times New Roman"/>
          <w:sz w:val="24"/>
          <w:szCs w:val="24"/>
        </w:rPr>
        <w:t>in 2017</w:t>
      </w:r>
      <w:r>
        <w:rPr>
          <w:rFonts w:ascii="Times New Roman" w:hAnsi="Times New Roman" w:cs="Times New Roman"/>
          <w:sz w:val="24"/>
          <w:szCs w:val="24"/>
        </w:rPr>
        <w:t>,</w:t>
      </w:r>
      <w:r w:rsidRPr="00D70827">
        <w:rPr>
          <w:rFonts w:ascii="Times New Roman" w:hAnsi="Times New Roman" w:cs="Times New Roman"/>
          <w:sz w:val="24"/>
          <w:szCs w:val="24"/>
        </w:rPr>
        <w:t xml:space="preserve"> increasing to </w:t>
      </w:r>
      <w:proofErr w:type="gramStart"/>
      <w:r w:rsidR="00534C47" w:rsidRPr="00534C47">
        <w:rPr>
          <w:rFonts w:ascii="Times New Roman" w:eastAsia="Calibri" w:hAnsi="Times New Roman" w:cs="Times New Roman"/>
          <w:b/>
          <w:sz w:val="24"/>
          <w:szCs w:val="24"/>
          <w:lang w:eastAsia="en-US"/>
        </w:rPr>
        <w:t>redacted</w:t>
      </w:r>
      <w:proofErr w:type="gramEnd"/>
      <w:r w:rsidR="00534C47" w:rsidRPr="00D70827" w:rsidDel="00534C47">
        <w:rPr>
          <w:rFonts w:ascii="Times New Roman" w:hAnsi="Times New Roman" w:cs="Times New Roman"/>
          <w:sz w:val="24"/>
          <w:szCs w:val="24"/>
        </w:rPr>
        <w:t xml:space="preserve"> </w:t>
      </w:r>
      <w:r w:rsidRPr="00D70827">
        <w:rPr>
          <w:rFonts w:ascii="Times New Roman" w:hAnsi="Times New Roman" w:cs="Times New Roman"/>
          <w:sz w:val="24"/>
          <w:szCs w:val="24"/>
        </w:rPr>
        <w:t xml:space="preserve">in 2021. The majority of these tests (approximately </w:t>
      </w:r>
      <w:r w:rsidR="00534C47" w:rsidRPr="00534C47">
        <w:rPr>
          <w:rFonts w:ascii="Times New Roman" w:eastAsia="Calibri" w:hAnsi="Times New Roman" w:cs="Times New Roman"/>
          <w:b/>
          <w:sz w:val="24"/>
          <w:szCs w:val="24"/>
          <w:lang w:eastAsia="en-US"/>
        </w:rPr>
        <w:t>redacted</w:t>
      </w:r>
      <w:r w:rsidRPr="00D70827">
        <w:rPr>
          <w:rFonts w:ascii="Times New Roman" w:hAnsi="Times New Roman" w:cs="Times New Roman"/>
          <w:sz w:val="24"/>
          <w:szCs w:val="24"/>
        </w:rPr>
        <w:t xml:space="preserve">) </w:t>
      </w:r>
      <w:r w:rsidR="0053162C">
        <w:rPr>
          <w:rFonts w:ascii="Times New Roman" w:hAnsi="Times New Roman" w:cs="Times New Roman"/>
          <w:sz w:val="24"/>
          <w:szCs w:val="24"/>
        </w:rPr>
        <w:t>we</w:t>
      </w:r>
      <w:r w:rsidRPr="00D70827">
        <w:rPr>
          <w:rFonts w:ascii="Times New Roman" w:hAnsi="Times New Roman" w:cs="Times New Roman"/>
          <w:sz w:val="24"/>
          <w:szCs w:val="24"/>
        </w:rPr>
        <w:t>re expected to be in patients already diagnosed with diabetes.</w:t>
      </w:r>
    </w:p>
    <w:p w:rsidR="00896AFB" w:rsidRPr="00D70827" w:rsidRDefault="00896AFB" w:rsidP="006E73D1">
      <w:pPr>
        <w:spacing w:after="240"/>
      </w:pPr>
      <w:r w:rsidRPr="00D70827">
        <w:t xml:space="preserve">The net impact to the MBS </w:t>
      </w:r>
      <w:r w:rsidR="0053162C">
        <w:t>wa</w:t>
      </w:r>
      <w:r w:rsidRPr="00D70827">
        <w:t>s estimated to be $</w:t>
      </w:r>
      <w:r w:rsidR="00534C47" w:rsidRPr="00534C47">
        <w:rPr>
          <w:rFonts w:eastAsia="Calibri"/>
          <w:b/>
          <w:szCs w:val="24"/>
          <w:lang w:eastAsia="en-US"/>
        </w:rPr>
        <w:t>redacted</w:t>
      </w:r>
      <w:r w:rsidR="00534C47" w:rsidRPr="00D70827" w:rsidDel="00534C47">
        <w:t xml:space="preserve"> </w:t>
      </w:r>
      <w:r w:rsidRPr="00D70827">
        <w:t>in 2017</w:t>
      </w:r>
      <w:r>
        <w:t>,</w:t>
      </w:r>
      <w:r w:rsidRPr="00D70827">
        <w:t xml:space="preserve"> increasing to $</w:t>
      </w:r>
      <w:r w:rsidR="00534C47" w:rsidRPr="00534C47">
        <w:rPr>
          <w:rFonts w:eastAsia="Calibri"/>
          <w:b/>
          <w:szCs w:val="24"/>
          <w:lang w:eastAsia="en-US"/>
        </w:rPr>
        <w:t>redacted</w:t>
      </w:r>
      <w:r w:rsidR="00534C47" w:rsidRPr="00D70827" w:rsidDel="00534C47">
        <w:t xml:space="preserve"> </w:t>
      </w:r>
      <w:r w:rsidRPr="00D70827">
        <w:t xml:space="preserve">in 2021. This difference </w:t>
      </w:r>
      <w:r w:rsidR="0053162C">
        <w:t>wa</w:t>
      </w:r>
      <w:r w:rsidRPr="00D70827">
        <w:t xml:space="preserve">s due to the increase in the </w:t>
      </w:r>
      <w:r>
        <w:t xml:space="preserve">number </w:t>
      </w:r>
      <w:r w:rsidRPr="00D70827">
        <w:t xml:space="preserve">of HbA1c </w:t>
      </w:r>
      <w:proofErr w:type="spellStart"/>
      <w:r w:rsidR="000F74D2">
        <w:t>P</w:t>
      </w:r>
      <w:r w:rsidR="001B36AA">
        <w:t>o</w:t>
      </w:r>
      <w:r w:rsidR="000F74D2">
        <w:t>C</w:t>
      </w:r>
      <w:proofErr w:type="spellEnd"/>
      <w:r w:rsidR="000F74D2">
        <w:t xml:space="preserve"> tests</w:t>
      </w:r>
      <w:r w:rsidRPr="00D70827">
        <w:t xml:space="preserve"> being used. If there </w:t>
      </w:r>
      <w:r w:rsidR="0053162C">
        <w:t>would be</w:t>
      </w:r>
      <w:r w:rsidRPr="00D70827">
        <w:t xml:space="preserve"> no additional growth in the number of tests used the net impact to the health sector </w:t>
      </w:r>
      <w:r w:rsidR="0053162C">
        <w:t>wa</w:t>
      </w:r>
      <w:r w:rsidRPr="00D70827">
        <w:t>s estimated to be cost saving.</w:t>
      </w:r>
    </w:p>
    <w:p w:rsidR="00896AFB" w:rsidRPr="00FD1FEB" w:rsidRDefault="00896AFB" w:rsidP="00FD1FEB">
      <w:pPr>
        <w:rPr>
          <w:rFonts w:ascii="Arial Narrow" w:hAnsi="Arial Narrow"/>
          <w:b/>
          <w:sz w:val="20"/>
        </w:rPr>
      </w:pPr>
      <w:bookmarkStart w:id="35" w:name="_Ref473895026"/>
      <w:r w:rsidRPr="00FD1FEB">
        <w:rPr>
          <w:rFonts w:ascii="Arial Narrow" w:hAnsi="Arial Narrow"/>
          <w:b/>
          <w:sz w:val="20"/>
        </w:rPr>
        <w:t>Table</w:t>
      </w:r>
      <w:bookmarkEnd w:id="35"/>
      <w:r w:rsidRPr="00FD1FEB">
        <w:rPr>
          <w:rFonts w:ascii="Arial Narrow" w:hAnsi="Arial Narrow"/>
          <w:b/>
          <w:sz w:val="20"/>
        </w:rPr>
        <w:t xml:space="preserve"> </w:t>
      </w:r>
      <w:r w:rsidR="00521C13" w:rsidRPr="00FD1FEB">
        <w:rPr>
          <w:rFonts w:ascii="Arial Narrow" w:hAnsi="Arial Narrow"/>
          <w:b/>
          <w:sz w:val="20"/>
        </w:rPr>
        <w:t>6</w:t>
      </w:r>
      <w:r w:rsidR="00521C13" w:rsidRPr="00FD1FEB">
        <w:rPr>
          <w:rFonts w:ascii="Arial Narrow" w:hAnsi="Arial Narrow"/>
          <w:b/>
          <w:sz w:val="20"/>
        </w:rPr>
        <w:tab/>
      </w:r>
      <w:r w:rsidRPr="00FD1FEB">
        <w:rPr>
          <w:rFonts w:ascii="Arial Narrow" w:hAnsi="Arial Narrow"/>
          <w:b/>
          <w:sz w:val="20"/>
        </w:rPr>
        <w:t xml:space="preserve">Net costs to the MBS associated with HbA1c </w:t>
      </w:r>
      <w:proofErr w:type="spellStart"/>
      <w:r w:rsidR="000F74D2" w:rsidRPr="00FD1FEB">
        <w:rPr>
          <w:rFonts w:ascii="Arial Narrow" w:hAnsi="Arial Narrow"/>
          <w:b/>
          <w:sz w:val="20"/>
        </w:rPr>
        <w:t>P</w:t>
      </w:r>
      <w:r w:rsidR="001B36AA" w:rsidRPr="00FD1FEB">
        <w:rPr>
          <w:rFonts w:ascii="Arial Narrow" w:hAnsi="Arial Narrow"/>
          <w:b/>
          <w:sz w:val="20"/>
        </w:rPr>
        <w:t>o</w:t>
      </w:r>
      <w:r w:rsidR="000F74D2" w:rsidRPr="00FD1FEB">
        <w:rPr>
          <w:rFonts w:ascii="Arial Narrow" w:hAnsi="Arial Narrow"/>
          <w:b/>
          <w:sz w:val="20"/>
        </w:rPr>
        <w:t>C</w:t>
      </w:r>
      <w:proofErr w:type="spellEnd"/>
      <w:r w:rsidR="000F74D2" w:rsidRPr="00FD1FEB">
        <w:rPr>
          <w:rFonts w:ascii="Arial Narrow" w:hAnsi="Arial Narrow"/>
          <w:b/>
          <w:sz w:val="20"/>
        </w:rPr>
        <w:t xml:space="preserve"> testing</w:t>
      </w:r>
    </w:p>
    <w:tbl>
      <w:tblPr>
        <w:tblStyle w:val="TableGrid"/>
        <w:tblW w:w="0" w:type="auto"/>
        <w:tblInd w:w="108" w:type="dxa"/>
        <w:tblLayout w:type="fixed"/>
        <w:tblLook w:val="04A0" w:firstRow="1" w:lastRow="0" w:firstColumn="1" w:lastColumn="0" w:noHBand="0" w:noVBand="1"/>
        <w:tblDescription w:val="The net costs to the MBS associated with HbA1c POC tests over 5 years"/>
      </w:tblPr>
      <w:tblGrid>
        <w:gridCol w:w="2835"/>
        <w:gridCol w:w="1276"/>
        <w:gridCol w:w="1276"/>
        <w:gridCol w:w="1276"/>
        <w:gridCol w:w="1275"/>
        <w:gridCol w:w="1196"/>
      </w:tblGrid>
      <w:tr w:rsidR="00896AFB" w:rsidRPr="00534C47" w:rsidTr="0053162C">
        <w:trPr>
          <w:tblHeader/>
        </w:trPr>
        <w:tc>
          <w:tcPr>
            <w:tcW w:w="2835" w:type="dxa"/>
            <w:vAlign w:val="bottom"/>
          </w:tcPr>
          <w:p w:rsidR="00896AFB" w:rsidRPr="00C861AD" w:rsidRDefault="00896AFB" w:rsidP="001B36AA">
            <w:pPr>
              <w:pStyle w:val="TableHeading"/>
            </w:pPr>
            <w:r w:rsidRPr="00C861AD">
              <w:t>Year</w:t>
            </w:r>
          </w:p>
        </w:tc>
        <w:tc>
          <w:tcPr>
            <w:tcW w:w="1276" w:type="dxa"/>
            <w:vAlign w:val="bottom"/>
          </w:tcPr>
          <w:p w:rsidR="00896AFB" w:rsidRPr="00534C47" w:rsidRDefault="00896AFB" w:rsidP="002D31D1">
            <w:pPr>
              <w:pStyle w:val="TableHeading"/>
              <w:jc w:val="center"/>
            </w:pPr>
            <w:r w:rsidRPr="00534C47">
              <w:t>2017</w:t>
            </w:r>
          </w:p>
        </w:tc>
        <w:tc>
          <w:tcPr>
            <w:tcW w:w="1276" w:type="dxa"/>
            <w:vAlign w:val="bottom"/>
          </w:tcPr>
          <w:p w:rsidR="00896AFB" w:rsidRPr="00534C47" w:rsidRDefault="00896AFB" w:rsidP="002D31D1">
            <w:pPr>
              <w:pStyle w:val="TableHeading"/>
              <w:jc w:val="center"/>
            </w:pPr>
            <w:r w:rsidRPr="00534C47">
              <w:t>2018</w:t>
            </w:r>
          </w:p>
        </w:tc>
        <w:tc>
          <w:tcPr>
            <w:tcW w:w="1276" w:type="dxa"/>
            <w:vAlign w:val="bottom"/>
          </w:tcPr>
          <w:p w:rsidR="00896AFB" w:rsidRPr="00534C47" w:rsidRDefault="00896AFB" w:rsidP="002D31D1">
            <w:pPr>
              <w:pStyle w:val="TableHeading"/>
              <w:jc w:val="center"/>
            </w:pPr>
            <w:r w:rsidRPr="00534C47">
              <w:t>2019</w:t>
            </w:r>
          </w:p>
        </w:tc>
        <w:tc>
          <w:tcPr>
            <w:tcW w:w="1275" w:type="dxa"/>
            <w:vAlign w:val="bottom"/>
          </w:tcPr>
          <w:p w:rsidR="00896AFB" w:rsidRPr="00534C47" w:rsidRDefault="00896AFB" w:rsidP="002D31D1">
            <w:pPr>
              <w:pStyle w:val="TableHeading"/>
              <w:jc w:val="center"/>
            </w:pPr>
            <w:r w:rsidRPr="00534C47">
              <w:t>2020</w:t>
            </w:r>
          </w:p>
        </w:tc>
        <w:tc>
          <w:tcPr>
            <w:tcW w:w="1196" w:type="dxa"/>
            <w:vAlign w:val="bottom"/>
          </w:tcPr>
          <w:p w:rsidR="00896AFB" w:rsidRPr="00534C47" w:rsidRDefault="00896AFB" w:rsidP="002D31D1">
            <w:pPr>
              <w:pStyle w:val="TableHeading"/>
              <w:jc w:val="center"/>
            </w:pPr>
            <w:r w:rsidRPr="00534C47">
              <w:t>2021</w:t>
            </w:r>
          </w:p>
        </w:tc>
      </w:tr>
      <w:tr w:rsidR="00896AFB" w:rsidRPr="00534C47" w:rsidTr="0053162C">
        <w:tc>
          <w:tcPr>
            <w:tcW w:w="2835" w:type="dxa"/>
            <w:vAlign w:val="bottom"/>
          </w:tcPr>
          <w:p w:rsidR="00896AFB" w:rsidRPr="00C861AD" w:rsidRDefault="00896AFB" w:rsidP="001B36AA">
            <w:pPr>
              <w:pStyle w:val="TableText0"/>
              <w:rPr>
                <w:b/>
                <w:szCs w:val="20"/>
              </w:rPr>
            </w:pPr>
            <w:r w:rsidRPr="00C861AD">
              <w:rPr>
                <w:b/>
                <w:szCs w:val="20"/>
              </w:rPr>
              <w:t>Net change in test costs ($)</w:t>
            </w:r>
          </w:p>
        </w:tc>
        <w:tc>
          <w:tcPr>
            <w:tcW w:w="1276" w:type="dxa"/>
            <w:vAlign w:val="center"/>
          </w:tcPr>
          <w:p w:rsidR="00896AFB" w:rsidRPr="00534C47" w:rsidRDefault="00534C47" w:rsidP="001B36AA">
            <w:pPr>
              <w:pStyle w:val="TableText0"/>
              <w:jc w:val="center"/>
              <w:rPr>
                <w:szCs w:val="20"/>
              </w:rPr>
            </w:pPr>
            <w:r w:rsidRPr="00C861AD">
              <w:rPr>
                <w:rFonts w:eastAsia="Calibri" w:cs="Times New Roman"/>
                <w:b/>
                <w:szCs w:val="20"/>
              </w:rPr>
              <w:t>redacted</w:t>
            </w:r>
          </w:p>
        </w:tc>
        <w:tc>
          <w:tcPr>
            <w:tcW w:w="1276" w:type="dxa"/>
            <w:vAlign w:val="center"/>
          </w:tcPr>
          <w:p w:rsidR="00896AFB" w:rsidRPr="00534C47" w:rsidRDefault="00534C47" w:rsidP="001B36AA">
            <w:pPr>
              <w:pStyle w:val="TableText0"/>
              <w:jc w:val="center"/>
              <w:rPr>
                <w:szCs w:val="20"/>
              </w:rPr>
            </w:pPr>
            <w:r w:rsidRPr="00C861AD">
              <w:rPr>
                <w:rFonts w:eastAsia="Calibri" w:cs="Times New Roman"/>
                <w:b/>
                <w:szCs w:val="20"/>
              </w:rPr>
              <w:t>redacted</w:t>
            </w:r>
          </w:p>
        </w:tc>
        <w:tc>
          <w:tcPr>
            <w:tcW w:w="1276" w:type="dxa"/>
            <w:vAlign w:val="center"/>
          </w:tcPr>
          <w:p w:rsidR="00896AFB" w:rsidRPr="00534C47" w:rsidRDefault="00534C47" w:rsidP="001B36AA">
            <w:pPr>
              <w:pStyle w:val="TableText0"/>
              <w:jc w:val="center"/>
              <w:rPr>
                <w:szCs w:val="20"/>
              </w:rPr>
            </w:pPr>
            <w:r w:rsidRPr="00C861AD">
              <w:rPr>
                <w:rFonts w:eastAsia="Calibri" w:cs="Times New Roman"/>
                <w:b/>
                <w:szCs w:val="20"/>
              </w:rPr>
              <w:t>redacted</w:t>
            </w:r>
          </w:p>
        </w:tc>
        <w:tc>
          <w:tcPr>
            <w:tcW w:w="1275" w:type="dxa"/>
            <w:vAlign w:val="center"/>
          </w:tcPr>
          <w:p w:rsidR="00896AFB" w:rsidRPr="00534C47" w:rsidRDefault="00534C47" w:rsidP="001B36AA">
            <w:pPr>
              <w:pStyle w:val="TableText0"/>
              <w:jc w:val="center"/>
              <w:rPr>
                <w:szCs w:val="20"/>
              </w:rPr>
            </w:pPr>
            <w:r w:rsidRPr="00C861AD">
              <w:rPr>
                <w:rFonts w:eastAsia="Calibri" w:cs="Times New Roman"/>
                <w:b/>
                <w:szCs w:val="20"/>
              </w:rPr>
              <w:t>redacted</w:t>
            </w:r>
          </w:p>
        </w:tc>
        <w:tc>
          <w:tcPr>
            <w:tcW w:w="1196" w:type="dxa"/>
            <w:vAlign w:val="center"/>
          </w:tcPr>
          <w:p w:rsidR="00896AFB" w:rsidRPr="00534C47" w:rsidRDefault="00534C47" w:rsidP="001B36AA">
            <w:pPr>
              <w:pStyle w:val="TableText0"/>
              <w:jc w:val="center"/>
              <w:rPr>
                <w:szCs w:val="20"/>
              </w:rPr>
            </w:pPr>
            <w:r w:rsidRPr="00C861AD">
              <w:rPr>
                <w:rFonts w:eastAsia="Calibri" w:cs="Times New Roman"/>
                <w:b/>
                <w:szCs w:val="20"/>
              </w:rPr>
              <w:t>redacted</w:t>
            </w:r>
          </w:p>
        </w:tc>
      </w:tr>
      <w:tr w:rsidR="00896AFB" w:rsidRPr="00534C47" w:rsidTr="0053162C">
        <w:tc>
          <w:tcPr>
            <w:tcW w:w="2835" w:type="dxa"/>
            <w:vAlign w:val="bottom"/>
          </w:tcPr>
          <w:p w:rsidR="00896AFB" w:rsidRPr="00C861AD" w:rsidRDefault="00896AFB" w:rsidP="001B36AA">
            <w:pPr>
              <w:pStyle w:val="TableText0"/>
              <w:rPr>
                <w:b/>
                <w:szCs w:val="20"/>
              </w:rPr>
            </w:pPr>
            <w:r w:rsidRPr="00C861AD">
              <w:rPr>
                <w:b/>
                <w:szCs w:val="20"/>
              </w:rPr>
              <w:t>Net change in GP visit costs ($)</w:t>
            </w:r>
          </w:p>
        </w:tc>
        <w:tc>
          <w:tcPr>
            <w:tcW w:w="1276" w:type="dxa"/>
            <w:vAlign w:val="center"/>
          </w:tcPr>
          <w:p w:rsidR="00896AFB" w:rsidRPr="00534C47" w:rsidRDefault="00896AFB" w:rsidP="001B36AA">
            <w:pPr>
              <w:pStyle w:val="TableText0"/>
              <w:jc w:val="center"/>
              <w:rPr>
                <w:szCs w:val="20"/>
              </w:rPr>
            </w:pPr>
            <w:r w:rsidRPr="00534C47">
              <w:rPr>
                <w:szCs w:val="20"/>
              </w:rPr>
              <w:t>23,675</w:t>
            </w:r>
          </w:p>
        </w:tc>
        <w:tc>
          <w:tcPr>
            <w:tcW w:w="1276" w:type="dxa"/>
            <w:vAlign w:val="center"/>
          </w:tcPr>
          <w:p w:rsidR="00896AFB" w:rsidRPr="00534C47" w:rsidRDefault="00896AFB" w:rsidP="001B36AA">
            <w:pPr>
              <w:pStyle w:val="TableText0"/>
              <w:jc w:val="center"/>
              <w:rPr>
                <w:szCs w:val="20"/>
              </w:rPr>
            </w:pPr>
            <w:r w:rsidRPr="00534C47">
              <w:rPr>
                <w:szCs w:val="20"/>
              </w:rPr>
              <w:t>48,571</w:t>
            </w:r>
          </w:p>
        </w:tc>
        <w:tc>
          <w:tcPr>
            <w:tcW w:w="1276" w:type="dxa"/>
            <w:vAlign w:val="center"/>
          </w:tcPr>
          <w:p w:rsidR="00896AFB" w:rsidRPr="00534C47" w:rsidRDefault="00896AFB" w:rsidP="001B36AA">
            <w:pPr>
              <w:pStyle w:val="TableText0"/>
              <w:jc w:val="center"/>
              <w:rPr>
                <w:szCs w:val="20"/>
              </w:rPr>
            </w:pPr>
            <w:r w:rsidRPr="00534C47">
              <w:rPr>
                <w:szCs w:val="20"/>
              </w:rPr>
              <w:t>74,734</w:t>
            </w:r>
          </w:p>
        </w:tc>
        <w:tc>
          <w:tcPr>
            <w:tcW w:w="1275" w:type="dxa"/>
            <w:vAlign w:val="center"/>
          </w:tcPr>
          <w:p w:rsidR="00896AFB" w:rsidRPr="00534C47" w:rsidRDefault="00896AFB" w:rsidP="001B36AA">
            <w:pPr>
              <w:pStyle w:val="TableText0"/>
              <w:jc w:val="center"/>
              <w:rPr>
                <w:szCs w:val="20"/>
              </w:rPr>
            </w:pPr>
            <w:r w:rsidRPr="00534C47">
              <w:rPr>
                <w:szCs w:val="20"/>
              </w:rPr>
              <w:t>102,214</w:t>
            </w:r>
          </w:p>
        </w:tc>
        <w:tc>
          <w:tcPr>
            <w:tcW w:w="1196" w:type="dxa"/>
            <w:vAlign w:val="center"/>
          </w:tcPr>
          <w:p w:rsidR="00896AFB" w:rsidRPr="00534C47" w:rsidRDefault="00896AFB" w:rsidP="001B36AA">
            <w:pPr>
              <w:pStyle w:val="TableText0"/>
              <w:jc w:val="center"/>
              <w:rPr>
                <w:szCs w:val="20"/>
              </w:rPr>
            </w:pPr>
            <w:r w:rsidRPr="00534C47">
              <w:rPr>
                <w:szCs w:val="20"/>
              </w:rPr>
              <w:t>131,063</w:t>
            </w:r>
          </w:p>
        </w:tc>
      </w:tr>
      <w:tr w:rsidR="00896AFB" w:rsidRPr="00534C47" w:rsidTr="0053162C">
        <w:tc>
          <w:tcPr>
            <w:tcW w:w="2835" w:type="dxa"/>
            <w:vAlign w:val="bottom"/>
          </w:tcPr>
          <w:p w:rsidR="00896AFB" w:rsidRPr="00C861AD" w:rsidRDefault="00896AFB" w:rsidP="001B36AA">
            <w:pPr>
              <w:pStyle w:val="TableText0"/>
              <w:rPr>
                <w:b/>
                <w:szCs w:val="20"/>
              </w:rPr>
            </w:pPr>
            <w:r w:rsidRPr="00C861AD">
              <w:rPr>
                <w:b/>
                <w:szCs w:val="20"/>
              </w:rPr>
              <w:t>Total net change to the MBS ($)</w:t>
            </w:r>
          </w:p>
        </w:tc>
        <w:tc>
          <w:tcPr>
            <w:tcW w:w="1276" w:type="dxa"/>
            <w:vAlign w:val="center"/>
          </w:tcPr>
          <w:p w:rsidR="00896AFB" w:rsidRPr="00534C47" w:rsidRDefault="00534C47" w:rsidP="001B36AA">
            <w:pPr>
              <w:pStyle w:val="TableText0"/>
              <w:jc w:val="center"/>
              <w:rPr>
                <w:szCs w:val="20"/>
              </w:rPr>
            </w:pPr>
            <w:r w:rsidRPr="00C861AD">
              <w:rPr>
                <w:rFonts w:eastAsia="Calibri" w:cs="Times New Roman"/>
                <w:b/>
                <w:szCs w:val="20"/>
              </w:rPr>
              <w:t>redacted</w:t>
            </w:r>
          </w:p>
        </w:tc>
        <w:tc>
          <w:tcPr>
            <w:tcW w:w="1276" w:type="dxa"/>
            <w:vAlign w:val="center"/>
          </w:tcPr>
          <w:p w:rsidR="00896AFB" w:rsidRPr="00534C47" w:rsidRDefault="00534C47" w:rsidP="001B36AA">
            <w:pPr>
              <w:pStyle w:val="TableText0"/>
              <w:jc w:val="center"/>
              <w:rPr>
                <w:szCs w:val="20"/>
              </w:rPr>
            </w:pPr>
            <w:r w:rsidRPr="00C861AD">
              <w:rPr>
                <w:rFonts w:eastAsia="Calibri" w:cs="Times New Roman"/>
                <w:b/>
                <w:szCs w:val="20"/>
              </w:rPr>
              <w:t>redacted</w:t>
            </w:r>
          </w:p>
        </w:tc>
        <w:tc>
          <w:tcPr>
            <w:tcW w:w="1276" w:type="dxa"/>
            <w:vAlign w:val="center"/>
          </w:tcPr>
          <w:p w:rsidR="00896AFB" w:rsidRPr="00534C47" w:rsidRDefault="00534C47" w:rsidP="001B36AA">
            <w:pPr>
              <w:pStyle w:val="TableText0"/>
              <w:jc w:val="center"/>
              <w:rPr>
                <w:szCs w:val="20"/>
              </w:rPr>
            </w:pPr>
            <w:r w:rsidRPr="00C861AD">
              <w:rPr>
                <w:rFonts w:eastAsia="Calibri" w:cs="Times New Roman"/>
                <w:b/>
                <w:szCs w:val="20"/>
              </w:rPr>
              <w:t>redacted</w:t>
            </w:r>
          </w:p>
        </w:tc>
        <w:tc>
          <w:tcPr>
            <w:tcW w:w="1275" w:type="dxa"/>
            <w:vAlign w:val="center"/>
          </w:tcPr>
          <w:p w:rsidR="00896AFB" w:rsidRPr="00534C47" w:rsidRDefault="00534C47" w:rsidP="001B36AA">
            <w:pPr>
              <w:pStyle w:val="TableText0"/>
              <w:jc w:val="center"/>
              <w:rPr>
                <w:szCs w:val="20"/>
              </w:rPr>
            </w:pPr>
            <w:r w:rsidRPr="00C861AD">
              <w:rPr>
                <w:rFonts w:eastAsia="Calibri" w:cs="Times New Roman"/>
                <w:b/>
                <w:szCs w:val="20"/>
              </w:rPr>
              <w:t>redacted</w:t>
            </w:r>
          </w:p>
        </w:tc>
        <w:tc>
          <w:tcPr>
            <w:tcW w:w="1196" w:type="dxa"/>
            <w:vAlign w:val="center"/>
          </w:tcPr>
          <w:p w:rsidR="00896AFB" w:rsidRPr="00534C47" w:rsidRDefault="00534C47" w:rsidP="001B36AA">
            <w:pPr>
              <w:pStyle w:val="TableText0"/>
              <w:jc w:val="center"/>
              <w:rPr>
                <w:szCs w:val="20"/>
              </w:rPr>
            </w:pPr>
            <w:r w:rsidRPr="00C861AD">
              <w:rPr>
                <w:rFonts w:eastAsia="Calibri" w:cs="Times New Roman"/>
                <w:b/>
                <w:szCs w:val="20"/>
              </w:rPr>
              <w:t>redacted</w:t>
            </w:r>
          </w:p>
        </w:tc>
      </w:tr>
    </w:tbl>
    <w:p w:rsidR="00896AFB" w:rsidRPr="002D31D1" w:rsidRDefault="00896AFB" w:rsidP="00896AFB">
      <w:pPr>
        <w:pStyle w:val="Tablenotes"/>
      </w:pPr>
      <w:r w:rsidRPr="002D31D1">
        <w:rPr>
          <w:i/>
        </w:rPr>
        <w:t>Abbreviations:</w:t>
      </w:r>
      <w:r w:rsidRPr="002D31D1">
        <w:t xml:space="preserve"> GP, general practitioner; HbA1c, glycated haemoglobin; </w:t>
      </w:r>
      <w:proofErr w:type="spellStart"/>
      <w:r w:rsidRPr="002D31D1">
        <w:t>P</w:t>
      </w:r>
      <w:r w:rsidR="001B36AA" w:rsidRPr="002D31D1">
        <w:t>o</w:t>
      </w:r>
      <w:r w:rsidRPr="002D31D1">
        <w:t>C</w:t>
      </w:r>
      <w:proofErr w:type="spellEnd"/>
      <w:r w:rsidRPr="002D31D1">
        <w:t>, point of care; MBS, Medicare Benefits Schedule</w:t>
      </w:r>
    </w:p>
    <w:p w:rsidR="00BC1364" w:rsidRPr="00471CD1" w:rsidRDefault="00896AFB" w:rsidP="00471CD1">
      <w:pPr>
        <w:rPr>
          <w:rFonts w:eastAsia="Calibri"/>
        </w:rPr>
      </w:pPr>
      <w:r w:rsidRPr="00BA48B5">
        <w:rPr>
          <w:rFonts w:eastAsia="Calibri"/>
        </w:rPr>
        <w:t xml:space="preserve">The </w:t>
      </w:r>
      <w:r w:rsidR="002D31D1">
        <w:rPr>
          <w:rFonts w:eastAsia="Calibri"/>
        </w:rPr>
        <w:t>critique noted that</w:t>
      </w:r>
      <w:r w:rsidR="00471CD1">
        <w:rPr>
          <w:rFonts w:eastAsia="Calibri"/>
        </w:rPr>
        <w:t xml:space="preserve"> there </w:t>
      </w:r>
      <w:r w:rsidR="00521C13">
        <w:rPr>
          <w:rFonts w:eastAsia="Calibri"/>
        </w:rPr>
        <w:t>wa</w:t>
      </w:r>
      <w:r w:rsidR="00471CD1">
        <w:rPr>
          <w:rFonts w:eastAsia="Calibri"/>
        </w:rPr>
        <w:t>s uncertainty around the</w:t>
      </w:r>
      <w:r w:rsidR="002D31D1">
        <w:rPr>
          <w:rFonts w:eastAsia="Calibri"/>
        </w:rPr>
        <w:t xml:space="preserve"> </w:t>
      </w:r>
      <w:r w:rsidRPr="00BA48B5">
        <w:rPr>
          <w:rFonts w:eastAsia="Calibri"/>
        </w:rPr>
        <w:t>analysis of MBS net financial impact</w:t>
      </w:r>
      <w:r w:rsidR="00471CD1">
        <w:rPr>
          <w:rFonts w:eastAsia="Calibri"/>
        </w:rPr>
        <w:t>, which</w:t>
      </w:r>
      <w:r w:rsidRPr="00BA48B5">
        <w:rPr>
          <w:rFonts w:eastAsia="Calibri"/>
        </w:rPr>
        <w:t xml:space="preserve"> </w:t>
      </w:r>
      <w:r w:rsidR="0053162C">
        <w:rPr>
          <w:rFonts w:eastAsia="Calibri"/>
        </w:rPr>
        <w:t>wa</w:t>
      </w:r>
      <w:r w:rsidRPr="00BA48B5">
        <w:rPr>
          <w:rFonts w:eastAsia="Calibri"/>
        </w:rPr>
        <w:t xml:space="preserve">s governed by the uptake assumptions, that </w:t>
      </w:r>
      <w:proofErr w:type="spellStart"/>
      <w:r w:rsidR="000F74D2">
        <w:rPr>
          <w:rFonts w:eastAsia="Calibri"/>
        </w:rPr>
        <w:t>P</w:t>
      </w:r>
      <w:r w:rsidR="001B36AA">
        <w:rPr>
          <w:rFonts w:eastAsia="Calibri"/>
        </w:rPr>
        <w:t>o</w:t>
      </w:r>
      <w:r w:rsidR="000F74D2">
        <w:rPr>
          <w:rFonts w:eastAsia="Calibri"/>
        </w:rPr>
        <w:t>C</w:t>
      </w:r>
      <w:proofErr w:type="spellEnd"/>
      <w:r w:rsidR="000F74D2">
        <w:rPr>
          <w:rFonts w:eastAsia="Calibri"/>
        </w:rPr>
        <w:t xml:space="preserve"> testing</w:t>
      </w:r>
      <w:r>
        <w:rPr>
          <w:rFonts w:eastAsia="Calibri"/>
        </w:rPr>
        <w:t xml:space="preserve"> w</w:t>
      </w:r>
      <w:r w:rsidR="00521C13">
        <w:rPr>
          <w:rFonts w:eastAsia="Calibri"/>
        </w:rPr>
        <w:t>ould</w:t>
      </w:r>
      <w:r w:rsidRPr="00BA48B5">
        <w:rPr>
          <w:rFonts w:eastAsia="Calibri"/>
        </w:rPr>
        <w:t xml:space="preserve"> substitute for laboratory testing on a 1:1 basis, </w:t>
      </w:r>
      <w:r w:rsidR="0053162C">
        <w:rPr>
          <w:rFonts w:eastAsia="Calibri"/>
        </w:rPr>
        <w:t xml:space="preserve">that </w:t>
      </w:r>
      <w:r w:rsidRPr="00BA48B5">
        <w:rPr>
          <w:rFonts w:eastAsia="Calibri"/>
        </w:rPr>
        <w:t>there w</w:t>
      </w:r>
      <w:r w:rsidR="0053162C">
        <w:rPr>
          <w:rFonts w:eastAsia="Calibri"/>
        </w:rPr>
        <w:t>ould</w:t>
      </w:r>
      <w:r w:rsidRPr="00BA48B5">
        <w:rPr>
          <w:rFonts w:eastAsia="Calibri"/>
        </w:rPr>
        <w:t xml:space="preserve"> be </w:t>
      </w:r>
      <w:r>
        <w:rPr>
          <w:rFonts w:eastAsia="Calibri"/>
        </w:rPr>
        <w:t>fewer</w:t>
      </w:r>
      <w:r w:rsidRPr="00BA48B5">
        <w:rPr>
          <w:rFonts w:eastAsia="Calibri"/>
        </w:rPr>
        <w:t xml:space="preserve"> GP visits associated with </w:t>
      </w:r>
      <w:proofErr w:type="spellStart"/>
      <w:r w:rsidRPr="00BA48B5">
        <w:rPr>
          <w:rFonts w:eastAsia="Calibri"/>
        </w:rPr>
        <w:t>PoC</w:t>
      </w:r>
      <w:proofErr w:type="spellEnd"/>
      <w:r w:rsidRPr="00BA48B5">
        <w:rPr>
          <w:rFonts w:eastAsia="Calibri"/>
        </w:rPr>
        <w:t xml:space="preserve"> testing</w:t>
      </w:r>
      <w:r w:rsidR="0053162C">
        <w:rPr>
          <w:rFonts w:eastAsia="Calibri"/>
        </w:rPr>
        <w:t>,</w:t>
      </w:r>
      <w:r w:rsidRPr="00BA48B5">
        <w:rPr>
          <w:rFonts w:eastAsia="Calibri"/>
        </w:rPr>
        <w:t xml:space="preserve"> and that coning </w:t>
      </w:r>
      <w:r>
        <w:rPr>
          <w:rFonts w:eastAsia="Calibri"/>
        </w:rPr>
        <w:t xml:space="preserve">currently </w:t>
      </w:r>
      <w:r w:rsidRPr="00BA48B5">
        <w:rPr>
          <w:rFonts w:eastAsia="Calibri"/>
        </w:rPr>
        <w:t xml:space="preserve">accounts for 34% of HbA1c diagnostic tests. </w:t>
      </w:r>
      <w:r w:rsidRPr="00471CD1">
        <w:rPr>
          <w:rStyle w:val="CommentChar"/>
          <w:rFonts w:ascii="Times New Roman" w:eastAsia="Calibri" w:hAnsi="Times New Roman" w:cs="Times New Roman"/>
          <w:i w:val="0"/>
          <w:color w:val="auto"/>
          <w:szCs w:val="24"/>
        </w:rPr>
        <w:t>Coning results in fewer tests being reimbursed and create</w:t>
      </w:r>
      <w:r w:rsidR="0053162C">
        <w:rPr>
          <w:rStyle w:val="CommentChar"/>
          <w:rFonts w:ascii="Times New Roman" w:eastAsia="Calibri" w:hAnsi="Times New Roman" w:cs="Times New Roman"/>
          <w:i w:val="0"/>
          <w:color w:val="auto"/>
          <w:szCs w:val="24"/>
        </w:rPr>
        <w:t>d</w:t>
      </w:r>
      <w:r w:rsidRPr="00471CD1">
        <w:rPr>
          <w:rStyle w:val="CommentChar"/>
          <w:rFonts w:ascii="Times New Roman" w:eastAsia="Calibri" w:hAnsi="Times New Roman" w:cs="Times New Roman"/>
          <w:i w:val="0"/>
          <w:color w:val="auto"/>
          <w:szCs w:val="24"/>
        </w:rPr>
        <w:t xml:space="preserve"> uncertainty as to the exact number of HbA1c diagnostic tests provided in Australia. The assumption of fewer GP visits for </w:t>
      </w:r>
      <w:proofErr w:type="spellStart"/>
      <w:r w:rsidR="000F74D2">
        <w:rPr>
          <w:rStyle w:val="CommentChar"/>
          <w:rFonts w:ascii="Times New Roman" w:eastAsia="Calibri" w:hAnsi="Times New Roman" w:cs="Times New Roman"/>
          <w:i w:val="0"/>
          <w:color w:val="auto"/>
          <w:szCs w:val="24"/>
        </w:rPr>
        <w:t>P</w:t>
      </w:r>
      <w:r w:rsidR="001B36AA">
        <w:rPr>
          <w:rStyle w:val="CommentChar"/>
          <w:rFonts w:ascii="Times New Roman" w:eastAsia="Calibri" w:hAnsi="Times New Roman" w:cs="Times New Roman"/>
          <w:i w:val="0"/>
          <w:color w:val="auto"/>
          <w:szCs w:val="24"/>
        </w:rPr>
        <w:t>o</w:t>
      </w:r>
      <w:r w:rsidR="000F74D2">
        <w:rPr>
          <w:rStyle w:val="CommentChar"/>
          <w:rFonts w:ascii="Times New Roman" w:eastAsia="Calibri" w:hAnsi="Times New Roman" w:cs="Times New Roman"/>
          <w:i w:val="0"/>
          <w:color w:val="auto"/>
          <w:szCs w:val="24"/>
        </w:rPr>
        <w:t>C</w:t>
      </w:r>
      <w:proofErr w:type="spellEnd"/>
      <w:r w:rsidR="000F74D2">
        <w:rPr>
          <w:rStyle w:val="CommentChar"/>
          <w:rFonts w:ascii="Times New Roman" w:eastAsia="Calibri" w:hAnsi="Times New Roman" w:cs="Times New Roman"/>
          <w:i w:val="0"/>
          <w:color w:val="auto"/>
          <w:szCs w:val="24"/>
        </w:rPr>
        <w:t xml:space="preserve"> testing</w:t>
      </w:r>
      <w:r w:rsidR="00521C13">
        <w:rPr>
          <w:rStyle w:val="CommentChar"/>
          <w:rFonts w:ascii="Times New Roman" w:eastAsia="Calibri" w:hAnsi="Times New Roman" w:cs="Times New Roman"/>
          <w:i w:val="0"/>
          <w:color w:val="auto"/>
          <w:szCs w:val="24"/>
        </w:rPr>
        <w:t xml:space="preserve"> wa</w:t>
      </w:r>
      <w:r w:rsidRPr="00471CD1">
        <w:rPr>
          <w:rStyle w:val="CommentChar"/>
          <w:rFonts w:ascii="Times New Roman" w:eastAsia="Calibri" w:hAnsi="Times New Roman" w:cs="Times New Roman"/>
          <w:i w:val="0"/>
          <w:color w:val="auto"/>
          <w:szCs w:val="24"/>
        </w:rPr>
        <w:t xml:space="preserve">s uncertain given patients may have multiple comorbidities. No evidence was provided in the </w:t>
      </w:r>
      <w:r w:rsidR="00A66070">
        <w:rPr>
          <w:rStyle w:val="CommentChar"/>
          <w:rFonts w:ascii="Times New Roman" w:eastAsia="Calibri" w:hAnsi="Times New Roman" w:cs="Times New Roman"/>
          <w:i w:val="0"/>
          <w:color w:val="auto"/>
          <w:szCs w:val="24"/>
        </w:rPr>
        <w:t>application</w:t>
      </w:r>
      <w:r w:rsidRPr="00471CD1">
        <w:rPr>
          <w:rStyle w:val="CommentChar"/>
          <w:rFonts w:ascii="Times New Roman" w:eastAsia="Calibri" w:hAnsi="Times New Roman" w:cs="Times New Roman"/>
          <w:i w:val="0"/>
          <w:color w:val="auto"/>
          <w:szCs w:val="24"/>
        </w:rPr>
        <w:t xml:space="preserve"> to support uptake estimates.</w:t>
      </w:r>
    </w:p>
    <w:p w:rsidR="006A0D97" w:rsidRPr="00F715D1" w:rsidRDefault="006A0D97" w:rsidP="00F715D1">
      <w:pPr>
        <w:pStyle w:val="Heading1"/>
      </w:pPr>
      <w:r w:rsidRPr="00F715D1">
        <w:lastRenderedPageBreak/>
        <w:t>Key issues from ESC for MSAC</w:t>
      </w:r>
    </w:p>
    <w:p w:rsidR="00DA5FA2" w:rsidRPr="004C6D8A" w:rsidRDefault="00DA5FA2" w:rsidP="00DA5FA2">
      <w:pPr>
        <w:pStyle w:val="BodyText"/>
        <w:spacing w:line="240" w:lineRule="auto"/>
      </w:pPr>
      <w:r w:rsidRPr="004C6D8A">
        <w:t>ESC noted that laboratory HbA1c testing is already subsidised for the diagn</w:t>
      </w:r>
      <w:r>
        <w:t>osis and management of diabetes</w:t>
      </w:r>
      <w:r w:rsidRPr="004C6D8A">
        <w:t xml:space="preserve"> </w:t>
      </w:r>
      <w:r>
        <w:t>and</w:t>
      </w:r>
      <w:r w:rsidRPr="004C6D8A">
        <w:t xml:space="preserve"> that the application requested MBS listing of HbA1c </w:t>
      </w:r>
      <w:proofErr w:type="spellStart"/>
      <w:r w:rsidR="001B36AA">
        <w:t>PoC</w:t>
      </w:r>
      <w:proofErr w:type="spellEnd"/>
      <w:r w:rsidR="001B36AA">
        <w:t xml:space="preserve"> </w:t>
      </w:r>
      <w:r w:rsidRPr="004C6D8A">
        <w:t>testing for the diagnosis of diabetes and for the management of pati</w:t>
      </w:r>
      <w:r w:rsidR="0053162C">
        <w:t>ents with established diabetes.</w:t>
      </w:r>
    </w:p>
    <w:p w:rsidR="00DA5FA2" w:rsidRPr="004C6D8A" w:rsidRDefault="00DA5FA2" w:rsidP="00DA5FA2">
      <w:pPr>
        <w:pStyle w:val="BodyText"/>
        <w:spacing w:line="240" w:lineRule="auto"/>
      </w:pPr>
      <w:r w:rsidRPr="004C6D8A">
        <w:t xml:space="preserve">ESC noted that there were no significant safety concerns with HbA1c </w:t>
      </w:r>
      <w:proofErr w:type="spellStart"/>
      <w:r w:rsidR="001B36AA">
        <w:t>PoC</w:t>
      </w:r>
      <w:proofErr w:type="spellEnd"/>
      <w:r w:rsidR="001B36AA">
        <w:t xml:space="preserve"> </w:t>
      </w:r>
      <w:r w:rsidRPr="004C6D8A">
        <w:t>testing.</w:t>
      </w:r>
    </w:p>
    <w:p w:rsidR="00DA5FA2" w:rsidRPr="004C6D8A" w:rsidRDefault="00DA5FA2" w:rsidP="00DA5FA2">
      <w:pPr>
        <w:pStyle w:val="BodyText"/>
        <w:spacing w:line="240" w:lineRule="auto"/>
      </w:pPr>
      <w:r w:rsidRPr="004C6D8A">
        <w:t xml:space="preserve">ESC noted that there was little information in the application on the use of HbA1c </w:t>
      </w:r>
      <w:proofErr w:type="spellStart"/>
      <w:r w:rsidR="001B36AA">
        <w:t>PoC</w:t>
      </w:r>
      <w:proofErr w:type="spellEnd"/>
      <w:r w:rsidR="001B36AA">
        <w:t xml:space="preserve"> </w:t>
      </w:r>
      <w:r w:rsidRPr="004C6D8A">
        <w:t xml:space="preserve">testing in people without diagnosed disease. </w:t>
      </w:r>
      <w:r>
        <w:t xml:space="preserve">The </w:t>
      </w:r>
      <w:r w:rsidRPr="004C6D8A">
        <w:t xml:space="preserve">applicant’s arguments that the clinical validity of using HbA1c testing for diagnosis had been established in </w:t>
      </w:r>
      <w:hyperlink r:id="rId13" w:tooltip="Link to the MSAC webpage for application 1267" w:history="1">
        <w:r w:rsidRPr="004C6D8A">
          <w:rPr>
            <w:rStyle w:val="Hyperlink"/>
          </w:rPr>
          <w:t>MSAC Application 1267 — HBA1c Test for the Diagnosis of Diabetes Mellitus</w:t>
        </w:r>
      </w:hyperlink>
      <w:r w:rsidRPr="004C6D8A">
        <w:t xml:space="preserve"> and that the analytical validity of HbA1c </w:t>
      </w:r>
      <w:proofErr w:type="spellStart"/>
      <w:r w:rsidR="001B36AA">
        <w:t>PoC</w:t>
      </w:r>
      <w:proofErr w:type="spellEnd"/>
      <w:r w:rsidR="001B36AA">
        <w:t xml:space="preserve"> </w:t>
      </w:r>
      <w:r w:rsidRPr="004C6D8A">
        <w:t xml:space="preserve">testing was non-inferior to laboratory testing regardless of whether or not a person had been diagnosed with diabetes. However, </w:t>
      </w:r>
      <w:r>
        <w:t xml:space="preserve">ESC noted </w:t>
      </w:r>
      <w:r w:rsidRPr="004C6D8A">
        <w:t xml:space="preserve">that the </w:t>
      </w:r>
      <w:proofErr w:type="spellStart"/>
      <w:r w:rsidRPr="004C6D8A">
        <w:t>Hirst</w:t>
      </w:r>
      <w:proofErr w:type="spellEnd"/>
      <w:r w:rsidRPr="004C6D8A">
        <w:t xml:space="preserve"> JA et al 2017 review of the performance of HbA1c </w:t>
      </w:r>
      <w:proofErr w:type="spellStart"/>
      <w:r w:rsidR="001B36AA">
        <w:t>PoC</w:t>
      </w:r>
      <w:proofErr w:type="spellEnd"/>
      <w:r w:rsidR="001B36AA">
        <w:t xml:space="preserve"> test </w:t>
      </w:r>
      <w:r w:rsidRPr="004C6D8A">
        <w:t xml:space="preserve">devices indicated that the mean bias between </w:t>
      </w:r>
      <w:proofErr w:type="spellStart"/>
      <w:r w:rsidRPr="004C6D8A">
        <w:t>PoC</w:t>
      </w:r>
      <w:proofErr w:type="spellEnd"/>
      <w:r w:rsidRPr="004C6D8A">
        <w:t xml:space="preserve"> </w:t>
      </w:r>
      <w:r w:rsidR="001B36AA">
        <w:t>testing</w:t>
      </w:r>
      <w:r w:rsidRPr="004C6D8A">
        <w:t xml:space="preserve"> and laboratory testing ranged between -0.96% and +0.43%. This in turn meant that patients with HbA1c values between 6.07% and 7.46% are more likely to be incorrectly diagnosed due to random error than a patient with an HbA1c </w:t>
      </w:r>
      <w:r>
        <w:t>value above</w:t>
      </w:r>
      <w:r w:rsidRPr="004C6D8A">
        <w:t xml:space="preserve"> this range.</w:t>
      </w:r>
    </w:p>
    <w:p w:rsidR="00DA5FA2" w:rsidRPr="004C6D8A" w:rsidRDefault="00DA5FA2" w:rsidP="00DA5FA2">
      <w:pPr>
        <w:pStyle w:val="BodyText"/>
        <w:spacing w:line="240" w:lineRule="auto"/>
      </w:pPr>
      <w:r w:rsidRPr="004C6D8A">
        <w:t xml:space="preserve">ESC </w:t>
      </w:r>
      <w:r>
        <w:t>considered</w:t>
      </w:r>
      <w:r w:rsidRPr="004C6D8A">
        <w:t xml:space="preserve"> that clinicians may still continue to order </w:t>
      </w:r>
      <w:r>
        <w:t xml:space="preserve">laboratory </w:t>
      </w:r>
      <w:r w:rsidRPr="004C6D8A">
        <w:t>confirmatory tests if a</w:t>
      </w:r>
      <w:r w:rsidR="0053162C">
        <w:t>n</w:t>
      </w:r>
      <w:r w:rsidRPr="004C6D8A">
        <w:t xml:space="preserve"> HbA1c </w:t>
      </w:r>
      <w:proofErr w:type="spellStart"/>
      <w:r w:rsidR="001B36AA">
        <w:t>PoC</w:t>
      </w:r>
      <w:proofErr w:type="spellEnd"/>
      <w:r w:rsidR="001B36AA">
        <w:t xml:space="preserve"> </w:t>
      </w:r>
      <w:r w:rsidRPr="004C6D8A">
        <w:t>test indicates that a person may have diabetes, particularly if the</w:t>
      </w:r>
      <w:r w:rsidR="0053162C">
        <w:t xml:space="preserve"> person is</w:t>
      </w:r>
      <w:r w:rsidRPr="004C6D8A">
        <w:t xml:space="preserve"> asymptomatic. </w:t>
      </w:r>
      <w:r>
        <w:t xml:space="preserve">The </w:t>
      </w:r>
      <w:hyperlink r:id="rId14" w:tooltip="Link to the RACGP guidelines for management of type 2 diabetes" w:history="1">
        <w:r w:rsidRPr="004C6D8A">
          <w:rPr>
            <w:rStyle w:val="Hyperlink"/>
          </w:rPr>
          <w:t>Royal Australian College of General Practitioners (RACGP) guidelines</w:t>
        </w:r>
      </w:hyperlink>
      <w:r w:rsidRPr="004C6D8A">
        <w:t xml:space="preserve"> require a second confirmatory test to be undertaken before an asymptomatic individual is diagnosed as having diabetes.</w:t>
      </w:r>
    </w:p>
    <w:p w:rsidR="00DA5FA2" w:rsidRPr="004C6D8A" w:rsidRDefault="00DA5FA2" w:rsidP="00DA5FA2">
      <w:pPr>
        <w:pStyle w:val="BodyText"/>
        <w:spacing w:line="240" w:lineRule="auto"/>
      </w:pPr>
      <w:r w:rsidRPr="004C6D8A">
        <w:t xml:space="preserve">ESC noted that implementing an accreditation framework for quality control and quality assurance of HbA1c </w:t>
      </w:r>
      <w:proofErr w:type="spellStart"/>
      <w:r w:rsidR="001B36AA">
        <w:t>PoC</w:t>
      </w:r>
      <w:proofErr w:type="spellEnd"/>
      <w:r w:rsidR="001B36AA">
        <w:t xml:space="preserve"> </w:t>
      </w:r>
      <w:r w:rsidRPr="004C6D8A">
        <w:t>testing was estimated to cost each practice $</w:t>
      </w:r>
      <w:r w:rsidR="00534C47" w:rsidRPr="00534C47">
        <w:rPr>
          <w:rFonts w:eastAsia="Calibri"/>
          <w:b/>
          <w:lang w:eastAsia="en-US"/>
        </w:rPr>
        <w:t>redacted</w:t>
      </w:r>
      <w:r w:rsidR="00534C47" w:rsidRPr="004C6D8A" w:rsidDel="00534C47">
        <w:t xml:space="preserve"> </w:t>
      </w:r>
      <w:r w:rsidRPr="004C6D8A">
        <w:t>per year. Assuming that a practice undertook 260 tests per year, the costs associated with quality assurance and quality control were calculated to be $</w:t>
      </w:r>
      <w:r w:rsidR="00534C47" w:rsidRPr="00534C47">
        <w:rPr>
          <w:rFonts w:eastAsia="Calibri"/>
          <w:b/>
          <w:lang w:eastAsia="en-US"/>
        </w:rPr>
        <w:t>redacted</w:t>
      </w:r>
      <w:r w:rsidR="00534C47" w:rsidRPr="004C6D8A" w:rsidDel="00534C47">
        <w:t xml:space="preserve"> </w:t>
      </w:r>
      <w:r w:rsidRPr="004C6D8A">
        <w:t>per test. ESC noted that this cost was uncertain because there is wide variation as to the number of GPs and patients between different practices.</w:t>
      </w:r>
    </w:p>
    <w:p w:rsidR="00DA5FA2" w:rsidRPr="004C6D8A" w:rsidRDefault="00DA5FA2" w:rsidP="00DA5FA2">
      <w:pPr>
        <w:pStyle w:val="BodyText"/>
        <w:spacing w:line="240" w:lineRule="auto"/>
      </w:pPr>
      <w:r w:rsidRPr="004C6D8A">
        <w:t>ESC queried the difference between the requested fee ($</w:t>
      </w:r>
      <w:r w:rsidR="00534C47" w:rsidRPr="00534C47">
        <w:rPr>
          <w:rFonts w:eastAsia="Calibri"/>
          <w:b/>
          <w:lang w:eastAsia="en-US"/>
        </w:rPr>
        <w:t>redacted</w:t>
      </w:r>
      <w:r w:rsidRPr="004C6D8A">
        <w:t xml:space="preserve">) for undertaking HbA1c </w:t>
      </w:r>
      <w:proofErr w:type="spellStart"/>
      <w:r w:rsidR="001B36AA">
        <w:t>PoC</w:t>
      </w:r>
      <w:proofErr w:type="spellEnd"/>
      <w:r w:rsidR="001B36AA">
        <w:t xml:space="preserve"> </w:t>
      </w:r>
      <w:r w:rsidRPr="004C6D8A">
        <w:t>testing and the cost per laboratory test used in the economic model ($</w:t>
      </w:r>
      <w:r w:rsidR="00534C47" w:rsidRPr="00534C47">
        <w:rPr>
          <w:rFonts w:eastAsia="Calibri"/>
          <w:b/>
          <w:lang w:eastAsia="en-US"/>
        </w:rPr>
        <w:t>redacted</w:t>
      </w:r>
      <w:r w:rsidRPr="004C6D8A">
        <w:t xml:space="preserve">). The difference in fees between HbA1c </w:t>
      </w:r>
      <w:proofErr w:type="spellStart"/>
      <w:r w:rsidR="001B36AA">
        <w:t>PoC</w:t>
      </w:r>
      <w:proofErr w:type="spellEnd"/>
      <w:r w:rsidR="001B36AA">
        <w:t xml:space="preserve"> </w:t>
      </w:r>
      <w:r w:rsidRPr="004C6D8A">
        <w:t>testing and laboratory testing was $</w:t>
      </w:r>
      <w:r w:rsidR="00534C47" w:rsidRPr="00534C47">
        <w:rPr>
          <w:rFonts w:eastAsia="Calibri"/>
          <w:b/>
          <w:lang w:eastAsia="en-US"/>
        </w:rPr>
        <w:t>redacted</w:t>
      </w:r>
      <w:r w:rsidRPr="004C6D8A">
        <w:t>. ESC noted that the application had factored in a cost for quality assurance of $</w:t>
      </w:r>
      <w:r w:rsidR="00534C47" w:rsidRPr="00534C47">
        <w:rPr>
          <w:rFonts w:eastAsia="Calibri"/>
          <w:b/>
          <w:lang w:eastAsia="en-US"/>
        </w:rPr>
        <w:t>redacted</w:t>
      </w:r>
      <w:r w:rsidR="00534C47" w:rsidRPr="004C6D8A" w:rsidDel="00534C47">
        <w:t xml:space="preserve"> </w:t>
      </w:r>
      <w:r w:rsidRPr="004C6D8A">
        <w:t xml:space="preserve">per HbA1c </w:t>
      </w:r>
      <w:proofErr w:type="spellStart"/>
      <w:r w:rsidR="001B36AA">
        <w:t>PoC</w:t>
      </w:r>
      <w:proofErr w:type="spellEnd"/>
      <w:r w:rsidR="001B36AA">
        <w:t xml:space="preserve"> </w:t>
      </w:r>
      <w:r w:rsidRPr="004C6D8A">
        <w:t>test</w:t>
      </w:r>
      <w:r w:rsidR="0053162C">
        <w:t>,</w:t>
      </w:r>
      <w:r w:rsidRPr="004C6D8A">
        <w:t xml:space="preserve"> but </w:t>
      </w:r>
      <w:r w:rsidR="0053162C">
        <w:t xml:space="preserve">considered that </w:t>
      </w:r>
      <w:r w:rsidRPr="004C6D8A">
        <w:t>the justification for the additional $6.33 was unclear.</w:t>
      </w:r>
    </w:p>
    <w:p w:rsidR="00DA5FA2" w:rsidRPr="004C6D8A" w:rsidRDefault="00DA5FA2" w:rsidP="00DA5FA2">
      <w:pPr>
        <w:pStyle w:val="BodyText"/>
        <w:spacing w:line="240" w:lineRule="auto"/>
      </w:pPr>
      <w:r w:rsidRPr="004C6D8A">
        <w:t>ESC noted that many patients w</w:t>
      </w:r>
      <w:r>
        <w:t>ould</w:t>
      </w:r>
      <w:r w:rsidRPr="004C6D8A">
        <w:t xml:space="preserve"> still need to have formal blood tests to manage other risk factors, irrespective of whether they have a</w:t>
      </w:r>
      <w:r w:rsidR="0053162C">
        <w:t>n</w:t>
      </w:r>
      <w:r w:rsidRPr="004C6D8A">
        <w:t xml:space="preserve"> </w:t>
      </w:r>
      <w:r>
        <w:t xml:space="preserve">HbA1c </w:t>
      </w:r>
      <w:proofErr w:type="spellStart"/>
      <w:r w:rsidR="0067110D" w:rsidRPr="00B15C8B">
        <w:rPr>
          <w:rFonts w:eastAsia="Calibri"/>
          <w:lang w:eastAsia="en-US"/>
        </w:rPr>
        <w:t>PoC</w:t>
      </w:r>
      <w:proofErr w:type="spellEnd"/>
      <w:r w:rsidR="0067110D">
        <w:t xml:space="preserve"> </w:t>
      </w:r>
      <w:r>
        <w:t xml:space="preserve">or laboratory test and </w:t>
      </w:r>
      <w:r w:rsidRPr="004C6D8A">
        <w:t xml:space="preserve">that the economic model for the diagnosis of patients relied upon an assumption that HbA1c </w:t>
      </w:r>
      <w:proofErr w:type="spellStart"/>
      <w:r w:rsidR="0067110D">
        <w:t>PoC</w:t>
      </w:r>
      <w:proofErr w:type="spellEnd"/>
      <w:r w:rsidR="0067110D">
        <w:t xml:space="preserve"> </w:t>
      </w:r>
      <w:r w:rsidRPr="004C6D8A">
        <w:t xml:space="preserve">testing would reduce the number of GP visits. ESC </w:t>
      </w:r>
      <w:r>
        <w:t xml:space="preserve">considered </w:t>
      </w:r>
      <w:r w:rsidRPr="004C6D8A">
        <w:t>that this assumption remained uncertain, particularly if other blood tests are performed as part of diagnosis</w:t>
      </w:r>
      <w:r>
        <w:t xml:space="preserve"> and monitoring</w:t>
      </w:r>
      <w:r w:rsidRPr="004C6D8A">
        <w:t>.</w:t>
      </w:r>
    </w:p>
    <w:p w:rsidR="00DA5FA2" w:rsidRPr="004C6D8A" w:rsidRDefault="00DA5FA2" w:rsidP="00DA5FA2">
      <w:pPr>
        <w:pStyle w:val="BodyText"/>
        <w:spacing w:line="240" w:lineRule="auto"/>
      </w:pPr>
      <w:r w:rsidRPr="004C6D8A">
        <w:t>ESC noted that the utility values used in the economic model were based upon UK data from 2002 and queried whether more recent utility values were available.</w:t>
      </w:r>
    </w:p>
    <w:p w:rsidR="00DA5FA2" w:rsidRPr="004C6D8A" w:rsidRDefault="00DA5FA2" w:rsidP="00974BEC">
      <w:pPr>
        <w:pStyle w:val="BodyText"/>
        <w:spacing w:line="240" w:lineRule="auto"/>
      </w:pPr>
      <w:r w:rsidRPr="004C6D8A">
        <w:t xml:space="preserve">ESC </w:t>
      </w:r>
      <w:r>
        <w:t xml:space="preserve">advised </w:t>
      </w:r>
      <w:r w:rsidRPr="004C6D8A">
        <w:t xml:space="preserve">that there was uncertainty around the estimates of the number and costs of HbA1c </w:t>
      </w:r>
      <w:proofErr w:type="spellStart"/>
      <w:r w:rsidR="0067110D">
        <w:t>PoC</w:t>
      </w:r>
      <w:proofErr w:type="spellEnd"/>
      <w:r w:rsidR="0067110D">
        <w:t xml:space="preserve"> </w:t>
      </w:r>
      <w:r w:rsidRPr="004C6D8A">
        <w:t>tests conducted each year because of:</w:t>
      </w:r>
    </w:p>
    <w:p w:rsidR="00DA5FA2" w:rsidRPr="004C6D8A" w:rsidRDefault="00DA5FA2" w:rsidP="00974BEC">
      <w:pPr>
        <w:pStyle w:val="BodyText"/>
        <w:numPr>
          <w:ilvl w:val="0"/>
          <w:numId w:val="26"/>
        </w:numPr>
        <w:spacing w:before="0" w:line="240" w:lineRule="auto"/>
      </w:pPr>
      <w:proofErr w:type="gramStart"/>
      <w:r w:rsidRPr="004C6D8A">
        <w:t>uncertainty</w:t>
      </w:r>
      <w:proofErr w:type="gramEnd"/>
      <w:r w:rsidRPr="004C6D8A">
        <w:t xml:space="preserve"> around the number of current HbA1c tests conducted each year. ESC noted that current MBS statistics on laboratory HbA1c testing w</w:t>
      </w:r>
      <w:r>
        <w:t>ould</w:t>
      </w:r>
      <w:r w:rsidRPr="004C6D8A">
        <w:t xml:space="preserve"> underestimate test numbers due to coning rules. ESC also noted that HbA1c </w:t>
      </w:r>
      <w:proofErr w:type="spellStart"/>
      <w:r w:rsidR="0067110D">
        <w:t>PoC</w:t>
      </w:r>
      <w:proofErr w:type="spellEnd"/>
      <w:r w:rsidR="0067110D">
        <w:t xml:space="preserve"> testing </w:t>
      </w:r>
      <w:r>
        <w:t>may</w:t>
      </w:r>
      <w:r w:rsidRPr="004C6D8A">
        <w:t xml:space="preserve"> not be subject to coning and as such the number of tests paid for under the MBS overall could increase;</w:t>
      </w:r>
    </w:p>
    <w:p w:rsidR="00DA5FA2" w:rsidRPr="004C6D8A" w:rsidRDefault="00DA5FA2" w:rsidP="00974BEC">
      <w:pPr>
        <w:pStyle w:val="BodyText"/>
        <w:numPr>
          <w:ilvl w:val="0"/>
          <w:numId w:val="26"/>
        </w:numPr>
        <w:spacing w:before="0" w:line="240" w:lineRule="auto"/>
        <w:ind w:left="714" w:hanging="357"/>
      </w:pPr>
      <w:r w:rsidRPr="004C6D8A">
        <w:lastRenderedPageBreak/>
        <w:t>a potential for overuse and over-testing, particularly in asymptomatic patients at risk of diabetes;</w:t>
      </w:r>
    </w:p>
    <w:p w:rsidR="00DA5FA2" w:rsidRPr="004C6D8A" w:rsidRDefault="00DA5FA2" w:rsidP="00974BEC">
      <w:pPr>
        <w:pStyle w:val="BodyText"/>
        <w:numPr>
          <w:ilvl w:val="0"/>
          <w:numId w:val="26"/>
        </w:numPr>
        <w:spacing w:before="0" w:line="240" w:lineRule="auto"/>
        <w:ind w:left="714" w:hanging="357"/>
      </w:pPr>
      <w:r w:rsidRPr="004C6D8A">
        <w:t xml:space="preserve">uncertainty around how frequently HbA1c </w:t>
      </w:r>
      <w:proofErr w:type="spellStart"/>
      <w:r w:rsidR="0067110D">
        <w:t>PoC</w:t>
      </w:r>
      <w:proofErr w:type="spellEnd"/>
      <w:r w:rsidR="0067110D">
        <w:t xml:space="preserve"> </w:t>
      </w:r>
      <w:r w:rsidRPr="004C6D8A">
        <w:t>testing would replace laboratory testing;</w:t>
      </w:r>
    </w:p>
    <w:p w:rsidR="00DA5FA2" w:rsidRDefault="00DA5FA2" w:rsidP="00974BEC">
      <w:pPr>
        <w:pStyle w:val="BodyText"/>
        <w:numPr>
          <w:ilvl w:val="0"/>
          <w:numId w:val="26"/>
        </w:numPr>
        <w:spacing w:before="0" w:line="240" w:lineRule="auto"/>
        <w:ind w:left="714" w:hanging="357"/>
      </w:pPr>
      <w:r w:rsidRPr="004C6D8A">
        <w:t xml:space="preserve">uncertainty about the extent to which clinicians would order a confirmatory laboratory HbA1c test as well as undertaking a HbA1c </w:t>
      </w:r>
      <w:proofErr w:type="spellStart"/>
      <w:r w:rsidR="0067110D">
        <w:t>PoC</w:t>
      </w:r>
      <w:proofErr w:type="spellEnd"/>
      <w:r w:rsidR="0067110D">
        <w:t xml:space="preserve"> </w:t>
      </w:r>
      <w:r w:rsidRPr="004C6D8A">
        <w:t>test, particularly in previously undiagnosed patients</w:t>
      </w:r>
      <w:r>
        <w:t>; and</w:t>
      </w:r>
    </w:p>
    <w:p w:rsidR="00DA5FA2" w:rsidRDefault="00DA5FA2" w:rsidP="00974BEC">
      <w:pPr>
        <w:pStyle w:val="BodyText"/>
        <w:numPr>
          <w:ilvl w:val="0"/>
          <w:numId w:val="26"/>
        </w:numPr>
        <w:spacing w:before="0" w:line="240" w:lineRule="auto"/>
        <w:ind w:left="714" w:hanging="357"/>
      </w:pPr>
      <w:proofErr w:type="gramStart"/>
      <w:r w:rsidRPr="004C6D8A">
        <w:t>an</w:t>
      </w:r>
      <w:proofErr w:type="gramEnd"/>
      <w:r w:rsidRPr="004C6D8A">
        <w:t xml:space="preserve"> uncertain assumption that uptake of HbA1c </w:t>
      </w:r>
      <w:proofErr w:type="spellStart"/>
      <w:r w:rsidR="0067110D">
        <w:t>PoC</w:t>
      </w:r>
      <w:proofErr w:type="spellEnd"/>
      <w:r w:rsidR="0067110D">
        <w:t xml:space="preserve"> testing </w:t>
      </w:r>
      <w:r w:rsidRPr="004C6D8A">
        <w:t>would increase from 1% to 5% over five years.</w:t>
      </w:r>
    </w:p>
    <w:p w:rsidR="00DA5FA2" w:rsidRDefault="00DA5FA2" w:rsidP="008D1370">
      <w:pPr>
        <w:spacing w:before="180"/>
        <w:rPr>
          <w:b/>
          <w:bCs/>
        </w:rPr>
      </w:pPr>
      <w:r>
        <w:t xml:space="preserve">ESC noted that currently the MBS only subsidises HbA1c testing once per year for diagnosis and four times a year for established diabetes. ESC queried how HbA1c </w:t>
      </w:r>
      <w:proofErr w:type="spellStart"/>
      <w:r w:rsidR="0067110D">
        <w:t>PoC</w:t>
      </w:r>
      <w:proofErr w:type="spellEnd"/>
      <w:r w:rsidR="0067110D">
        <w:t xml:space="preserve"> </w:t>
      </w:r>
      <w:r>
        <w:t>testing should best interact with these counts</w:t>
      </w:r>
    </w:p>
    <w:p w:rsidR="00DA5FA2" w:rsidRPr="00C34169" w:rsidRDefault="00DA5FA2" w:rsidP="00DA5FA2">
      <w:pPr>
        <w:pStyle w:val="BodyText"/>
        <w:spacing w:line="240" w:lineRule="auto"/>
      </w:pPr>
      <w:r w:rsidRPr="00C34169">
        <w:t>ESC noted that there were three proposed MBS item descripto</w:t>
      </w:r>
      <w:r w:rsidR="00974BEC">
        <w:t>rs included in the application -</w:t>
      </w:r>
      <w:r w:rsidRPr="00C34169">
        <w:t xml:space="preserve"> one for diagnosis, one for management of established diabetes</w:t>
      </w:r>
      <w:r w:rsidR="008D1370">
        <w:t>,</w:t>
      </w:r>
      <w:r w:rsidRPr="00C34169">
        <w:t xml:space="preserve"> and one for management of pre-existing diabetes when the patient is pregnant. ESC noted that no evidence on the use of HbA1c </w:t>
      </w:r>
      <w:proofErr w:type="spellStart"/>
      <w:r w:rsidR="0067110D">
        <w:t>PoC</w:t>
      </w:r>
      <w:proofErr w:type="spellEnd"/>
      <w:r w:rsidR="0067110D">
        <w:t xml:space="preserve"> </w:t>
      </w:r>
      <w:r w:rsidRPr="00C34169">
        <w:t>testing in pregnant women with pre-existing diabetes had been presented in the application. ESC noted that this may have been because these patients were included in the evidence presented for established diabetes</w:t>
      </w:r>
      <w:r w:rsidR="008D1370">
        <w:t>,</w:t>
      </w:r>
      <w:r w:rsidRPr="00C34169">
        <w:t xml:space="preserve"> and suggested that the third item descriptor could be deleted. ESC noted that HbA1c testing is inappropriate for the diagnosis of gestational diabetes.</w:t>
      </w:r>
    </w:p>
    <w:p w:rsidR="00DA5FA2" w:rsidRPr="00C34169" w:rsidRDefault="00DA5FA2" w:rsidP="00974BEC">
      <w:pPr>
        <w:pStyle w:val="BodyText"/>
        <w:spacing w:after="240" w:line="240" w:lineRule="auto"/>
      </w:pPr>
      <w:r w:rsidRPr="00C34169">
        <w:t>ESC noted that consumers are likely to want access to a</w:t>
      </w:r>
      <w:r w:rsidR="00521C13">
        <w:t>n</w:t>
      </w:r>
      <w:r w:rsidRPr="00C34169">
        <w:t xml:space="preserve"> </w:t>
      </w:r>
      <w:r w:rsidR="00521C13">
        <w:t xml:space="preserve">HbA1c </w:t>
      </w:r>
      <w:proofErr w:type="spellStart"/>
      <w:r w:rsidR="000F74D2">
        <w:t>P</w:t>
      </w:r>
      <w:r w:rsidR="0067110D">
        <w:t>o</w:t>
      </w:r>
      <w:r w:rsidR="000F74D2">
        <w:t>C</w:t>
      </w:r>
      <w:proofErr w:type="spellEnd"/>
      <w:r w:rsidR="000F74D2">
        <w:t xml:space="preserve"> test</w:t>
      </w:r>
      <w:r w:rsidR="000F74D2" w:rsidRPr="00C34169">
        <w:t xml:space="preserve"> </w:t>
      </w:r>
      <w:r w:rsidRPr="00C34169">
        <w:t>if it helps them manage their condition better.</w:t>
      </w:r>
    </w:p>
    <w:tbl>
      <w:tblPr>
        <w:tblW w:w="8882" w:type="dxa"/>
        <w:tblCellMar>
          <w:left w:w="0" w:type="dxa"/>
          <w:right w:w="0" w:type="dxa"/>
        </w:tblCellMar>
        <w:tblLook w:val="04A0" w:firstRow="1" w:lastRow="0" w:firstColumn="1" w:lastColumn="0" w:noHBand="0" w:noVBand="1"/>
        <w:tblDescription w:val="Summary of ESC issues and advice to MSAC"/>
      </w:tblPr>
      <w:tblGrid>
        <w:gridCol w:w="2220"/>
        <w:gridCol w:w="6662"/>
      </w:tblGrid>
      <w:tr w:rsidR="00DA5FA2" w:rsidRPr="00393A3A" w:rsidTr="00521C13">
        <w:trPr>
          <w:trHeight w:val="600"/>
        </w:trPr>
        <w:tc>
          <w:tcPr>
            <w:tcW w:w="222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rsidR="00DA5FA2" w:rsidRPr="00393A3A" w:rsidRDefault="00DA5FA2" w:rsidP="001B36AA">
            <w:pPr>
              <w:tabs>
                <w:tab w:val="left" w:pos="720"/>
                <w:tab w:val="left" w:pos="1140"/>
              </w:tabs>
              <w:jc w:val="center"/>
              <w:rPr>
                <w:b/>
                <w:bCs/>
                <w:color w:val="FFFFFF" w:themeColor="background1"/>
                <w:szCs w:val="24"/>
              </w:rPr>
            </w:pPr>
            <w:r w:rsidRPr="00393A3A">
              <w:rPr>
                <w:b/>
                <w:bCs/>
                <w:color w:val="FFFFFF" w:themeColor="background1"/>
                <w:szCs w:val="24"/>
              </w:rPr>
              <w:t>ESC K</w:t>
            </w:r>
            <w:r w:rsidR="0067110D" w:rsidRPr="00393A3A">
              <w:rPr>
                <w:b/>
                <w:bCs/>
                <w:color w:val="FFFFFF" w:themeColor="background1"/>
                <w:szCs w:val="24"/>
              </w:rPr>
              <w:t>EY</w:t>
            </w:r>
            <w:r w:rsidRPr="00393A3A">
              <w:rPr>
                <w:b/>
                <w:bCs/>
                <w:color w:val="FFFFFF" w:themeColor="background1"/>
                <w:szCs w:val="24"/>
              </w:rPr>
              <w:t xml:space="preserve"> ISSUES</w:t>
            </w:r>
          </w:p>
        </w:tc>
        <w:tc>
          <w:tcPr>
            <w:tcW w:w="6662"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rsidR="00DA5FA2" w:rsidRPr="00393A3A" w:rsidRDefault="00DA5FA2" w:rsidP="001B36AA">
            <w:pPr>
              <w:tabs>
                <w:tab w:val="left" w:pos="720"/>
                <w:tab w:val="left" w:pos="1140"/>
              </w:tabs>
              <w:jc w:val="center"/>
              <w:rPr>
                <w:b/>
                <w:bCs/>
                <w:color w:val="FFFFFF" w:themeColor="background1"/>
                <w:szCs w:val="24"/>
              </w:rPr>
            </w:pPr>
            <w:r w:rsidRPr="00393A3A">
              <w:rPr>
                <w:b/>
                <w:bCs/>
                <w:color w:val="FFFFFF" w:themeColor="background1"/>
                <w:szCs w:val="24"/>
              </w:rPr>
              <w:t>ESC ADVICE</w:t>
            </w:r>
          </w:p>
        </w:tc>
      </w:tr>
      <w:tr w:rsidR="00DA5FA2" w:rsidRPr="00393A3A" w:rsidTr="00521C13">
        <w:trPr>
          <w:trHeight w:val="631"/>
        </w:trPr>
        <w:tc>
          <w:tcPr>
            <w:tcW w:w="222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DA5FA2" w:rsidRPr="00393A3A" w:rsidRDefault="00DA5FA2" w:rsidP="001B36AA">
            <w:pPr>
              <w:tabs>
                <w:tab w:val="left" w:pos="720"/>
                <w:tab w:val="left" w:pos="1140"/>
              </w:tabs>
              <w:rPr>
                <w:rFonts w:ascii="Arial Narrow" w:hAnsi="Arial Narrow"/>
                <w:bCs/>
                <w:sz w:val="20"/>
              </w:rPr>
            </w:pPr>
            <w:r w:rsidRPr="00393A3A">
              <w:rPr>
                <w:rFonts w:ascii="Arial Narrow" w:hAnsi="Arial Narrow"/>
                <w:bCs/>
                <w:sz w:val="20"/>
              </w:rPr>
              <w:t xml:space="preserve">Coning </w:t>
            </w:r>
          </w:p>
        </w:tc>
        <w:tc>
          <w:tcPr>
            <w:tcW w:w="6662"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DA5FA2" w:rsidRPr="00393A3A" w:rsidRDefault="00DA5FA2" w:rsidP="001B36AA">
            <w:pPr>
              <w:tabs>
                <w:tab w:val="left" w:pos="720"/>
                <w:tab w:val="left" w:pos="1140"/>
              </w:tabs>
              <w:rPr>
                <w:rFonts w:ascii="Arial Narrow" w:hAnsi="Arial Narrow"/>
                <w:bCs/>
                <w:sz w:val="20"/>
              </w:rPr>
            </w:pPr>
            <w:r w:rsidRPr="00393A3A">
              <w:rPr>
                <w:rFonts w:ascii="Arial Narrow" w:hAnsi="Arial Narrow"/>
                <w:bCs/>
                <w:sz w:val="20"/>
              </w:rPr>
              <w:t xml:space="preserve">Coning means that 34% of HbA1c tests are not reimbursed, but ESC </w:t>
            </w:r>
            <w:r>
              <w:rPr>
                <w:rFonts w:ascii="Arial Narrow" w:hAnsi="Arial Narrow"/>
                <w:bCs/>
                <w:sz w:val="20"/>
              </w:rPr>
              <w:t>wa</w:t>
            </w:r>
            <w:r w:rsidRPr="00393A3A">
              <w:rPr>
                <w:rFonts w:ascii="Arial Narrow" w:hAnsi="Arial Narrow"/>
                <w:bCs/>
                <w:sz w:val="20"/>
              </w:rPr>
              <w:t>s uncertain as to whether the correct multiplier was used to calculate the estimated total number of HbA1c tests – which may bias the results in favour of the comparator</w:t>
            </w:r>
          </w:p>
        </w:tc>
      </w:tr>
      <w:tr w:rsidR="00DA5FA2" w:rsidRPr="00393A3A" w:rsidTr="00521C13">
        <w:trPr>
          <w:trHeight w:val="106"/>
        </w:trPr>
        <w:tc>
          <w:tcPr>
            <w:tcW w:w="222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DA5FA2" w:rsidRPr="00393A3A" w:rsidRDefault="00DA5FA2" w:rsidP="001B36AA">
            <w:pPr>
              <w:tabs>
                <w:tab w:val="left" w:pos="720"/>
                <w:tab w:val="left" w:pos="1140"/>
              </w:tabs>
              <w:rPr>
                <w:rFonts w:ascii="Arial Narrow" w:hAnsi="Arial Narrow"/>
                <w:bCs/>
                <w:sz w:val="20"/>
              </w:rPr>
            </w:pPr>
            <w:r w:rsidRPr="00393A3A">
              <w:rPr>
                <w:rFonts w:ascii="Arial Narrow" w:hAnsi="Arial Narrow"/>
                <w:bCs/>
                <w:sz w:val="20"/>
              </w:rPr>
              <w:t>Translation issues</w:t>
            </w:r>
          </w:p>
        </w:tc>
        <w:tc>
          <w:tcPr>
            <w:tcW w:w="6662"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rsidR="00DA5FA2" w:rsidRPr="00393A3A" w:rsidRDefault="00DA5FA2" w:rsidP="001B36AA">
            <w:pPr>
              <w:tabs>
                <w:tab w:val="left" w:pos="720"/>
                <w:tab w:val="left" w:pos="1140"/>
              </w:tabs>
              <w:rPr>
                <w:rFonts w:ascii="Arial Narrow" w:hAnsi="Arial Narrow"/>
                <w:bCs/>
                <w:sz w:val="20"/>
              </w:rPr>
            </w:pPr>
            <w:r w:rsidRPr="00393A3A">
              <w:rPr>
                <w:rFonts w:ascii="Arial Narrow" w:hAnsi="Arial Narrow"/>
                <w:bCs/>
                <w:sz w:val="20"/>
              </w:rPr>
              <w:t>The cost of the test remains uncertain, with approximately $6 of the $</w:t>
            </w:r>
            <w:r w:rsidR="00534C47" w:rsidRPr="008D69E6">
              <w:rPr>
                <w:rFonts w:ascii="Arial Narrow" w:hAnsi="Arial Narrow"/>
                <w:b/>
                <w:bCs/>
                <w:sz w:val="20"/>
              </w:rPr>
              <w:t>redacted</w:t>
            </w:r>
            <w:r w:rsidR="00534C47" w:rsidRPr="008D69E6" w:rsidDel="00534C47">
              <w:rPr>
                <w:rFonts w:ascii="Arial Narrow" w:hAnsi="Arial Narrow"/>
                <w:b/>
                <w:bCs/>
                <w:sz w:val="20"/>
              </w:rPr>
              <w:t xml:space="preserve"> </w:t>
            </w:r>
            <w:r w:rsidRPr="00393A3A">
              <w:rPr>
                <w:rFonts w:ascii="Arial Narrow" w:hAnsi="Arial Narrow"/>
                <w:bCs/>
                <w:sz w:val="20"/>
              </w:rPr>
              <w:t>unaccounted for, compared to the $</w:t>
            </w:r>
            <w:r>
              <w:rPr>
                <w:rFonts w:ascii="Arial Narrow" w:hAnsi="Arial Narrow"/>
                <w:bCs/>
                <w:sz w:val="20"/>
              </w:rPr>
              <w:t>15.05</w:t>
            </w:r>
            <w:r w:rsidRPr="00393A3A">
              <w:rPr>
                <w:rFonts w:ascii="Arial Narrow" w:hAnsi="Arial Narrow"/>
                <w:bCs/>
                <w:sz w:val="20"/>
              </w:rPr>
              <w:t xml:space="preserve"> for laboratory testing</w:t>
            </w:r>
          </w:p>
        </w:tc>
      </w:tr>
      <w:tr w:rsidR="00DA5FA2" w:rsidRPr="00393A3A" w:rsidTr="00521C13">
        <w:trPr>
          <w:trHeight w:val="407"/>
        </w:trPr>
        <w:tc>
          <w:tcPr>
            <w:tcW w:w="222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DA5FA2" w:rsidRPr="00393A3A" w:rsidRDefault="00DA5FA2" w:rsidP="001B36AA">
            <w:pPr>
              <w:tabs>
                <w:tab w:val="left" w:pos="720"/>
                <w:tab w:val="left" w:pos="1140"/>
              </w:tabs>
              <w:rPr>
                <w:rFonts w:ascii="Arial Narrow" w:hAnsi="Arial Narrow"/>
                <w:bCs/>
                <w:sz w:val="20"/>
              </w:rPr>
            </w:pPr>
            <w:r w:rsidRPr="00393A3A">
              <w:rPr>
                <w:rFonts w:ascii="Arial Narrow" w:hAnsi="Arial Narrow"/>
                <w:bCs/>
                <w:sz w:val="20"/>
              </w:rPr>
              <w:t>Duplication</w:t>
            </w:r>
          </w:p>
        </w:tc>
        <w:tc>
          <w:tcPr>
            <w:tcW w:w="6662"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DA5FA2" w:rsidRPr="00393A3A" w:rsidRDefault="00DA5FA2" w:rsidP="00521C13">
            <w:pPr>
              <w:tabs>
                <w:tab w:val="left" w:pos="720"/>
                <w:tab w:val="left" w:pos="1140"/>
              </w:tabs>
              <w:rPr>
                <w:rFonts w:ascii="Arial Narrow" w:hAnsi="Arial Narrow"/>
                <w:bCs/>
                <w:sz w:val="20"/>
              </w:rPr>
            </w:pPr>
            <w:r w:rsidRPr="00393A3A">
              <w:rPr>
                <w:rFonts w:ascii="Arial Narrow" w:hAnsi="Arial Narrow"/>
                <w:bCs/>
                <w:sz w:val="20"/>
              </w:rPr>
              <w:t xml:space="preserve">As person-centred care is a driver </w:t>
            </w:r>
            <w:r>
              <w:rPr>
                <w:rFonts w:ascii="Arial Narrow" w:hAnsi="Arial Narrow"/>
                <w:bCs/>
                <w:sz w:val="20"/>
              </w:rPr>
              <w:t>for</w:t>
            </w:r>
            <w:r w:rsidRPr="00393A3A">
              <w:rPr>
                <w:rFonts w:ascii="Arial Narrow" w:hAnsi="Arial Narrow"/>
                <w:bCs/>
                <w:sz w:val="20"/>
              </w:rPr>
              <w:t xml:space="preserve"> </w:t>
            </w:r>
            <w:proofErr w:type="spellStart"/>
            <w:r w:rsidRPr="00393A3A">
              <w:rPr>
                <w:rFonts w:ascii="Arial Narrow" w:hAnsi="Arial Narrow"/>
                <w:bCs/>
                <w:sz w:val="20"/>
              </w:rPr>
              <w:t>P</w:t>
            </w:r>
            <w:r>
              <w:rPr>
                <w:rFonts w:ascii="Arial Narrow" w:hAnsi="Arial Narrow"/>
                <w:bCs/>
                <w:sz w:val="20"/>
              </w:rPr>
              <w:t>o</w:t>
            </w:r>
            <w:r w:rsidRPr="00393A3A">
              <w:rPr>
                <w:rFonts w:ascii="Arial Narrow" w:hAnsi="Arial Narrow"/>
                <w:bCs/>
                <w:sz w:val="20"/>
              </w:rPr>
              <w:t>C</w:t>
            </w:r>
            <w:proofErr w:type="spellEnd"/>
            <w:r>
              <w:rPr>
                <w:rFonts w:ascii="Arial Narrow" w:hAnsi="Arial Narrow"/>
                <w:bCs/>
                <w:sz w:val="20"/>
              </w:rPr>
              <w:t xml:space="preserve"> tests</w:t>
            </w:r>
            <w:r w:rsidRPr="00393A3A">
              <w:rPr>
                <w:rFonts w:ascii="Arial Narrow" w:hAnsi="Arial Narrow"/>
                <w:bCs/>
                <w:sz w:val="20"/>
              </w:rPr>
              <w:t xml:space="preserve">, ESC </w:t>
            </w:r>
            <w:r>
              <w:rPr>
                <w:rFonts w:ascii="Arial Narrow" w:hAnsi="Arial Narrow"/>
                <w:bCs/>
                <w:sz w:val="20"/>
              </w:rPr>
              <w:t>wa</w:t>
            </w:r>
            <w:r w:rsidRPr="00393A3A">
              <w:rPr>
                <w:rFonts w:ascii="Arial Narrow" w:hAnsi="Arial Narrow"/>
                <w:bCs/>
                <w:sz w:val="20"/>
              </w:rPr>
              <w:t xml:space="preserve">s uncertain whether </w:t>
            </w:r>
            <w:r>
              <w:rPr>
                <w:rFonts w:ascii="Arial Narrow" w:hAnsi="Arial Narrow"/>
                <w:bCs/>
                <w:sz w:val="20"/>
              </w:rPr>
              <w:t xml:space="preserve">HbA1c </w:t>
            </w:r>
            <w:proofErr w:type="spellStart"/>
            <w:r w:rsidR="0067110D">
              <w:rPr>
                <w:rFonts w:ascii="Arial Narrow" w:hAnsi="Arial Narrow"/>
                <w:bCs/>
                <w:sz w:val="20"/>
              </w:rPr>
              <w:t>PoC</w:t>
            </w:r>
            <w:proofErr w:type="spellEnd"/>
            <w:r w:rsidR="0067110D">
              <w:rPr>
                <w:rFonts w:ascii="Arial Narrow" w:hAnsi="Arial Narrow"/>
                <w:bCs/>
                <w:sz w:val="20"/>
              </w:rPr>
              <w:t xml:space="preserve"> </w:t>
            </w:r>
            <w:r>
              <w:rPr>
                <w:rFonts w:ascii="Arial Narrow" w:hAnsi="Arial Narrow"/>
                <w:bCs/>
                <w:sz w:val="20"/>
              </w:rPr>
              <w:t>testing</w:t>
            </w:r>
            <w:r w:rsidRPr="00393A3A">
              <w:rPr>
                <w:rFonts w:ascii="Arial Narrow" w:hAnsi="Arial Narrow"/>
                <w:bCs/>
                <w:sz w:val="20"/>
              </w:rPr>
              <w:t xml:space="preserve"> w</w:t>
            </w:r>
            <w:r w:rsidR="00521C13">
              <w:rPr>
                <w:rFonts w:ascii="Arial Narrow" w:hAnsi="Arial Narrow"/>
                <w:bCs/>
                <w:sz w:val="20"/>
              </w:rPr>
              <w:t>ould</w:t>
            </w:r>
            <w:r w:rsidRPr="00393A3A">
              <w:rPr>
                <w:rFonts w:ascii="Arial Narrow" w:hAnsi="Arial Narrow"/>
                <w:bCs/>
                <w:sz w:val="20"/>
              </w:rPr>
              <w:t xml:space="preserve"> substitute or complement current rates of laboratory testing</w:t>
            </w:r>
          </w:p>
        </w:tc>
      </w:tr>
      <w:tr w:rsidR="00DA5FA2" w:rsidRPr="00393A3A" w:rsidTr="00521C13">
        <w:trPr>
          <w:trHeight w:val="500"/>
        </w:trPr>
        <w:tc>
          <w:tcPr>
            <w:tcW w:w="222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DA5FA2" w:rsidRPr="00393A3A" w:rsidRDefault="008D1370" w:rsidP="001B36AA">
            <w:pPr>
              <w:tabs>
                <w:tab w:val="left" w:pos="720"/>
                <w:tab w:val="left" w:pos="1140"/>
              </w:tabs>
              <w:rPr>
                <w:rFonts w:ascii="Arial Narrow" w:hAnsi="Arial Narrow"/>
                <w:bCs/>
                <w:sz w:val="20"/>
              </w:rPr>
            </w:pPr>
            <w:r>
              <w:rPr>
                <w:rFonts w:ascii="Arial Narrow" w:hAnsi="Arial Narrow"/>
                <w:bCs/>
                <w:sz w:val="20"/>
              </w:rPr>
              <w:t>Need for pregnancy item listing</w:t>
            </w:r>
          </w:p>
        </w:tc>
        <w:tc>
          <w:tcPr>
            <w:tcW w:w="6662"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rsidR="00DA5FA2" w:rsidRPr="00393A3A" w:rsidRDefault="00DA5FA2" w:rsidP="001B36AA">
            <w:pPr>
              <w:tabs>
                <w:tab w:val="left" w:pos="720"/>
                <w:tab w:val="left" w:pos="1140"/>
              </w:tabs>
              <w:rPr>
                <w:rFonts w:ascii="Arial Narrow" w:hAnsi="Arial Narrow"/>
                <w:bCs/>
                <w:sz w:val="20"/>
              </w:rPr>
            </w:pPr>
            <w:r w:rsidRPr="00393A3A">
              <w:rPr>
                <w:rFonts w:ascii="Arial Narrow" w:hAnsi="Arial Narrow"/>
                <w:bCs/>
                <w:sz w:val="20"/>
              </w:rPr>
              <w:t xml:space="preserve">ESC </w:t>
            </w:r>
            <w:r>
              <w:rPr>
                <w:rFonts w:ascii="Arial Narrow" w:hAnsi="Arial Narrow"/>
                <w:bCs/>
                <w:sz w:val="20"/>
              </w:rPr>
              <w:t>wa</w:t>
            </w:r>
            <w:r w:rsidRPr="00393A3A">
              <w:rPr>
                <w:rFonts w:ascii="Arial Narrow" w:hAnsi="Arial Narrow"/>
                <w:bCs/>
                <w:sz w:val="20"/>
              </w:rPr>
              <w:t xml:space="preserve">s uncertain as to why the pregnancy item is required </w:t>
            </w:r>
            <w:r>
              <w:rPr>
                <w:rFonts w:ascii="Arial Narrow" w:hAnsi="Arial Narrow"/>
                <w:bCs/>
                <w:sz w:val="20"/>
              </w:rPr>
              <w:t>but noting that intention may be to align with 66841 (</w:t>
            </w:r>
            <w:r w:rsidRPr="000E7001">
              <w:rPr>
                <w:rFonts w:ascii="Arial Narrow" w:hAnsi="Arial Narrow"/>
                <w:bCs/>
                <w:sz w:val="20"/>
              </w:rPr>
              <w:t>established diabetes</w:t>
            </w:r>
            <w:r>
              <w:rPr>
                <w:rFonts w:ascii="Arial Narrow" w:hAnsi="Arial Narrow"/>
                <w:bCs/>
                <w:sz w:val="20"/>
              </w:rPr>
              <w:t xml:space="preserve">) and </w:t>
            </w:r>
            <w:r w:rsidRPr="000E7001">
              <w:rPr>
                <w:rFonts w:ascii="Arial Narrow" w:hAnsi="Arial Narrow"/>
                <w:bCs/>
                <w:sz w:val="20"/>
              </w:rPr>
              <w:t xml:space="preserve"> 66551 </w:t>
            </w:r>
            <w:r>
              <w:rPr>
                <w:rFonts w:ascii="Arial Narrow" w:hAnsi="Arial Narrow"/>
                <w:bCs/>
                <w:sz w:val="20"/>
              </w:rPr>
              <w:t>(</w:t>
            </w:r>
            <w:r w:rsidRPr="000E7001">
              <w:rPr>
                <w:rFonts w:ascii="Arial Narrow" w:hAnsi="Arial Narrow"/>
                <w:bCs/>
                <w:sz w:val="20"/>
              </w:rPr>
              <w:t>pre-existing diabetes where the patient is pregnant</w:t>
            </w:r>
            <w:r>
              <w:rPr>
                <w:rFonts w:ascii="Arial Narrow" w:hAnsi="Arial Narrow"/>
                <w:bCs/>
                <w:sz w:val="20"/>
              </w:rPr>
              <w:t>)</w:t>
            </w:r>
          </w:p>
        </w:tc>
      </w:tr>
    </w:tbl>
    <w:p w:rsidR="00D90A38" w:rsidRPr="00F715D1" w:rsidRDefault="00BC1364" w:rsidP="00F715D1">
      <w:pPr>
        <w:pStyle w:val="Heading1"/>
      </w:pPr>
      <w:r w:rsidRPr="00F715D1">
        <w:t>Other significant factors</w:t>
      </w:r>
    </w:p>
    <w:p w:rsidR="00BC1364" w:rsidRPr="00896AFB" w:rsidRDefault="00BC1364" w:rsidP="00F715D1">
      <w:pPr>
        <w:spacing w:after="240"/>
        <w:rPr>
          <w:szCs w:val="24"/>
        </w:rPr>
      </w:pPr>
      <w:r w:rsidRPr="00896AFB">
        <w:rPr>
          <w:szCs w:val="24"/>
        </w:rPr>
        <w:t>Nil</w:t>
      </w:r>
    </w:p>
    <w:p w:rsidR="00BC1364" w:rsidRPr="00F715D1" w:rsidRDefault="00BC1364" w:rsidP="00F715D1">
      <w:pPr>
        <w:pStyle w:val="Heading1"/>
      </w:pPr>
      <w:r w:rsidRPr="00F715D1">
        <w:t xml:space="preserve">Applicant’s comments on MSAC’s </w:t>
      </w:r>
      <w:r w:rsidR="00DA56AA" w:rsidRPr="00F715D1">
        <w:t>Public Summary Document</w:t>
      </w:r>
    </w:p>
    <w:p w:rsidR="00534C47" w:rsidRDefault="00534C47" w:rsidP="00534C47">
      <w:bookmarkStart w:id="36" w:name="_Hlk493163281"/>
      <w:r>
        <w:t>IVD Australia looks forward to working with the Department of Health and other stakeholders to provide the additional advice that MSAC has requested so that a recommendation can be made and health outcomes of Australians living with diabetes can be improved. The decision not to recommend funding of point of care HbA1c testing for the diagnosis of diabetes is disappointing. IVD Australia will continue to work on opportunities to improve outcomes for the up to 500,000</w:t>
      </w:r>
      <w:r>
        <w:rPr>
          <w:rStyle w:val="FootnoteReference"/>
        </w:rPr>
        <w:footnoteReference w:id="1"/>
      </w:r>
      <w:r>
        <w:t xml:space="preserve"> Australians living with silent undiagnosed type 2 diabetes.</w:t>
      </w:r>
    </w:p>
    <w:bookmarkEnd w:id="36"/>
    <w:p w:rsidR="00BC1364" w:rsidRPr="00F715D1" w:rsidRDefault="00271F18" w:rsidP="00F715D1">
      <w:pPr>
        <w:pStyle w:val="Heading1"/>
      </w:pPr>
      <w:r w:rsidRPr="00F715D1">
        <w:lastRenderedPageBreak/>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5" w:tooltip="Link to the MSAC website" w:history="1">
        <w:r w:rsidR="00BC2667" w:rsidRPr="00F715D1">
          <w:rPr>
            <w:rStyle w:val="Hyperlink"/>
            <w:szCs w:val="24"/>
          </w:rPr>
          <w:t>visit the MSAC website</w:t>
        </w:r>
      </w:hyperlink>
    </w:p>
    <w:sectPr w:rsidR="00BC1364" w:rsidRPr="00F715D1" w:rsidSect="00271F18">
      <w:footerReference w:type="default" r:id="rId16"/>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BBC" w:rsidRDefault="00AB0BBC" w:rsidP="00065623">
      <w:r>
        <w:separator/>
      </w:r>
    </w:p>
  </w:endnote>
  <w:endnote w:type="continuationSeparator" w:id="0">
    <w:p w:rsidR="00AB0BBC" w:rsidRDefault="00AB0BBC"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AB0BBC" w:rsidRDefault="00AB0BBC">
        <w:pPr>
          <w:pStyle w:val="Footer"/>
          <w:jc w:val="right"/>
        </w:pPr>
        <w:r>
          <w:fldChar w:fldCharType="begin"/>
        </w:r>
        <w:r>
          <w:instrText xml:space="preserve"> PAGE   \* MERGEFORMAT </w:instrText>
        </w:r>
        <w:r>
          <w:fldChar w:fldCharType="separate"/>
        </w:r>
        <w:r w:rsidR="0095163D">
          <w:rPr>
            <w:noProof/>
          </w:rPr>
          <w:t>1</w:t>
        </w:r>
        <w:r>
          <w:rPr>
            <w:noProof/>
          </w:rPr>
          <w:fldChar w:fldCharType="end"/>
        </w:r>
      </w:p>
    </w:sdtContent>
  </w:sdt>
  <w:p w:rsidR="00AB0BBC" w:rsidRDefault="00AB0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BBC" w:rsidRDefault="00AB0BBC" w:rsidP="00065623">
      <w:r>
        <w:separator/>
      </w:r>
    </w:p>
  </w:footnote>
  <w:footnote w:type="continuationSeparator" w:id="0">
    <w:p w:rsidR="00AB0BBC" w:rsidRDefault="00AB0BBC" w:rsidP="00065623">
      <w:r>
        <w:continuationSeparator/>
      </w:r>
    </w:p>
  </w:footnote>
  <w:footnote w:id="1">
    <w:p w:rsidR="00534C47" w:rsidRDefault="00534C47" w:rsidP="00534C47">
      <w:pPr>
        <w:pStyle w:val="FootnoteText"/>
      </w:pPr>
      <w:r>
        <w:rPr>
          <w:rStyle w:val="FootnoteReference"/>
        </w:rPr>
        <w:footnoteRef/>
      </w:r>
      <w:r>
        <w:t xml:space="preserve"> </w:t>
      </w:r>
      <w:hyperlink r:id="rId1" w:tooltip="Diabetes Australia website" w:history="1">
        <w:r>
          <w:rPr>
            <w:rStyle w:val="Hyperlink"/>
          </w:rPr>
          <w:t>https://www.diabetesaustralia.com.au/diabetes-in-australia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09F60BF"/>
    <w:multiLevelType w:val="hybridMultilevel"/>
    <w:tmpl w:val="7A5A5E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275600"/>
    <w:multiLevelType w:val="hybridMultilevel"/>
    <w:tmpl w:val="194C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604DE3"/>
    <w:multiLevelType w:val="hybridMultilevel"/>
    <w:tmpl w:val="6662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79F1526"/>
    <w:multiLevelType w:val="hybridMultilevel"/>
    <w:tmpl w:val="34505982"/>
    <w:lvl w:ilvl="0" w:tplc="367A5FF6">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3743B8"/>
    <w:multiLevelType w:val="multilevel"/>
    <w:tmpl w:val="C6625398"/>
    <w:lvl w:ilvl="0">
      <w:start w:val="1"/>
      <w:numFmt w:val="decimal"/>
      <w:lvlText w:val="B3.%1"/>
      <w:lvlJc w:val="left"/>
      <w:pPr>
        <w:ind w:left="1134" w:hanging="1134"/>
      </w:pPr>
      <w:rPr>
        <w:rFonts w:hint="default"/>
        <w:b/>
        <w:i w:val="0"/>
        <w:color w:val="auto"/>
        <w:sz w:val="24"/>
      </w:rPr>
    </w:lvl>
    <w:lvl w:ilvl="1">
      <w:start w:val="5"/>
      <w:numFmt w:val="decimal"/>
      <w:lvlText w:val="B3.%2"/>
      <w:lvlJc w:val="left"/>
      <w:pPr>
        <w:ind w:left="1134" w:hanging="1134"/>
      </w:pPr>
      <w:rPr>
        <w:rFonts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BD0A78"/>
    <w:multiLevelType w:val="hybridMultilevel"/>
    <w:tmpl w:val="E53E320C"/>
    <w:lvl w:ilvl="0" w:tplc="ED6CE4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7F7C93"/>
    <w:multiLevelType w:val="hybridMultilevel"/>
    <w:tmpl w:val="E9A4E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6F3511E7"/>
    <w:multiLevelType w:val="hybridMultilevel"/>
    <w:tmpl w:val="1EB2F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FA25679"/>
    <w:multiLevelType w:val="hybridMultilevel"/>
    <w:tmpl w:val="5A82BB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6D5253"/>
    <w:multiLevelType w:val="hybridMultilevel"/>
    <w:tmpl w:val="02FA7186"/>
    <w:lvl w:ilvl="0" w:tplc="367A5FF6">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56D21D6"/>
    <w:multiLevelType w:val="hybridMultilevel"/>
    <w:tmpl w:val="8214D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C896241"/>
    <w:multiLevelType w:val="hybridMultilevel"/>
    <w:tmpl w:val="68783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EB0FFC"/>
    <w:multiLevelType w:val="hybridMultilevel"/>
    <w:tmpl w:val="D5A827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A66BB3"/>
    <w:multiLevelType w:val="hybridMultilevel"/>
    <w:tmpl w:val="086A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
  </w:num>
  <w:num w:numId="4">
    <w:abstractNumId w:val="21"/>
  </w:num>
  <w:num w:numId="5">
    <w:abstractNumId w:val="13"/>
  </w:num>
  <w:num w:numId="6">
    <w:abstractNumId w:val="19"/>
  </w:num>
  <w:num w:numId="7">
    <w:abstractNumId w:val="25"/>
  </w:num>
  <w:num w:numId="8">
    <w:abstractNumId w:val="14"/>
  </w:num>
  <w:num w:numId="9">
    <w:abstractNumId w:val="38"/>
  </w:num>
  <w:num w:numId="10">
    <w:abstractNumId w:val="0"/>
  </w:num>
  <w:num w:numId="11">
    <w:abstractNumId w:val="24"/>
  </w:num>
  <w:num w:numId="12">
    <w:abstractNumId w:val="26"/>
  </w:num>
  <w:num w:numId="13">
    <w:abstractNumId w:val="5"/>
  </w:num>
  <w:num w:numId="14">
    <w:abstractNumId w:val="30"/>
  </w:num>
  <w:num w:numId="15">
    <w:abstractNumId w:val="23"/>
  </w:num>
  <w:num w:numId="16">
    <w:abstractNumId w:val="27"/>
  </w:num>
  <w:num w:numId="17">
    <w:abstractNumId w:val="15"/>
  </w:num>
  <w:num w:numId="18">
    <w:abstractNumId w:val="17"/>
  </w:num>
  <w:num w:numId="19">
    <w:abstractNumId w:val="29"/>
  </w:num>
  <w:num w:numId="20">
    <w:abstractNumId w:val="28"/>
  </w:num>
  <w:num w:numId="21">
    <w:abstractNumId w:val="3"/>
  </w:num>
  <w:num w:numId="22">
    <w:abstractNumId w:val="12"/>
  </w:num>
  <w:num w:numId="23">
    <w:abstractNumId w:val="2"/>
  </w:num>
  <w:num w:numId="24">
    <w:abstractNumId w:val="10"/>
  </w:num>
  <w:num w:numId="25">
    <w:abstractNumId w:val="7"/>
  </w:num>
  <w:num w:numId="26">
    <w:abstractNumId w:val="31"/>
  </w:num>
  <w:num w:numId="27">
    <w:abstractNumId w:val="6"/>
  </w:num>
  <w:num w:numId="28">
    <w:abstractNumId w:val="11"/>
  </w:num>
  <w:num w:numId="29">
    <w:abstractNumId w:val="33"/>
  </w:num>
  <w:num w:numId="30">
    <w:abstractNumId w:val="4"/>
  </w:num>
  <w:num w:numId="31">
    <w:abstractNumId w:val="32"/>
  </w:num>
  <w:num w:numId="32">
    <w:abstractNumId w:val="36"/>
  </w:num>
  <w:num w:numId="33">
    <w:abstractNumId w:val="20"/>
  </w:num>
  <w:num w:numId="34">
    <w:abstractNumId w:val="35"/>
  </w:num>
  <w:num w:numId="35">
    <w:abstractNumId w:val="34"/>
  </w:num>
  <w:num w:numId="36">
    <w:abstractNumId w:val="9"/>
  </w:num>
  <w:num w:numId="37">
    <w:abstractNumId w:val="37"/>
  </w:num>
  <w:num w:numId="38">
    <w:abstractNumId w:val="2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14730"/>
    <w:rsid w:val="00047606"/>
    <w:rsid w:val="00065623"/>
    <w:rsid w:val="000756B9"/>
    <w:rsid w:val="00096B67"/>
    <w:rsid w:val="00096DAF"/>
    <w:rsid w:val="000971CF"/>
    <w:rsid w:val="000C2F47"/>
    <w:rsid w:val="000D6C00"/>
    <w:rsid w:val="000E4E04"/>
    <w:rsid w:val="000F14B4"/>
    <w:rsid w:val="000F74D2"/>
    <w:rsid w:val="000F75DF"/>
    <w:rsid w:val="001023DC"/>
    <w:rsid w:val="001328FA"/>
    <w:rsid w:val="00147AAF"/>
    <w:rsid w:val="00150ECC"/>
    <w:rsid w:val="001552C0"/>
    <w:rsid w:val="001640B1"/>
    <w:rsid w:val="00165EDA"/>
    <w:rsid w:val="0018435E"/>
    <w:rsid w:val="001B36AA"/>
    <w:rsid w:val="002041A1"/>
    <w:rsid w:val="002054F0"/>
    <w:rsid w:val="00217D8D"/>
    <w:rsid w:val="00230D6B"/>
    <w:rsid w:val="00232068"/>
    <w:rsid w:val="002330F2"/>
    <w:rsid w:val="00237EB5"/>
    <w:rsid w:val="00243D9E"/>
    <w:rsid w:val="00253B66"/>
    <w:rsid w:val="00261DF1"/>
    <w:rsid w:val="0026490B"/>
    <w:rsid w:val="00271F18"/>
    <w:rsid w:val="00282779"/>
    <w:rsid w:val="0028334D"/>
    <w:rsid w:val="002B7FFA"/>
    <w:rsid w:val="002C2BCF"/>
    <w:rsid w:val="002D1B03"/>
    <w:rsid w:val="002D31D1"/>
    <w:rsid w:val="002F279D"/>
    <w:rsid w:val="002F43B8"/>
    <w:rsid w:val="002F6FBB"/>
    <w:rsid w:val="00336856"/>
    <w:rsid w:val="0034554D"/>
    <w:rsid w:val="00352224"/>
    <w:rsid w:val="003671E6"/>
    <w:rsid w:val="00382088"/>
    <w:rsid w:val="00384272"/>
    <w:rsid w:val="00386D67"/>
    <w:rsid w:val="00393DD7"/>
    <w:rsid w:val="003945B8"/>
    <w:rsid w:val="003A7B42"/>
    <w:rsid w:val="003D2180"/>
    <w:rsid w:val="003D4225"/>
    <w:rsid w:val="003D7F29"/>
    <w:rsid w:val="00405A6B"/>
    <w:rsid w:val="0040672A"/>
    <w:rsid w:val="00407B1F"/>
    <w:rsid w:val="0041184F"/>
    <w:rsid w:val="00414C57"/>
    <w:rsid w:val="0041758C"/>
    <w:rsid w:val="00437F17"/>
    <w:rsid w:val="004539DE"/>
    <w:rsid w:val="00461B0E"/>
    <w:rsid w:val="00471CD1"/>
    <w:rsid w:val="00480B82"/>
    <w:rsid w:val="004A2CF1"/>
    <w:rsid w:val="004C3035"/>
    <w:rsid w:val="004C307F"/>
    <w:rsid w:val="004E4BA8"/>
    <w:rsid w:val="004F340F"/>
    <w:rsid w:val="004F7B7C"/>
    <w:rsid w:val="005102C8"/>
    <w:rsid w:val="00521C13"/>
    <w:rsid w:val="0052243D"/>
    <w:rsid w:val="0053162C"/>
    <w:rsid w:val="00531BFE"/>
    <w:rsid w:val="00532435"/>
    <w:rsid w:val="00534C47"/>
    <w:rsid w:val="00550354"/>
    <w:rsid w:val="005556D3"/>
    <w:rsid w:val="00571236"/>
    <w:rsid w:val="005953A1"/>
    <w:rsid w:val="00596AE0"/>
    <w:rsid w:val="005A4362"/>
    <w:rsid w:val="005C7352"/>
    <w:rsid w:val="005D0332"/>
    <w:rsid w:val="005D0D8C"/>
    <w:rsid w:val="0067110D"/>
    <w:rsid w:val="006776AE"/>
    <w:rsid w:val="006A0D97"/>
    <w:rsid w:val="006B1F86"/>
    <w:rsid w:val="006C0A91"/>
    <w:rsid w:val="006E5B85"/>
    <w:rsid w:val="006E73D1"/>
    <w:rsid w:val="007054BB"/>
    <w:rsid w:val="00707064"/>
    <w:rsid w:val="00717FE0"/>
    <w:rsid w:val="00723F29"/>
    <w:rsid w:val="00730683"/>
    <w:rsid w:val="0074173D"/>
    <w:rsid w:val="0075261F"/>
    <w:rsid w:val="0075468E"/>
    <w:rsid w:val="007665D8"/>
    <w:rsid w:val="00766E36"/>
    <w:rsid w:val="007765F4"/>
    <w:rsid w:val="00776633"/>
    <w:rsid w:val="00784D53"/>
    <w:rsid w:val="00792417"/>
    <w:rsid w:val="00797797"/>
    <w:rsid w:val="007A63C9"/>
    <w:rsid w:val="007B32D1"/>
    <w:rsid w:val="007B7095"/>
    <w:rsid w:val="007C66A6"/>
    <w:rsid w:val="007D24E1"/>
    <w:rsid w:val="007D6288"/>
    <w:rsid w:val="007E6664"/>
    <w:rsid w:val="007F4CE9"/>
    <w:rsid w:val="007F4E20"/>
    <w:rsid w:val="00822C7E"/>
    <w:rsid w:val="00832BD2"/>
    <w:rsid w:val="00847060"/>
    <w:rsid w:val="00847A36"/>
    <w:rsid w:val="00856A33"/>
    <w:rsid w:val="00892620"/>
    <w:rsid w:val="00896AFB"/>
    <w:rsid w:val="008C7D37"/>
    <w:rsid w:val="008D1370"/>
    <w:rsid w:val="008D18D6"/>
    <w:rsid w:val="008D5885"/>
    <w:rsid w:val="008D69E6"/>
    <w:rsid w:val="008F1BC7"/>
    <w:rsid w:val="00912097"/>
    <w:rsid w:val="00920985"/>
    <w:rsid w:val="00923FA2"/>
    <w:rsid w:val="0095163D"/>
    <w:rsid w:val="009565AB"/>
    <w:rsid w:val="0096060D"/>
    <w:rsid w:val="00974A50"/>
    <w:rsid w:val="00974BEC"/>
    <w:rsid w:val="0097585A"/>
    <w:rsid w:val="009924B0"/>
    <w:rsid w:val="009942C9"/>
    <w:rsid w:val="009B35C4"/>
    <w:rsid w:val="009B7B52"/>
    <w:rsid w:val="009C630A"/>
    <w:rsid w:val="009D0F0C"/>
    <w:rsid w:val="009E0D98"/>
    <w:rsid w:val="00A068A1"/>
    <w:rsid w:val="00A1207D"/>
    <w:rsid w:val="00A12FD8"/>
    <w:rsid w:val="00A1409A"/>
    <w:rsid w:val="00A312F5"/>
    <w:rsid w:val="00A346FC"/>
    <w:rsid w:val="00A66070"/>
    <w:rsid w:val="00A719CF"/>
    <w:rsid w:val="00A734F6"/>
    <w:rsid w:val="00A846F2"/>
    <w:rsid w:val="00A84F93"/>
    <w:rsid w:val="00A87499"/>
    <w:rsid w:val="00AB0BBC"/>
    <w:rsid w:val="00AB1AC5"/>
    <w:rsid w:val="00AB3BFC"/>
    <w:rsid w:val="00AC4F2E"/>
    <w:rsid w:val="00AD0C37"/>
    <w:rsid w:val="00AD385F"/>
    <w:rsid w:val="00AE6E2A"/>
    <w:rsid w:val="00B15C8B"/>
    <w:rsid w:val="00B31E9C"/>
    <w:rsid w:val="00B35595"/>
    <w:rsid w:val="00B5072C"/>
    <w:rsid w:val="00B51C6D"/>
    <w:rsid w:val="00B83DD2"/>
    <w:rsid w:val="00B86D64"/>
    <w:rsid w:val="00BA4AC5"/>
    <w:rsid w:val="00BC1364"/>
    <w:rsid w:val="00BC2667"/>
    <w:rsid w:val="00BC7DE9"/>
    <w:rsid w:val="00BF479B"/>
    <w:rsid w:val="00C01C8D"/>
    <w:rsid w:val="00C02577"/>
    <w:rsid w:val="00C077B0"/>
    <w:rsid w:val="00C204FB"/>
    <w:rsid w:val="00C20BEE"/>
    <w:rsid w:val="00C2158D"/>
    <w:rsid w:val="00C67DD2"/>
    <w:rsid w:val="00C725CB"/>
    <w:rsid w:val="00C76F5C"/>
    <w:rsid w:val="00C861AD"/>
    <w:rsid w:val="00C951BA"/>
    <w:rsid w:val="00C96BAD"/>
    <w:rsid w:val="00CA6944"/>
    <w:rsid w:val="00CB0F8E"/>
    <w:rsid w:val="00CB7E7D"/>
    <w:rsid w:val="00CC2911"/>
    <w:rsid w:val="00CF0C6D"/>
    <w:rsid w:val="00CF7307"/>
    <w:rsid w:val="00CF7C68"/>
    <w:rsid w:val="00D124FA"/>
    <w:rsid w:val="00D212A4"/>
    <w:rsid w:val="00D340DE"/>
    <w:rsid w:val="00D55723"/>
    <w:rsid w:val="00D62FAD"/>
    <w:rsid w:val="00D64355"/>
    <w:rsid w:val="00D70450"/>
    <w:rsid w:val="00D83BFD"/>
    <w:rsid w:val="00D90A38"/>
    <w:rsid w:val="00DA0515"/>
    <w:rsid w:val="00DA171E"/>
    <w:rsid w:val="00DA56AA"/>
    <w:rsid w:val="00DA5FA2"/>
    <w:rsid w:val="00DB5833"/>
    <w:rsid w:val="00DD2858"/>
    <w:rsid w:val="00E03E33"/>
    <w:rsid w:val="00E04FAD"/>
    <w:rsid w:val="00E059E0"/>
    <w:rsid w:val="00E3642A"/>
    <w:rsid w:val="00E415C4"/>
    <w:rsid w:val="00E46FE4"/>
    <w:rsid w:val="00E50016"/>
    <w:rsid w:val="00E50EAA"/>
    <w:rsid w:val="00E5640E"/>
    <w:rsid w:val="00E656D6"/>
    <w:rsid w:val="00E977EE"/>
    <w:rsid w:val="00EA2F24"/>
    <w:rsid w:val="00EA67A2"/>
    <w:rsid w:val="00EB630F"/>
    <w:rsid w:val="00EB6B6F"/>
    <w:rsid w:val="00EC4F98"/>
    <w:rsid w:val="00EC63E3"/>
    <w:rsid w:val="00EE4734"/>
    <w:rsid w:val="00F12F02"/>
    <w:rsid w:val="00F32E0D"/>
    <w:rsid w:val="00F34F19"/>
    <w:rsid w:val="00F35134"/>
    <w:rsid w:val="00F37B9C"/>
    <w:rsid w:val="00F41812"/>
    <w:rsid w:val="00F50DC7"/>
    <w:rsid w:val="00F57F59"/>
    <w:rsid w:val="00F715D1"/>
    <w:rsid w:val="00F72715"/>
    <w:rsid w:val="00F73333"/>
    <w:rsid w:val="00F95D8F"/>
    <w:rsid w:val="00FB350A"/>
    <w:rsid w:val="00FB4C5D"/>
    <w:rsid w:val="00FD1FEB"/>
    <w:rsid w:val="00FD23AF"/>
    <w:rsid w:val="00FE1C3F"/>
    <w:rsid w:val="00FE54B5"/>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DA5FA2"/>
    <w:pPr>
      <w:spacing w:before="180" w:line="259" w:lineRule="auto"/>
    </w:pPr>
    <w:rPr>
      <w:szCs w:val="24"/>
    </w:rPr>
  </w:style>
  <w:style w:type="character" w:customStyle="1" w:styleId="BodyTextChar">
    <w:name w:val="Body Text Char"/>
    <w:basedOn w:val="DefaultParagraphFont"/>
    <w:link w:val="BodyText"/>
    <w:uiPriority w:val="1"/>
    <w:rsid w:val="00DA5FA2"/>
    <w:rPr>
      <w:rFonts w:eastAsia="Times New Roman"/>
      <w:sz w:val="24"/>
      <w:szCs w:val="24"/>
    </w:rPr>
  </w:style>
  <w:style w:type="character" w:customStyle="1" w:styleId="ListParagraphChar">
    <w:name w:val="List Paragraph Char"/>
    <w:basedOn w:val="DefaultParagraphFont"/>
    <w:link w:val="ListParagraph"/>
    <w:uiPriority w:val="34"/>
    <w:rsid w:val="00792417"/>
    <w:rPr>
      <w:rFonts w:eastAsia="Times New Roman"/>
      <w:sz w:val="24"/>
      <w:szCs w:val="20"/>
    </w:rPr>
  </w:style>
  <w:style w:type="paragraph" w:customStyle="1" w:styleId="Tabletext">
    <w:name w:val="Table text"/>
    <w:basedOn w:val="Normal"/>
    <w:link w:val="TabletextChar"/>
    <w:uiPriority w:val="4"/>
    <w:qFormat/>
    <w:rsid w:val="003D2180"/>
    <w:rPr>
      <w:rFonts w:ascii="Arial Narrow" w:hAnsi="Arial Narrow"/>
      <w:sz w:val="20"/>
      <w:szCs w:val="24"/>
      <w:lang w:eastAsia="en-US"/>
    </w:rPr>
  </w:style>
  <w:style w:type="character" w:customStyle="1" w:styleId="TabletextChar">
    <w:name w:val="Table text Char"/>
    <w:basedOn w:val="DefaultParagraphFont"/>
    <w:link w:val="Tabletext"/>
    <w:uiPriority w:val="4"/>
    <w:rsid w:val="003D2180"/>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locked/>
    <w:rsid w:val="003D2180"/>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3D2180"/>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237EB5"/>
    <w:pPr>
      <w:widowControl w:val="0"/>
      <w:spacing w:after="120"/>
      <w:contextualSpacing/>
    </w:pPr>
    <w:rPr>
      <w:rFonts w:ascii="Arial Narrow" w:hAnsi="Arial Narrow" w:cs="Arial"/>
      <w:snapToGrid w:val="0"/>
      <w:sz w:val="20"/>
      <w:lang w:eastAsia="en-US"/>
    </w:rPr>
  </w:style>
  <w:style w:type="character" w:customStyle="1" w:styleId="TablenotesChar">
    <w:name w:val="Tablenotes Char"/>
    <w:basedOn w:val="DefaultParagraphFont"/>
    <w:link w:val="Tablenotes"/>
    <w:rsid w:val="00237EB5"/>
    <w:rPr>
      <w:rFonts w:ascii="Arial Narrow" w:eastAsia="Times New Roman" w:hAnsi="Arial Narrow" w:cs="Arial"/>
      <w:snapToGrid w:val="0"/>
      <w:sz w:val="20"/>
      <w:szCs w:val="20"/>
      <w:lang w:eastAsia="en-US"/>
    </w:rPr>
  </w:style>
  <w:style w:type="table" w:styleId="TableGrid">
    <w:name w:val="Table Grid"/>
    <w:aliases w:val="Summary box"/>
    <w:basedOn w:val="TableNormal"/>
    <w:uiPriority w:val="39"/>
    <w:locked/>
    <w:rsid w:val="00717FE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717FE0"/>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717FE0"/>
    <w:rPr>
      <w:rFonts w:ascii="Arial Narrow" w:eastAsia="Times New Roman" w:hAnsi="Arial Narrow" w:cs="Tahoma"/>
      <w:b/>
      <w:noProof/>
      <w:sz w:val="20"/>
      <w:szCs w:val="20"/>
    </w:rPr>
  </w:style>
  <w:style w:type="paragraph" w:customStyle="1" w:styleId="BodyTextSTD">
    <w:name w:val="Body Text STD"/>
    <w:basedOn w:val="Normal"/>
    <w:link w:val="BodyTextSTDChar"/>
    <w:qFormat/>
    <w:rsid w:val="00717FE0"/>
    <w:pPr>
      <w:spacing w:after="240" w:line="312" w:lineRule="auto"/>
      <w:jc w:val="both"/>
    </w:pPr>
    <w:rPr>
      <w:rFonts w:ascii="Calibri" w:hAnsi="Calibri" w:cs="Tahoma"/>
      <w:sz w:val="22"/>
      <w:szCs w:val="22"/>
    </w:rPr>
  </w:style>
  <w:style w:type="character" w:customStyle="1" w:styleId="BodyTextSTDChar">
    <w:name w:val="Body Text STD Char"/>
    <w:basedOn w:val="DefaultParagraphFont"/>
    <w:link w:val="BodyTextSTD"/>
    <w:rsid w:val="00717FE0"/>
    <w:rPr>
      <w:rFonts w:ascii="Calibri" w:eastAsia="Times New Roman" w:hAnsi="Calibri" w:cs="Tahoma"/>
    </w:rPr>
  </w:style>
  <w:style w:type="paragraph" w:customStyle="1" w:styleId="TableText0">
    <w:name w:val="Table Text"/>
    <w:basedOn w:val="Normal"/>
    <w:link w:val="TableTextChar0"/>
    <w:qFormat/>
    <w:rsid w:val="00717FE0"/>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717FE0"/>
    <w:rPr>
      <w:rFonts w:ascii="Arial Narrow" w:eastAsia="Times New Roman" w:hAnsi="Arial Narrow" w:cs="Tahoma"/>
      <w:sz w:val="20"/>
      <w:lang w:eastAsia="en-US"/>
    </w:rPr>
  </w:style>
  <w:style w:type="paragraph" w:customStyle="1" w:styleId="TableText1">
    <w:name w:val="TableText"/>
    <w:basedOn w:val="Normal"/>
    <w:link w:val="TableTextChar1"/>
    <w:rsid w:val="00237EB5"/>
    <w:pPr>
      <w:keepNext/>
      <w:spacing w:before="40" w:after="40"/>
    </w:pPr>
    <w:rPr>
      <w:rFonts w:ascii="Arial Narrow" w:hAnsi="Arial Narrow" w:cs="Tahoma"/>
      <w:sz w:val="18"/>
      <w:szCs w:val="22"/>
    </w:rPr>
  </w:style>
  <w:style w:type="character" w:customStyle="1" w:styleId="TableTextChar1">
    <w:name w:val="TableText Char"/>
    <w:link w:val="TableText1"/>
    <w:rsid w:val="00237EB5"/>
    <w:rPr>
      <w:rFonts w:ascii="Arial Narrow" w:eastAsia="Times New Roman" w:hAnsi="Arial Narrow" w:cs="Tahoma"/>
      <w:sz w:val="18"/>
    </w:rPr>
  </w:style>
  <w:style w:type="paragraph" w:customStyle="1" w:styleId="Heading5underline">
    <w:name w:val="Heading 5 underline"/>
    <w:basedOn w:val="BodyTextSTD"/>
    <w:link w:val="Heading5underlineChar"/>
    <w:qFormat/>
    <w:rsid w:val="003D4225"/>
    <w:rPr>
      <w:u w:val="single"/>
    </w:rPr>
  </w:style>
  <w:style w:type="character" w:customStyle="1" w:styleId="Heading5underlineChar">
    <w:name w:val="Heading 5 underline Char"/>
    <w:basedOn w:val="BodyTextSTDChar"/>
    <w:link w:val="Heading5underline"/>
    <w:rsid w:val="003D4225"/>
    <w:rPr>
      <w:rFonts w:ascii="Calibri" w:eastAsia="Times New Roman" w:hAnsi="Calibri" w:cs="Tahoma"/>
      <w:u w:val="single"/>
    </w:rPr>
  </w:style>
  <w:style w:type="paragraph" w:customStyle="1" w:styleId="Comment">
    <w:name w:val="Comment"/>
    <w:basedOn w:val="Normal"/>
    <w:link w:val="CommentChar"/>
    <w:qFormat/>
    <w:rsid w:val="00896AFB"/>
    <w:pPr>
      <w:tabs>
        <w:tab w:val="num" w:pos="720"/>
      </w:tabs>
      <w:spacing w:after="240" w:line="312" w:lineRule="auto"/>
      <w:jc w:val="both"/>
    </w:pPr>
    <w:rPr>
      <w:rFonts w:ascii="Calibri" w:hAnsi="Calibri" w:cs="Tahoma"/>
      <w:i/>
      <w:color w:val="C00000"/>
      <w:sz w:val="22"/>
      <w:szCs w:val="22"/>
    </w:rPr>
  </w:style>
  <w:style w:type="character" w:customStyle="1" w:styleId="CommentChar">
    <w:name w:val="Comment Char"/>
    <w:basedOn w:val="DefaultParagraphFont"/>
    <w:link w:val="Comment"/>
    <w:rsid w:val="00896AFB"/>
    <w:rPr>
      <w:rFonts w:ascii="Calibri" w:eastAsia="Times New Roman" w:hAnsi="Calibri" w:cs="Tahoma"/>
      <w:i/>
      <w:color w:val="C00000"/>
    </w:rPr>
  </w:style>
  <w:style w:type="character" w:styleId="Strong">
    <w:name w:val="Strong"/>
    <w:basedOn w:val="DefaultParagraphFont"/>
    <w:qFormat/>
    <w:locked/>
    <w:rsid w:val="00D212A4"/>
    <w:rPr>
      <w:b/>
      <w:bCs/>
    </w:rPr>
  </w:style>
  <w:style w:type="character" w:styleId="Emphasis">
    <w:name w:val="Emphasis"/>
    <w:basedOn w:val="DefaultParagraphFont"/>
    <w:qFormat/>
    <w:locked/>
    <w:rsid w:val="009D0F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DA5FA2"/>
    <w:pPr>
      <w:spacing w:before="180" w:line="259" w:lineRule="auto"/>
    </w:pPr>
    <w:rPr>
      <w:szCs w:val="24"/>
    </w:rPr>
  </w:style>
  <w:style w:type="character" w:customStyle="1" w:styleId="BodyTextChar">
    <w:name w:val="Body Text Char"/>
    <w:basedOn w:val="DefaultParagraphFont"/>
    <w:link w:val="BodyText"/>
    <w:uiPriority w:val="1"/>
    <w:rsid w:val="00DA5FA2"/>
    <w:rPr>
      <w:rFonts w:eastAsia="Times New Roman"/>
      <w:sz w:val="24"/>
      <w:szCs w:val="24"/>
    </w:rPr>
  </w:style>
  <w:style w:type="character" w:customStyle="1" w:styleId="ListParagraphChar">
    <w:name w:val="List Paragraph Char"/>
    <w:basedOn w:val="DefaultParagraphFont"/>
    <w:link w:val="ListParagraph"/>
    <w:uiPriority w:val="34"/>
    <w:rsid w:val="00792417"/>
    <w:rPr>
      <w:rFonts w:eastAsia="Times New Roman"/>
      <w:sz w:val="24"/>
      <w:szCs w:val="20"/>
    </w:rPr>
  </w:style>
  <w:style w:type="paragraph" w:customStyle="1" w:styleId="Tabletext">
    <w:name w:val="Table text"/>
    <w:basedOn w:val="Normal"/>
    <w:link w:val="TabletextChar"/>
    <w:uiPriority w:val="4"/>
    <w:qFormat/>
    <w:rsid w:val="003D2180"/>
    <w:rPr>
      <w:rFonts w:ascii="Arial Narrow" w:hAnsi="Arial Narrow"/>
      <w:sz w:val="20"/>
      <w:szCs w:val="24"/>
      <w:lang w:eastAsia="en-US"/>
    </w:rPr>
  </w:style>
  <w:style w:type="character" w:customStyle="1" w:styleId="TabletextChar">
    <w:name w:val="Table text Char"/>
    <w:basedOn w:val="DefaultParagraphFont"/>
    <w:link w:val="Tabletext"/>
    <w:uiPriority w:val="4"/>
    <w:rsid w:val="003D2180"/>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locked/>
    <w:rsid w:val="003D2180"/>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3D2180"/>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237EB5"/>
    <w:pPr>
      <w:widowControl w:val="0"/>
      <w:spacing w:after="120"/>
      <w:contextualSpacing/>
    </w:pPr>
    <w:rPr>
      <w:rFonts w:ascii="Arial Narrow" w:hAnsi="Arial Narrow" w:cs="Arial"/>
      <w:snapToGrid w:val="0"/>
      <w:sz w:val="20"/>
      <w:lang w:eastAsia="en-US"/>
    </w:rPr>
  </w:style>
  <w:style w:type="character" w:customStyle="1" w:styleId="TablenotesChar">
    <w:name w:val="Tablenotes Char"/>
    <w:basedOn w:val="DefaultParagraphFont"/>
    <w:link w:val="Tablenotes"/>
    <w:rsid w:val="00237EB5"/>
    <w:rPr>
      <w:rFonts w:ascii="Arial Narrow" w:eastAsia="Times New Roman" w:hAnsi="Arial Narrow" w:cs="Arial"/>
      <w:snapToGrid w:val="0"/>
      <w:sz w:val="20"/>
      <w:szCs w:val="20"/>
      <w:lang w:eastAsia="en-US"/>
    </w:rPr>
  </w:style>
  <w:style w:type="table" w:styleId="TableGrid">
    <w:name w:val="Table Grid"/>
    <w:aliases w:val="Summary box"/>
    <w:basedOn w:val="TableNormal"/>
    <w:uiPriority w:val="39"/>
    <w:locked/>
    <w:rsid w:val="00717FE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717FE0"/>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717FE0"/>
    <w:rPr>
      <w:rFonts w:ascii="Arial Narrow" w:eastAsia="Times New Roman" w:hAnsi="Arial Narrow" w:cs="Tahoma"/>
      <w:b/>
      <w:noProof/>
      <w:sz w:val="20"/>
      <w:szCs w:val="20"/>
    </w:rPr>
  </w:style>
  <w:style w:type="paragraph" w:customStyle="1" w:styleId="BodyTextSTD">
    <w:name w:val="Body Text STD"/>
    <w:basedOn w:val="Normal"/>
    <w:link w:val="BodyTextSTDChar"/>
    <w:qFormat/>
    <w:rsid w:val="00717FE0"/>
    <w:pPr>
      <w:spacing w:after="240" w:line="312" w:lineRule="auto"/>
      <w:jc w:val="both"/>
    </w:pPr>
    <w:rPr>
      <w:rFonts w:ascii="Calibri" w:hAnsi="Calibri" w:cs="Tahoma"/>
      <w:sz w:val="22"/>
      <w:szCs w:val="22"/>
    </w:rPr>
  </w:style>
  <w:style w:type="character" w:customStyle="1" w:styleId="BodyTextSTDChar">
    <w:name w:val="Body Text STD Char"/>
    <w:basedOn w:val="DefaultParagraphFont"/>
    <w:link w:val="BodyTextSTD"/>
    <w:rsid w:val="00717FE0"/>
    <w:rPr>
      <w:rFonts w:ascii="Calibri" w:eastAsia="Times New Roman" w:hAnsi="Calibri" w:cs="Tahoma"/>
    </w:rPr>
  </w:style>
  <w:style w:type="paragraph" w:customStyle="1" w:styleId="TableText0">
    <w:name w:val="Table Text"/>
    <w:basedOn w:val="Normal"/>
    <w:link w:val="TableTextChar0"/>
    <w:qFormat/>
    <w:rsid w:val="00717FE0"/>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717FE0"/>
    <w:rPr>
      <w:rFonts w:ascii="Arial Narrow" w:eastAsia="Times New Roman" w:hAnsi="Arial Narrow" w:cs="Tahoma"/>
      <w:sz w:val="20"/>
      <w:lang w:eastAsia="en-US"/>
    </w:rPr>
  </w:style>
  <w:style w:type="paragraph" w:customStyle="1" w:styleId="TableText1">
    <w:name w:val="TableText"/>
    <w:basedOn w:val="Normal"/>
    <w:link w:val="TableTextChar1"/>
    <w:rsid w:val="00237EB5"/>
    <w:pPr>
      <w:keepNext/>
      <w:spacing w:before="40" w:after="40"/>
    </w:pPr>
    <w:rPr>
      <w:rFonts w:ascii="Arial Narrow" w:hAnsi="Arial Narrow" w:cs="Tahoma"/>
      <w:sz w:val="18"/>
      <w:szCs w:val="22"/>
    </w:rPr>
  </w:style>
  <w:style w:type="character" w:customStyle="1" w:styleId="TableTextChar1">
    <w:name w:val="TableText Char"/>
    <w:link w:val="TableText1"/>
    <w:rsid w:val="00237EB5"/>
    <w:rPr>
      <w:rFonts w:ascii="Arial Narrow" w:eastAsia="Times New Roman" w:hAnsi="Arial Narrow" w:cs="Tahoma"/>
      <w:sz w:val="18"/>
    </w:rPr>
  </w:style>
  <w:style w:type="paragraph" w:customStyle="1" w:styleId="Heading5underline">
    <w:name w:val="Heading 5 underline"/>
    <w:basedOn w:val="BodyTextSTD"/>
    <w:link w:val="Heading5underlineChar"/>
    <w:qFormat/>
    <w:rsid w:val="003D4225"/>
    <w:rPr>
      <w:u w:val="single"/>
    </w:rPr>
  </w:style>
  <w:style w:type="character" w:customStyle="1" w:styleId="Heading5underlineChar">
    <w:name w:val="Heading 5 underline Char"/>
    <w:basedOn w:val="BodyTextSTDChar"/>
    <w:link w:val="Heading5underline"/>
    <w:rsid w:val="003D4225"/>
    <w:rPr>
      <w:rFonts w:ascii="Calibri" w:eastAsia="Times New Roman" w:hAnsi="Calibri" w:cs="Tahoma"/>
      <w:u w:val="single"/>
    </w:rPr>
  </w:style>
  <w:style w:type="paragraph" w:customStyle="1" w:styleId="Comment">
    <w:name w:val="Comment"/>
    <w:basedOn w:val="Normal"/>
    <w:link w:val="CommentChar"/>
    <w:qFormat/>
    <w:rsid w:val="00896AFB"/>
    <w:pPr>
      <w:tabs>
        <w:tab w:val="num" w:pos="720"/>
      </w:tabs>
      <w:spacing w:after="240" w:line="312" w:lineRule="auto"/>
      <w:jc w:val="both"/>
    </w:pPr>
    <w:rPr>
      <w:rFonts w:ascii="Calibri" w:hAnsi="Calibri" w:cs="Tahoma"/>
      <w:i/>
      <w:color w:val="C00000"/>
      <w:sz w:val="22"/>
      <w:szCs w:val="22"/>
    </w:rPr>
  </w:style>
  <w:style w:type="character" w:customStyle="1" w:styleId="CommentChar">
    <w:name w:val="Comment Char"/>
    <w:basedOn w:val="DefaultParagraphFont"/>
    <w:link w:val="Comment"/>
    <w:rsid w:val="00896AFB"/>
    <w:rPr>
      <w:rFonts w:ascii="Calibri" w:eastAsia="Times New Roman" w:hAnsi="Calibri" w:cs="Tahoma"/>
      <w:i/>
      <w:color w:val="C00000"/>
    </w:rPr>
  </w:style>
  <w:style w:type="character" w:styleId="Strong">
    <w:name w:val="Strong"/>
    <w:basedOn w:val="DefaultParagraphFont"/>
    <w:qFormat/>
    <w:locked/>
    <w:rsid w:val="00D212A4"/>
    <w:rPr>
      <w:b/>
      <w:bCs/>
    </w:rPr>
  </w:style>
  <w:style w:type="character" w:styleId="Emphasis">
    <w:name w:val="Emphasis"/>
    <w:basedOn w:val="DefaultParagraphFont"/>
    <w:qFormat/>
    <w:locked/>
    <w:rsid w:val="009D0F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internet/msac/publishing.nsf/Content/1267-publ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msac.gov.au/" TargetMode="Externa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acgp.org.au/your-practice/guidelines/diabet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iabetesaustralia.com.au/diabetes-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AF02-7373-4C21-998E-25907975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5398</Words>
  <Characters>32794</Characters>
  <Application>Microsoft Office Word</Application>
  <DocSecurity>0</DocSecurity>
  <Lines>273</Lines>
  <Paragraphs>76</Paragraphs>
  <ScaleCrop>false</ScaleCrop>
  <Company/>
  <LinksUpToDate>false</LinksUpToDate>
  <CharactersWithSpaces>38116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1431-FinalPSD-accessible</dc:title>
  <dc:creator/>
  <cp:lastModifiedBy/>
  <cp:revision>1</cp:revision>
  <dcterms:created xsi:type="dcterms:W3CDTF">2017-09-28T23:12:00Z</dcterms:created>
  <dcterms:modified xsi:type="dcterms:W3CDTF">2017-09-28T23:12:00Z</dcterms:modified>
</cp:coreProperties>
</file>