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23EE80A5"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w:t>
      </w:r>
      <w:r w:rsidR="002B3AE4">
        <w:rPr>
          <w:rFonts w:ascii="Arial" w:hAnsi="Arial" w:cs="Arial"/>
          <w:b/>
          <w:sz w:val="48"/>
          <w:szCs w:val="48"/>
        </w:rPr>
        <w:t>7</w:t>
      </w:r>
    </w:p>
    <w:p w14:paraId="64163786" w14:textId="72487095" w:rsidR="00DE21D3" w:rsidRDefault="00DE21D3" w:rsidP="00DE21D3">
      <w:pPr>
        <w:spacing w:before="240" w:after="120"/>
        <w:jc w:val="center"/>
        <w:rPr>
          <w:rFonts w:ascii="Arial" w:hAnsi="Arial" w:cs="Arial"/>
          <w:b/>
          <w:sz w:val="28"/>
          <w:szCs w:val="28"/>
        </w:rPr>
      </w:pPr>
      <w:r w:rsidRPr="00DE21D3">
        <w:rPr>
          <w:rFonts w:ascii="Arial" w:hAnsi="Arial" w:cs="Arial"/>
          <w:b/>
          <w:sz w:val="28"/>
          <w:szCs w:val="28"/>
        </w:rPr>
        <w:t>Detection of minimal residual disease in patients with acute lymphoblastic leukaemia using next generation sequencing</w:t>
      </w:r>
    </w:p>
    <w:p w14:paraId="2224A917" w14:textId="06F79B87"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DE21D3">
        <w:rPr>
          <w:b w:val="0"/>
        </w:rPr>
      </w:r>
      <w:r w:rsidR="00DE21D3">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E21D3">
        <w:rPr>
          <w:b w:val="0"/>
        </w:rPr>
      </w:r>
      <w:r w:rsidR="00DE21D3">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25DD"/>
    <w:rsid w:val="000E53A4"/>
    <w:rsid w:val="0010233F"/>
    <w:rsid w:val="00113521"/>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4E7A"/>
    <w:rsid w:val="00256502"/>
    <w:rsid w:val="002660CA"/>
    <w:rsid w:val="00270C0A"/>
    <w:rsid w:val="00295CC4"/>
    <w:rsid w:val="002B3AE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97B71"/>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E21D3"/>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5972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2021-12-13T05:00:00Z</dcterms:created>
  <dcterms:modified xsi:type="dcterms:W3CDTF">2021-12-13T05:08:00Z</dcterms:modified>
</cp:coreProperties>
</file>