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54C45B4C" w:rsidR="006478E7" w:rsidRDefault="006478E7" w:rsidP="00B327D9">
      <w:pPr>
        <w:spacing w:before="120" w:after="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6928364C" w:rsidR="006478E7" w:rsidRPr="00490FBB" w:rsidRDefault="007D4761" w:rsidP="00C64442">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272086">
        <w:rPr>
          <w:sz w:val="48"/>
          <w:szCs w:val="48"/>
        </w:rPr>
        <w:t>1707</w:t>
      </w:r>
    </w:p>
    <w:p w14:paraId="0CB7ADF6" w14:textId="15F894BC" w:rsidR="001A5913" w:rsidRDefault="001A5913" w:rsidP="006478E7">
      <w:pPr>
        <w:pStyle w:val="Heading10"/>
        <w:jc w:val="center"/>
        <w:rPr>
          <w:color w:val="548DD4"/>
          <w:sz w:val="48"/>
          <w:szCs w:val="48"/>
        </w:rPr>
      </w:pPr>
      <w:r w:rsidRPr="001A5913">
        <w:rPr>
          <w:color w:val="548DD4"/>
          <w:sz w:val="48"/>
          <w:szCs w:val="48"/>
        </w:rPr>
        <w:t xml:space="preserve">Detection of </w:t>
      </w:r>
      <w:r w:rsidR="00272086" w:rsidRPr="001A5913">
        <w:rPr>
          <w:color w:val="548DD4"/>
          <w:sz w:val="48"/>
          <w:szCs w:val="48"/>
        </w:rPr>
        <w:t>m</w:t>
      </w:r>
      <w:r w:rsidR="00272086">
        <w:rPr>
          <w:color w:val="548DD4"/>
          <w:sz w:val="48"/>
          <w:szCs w:val="48"/>
        </w:rPr>
        <w:t>easurable</w:t>
      </w:r>
      <w:r w:rsidR="00272086" w:rsidRPr="001A5913">
        <w:rPr>
          <w:color w:val="548DD4"/>
          <w:sz w:val="48"/>
          <w:szCs w:val="48"/>
        </w:rPr>
        <w:t xml:space="preserve"> </w:t>
      </w:r>
      <w:r w:rsidRPr="001A5913">
        <w:rPr>
          <w:color w:val="548DD4"/>
          <w:sz w:val="48"/>
          <w:szCs w:val="48"/>
        </w:rPr>
        <w:t xml:space="preserve">residual disease in patients with acute lymphoblastic </w:t>
      </w:r>
      <w:proofErr w:type="spellStart"/>
      <w:r w:rsidRPr="001A5913">
        <w:rPr>
          <w:color w:val="548DD4"/>
          <w:sz w:val="48"/>
          <w:szCs w:val="48"/>
        </w:rPr>
        <w:t>leukaemia</w:t>
      </w:r>
      <w:proofErr w:type="spellEnd"/>
    </w:p>
    <w:p w14:paraId="39CC0389" w14:textId="47366981" w:rsidR="006478E7" w:rsidRPr="00490FBB" w:rsidRDefault="00515D0F" w:rsidP="00C64442">
      <w:pPr>
        <w:pStyle w:val="Heading1"/>
        <w:spacing w:before="1080"/>
      </w:pPr>
      <w:r>
        <w:t>Ratified</w:t>
      </w:r>
      <w:r>
        <w:br/>
      </w:r>
      <w:r w:rsidR="006478E7" w:rsidRPr="00490FBB">
        <w:t>PICO Confirmation</w:t>
      </w:r>
    </w:p>
    <w:p w14:paraId="50B97A14" w14:textId="1139B603" w:rsidR="006478E7" w:rsidRPr="00745E38" w:rsidRDefault="006478E7" w:rsidP="00FD4C65">
      <w:r w:rsidRPr="00490FBB">
        <w:br w:type="page"/>
      </w:r>
    </w:p>
    <w:p w14:paraId="219312C8" w14:textId="325AE167" w:rsidR="006478E7" w:rsidRPr="007D4761" w:rsidRDefault="00BB75BC" w:rsidP="00D52956">
      <w:pPr>
        <w:spacing w:after="160" w:line="259" w:lineRule="auto"/>
        <w:rPr>
          <w:b/>
          <w:bCs/>
          <w:i/>
          <w:iCs/>
        </w:rPr>
      </w:pPr>
      <w:r w:rsidRPr="007D4761">
        <w:rPr>
          <w:b/>
          <w:bCs/>
          <w:i/>
          <w:iCs/>
        </w:rPr>
        <w:lastRenderedPageBreak/>
        <w:t xml:space="preserve">Summary of </w:t>
      </w:r>
      <w:r w:rsidR="00235B21" w:rsidRPr="007D4761">
        <w:rPr>
          <w:b/>
          <w:bCs/>
          <w:i/>
          <w:iCs/>
        </w:rPr>
        <w:t xml:space="preserve">PPICO criteria to define </w:t>
      </w:r>
      <w:r w:rsidR="006478E7" w:rsidRPr="007D4761">
        <w:rPr>
          <w:b/>
          <w:bCs/>
          <w:i/>
          <w:iCs/>
        </w:rPr>
        <w:t>q</w:t>
      </w:r>
      <w:r w:rsidR="00406112" w:rsidRPr="007D4761">
        <w:rPr>
          <w:b/>
          <w:bCs/>
          <w:i/>
          <w:iCs/>
        </w:rPr>
        <w:t>uestions to be addressed in the</w:t>
      </w:r>
      <w:r w:rsidR="006478E7" w:rsidRPr="007D4761">
        <w:rPr>
          <w:b/>
          <w:bCs/>
          <w:i/>
          <w:iCs/>
        </w:rPr>
        <w:t xml:space="preserve"> Assessment Report</w:t>
      </w:r>
      <w:r w:rsidR="00406112" w:rsidRPr="007D4761">
        <w:rPr>
          <w:b/>
          <w:bCs/>
          <w:i/>
          <w:iCs/>
        </w:rPr>
        <w:t>s</w:t>
      </w:r>
      <w:r w:rsidR="006478E7" w:rsidRPr="007D4761">
        <w:rPr>
          <w:b/>
          <w:bCs/>
          <w:i/>
          <w:iCs/>
        </w:rPr>
        <w:t xml:space="preserve"> to the Medical Services Advisory Committee (MSAC)</w:t>
      </w:r>
      <w:r w:rsidR="007B21D1" w:rsidRPr="007D4761">
        <w:rPr>
          <w:b/>
          <w:bCs/>
          <w:i/>
          <w:iCs/>
        </w:rPr>
        <w:t>.</w:t>
      </w:r>
    </w:p>
    <w:p w14:paraId="224459F3" w14:textId="76C2FB90" w:rsidR="00D52956" w:rsidRDefault="00D52956" w:rsidP="00AA497F">
      <w:pPr>
        <w:pStyle w:val="Caption"/>
        <w:spacing w:after="0"/>
      </w:pPr>
      <w:bookmarkStart w:id="0" w:name="_Ref69732160"/>
      <w:bookmarkStart w:id="1" w:name="_Ref69732155"/>
      <w:r>
        <w:t>Table</w:t>
      </w:r>
      <w:r w:rsidR="00FD4C65">
        <w:t> </w:t>
      </w:r>
      <w:r w:rsidR="00454151">
        <w:fldChar w:fldCharType="begin"/>
      </w:r>
      <w:r w:rsidR="00454151">
        <w:instrText xml:space="preserve"> SEQ Table \* ARABIC </w:instrText>
      </w:r>
      <w:r w:rsidR="00454151">
        <w:fldChar w:fldCharType="separate"/>
      </w:r>
      <w:r w:rsidR="002A1A30">
        <w:rPr>
          <w:noProof/>
        </w:rPr>
        <w:t>1</w:t>
      </w:r>
      <w:r w:rsidR="00454151">
        <w:fldChar w:fldCharType="end"/>
      </w:r>
      <w:bookmarkEnd w:id="0"/>
      <w:r>
        <w:tab/>
        <w:t>P</w:t>
      </w:r>
      <w:r w:rsidR="007B21D1">
        <w:t>P</w:t>
      </w:r>
      <w:r>
        <w:t xml:space="preserve">ICO for </w:t>
      </w:r>
      <w:r w:rsidR="001C3BDF">
        <w:t>MRD</w:t>
      </w:r>
      <w:r>
        <w:t xml:space="preserve"> in </w:t>
      </w:r>
      <w:bookmarkEnd w:id="1"/>
      <w:r w:rsidR="001C3BDF">
        <w:t xml:space="preserve">patients </w:t>
      </w:r>
      <w:r w:rsidR="000C67ED">
        <w:t>with ALL</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267"/>
        <w:gridCol w:w="3826"/>
        <w:gridCol w:w="4473"/>
      </w:tblGrid>
      <w:tr w:rsidR="00393C9C" w:rsidRPr="00490FBB" w14:paraId="2A509B30" w14:textId="63765598" w:rsidTr="00393C9C">
        <w:trPr>
          <w:cantSplit/>
          <w:trHeight w:val="372"/>
          <w:tblHeader/>
          <w:jc w:val="center"/>
        </w:trPr>
        <w:tc>
          <w:tcPr>
            <w:tcW w:w="662"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393C9C" w:rsidRPr="00490FBB" w:rsidRDefault="00393C9C" w:rsidP="00393C9C">
            <w:pPr>
              <w:pStyle w:val="TableHeading"/>
            </w:pPr>
            <w:bookmarkStart w:id="2" w:name="Title_Table1" w:colFirst="0" w:colLast="0"/>
            <w:r w:rsidRPr="00490FBB">
              <w:t>Component</w:t>
            </w:r>
          </w:p>
        </w:tc>
        <w:tc>
          <w:tcPr>
            <w:tcW w:w="2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0F35647D" w:rsidR="00393C9C" w:rsidRPr="00490FBB" w:rsidRDefault="00393C9C" w:rsidP="00393C9C">
            <w:pPr>
              <w:pStyle w:val="TableHeading"/>
            </w:pPr>
            <w:r>
              <w:t>Assessment 1703</w:t>
            </w:r>
          </w:p>
        </w:tc>
        <w:tc>
          <w:tcPr>
            <w:tcW w:w="2338" w:type="pct"/>
            <w:tcBorders>
              <w:top w:val="single" w:sz="4" w:space="0" w:color="auto"/>
              <w:left w:val="single" w:sz="4" w:space="0" w:color="auto"/>
              <w:bottom w:val="single" w:sz="4" w:space="0" w:color="auto"/>
              <w:right w:val="single" w:sz="4" w:space="0" w:color="auto"/>
            </w:tcBorders>
            <w:shd w:val="clear" w:color="auto" w:fill="D9D9D9"/>
            <w:vAlign w:val="center"/>
          </w:tcPr>
          <w:p w14:paraId="4DBEA0ED" w14:textId="26BCD3AD" w:rsidR="00393C9C" w:rsidRPr="00490FBB" w:rsidRDefault="00393C9C" w:rsidP="00393C9C">
            <w:pPr>
              <w:pStyle w:val="TableHeading"/>
            </w:pPr>
            <w:r>
              <w:t>Assessment 1707</w:t>
            </w:r>
          </w:p>
        </w:tc>
      </w:tr>
      <w:bookmarkEnd w:id="2"/>
      <w:tr w:rsidR="007C3831" w:rsidRPr="00490FBB" w14:paraId="78E0BB65" w14:textId="253095D7" w:rsidTr="002B170D">
        <w:trPr>
          <w:cantSplit/>
          <w:jc w:val="center"/>
        </w:trPr>
        <w:tc>
          <w:tcPr>
            <w:tcW w:w="662" w:type="pct"/>
            <w:tcBorders>
              <w:top w:val="single" w:sz="8" w:space="0" w:color="auto"/>
              <w:left w:val="single" w:sz="8" w:space="0" w:color="auto"/>
              <w:bottom w:val="single" w:sz="4" w:space="0" w:color="auto"/>
              <w:right w:val="single" w:sz="4" w:space="0" w:color="auto"/>
            </w:tcBorders>
            <w:hideMark/>
          </w:tcPr>
          <w:p w14:paraId="715E50D5" w14:textId="74EB4863" w:rsidR="007C3831" w:rsidRPr="00745E38" w:rsidRDefault="007C3831" w:rsidP="002B170D">
            <w:pPr>
              <w:pStyle w:val="TableHeading"/>
            </w:pPr>
            <w:r w:rsidRPr="00745E38">
              <w:t>Population</w:t>
            </w:r>
          </w:p>
        </w:tc>
        <w:tc>
          <w:tcPr>
            <w:tcW w:w="2000" w:type="pct"/>
            <w:tcBorders>
              <w:top w:val="single" w:sz="4" w:space="0" w:color="auto"/>
              <w:left w:val="single" w:sz="4" w:space="0" w:color="auto"/>
              <w:bottom w:val="single" w:sz="4" w:space="0" w:color="auto"/>
              <w:right w:val="single" w:sz="4" w:space="0" w:color="auto"/>
            </w:tcBorders>
          </w:tcPr>
          <w:p w14:paraId="4A4FF7C2" w14:textId="09C7BA8B" w:rsidR="007C3831" w:rsidRPr="00745E38" w:rsidRDefault="007C3831" w:rsidP="002B170D">
            <w:pPr>
              <w:pStyle w:val="TableText0"/>
            </w:pPr>
            <w:r w:rsidRPr="00745E38">
              <w:t>ALL</w:t>
            </w:r>
          </w:p>
        </w:tc>
        <w:tc>
          <w:tcPr>
            <w:tcW w:w="2338" w:type="pct"/>
            <w:tcBorders>
              <w:top w:val="single" w:sz="4" w:space="0" w:color="auto"/>
              <w:left w:val="single" w:sz="4" w:space="0" w:color="auto"/>
              <w:bottom w:val="single" w:sz="4" w:space="0" w:color="auto"/>
              <w:right w:val="single" w:sz="4" w:space="0" w:color="auto"/>
            </w:tcBorders>
          </w:tcPr>
          <w:p w14:paraId="53F1289A" w14:textId="374C155D" w:rsidR="007C3831" w:rsidRPr="00745E38" w:rsidRDefault="00421CBE" w:rsidP="002B170D">
            <w:pPr>
              <w:pStyle w:val="TableText0"/>
            </w:pPr>
            <w:r w:rsidRPr="00745E38">
              <w:t>ALL</w:t>
            </w:r>
          </w:p>
        </w:tc>
      </w:tr>
      <w:tr w:rsidR="0097600F" w:rsidRPr="00490FBB" w14:paraId="2A9CC9A6" w14:textId="65AF916E" w:rsidTr="002B170D">
        <w:trPr>
          <w:cantSplit/>
          <w:jc w:val="center"/>
        </w:trPr>
        <w:tc>
          <w:tcPr>
            <w:tcW w:w="662" w:type="pct"/>
            <w:tcBorders>
              <w:top w:val="single" w:sz="8" w:space="0" w:color="auto"/>
              <w:left w:val="single" w:sz="8" w:space="0" w:color="auto"/>
              <w:bottom w:val="single" w:sz="4" w:space="0" w:color="auto"/>
              <w:right w:val="single" w:sz="4" w:space="0" w:color="auto"/>
            </w:tcBorders>
            <w:hideMark/>
          </w:tcPr>
          <w:p w14:paraId="75E49351" w14:textId="75238C74" w:rsidR="0097600F" w:rsidRPr="00745E38" w:rsidRDefault="0097600F" w:rsidP="002B170D">
            <w:pPr>
              <w:pStyle w:val="TableHeading"/>
            </w:pPr>
            <w:r>
              <w:t xml:space="preserve">Prior tests </w:t>
            </w:r>
          </w:p>
        </w:tc>
        <w:tc>
          <w:tcPr>
            <w:tcW w:w="4338" w:type="pct"/>
            <w:gridSpan w:val="2"/>
            <w:tcBorders>
              <w:top w:val="single" w:sz="4" w:space="0" w:color="auto"/>
              <w:left w:val="single" w:sz="4" w:space="0" w:color="auto"/>
              <w:bottom w:val="single" w:sz="4" w:space="0" w:color="auto"/>
              <w:right w:val="single" w:sz="4" w:space="0" w:color="auto"/>
            </w:tcBorders>
            <w:hideMark/>
          </w:tcPr>
          <w:p w14:paraId="1B6B21F9" w14:textId="2CA81C8D" w:rsidR="0097600F" w:rsidRPr="00745E38" w:rsidRDefault="0097600F" w:rsidP="002B170D">
            <w:pPr>
              <w:pStyle w:val="TableText0"/>
            </w:pPr>
            <w:r>
              <w:t xml:space="preserve">Tests to diagnose ALL </w:t>
            </w:r>
          </w:p>
        </w:tc>
      </w:tr>
      <w:tr w:rsidR="007C3831" w:rsidRPr="00490FBB" w14:paraId="654E13A9" w14:textId="78030E58" w:rsidTr="002B170D">
        <w:trPr>
          <w:cantSplit/>
          <w:jc w:val="center"/>
        </w:trPr>
        <w:tc>
          <w:tcPr>
            <w:tcW w:w="662" w:type="pct"/>
            <w:tcBorders>
              <w:top w:val="single" w:sz="4" w:space="0" w:color="auto"/>
              <w:left w:val="single" w:sz="8" w:space="0" w:color="auto"/>
              <w:bottom w:val="single" w:sz="4" w:space="0" w:color="auto"/>
              <w:right w:val="single" w:sz="4" w:space="0" w:color="auto"/>
            </w:tcBorders>
            <w:hideMark/>
          </w:tcPr>
          <w:p w14:paraId="5BF0C211" w14:textId="77777777" w:rsidR="007C3831" w:rsidRPr="00745E38" w:rsidRDefault="007C3831" w:rsidP="002B170D">
            <w:pPr>
              <w:pStyle w:val="TableHeading"/>
            </w:pPr>
            <w:r w:rsidRPr="00745E38">
              <w:t>Intervention</w:t>
            </w:r>
          </w:p>
        </w:tc>
        <w:tc>
          <w:tcPr>
            <w:tcW w:w="2000" w:type="pct"/>
            <w:tcBorders>
              <w:top w:val="single" w:sz="4" w:space="0" w:color="auto"/>
              <w:left w:val="single" w:sz="4" w:space="0" w:color="auto"/>
              <w:bottom w:val="single" w:sz="4" w:space="0" w:color="auto"/>
              <w:right w:val="single" w:sz="4" w:space="0" w:color="auto"/>
            </w:tcBorders>
            <w:hideMark/>
          </w:tcPr>
          <w:p w14:paraId="71A12116" w14:textId="7352D4B9" w:rsidR="00CF27D0" w:rsidRPr="00745E38" w:rsidRDefault="00CF27D0" w:rsidP="002B170D">
            <w:pPr>
              <w:pStyle w:val="TableText0"/>
            </w:pPr>
            <w:r w:rsidRPr="00745E38">
              <w:t xml:space="preserve">Detection of </w:t>
            </w:r>
            <w:r w:rsidR="00421CBE">
              <w:t xml:space="preserve">MRD </w:t>
            </w:r>
            <w:r w:rsidR="00380578">
              <w:t xml:space="preserve">in BM </w:t>
            </w:r>
            <w:r w:rsidRPr="00745E38">
              <w:t>by</w:t>
            </w:r>
            <w:r w:rsidR="00393C9C">
              <w:t>:</w:t>
            </w:r>
          </w:p>
          <w:p w14:paraId="7AD11CAD" w14:textId="11BBB0F3" w:rsidR="00CF27D0" w:rsidRPr="00745E38" w:rsidRDefault="00CF27D0" w:rsidP="002B170D">
            <w:pPr>
              <w:pStyle w:val="TableText0"/>
            </w:pPr>
            <w:r w:rsidRPr="00745E38">
              <w:t xml:space="preserve">1. </w:t>
            </w:r>
            <w:proofErr w:type="spellStart"/>
            <w:r w:rsidR="00421CBE">
              <w:t>mpFC</w:t>
            </w:r>
            <w:proofErr w:type="spellEnd"/>
            <w:r w:rsidR="00421CBE">
              <w:t xml:space="preserve"> of leukaemia-associ</w:t>
            </w:r>
            <w:r w:rsidRPr="00745E38">
              <w:t>ated immunophenotypes</w:t>
            </w:r>
          </w:p>
          <w:p w14:paraId="45C9BE7B" w14:textId="5A93383F" w:rsidR="007C3831" w:rsidRPr="00185DEF" w:rsidRDefault="00CF27D0" w:rsidP="002B170D">
            <w:pPr>
              <w:pStyle w:val="TableText0"/>
              <w:rPr>
                <w:i/>
              </w:rPr>
            </w:pPr>
            <w:r w:rsidRPr="00745E38">
              <w:t xml:space="preserve">2. molecular methods including </w:t>
            </w:r>
            <w:r w:rsidR="0097600F" w:rsidRPr="0097600F">
              <w:t xml:space="preserve">real-time </w:t>
            </w:r>
            <w:r w:rsidRPr="00745E38">
              <w:t xml:space="preserve">qPCR </w:t>
            </w:r>
            <w:r w:rsidR="005053AD">
              <w:t>or</w:t>
            </w:r>
            <w:r w:rsidRPr="00745E38">
              <w:t xml:space="preserve"> </w:t>
            </w:r>
            <w:r w:rsidRPr="00185DEF">
              <w:t xml:space="preserve">NGS </w:t>
            </w:r>
          </w:p>
          <w:p w14:paraId="3E51DB12" w14:textId="60432C03" w:rsidR="00E9218D" w:rsidRPr="00185DEF" w:rsidRDefault="00185DEF" w:rsidP="002B170D">
            <w:pPr>
              <w:pStyle w:val="TableText0"/>
            </w:pPr>
            <w:r w:rsidRPr="00185DEF">
              <w:t xml:space="preserve">+ morphological assessment </w:t>
            </w:r>
            <w:r w:rsidR="000D1EE1">
              <w:t>± cytogenetic analysis</w:t>
            </w:r>
            <w:r w:rsidR="000D1EE1" w:rsidRPr="00185DEF">
              <w:t xml:space="preserve"> </w:t>
            </w:r>
            <w:r w:rsidRPr="00185DEF">
              <w:t>for assessing morphological remission</w:t>
            </w:r>
            <w:r w:rsidR="00E9218D" w:rsidRPr="00185DEF">
              <w:t xml:space="preserve"> </w:t>
            </w:r>
          </w:p>
        </w:tc>
        <w:tc>
          <w:tcPr>
            <w:tcW w:w="2338" w:type="pct"/>
            <w:tcBorders>
              <w:top w:val="single" w:sz="4" w:space="0" w:color="auto"/>
              <w:left w:val="single" w:sz="4" w:space="0" w:color="auto"/>
              <w:bottom w:val="single" w:sz="4" w:space="0" w:color="auto"/>
              <w:right w:val="single" w:sz="4" w:space="0" w:color="auto"/>
            </w:tcBorders>
          </w:tcPr>
          <w:p w14:paraId="6EC58AFE" w14:textId="7553EFC2" w:rsidR="00E5298F" w:rsidRDefault="00E5298F" w:rsidP="002B170D">
            <w:pPr>
              <w:pStyle w:val="TableText0"/>
            </w:pPr>
            <w:r>
              <w:t xml:space="preserve">Detection of MRD </w:t>
            </w:r>
            <w:r w:rsidR="00380578">
              <w:t xml:space="preserve">in BM </w:t>
            </w:r>
            <w:r>
              <w:t>by:</w:t>
            </w:r>
          </w:p>
          <w:p w14:paraId="3B5F167C" w14:textId="52B6998C" w:rsidR="00E5298F" w:rsidRPr="00745E38" w:rsidRDefault="00E5298F" w:rsidP="002B170D">
            <w:pPr>
              <w:pStyle w:val="TableText0"/>
            </w:pPr>
            <w:r w:rsidRPr="00745E38">
              <w:t xml:space="preserve">1. </w:t>
            </w:r>
            <w:proofErr w:type="spellStart"/>
            <w:r>
              <w:t>mpFC</w:t>
            </w:r>
            <w:proofErr w:type="spellEnd"/>
            <w:r>
              <w:t xml:space="preserve"> of leukaemia-associ</w:t>
            </w:r>
            <w:r w:rsidRPr="00745E38">
              <w:t>ated immunophenotypes</w:t>
            </w:r>
          </w:p>
          <w:p w14:paraId="50D4F02D" w14:textId="77777777" w:rsidR="007C3831" w:rsidRDefault="00E5298F" w:rsidP="002B170D">
            <w:pPr>
              <w:pStyle w:val="TableText0"/>
            </w:pPr>
            <w:r>
              <w:t xml:space="preserve">2. </w:t>
            </w:r>
            <w:r w:rsidR="00745E38">
              <w:t xml:space="preserve">NGS-based MRD test using the </w:t>
            </w:r>
            <w:proofErr w:type="spellStart"/>
            <w:r w:rsidR="00745E38">
              <w:t>clonoSEQ</w:t>
            </w:r>
            <w:proofErr w:type="spellEnd"/>
            <w:r w:rsidR="00745E38">
              <w:t>® assay</w:t>
            </w:r>
          </w:p>
          <w:p w14:paraId="284A2B59" w14:textId="3989B6FF" w:rsidR="00E5298F" w:rsidRPr="00745E38" w:rsidRDefault="00E5298F" w:rsidP="002B170D">
            <w:pPr>
              <w:pStyle w:val="TableText0"/>
            </w:pPr>
            <w:r w:rsidRPr="00185DEF">
              <w:t xml:space="preserve">+ morphological assessment </w:t>
            </w:r>
            <w:r>
              <w:t>± cytogenetic analysis</w:t>
            </w:r>
            <w:r w:rsidRPr="00185DEF">
              <w:t xml:space="preserve"> for assessing morphological remission</w:t>
            </w:r>
          </w:p>
        </w:tc>
      </w:tr>
      <w:tr w:rsidR="007C3831" w:rsidRPr="00490FBB" w14:paraId="1F5647C3" w14:textId="406DC608" w:rsidTr="002B170D">
        <w:trPr>
          <w:cantSplit/>
          <w:jc w:val="center"/>
        </w:trPr>
        <w:tc>
          <w:tcPr>
            <w:tcW w:w="662" w:type="pct"/>
            <w:tcBorders>
              <w:top w:val="single" w:sz="4" w:space="0" w:color="auto"/>
              <w:left w:val="single" w:sz="8" w:space="0" w:color="auto"/>
              <w:bottom w:val="single" w:sz="4" w:space="0" w:color="auto"/>
              <w:right w:val="single" w:sz="4" w:space="0" w:color="auto"/>
            </w:tcBorders>
            <w:hideMark/>
          </w:tcPr>
          <w:p w14:paraId="7F55173A" w14:textId="58592D17" w:rsidR="007C3831" w:rsidRPr="00745E38" w:rsidRDefault="002B170D" w:rsidP="002B170D">
            <w:pPr>
              <w:pStyle w:val="TableHeading"/>
            </w:pPr>
            <w:r>
              <w:t>Comparator</w:t>
            </w:r>
            <w:r w:rsidR="007C3831" w:rsidRPr="00745E38">
              <w:t>s</w:t>
            </w:r>
          </w:p>
        </w:tc>
        <w:tc>
          <w:tcPr>
            <w:tcW w:w="2000" w:type="pct"/>
            <w:tcBorders>
              <w:top w:val="single" w:sz="4" w:space="0" w:color="auto"/>
              <w:left w:val="single" w:sz="4" w:space="0" w:color="auto"/>
              <w:bottom w:val="single" w:sz="4" w:space="0" w:color="auto"/>
              <w:right w:val="single" w:sz="4" w:space="0" w:color="auto"/>
            </w:tcBorders>
            <w:hideMark/>
          </w:tcPr>
          <w:p w14:paraId="7E690E4B" w14:textId="31286E96" w:rsidR="007C3831" w:rsidRPr="00745E38" w:rsidRDefault="0097600F" w:rsidP="002B170D">
            <w:pPr>
              <w:pStyle w:val="TableText0"/>
            </w:pPr>
            <w:r>
              <w:t xml:space="preserve">Morphological assessment </w:t>
            </w:r>
            <w:r w:rsidR="007B34A1">
              <w:t>± cytogenetic analysis</w:t>
            </w:r>
            <w:r w:rsidR="000D1EE1">
              <w:t xml:space="preserve"> for assessing morphological remission</w:t>
            </w:r>
          </w:p>
        </w:tc>
        <w:tc>
          <w:tcPr>
            <w:tcW w:w="2338" w:type="pct"/>
            <w:tcBorders>
              <w:top w:val="single" w:sz="4" w:space="0" w:color="auto"/>
              <w:left w:val="single" w:sz="4" w:space="0" w:color="auto"/>
              <w:bottom w:val="single" w:sz="4" w:space="0" w:color="auto"/>
              <w:right w:val="single" w:sz="4" w:space="0" w:color="auto"/>
            </w:tcBorders>
          </w:tcPr>
          <w:p w14:paraId="06E06422" w14:textId="6B3A961C" w:rsidR="00E5298F" w:rsidRPr="00E5298F" w:rsidRDefault="00E5298F" w:rsidP="002B170D">
            <w:pPr>
              <w:pStyle w:val="TableText0"/>
              <w:rPr>
                <w:i/>
              </w:rPr>
            </w:pPr>
            <w:r w:rsidRPr="00E5298F">
              <w:rPr>
                <w:i/>
              </w:rPr>
              <w:t xml:space="preserve">Primary comparator: </w:t>
            </w:r>
          </w:p>
          <w:p w14:paraId="419DA19D" w14:textId="367D7BE4" w:rsidR="00E5298F" w:rsidRDefault="00E5298F" w:rsidP="002B170D">
            <w:pPr>
              <w:pStyle w:val="TableText0"/>
            </w:pPr>
            <w:r>
              <w:t>Morphological assessment ± cytogenetic analysis for assessing morphological remission</w:t>
            </w:r>
          </w:p>
          <w:p w14:paraId="070699BF" w14:textId="5DFBDCE9" w:rsidR="00E5298F" w:rsidRPr="00E5298F" w:rsidRDefault="00E5298F" w:rsidP="002B170D">
            <w:pPr>
              <w:pStyle w:val="TableText0"/>
              <w:rPr>
                <w:i/>
              </w:rPr>
            </w:pPr>
            <w:r w:rsidRPr="00E5298F">
              <w:rPr>
                <w:i/>
              </w:rPr>
              <w:t>Secondary comparator:</w:t>
            </w:r>
          </w:p>
          <w:p w14:paraId="4E52EC6F" w14:textId="34674FF1" w:rsidR="0097600F" w:rsidRPr="00E5298F" w:rsidRDefault="00421CBE" w:rsidP="002B170D">
            <w:pPr>
              <w:pStyle w:val="TableText0"/>
            </w:pPr>
            <w:r w:rsidRPr="00E02B38">
              <w:t>Other molecular methods including qPCR and other NGS methods</w:t>
            </w:r>
          </w:p>
        </w:tc>
      </w:tr>
      <w:tr w:rsidR="001C3BDF" w:rsidRPr="00490FBB" w14:paraId="7B9D3F1A" w14:textId="5E453BC2" w:rsidTr="002B170D">
        <w:trPr>
          <w:cantSplit/>
          <w:jc w:val="center"/>
        </w:trPr>
        <w:tc>
          <w:tcPr>
            <w:tcW w:w="662" w:type="pct"/>
            <w:tcBorders>
              <w:top w:val="single" w:sz="4" w:space="0" w:color="auto"/>
              <w:left w:val="single" w:sz="8" w:space="0" w:color="auto"/>
              <w:bottom w:val="single" w:sz="4" w:space="0" w:color="auto"/>
              <w:right w:val="single" w:sz="4" w:space="0" w:color="auto"/>
            </w:tcBorders>
          </w:tcPr>
          <w:p w14:paraId="4C0BC8B3" w14:textId="7227AAA2" w:rsidR="001C3BDF" w:rsidRPr="00745E38" w:rsidRDefault="001C3BDF" w:rsidP="002B170D">
            <w:pPr>
              <w:pStyle w:val="TableHeading"/>
            </w:pPr>
            <w:r w:rsidRPr="00745E38">
              <w:t xml:space="preserve">Reference standard </w:t>
            </w:r>
          </w:p>
        </w:tc>
        <w:tc>
          <w:tcPr>
            <w:tcW w:w="4338" w:type="pct"/>
            <w:gridSpan w:val="2"/>
            <w:tcBorders>
              <w:top w:val="single" w:sz="4" w:space="0" w:color="auto"/>
              <w:left w:val="single" w:sz="4" w:space="0" w:color="auto"/>
              <w:bottom w:val="single" w:sz="4" w:space="0" w:color="auto"/>
              <w:right w:val="single" w:sz="4" w:space="0" w:color="auto"/>
            </w:tcBorders>
          </w:tcPr>
          <w:p w14:paraId="21126EB9" w14:textId="69FBBCFD" w:rsidR="001C3BDF" w:rsidRPr="00745E38" w:rsidRDefault="001C3BDF" w:rsidP="002B170D">
            <w:pPr>
              <w:pStyle w:val="TableText0"/>
            </w:pPr>
            <w:r>
              <w:t xml:space="preserve">Prognostic and predictive reference standards: health outcomes (e.g. </w:t>
            </w:r>
            <w:r w:rsidR="001539DE">
              <w:t xml:space="preserve">overall </w:t>
            </w:r>
            <w:r>
              <w:t xml:space="preserve">survival, </w:t>
            </w:r>
            <w:r w:rsidR="001539DE">
              <w:t xml:space="preserve">event-free survival, </w:t>
            </w:r>
            <w:r>
              <w:t>recurrence rate)</w:t>
            </w:r>
          </w:p>
        </w:tc>
      </w:tr>
      <w:tr w:rsidR="002B170D" w:rsidRPr="00490FBB" w14:paraId="13459344" w14:textId="77777777" w:rsidTr="002B170D">
        <w:trPr>
          <w:cantSplit/>
          <w:jc w:val="center"/>
        </w:trPr>
        <w:tc>
          <w:tcPr>
            <w:tcW w:w="662" w:type="pct"/>
            <w:tcBorders>
              <w:top w:val="single" w:sz="4" w:space="0" w:color="auto"/>
              <w:left w:val="single" w:sz="8" w:space="0" w:color="auto"/>
              <w:bottom w:val="single" w:sz="4" w:space="0" w:color="auto"/>
              <w:right w:val="single" w:sz="4" w:space="0" w:color="auto"/>
            </w:tcBorders>
          </w:tcPr>
          <w:p w14:paraId="05EA0D1C" w14:textId="0B03DA20" w:rsidR="002B170D" w:rsidRPr="00745E38" w:rsidRDefault="002B170D" w:rsidP="002B170D">
            <w:pPr>
              <w:pStyle w:val="TableHeading"/>
            </w:pPr>
            <w:r w:rsidRPr="00490FBB">
              <w:t>Outcomes</w:t>
            </w:r>
          </w:p>
        </w:tc>
        <w:tc>
          <w:tcPr>
            <w:tcW w:w="4338" w:type="pct"/>
            <w:gridSpan w:val="2"/>
            <w:tcBorders>
              <w:top w:val="single" w:sz="4" w:space="0" w:color="auto"/>
              <w:left w:val="single" w:sz="4" w:space="0" w:color="auto"/>
              <w:bottom w:val="single" w:sz="4" w:space="0" w:color="auto"/>
              <w:right w:val="single" w:sz="4" w:space="0" w:color="auto"/>
            </w:tcBorders>
          </w:tcPr>
          <w:p w14:paraId="2DD3B60C" w14:textId="77777777" w:rsidR="002B170D" w:rsidRPr="00117EE1" w:rsidRDefault="002B170D" w:rsidP="002B170D">
            <w:pPr>
              <w:pStyle w:val="TableText0"/>
              <w:rPr>
                <w:i/>
                <w:u w:val="single"/>
              </w:rPr>
            </w:pPr>
            <w:r w:rsidRPr="00117EE1">
              <w:rPr>
                <w:i/>
                <w:u w:val="single"/>
              </w:rPr>
              <w:t>Test outcomes</w:t>
            </w:r>
          </w:p>
          <w:p w14:paraId="2DFBBB95" w14:textId="77777777" w:rsidR="002B170D" w:rsidRDefault="002B170D" w:rsidP="002B170D">
            <w:pPr>
              <w:pStyle w:val="TableText0"/>
            </w:pPr>
            <w:r>
              <w:t xml:space="preserve">Longitudinal accuracy for determining prognosis </w:t>
            </w:r>
          </w:p>
          <w:p w14:paraId="2D581913" w14:textId="5F0C666B" w:rsidR="002B170D" w:rsidRDefault="002B170D" w:rsidP="002B170D">
            <w:pPr>
              <w:pStyle w:val="TableText0"/>
            </w:pPr>
            <w:r>
              <w:t>Longitudinal accuracy for predicting response to treatment (</w:t>
            </w:r>
            <w:proofErr w:type="spellStart"/>
            <w:r>
              <w:t>e.g</w:t>
            </w:r>
            <w:proofErr w:type="spellEnd"/>
            <w:r>
              <w:t xml:space="preserve"> blinatum</w:t>
            </w:r>
            <w:r w:rsidR="000B705F">
              <w:t>o</w:t>
            </w:r>
            <w:r>
              <w:t>mab, CAR-T, HSCT)</w:t>
            </w:r>
          </w:p>
          <w:p w14:paraId="27C6AE7E" w14:textId="77777777" w:rsidR="002B170D" w:rsidRPr="00EA5665" w:rsidRDefault="002B170D" w:rsidP="002B170D">
            <w:pPr>
              <w:pStyle w:val="TableText0"/>
              <w:rPr>
                <w:i/>
              </w:rPr>
            </w:pPr>
            <w:r>
              <w:t xml:space="preserve">Accuracy of monitoring to detect responsiveness to treatment (relative to background random variation, i.e. signal to noise ratio) </w:t>
            </w:r>
          </w:p>
          <w:p w14:paraId="0C20E148" w14:textId="77777777" w:rsidR="002B170D" w:rsidRDefault="002B170D" w:rsidP="002B170D">
            <w:pPr>
              <w:pStyle w:val="TableText0"/>
            </w:pPr>
            <w:r>
              <w:t>Detectability of long-term change relative to background random variation (to justify frequency of monitoring)</w:t>
            </w:r>
          </w:p>
          <w:p w14:paraId="646F41E6" w14:textId="0848B921" w:rsidR="002B170D" w:rsidRDefault="002B170D" w:rsidP="002B170D">
            <w:pPr>
              <w:pStyle w:val="TableText0"/>
            </w:pPr>
            <w:r>
              <w:t xml:space="preserve">Safety of testing </w:t>
            </w:r>
          </w:p>
          <w:p w14:paraId="68F2D85D" w14:textId="072F3488" w:rsidR="00272086" w:rsidRDefault="00272086" w:rsidP="002B170D">
            <w:pPr>
              <w:pStyle w:val="TableText0"/>
            </w:pPr>
            <w:r>
              <w:t>Turnaround time</w:t>
            </w:r>
          </w:p>
          <w:p w14:paraId="38FEFA28" w14:textId="22966524" w:rsidR="00272086" w:rsidRDefault="00272086" w:rsidP="002B170D">
            <w:pPr>
              <w:pStyle w:val="TableText0"/>
            </w:pPr>
            <w:r>
              <w:t>Test availability</w:t>
            </w:r>
          </w:p>
          <w:p w14:paraId="7EB2CE0C" w14:textId="3EE2356D" w:rsidR="00CD7FB5" w:rsidRPr="00F67A19" w:rsidRDefault="00CD7FB5" w:rsidP="002B170D">
            <w:pPr>
              <w:pStyle w:val="TableText0"/>
            </w:pPr>
            <w:r>
              <w:t xml:space="preserve">Rate of </w:t>
            </w:r>
            <w:proofErr w:type="spellStart"/>
            <w:r>
              <w:t>rebiopsy</w:t>
            </w:r>
            <w:proofErr w:type="spellEnd"/>
            <w:r w:rsidR="00DC08AE">
              <w:t>/</w:t>
            </w:r>
            <w:proofErr w:type="spellStart"/>
            <w:r w:rsidR="00DC08AE">
              <w:t>reaspiration</w:t>
            </w:r>
            <w:proofErr w:type="spellEnd"/>
            <w:r w:rsidR="00DC08AE">
              <w:t xml:space="preserve"> </w:t>
            </w:r>
          </w:p>
          <w:p w14:paraId="1B3FFDFB" w14:textId="77777777" w:rsidR="002B170D" w:rsidRPr="00117EE1" w:rsidRDefault="002B170D" w:rsidP="002B170D">
            <w:pPr>
              <w:pStyle w:val="TableText0"/>
              <w:rPr>
                <w:i/>
                <w:u w:val="single"/>
              </w:rPr>
            </w:pPr>
            <w:r w:rsidRPr="00117EE1">
              <w:rPr>
                <w:i/>
                <w:u w:val="single"/>
              </w:rPr>
              <w:t>Change in management</w:t>
            </w:r>
          </w:p>
          <w:p w14:paraId="00FF4F78" w14:textId="77777777" w:rsidR="002B170D" w:rsidRDefault="002B170D" w:rsidP="002B170D">
            <w:pPr>
              <w:pStyle w:val="TableText0"/>
            </w:pPr>
            <w:r>
              <w:t xml:space="preserve">Changes to treatment strategies based on test results </w:t>
            </w:r>
          </w:p>
          <w:p w14:paraId="5D98546E" w14:textId="0C30A385" w:rsidR="002B170D" w:rsidRPr="00A201D6" w:rsidRDefault="002B170D" w:rsidP="002B170D">
            <w:pPr>
              <w:pStyle w:val="TableText0"/>
              <w:rPr>
                <w:i/>
              </w:rPr>
            </w:pPr>
            <w:r>
              <w:t xml:space="preserve">Proportion of tested patients whose MRD-directed </w:t>
            </w:r>
            <w:r w:rsidR="00EF43B1">
              <w:t xml:space="preserve">treatment </w:t>
            </w:r>
            <w:r>
              <w:t>differs from standard treatment (number needed to test to alter treatment)</w:t>
            </w:r>
          </w:p>
          <w:p w14:paraId="37EBF5C0" w14:textId="77777777" w:rsidR="002B170D" w:rsidRPr="00117EE1" w:rsidRDefault="002B170D" w:rsidP="002B170D">
            <w:pPr>
              <w:pStyle w:val="TableText0"/>
              <w:rPr>
                <w:i/>
                <w:u w:val="single"/>
              </w:rPr>
            </w:pPr>
            <w:r w:rsidRPr="00117EE1">
              <w:rPr>
                <w:i/>
                <w:u w:val="single"/>
              </w:rPr>
              <w:t>Clinical utility</w:t>
            </w:r>
          </w:p>
          <w:p w14:paraId="723F9A5E" w14:textId="77777777" w:rsidR="002B170D" w:rsidRDefault="002B170D" w:rsidP="002B170D">
            <w:pPr>
              <w:pStyle w:val="TableText0"/>
            </w:pPr>
            <w:r>
              <w:t>Changes in health outcomes due to testing strategy and changes in management (e.g. survival, quality of life, rate of remission)</w:t>
            </w:r>
          </w:p>
          <w:p w14:paraId="0D11FD44" w14:textId="77777777" w:rsidR="002B170D" w:rsidRDefault="002B170D" w:rsidP="002B170D">
            <w:pPr>
              <w:pStyle w:val="TableText0"/>
            </w:pPr>
            <w:r>
              <w:t>Safety of changes in management (such as reduced adverse events due to those with good prognosis avoiding intensive treatment)</w:t>
            </w:r>
          </w:p>
          <w:p w14:paraId="062DC996" w14:textId="77777777" w:rsidR="002B170D" w:rsidRPr="00117EE1" w:rsidRDefault="002B170D" w:rsidP="002B170D">
            <w:pPr>
              <w:pStyle w:val="TableText0"/>
              <w:rPr>
                <w:i/>
                <w:u w:val="single"/>
              </w:rPr>
            </w:pPr>
            <w:r w:rsidRPr="00117EE1">
              <w:rPr>
                <w:i/>
                <w:u w:val="single"/>
              </w:rPr>
              <w:t>Economic</w:t>
            </w:r>
            <w:r>
              <w:rPr>
                <w:i/>
                <w:u w:val="single"/>
              </w:rPr>
              <w:t xml:space="preserve"> evaluation</w:t>
            </w:r>
          </w:p>
          <w:p w14:paraId="259B3598" w14:textId="40FDE1DC" w:rsidR="002B170D" w:rsidRDefault="002F0ADA" w:rsidP="002B170D">
            <w:pPr>
              <w:pStyle w:val="TableText0"/>
            </w:pPr>
            <w:r>
              <w:t>Cost of test and f</w:t>
            </w:r>
            <w:r w:rsidR="002B170D">
              <w:t>inancial implications to Medicare Benefits Schedule and healthcare system</w:t>
            </w:r>
          </w:p>
          <w:p w14:paraId="7F058ED6" w14:textId="4E63C13D" w:rsidR="002B170D" w:rsidRDefault="002B170D" w:rsidP="002B170D">
            <w:pPr>
              <w:pStyle w:val="TableText0"/>
            </w:pPr>
            <w:r>
              <w:t>Cost-effectiveness</w:t>
            </w:r>
          </w:p>
        </w:tc>
      </w:tr>
    </w:tbl>
    <w:p w14:paraId="1C0FEFB4" w14:textId="77777777" w:rsidR="002B170D" w:rsidRDefault="002B170D"/>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267"/>
        <w:gridCol w:w="3826"/>
        <w:gridCol w:w="4473"/>
      </w:tblGrid>
      <w:tr w:rsidR="002B170D" w:rsidRPr="00490FBB" w14:paraId="7E24C041" w14:textId="77777777" w:rsidTr="00AA5427">
        <w:trPr>
          <w:cantSplit/>
          <w:jc w:val="center"/>
        </w:trPr>
        <w:tc>
          <w:tcPr>
            <w:tcW w:w="662" w:type="pct"/>
            <w:tcBorders>
              <w:top w:val="single" w:sz="4" w:space="0" w:color="auto"/>
              <w:left w:val="single" w:sz="8" w:space="0" w:color="auto"/>
              <w:bottom w:val="single" w:sz="8" w:space="0" w:color="auto"/>
              <w:right w:val="single" w:sz="4" w:space="0" w:color="auto"/>
            </w:tcBorders>
            <w:vAlign w:val="center"/>
          </w:tcPr>
          <w:p w14:paraId="6907E42C" w14:textId="4674C0F1" w:rsidR="002B170D" w:rsidRPr="00490FBB" w:rsidRDefault="002B170D" w:rsidP="002B170D">
            <w:pPr>
              <w:pStyle w:val="TableHeading"/>
            </w:pPr>
            <w:r w:rsidRPr="00490FBB">
              <w:lastRenderedPageBreak/>
              <w:t>Component</w:t>
            </w:r>
          </w:p>
        </w:tc>
        <w:tc>
          <w:tcPr>
            <w:tcW w:w="2000" w:type="pct"/>
            <w:tcBorders>
              <w:top w:val="single" w:sz="4" w:space="0" w:color="auto"/>
              <w:left w:val="single" w:sz="4" w:space="0" w:color="auto"/>
              <w:bottom w:val="single" w:sz="4" w:space="0" w:color="auto"/>
              <w:right w:val="single" w:sz="4" w:space="0" w:color="auto"/>
            </w:tcBorders>
            <w:vAlign w:val="center"/>
          </w:tcPr>
          <w:p w14:paraId="6EC94FB6" w14:textId="081AC9E7" w:rsidR="002B170D" w:rsidRPr="00341F16" w:rsidRDefault="002B170D" w:rsidP="00341F16">
            <w:pPr>
              <w:pStyle w:val="TableHeading"/>
            </w:pPr>
            <w:r w:rsidRPr="00490FBB">
              <w:t>Description</w:t>
            </w:r>
            <w:r>
              <w:t xml:space="preserve"> 1703</w:t>
            </w:r>
          </w:p>
        </w:tc>
        <w:tc>
          <w:tcPr>
            <w:tcW w:w="2338" w:type="pct"/>
            <w:tcBorders>
              <w:top w:val="single" w:sz="4" w:space="0" w:color="auto"/>
              <w:left w:val="single" w:sz="4" w:space="0" w:color="auto"/>
              <w:bottom w:val="single" w:sz="4" w:space="0" w:color="auto"/>
              <w:right w:val="single" w:sz="4" w:space="0" w:color="auto"/>
            </w:tcBorders>
          </w:tcPr>
          <w:p w14:paraId="3C03F041" w14:textId="06C0490F" w:rsidR="002B170D" w:rsidRPr="00341F16" w:rsidRDefault="002B170D" w:rsidP="00341F16">
            <w:pPr>
              <w:pStyle w:val="TableHeading"/>
            </w:pPr>
            <w:r>
              <w:t>Description 1707</w:t>
            </w:r>
          </w:p>
        </w:tc>
      </w:tr>
      <w:tr w:rsidR="002B170D" w:rsidRPr="00490FBB" w14:paraId="4A55FFDB" w14:textId="57EDABC3" w:rsidTr="002B170D">
        <w:trPr>
          <w:cantSplit/>
          <w:jc w:val="center"/>
        </w:trPr>
        <w:tc>
          <w:tcPr>
            <w:tcW w:w="662" w:type="pct"/>
            <w:tcBorders>
              <w:top w:val="single" w:sz="4" w:space="0" w:color="auto"/>
              <w:left w:val="single" w:sz="8" w:space="0" w:color="auto"/>
              <w:bottom w:val="single" w:sz="8" w:space="0" w:color="auto"/>
              <w:right w:val="single" w:sz="4" w:space="0" w:color="auto"/>
            </w:tcBorders>
          </w:tcPr>
          <w:p w14:paraId="003B36EC" w14:textId="77777777" w:rsidR="002B170D" w:rsidRPr="00490FBB" w:rsidRDefault="002B170D" w:rsidP="002B170D">
            <w:pPr>
              <w:pStyle w:val="TableHeading"/>
            </w:pPr>
            <w:r w:rsidRPr="00490FBB">
              <w:t>Assessment questions</w:t>
            </w:r>
          </w:p>
        </w:tc>
        <w:tc>
          <w:tcPr>
            <w:tcW w:w="2000" w:type="pct"/>
            <w:tcBorders>
              <w:top w:val="single" w:sz="4" w:space="0" w:color="auto"/>
              <w:left w:val="single" w:sz="4" w:space="0" w:color="auto"/>
              <w:bottom w:val="single" w:sz="4" w:space="0" w:color="auto"/>
              <w:right w:val="single" w:sz="4" w:space="0" w:color="auto"/>
            </w:tcBorders>
          </w:tcPr>
          <w:p w14:paraId="042D88A8" w14:textId="1DBFAE9A" w:rsidR="002B170D" w:rsidRDefault="002B170D" w:rsidP="002B170D">
            <w:pPr>
              <w:pStyle w:val="TableText0"/>
              <w:rPr>
                <w:color w:val="000000" w:themeColor="text1"/>
              </w:rPr>
            </w:pPr>
            <w:r>
              <w:rPr>
                <w:color w:val="000000" w:themeColor="text1"/>
              </w:rPr>
              <w:t xml:space="preserve">1a. </w:t>
            </w:r>
            <w:r w:rsidRPr="00FD4C65">
              <w:rPr>
                <w:color w:val="000000" w:themeColor="text1"/>
              </w:rPr>
              <w:t>What</w:t>
            </w:r>
            <w:r w:rsidRPr="00490FBB">
              <w:rPr>
                <w:color w:val="000000" w:themeColor="text1"/>
              </w:rPr>
              <w:t xml:space="preserve"> is the safety, effectiveness and cost-effectiveness of </w:t>
            </w:r>
            <w:r>
              <w:rPr>
                <w:color w:val="000000" w:themeColor="text1"/>
              </w:rPr>
              <w:t>MRD testing (</w:t>
            </w:r>
            <w:proofErr w:type="spellStart"/>
            <w:r>
              <w:rPr>
                <w:color w:val="000000" w:themeColor="text1"/>
              </w:rPr>
              <w:t>mpFC</w:t>
            </w:r>
            <w:proofErr w:type="spellEnd"/>
            <w:r>
              <w:rPr>
                <w:color w:val="000000" w:themeColor="text1"/>
              </w:rPr>
              <w:t xml:space="preserve"> or molecular methods) in addition to assessment of morphological remission, compared to assessment of morphological remission alone, in patients with ALL?</w:t>
            </w:r>
          </w:p>
          <w:p w14:paraId="51D6421E" w14:textId="75C102FA" w:rsidR="002B170D" w:rsidRDefault="002B170D" w:rsidP="002B170D">
            <w:pPr>
              <w:pStyle w:val="TableText0"/>
              <w:rPr>
                <w:color w:val="000000" w:themeColor="text1"/>
              </w:rPr>
            </w:pPr>
            <w:r>
              <w:rPr>
                <w:color w:val="000000" w:themeColor="text1"/>
              </w:rPr>
              <w:t xml:space="preserve">2a. </w:t>
            </w:r>
            <w:r w:rsidRPr="000D1EE1">
              <w:rPr>
                <w:color w:val="000000" w:themeColor="text1"/>
              </w:rPr>
              <w:t>What is the incremental prognostic benefit of using MRD testing in addition to assessment of morphological remission, compared to assessment of morphological remission alone, in patients with ALL?</w:t>
            </w:r>
          </w:p>
          <w:p w14:paraId="089C2856" w14:textId="3F0F9863" w:rsidR="002B170D" w:rsidRDefault="002B170D" w:rsidP="002B170D">
            <w:pPr>
              <w:pStyle w:val="TableText0"/>
              <w:rPr>
                <w:color w:val="000000" w:themeColor="text1"/>
              </w:rPr>
            </w:pPr>
            <w:r>
              <w:rPr>
                <w:color w:val="000000" w:themeColor="text1"/>
              </w:rPr>
              <w:t>3a. What is the incremental predictive benefit of using MRD testing in addition to assessment of morphological remission, compared to predicting treatment benefit with assessment of morphological remission alone, in patients with ALL?</w:t>
            </w:r>
          </w:p>
          <w:p w14:paraId="13C3F3E8" w14:textId="79EC114E" w:rsidR="002B170D" w:rsidRDefault="002B170D" w:rsidP="002B170D">
            <w:pPr>
              <w:pStyle w:val="TableText0"/>
              <w:rPr>
                <w:color w:val="000000" w:themeColor="text1"/>
              </w:rPr>
            </w:pPr>
            <w:r>
              <w:rPr>
                <w:color w:val="000000" w:themeColor="text1"/>
              </w:rPr>
              <w:t>4a. How accurate is MRD testing (</w:t>
            </w:r>
            <w:proofErr w:type="spellStart"/>
            <w:r>
              <w:rPr>
                <w:color w:val="000000" w:themeColor="text1"/>
              </w:rPr>
              <w:t>mpFC</w:t>
            </w:r>
            <w:proofErr w:type="spellEnd"/>
            <w:r>
              <w:rPr>
                <w:color w:val="000000" w:themeColor="text1"/>
              </w:rPr>
              <w:t xml:space="preserve"> or molecular methods) for monitoring (distinguishing between response to treatment and random variation) compared to assessment of morphological remission alone, in patients with ALL?</w:t>
            </w:r>
          </w:p>
          <w:p w14:paraId="622F0DF2" w14:textId="5F4CBB70" w:rsidR="002B170D" w:rsidRDefault="002B170D" w:rsidP="002B170D">
            <w:pPr>
              <w:pStyle w:val="TableText0"/>
              <w:rPr>
                <w:i/>
                <w:color w:val="000000" w:themeColor="text1"/>
              </w:rPr>
            </w:pPr>
            <w:r>
              <w:rPr>
                <w:color w:val="000000" w:themeColor="text1"/>
              </w:rPr>
              <w:t>5a. Does MRD testing (</w:t>
            </w:r>
            <w:proofErr w:type="spellStart"/>
            <w:r>
              <w:rPr>
                <w:color w:val="000000" w:themeColor="text1"/>
              </w:rPr>
              <w:t>mpFC</w:t>
            </w:r>
            <w:proofErr w:type="spellEnd"/>
            <w:r>
              <w:rPr>
                <w:color w:val="000000" w:themeColor="text1"/>
              </w:rPr>
              <w:t xml:space="preserve"> or molecular methods) alter management compared to assessment of morphological assessment alone, in patients with ALL?</w:t>
            </w:r>
          </w:p>
          <w:p w14:paraId="7AB69A9A" w14:textId="7A9FCB72" w:rsidR="002B170D" w:rsidRPr="005C28B5" w:rsidRDefault="002B170D" w:rsidP="002B170D">
            <w:pPr>
              <w:pStyle w:val="TableText0"/>
              <w:rPr>
                <w:color w:val="000000" w:themeColor="text1"/>
              </w:rPr>
            </w:pPr>
            <w:r>
              <w:rPr>
                <w:color w:val="000000" w:themeColor="text1"/>
              </w:rPr>
              <w:t>6a. How safe and effective are the alterations in management (found in response to question 5a)?</w:t>
            </w:r>
          </w:p>
        </w:tc>
        <w:tc>
          <w:tcPr>
            <w:tcW w:w="2338" w:type="pct"/>
            <w:tcBorders>
              <w:top w:val="single" w:sz="4" w:space="0" w:color="auto"/>
              <w:left w:val="single" w:sz="4" w:space="0" w:color="auto"/>
              <w:bottom w:val="single" w:sz="4" w:space="0" w:color="auto"/>
              <w:right w:val="single" w:sz="4" w:space="0" w:color="auto"/>
            </w:tcBorders>
          </w:tcPr>
          <w:p w14:paraId="3EDF4AE9" w14:textId="5804C0EE" w:rsidR="002B170D" w:rsidRDefault="002B170D" w:rsidP="002B170D">
            <w:pPr>
              <w:pStyle w:val="TableText0"/>
              <w:rPr>
                <w:color w:val="000000" w:themeColor="text1"/>
              </w:rPr>
            </w:pPr>
            <w:r>
              <w:rPr>
                <w:color w:val="000000" w:themeColor="text1"/>
              </w:rPr>
              <w:t xml:space="preserve">1b. </w:t>
            </w:r>
            <w:r w:rsidRPr="00FD4C65">
              <w:rPr>
                <w:color w:val="000000" w:themeColor="text1"/>
              </w:rPr>
              <w:t>What</w:t>
            </w:r>
            <w:r w:rsidRPr="00490FBB">
              <w:rPr>
                <w:color w:val="000000" w:themeColor="text1"/>
              </w:rPr>
              <w:t xml:space="preserve"> is the safety, effectiveness and cost-effectiveness of </w:t>
            </w:r>
            <w:r>
              <w:rPr>
                <w:color w:val="000000" w:themeColor="text1"/>
              </w:rPr>
              <w:t>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in addition to assessment of morphological remission, compared to assessment of morphological remission alone, in patients with ALL?</w:t>
            </w:r>
          </w:p>
          <w:p w14:paraId="1108FD99" w14:textId="0EF4AA30" w:rsidR="002B170D" w:rsidRDefault="002B170D" w:rsidP="002B170D">
            <w:pPr>
              <w:pStyle w:val="TableText0"/>
              <w:rPr>
                <w:color w:val="000000" w:themeColor="text1"/>
              </w:rPr>
            </w:pPr>
            <w:r>
              <w:rPr>
                <w:color w:val="000000" w:themeColor="text1"/>
              </w:rPr>
              <w:t xml:space="preserve">2b. </w:t>
            </w:r>
            <w:r w:rsidRPr="000D1EE1">
              <w:rPr>
                <w:color w:val="000000" w:themeColor="text1"/>
              </w:rPr>
              <w:t xml:space="preserve">What is the incremental prognostic benefit of using MRD testing </w:t>
            </w:r>
            <w:r>
              <w:rPr>
                <w:color w:val="000000" w:themeColor="text1"/>
              </w:rPr>
              <w:t>(</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xml:space="preserve">® assay) </w:t>
            </w:r>
            <w:r w:rsidRPr="000D1EE1">
              <w:rPr>
                <w:color w:val="000000" w:themeColor="text1"/>
              </w:rPr>
              <w:t>in addition to assessment of morphological remission, compared to assessment of morphological remission alone, in patients with ALL?</w:t>
            </w:r>
          </w:p>
          <w:p w14:paraId="29485534" w14:textId="4F81F023" w:rsidR="002B170D" w:rsidRDefault="002B170D" w:rsidP="002B170D">
            <w:pPr>
              <w:pStyle w:val="TableText0"/>
              <w:rPr>
                <w:color w:val="000000" w:themeColor="text1"/>
              </w:rPr>
            </w:pPr>
            <w:r>
              <w:rPr>
                <w:color w:val="000000" w:themeColor="text1"/>
              </w:rPr>
              <w:t>3b. What is the incremental predictive benefit of using 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in addition to assessment of morphological remission, compared to predicting treatment benefit with assessment of morphological remission alone, in patients with ALL?</w:t>
            </w:r>
          </w:p>
          <w:p w14:paraId="70603ECD" w14:textId="3695A9BD" w:rsidR="002B170D" w:rsidRDefault="002B170D" w:rsidP="002B170D">
            <w:pPr>
              <w:pStyle w:val="TableText0"/>
              <w:rPr>
                <w:color w:val="000000" w:themeColor="text1"/>
              </w:rPr>
            </w:pPr>
            <w:r>
              <w:rPr>
                <w:color w:val="000000" w:themeColor="text1"/>
              </w:rPr>
              <w:t>4b. How accurate is 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for monitoring (distinguishing between response to treatment and random variation) compared to assessment of morphological remission alone, in patients with ALL?</w:t>
            </w:r>
          </w:p>
          <w:p w14:paraId="049452FC" w14:textId="791FF872" w:rsidR="002B170D" w:rsidRPr="00D66CC1" w:rsidRDefault="002B170D" w:rsidP="002B170D">
            <w:pPr>
              <w:pStyle w:val="TableText0"/>
              <w:rPr>
                <w:i/>
                <w:color w:val="000000" w:themeColor="text1"/>
              </w:rPr>
            </w:pPr>
            <w:r>
              <w:rPr>
                <w:color w:val="000000" w:themeColor="text1"/>
              </w:rPr>
              <w:t>5b. Does 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alter management compared to assessment of morphological assessment alone, in patients with ALL?</w:t>
            </w:r>
          </w:p>
          <w:p w14:paraId="7AE335EC" w14:textId="61535D73" w:rsidR="002B170D" w:rsidRDefault="002B170D" w:rsidP="002B170D">
            <w:pPr>
              <w:pStyle w:val="TableText0"/>
              <w:rPr>
                <w:color w:val="000000" w:themeColor="text1"/>
              </w:rPr>
            </w:pPr>
            <w:r>
              <w:rPr>
                <w:color w:val="000000" w:themeColor="text1"/>
              </w:rPr>
              <w:t>6b. How safe and effective are the alterations in management (found in response to question 5b)?</w:t>
            </w:r>
          </w:p>
          <w:p w14:paraId="5634FA57" w14:textId="77777777" w:rsidR="002B170D" w:rsidRPr="00906496" w:rsidRDefault="002B170D" w:rsidP="002B170D">
            <w:pPr>
              <w:pStyle w:val="TableText0"/>
              <w:rPr>
                <w:color w:val="000000" w:themeColor="text1"/>
              </w:rPr>
            </w:pPr>
          </w:p>
          <w:p w14:paraId="56202035" w14:textId="00807C97" w:rsidR="002B170D" w:rsidRDefault="002B170D" w:rsidP="002B170D">
            <w:pPr>
              <w:pStyle w:val="TableText0"/>
              <w:rPr>
                <w:color w:val="000000" w:themeColor="text1"/>
              </w:rPr>
            </w:pPr>
            <w:r>
              <w:rPr>
                <w:color w:val="000000" w:themeColor="text1"/>
              </w:rPr>
              <w:t xml:space="preserve">1c. </w:t>
            </w:r>
            <w:r w:rsidRPr="00FD4C65">
              <w:rPr>
                <w:color w:val="000000" w:themeColor="text1"/>
              </w:rPr>
              <w:t>What</w:t>
            </w:r>
            <w:r w:rsidRPr="00490FBB">
              <w:rPr>
                <w:color w:val="000000" w:themeColor="text1"/>
              </w:rPr>
              <w:t xml:space="preserve"> is the safety, effectiveness and cost-effectiveness of </w:t>
            </w:r>
            <w:r>
              <w:rPr>
                <w:color w:val="000000" w:themeColor="text1"/>
              </w:rPr>
              <w:t xml:space="preserve">using the </w:t>
            </w:r>
            <w:proofErr w:type="spellStart"/>
            <w:r>
              <w:rPr>
                <w:color w:val="000000" w:themeColor="text1"/>
              </w:rPr>
              <w:t>clonoSEQ</w:t>
            </w:r>
            <w:proofErr w:type="spellEnd"/>
            <w:r>
              <w:rPr>
                <w:color w:val="000000" w:themeColor="text1"/>
              </w:rPr>
              <w:t xml:space="preserve">® assay for MRD testing vs </w:t>
            </w:r>
            <w:r w:rsidRPr="00E02B38">
              <w:rPr>
                <w:color w:val="000000" w:themeColor="text1"/>
              </w:rPr>
              <w:t>other molecular methods in patients with ALL?</w:t>
            </w:r>
          </w:p>
          <w:p w14:paraId="053F4CBB" w14:textId="77777777" w:rsidR="002B170D" w:rsidRDefault="002B170D" w:rsidP="002B170D">
            <w:pPr>
              <w:pStyle w:val="TableText0"/>
              <w:rPr>
                <w:color w:val="000000" w:themeColor="text1"/>
              </w:rPr>
            </w:pPr>
            <w:r>
              <w:rPr>
                <w:color w:val="000000" w:themeColor="text1"/>
              </w:rPr>
              <w:t xml:space="preserve">2c. What is the accuracy of the </w:t>
            </w:r>
            <w:proofErr w:type="spellStart"/>
            <w:r>
              <w:rPr>
                <w:color w:val="000000" w:themeColor="text1"/>
              </w:rPr>
              <w:t>clonoSEQ</w:t>
            </w:r>
            <w:proofErr w:type="spellEnd"/>
            <w:r>
              <w:rPr>
                <w:color w:val="000000" w:themeColor="text1"/>
              </w:rPr>
              <w:t xml:space="preserve">® MRD assay for determining prognosis vs </w:t>
            </w:r>
            <w:r w:rsidRPr="00E02B38">
              <w:rPr>
                <w:color w:val="000000" w:themeColor="text1"/>
              </w:rPr>
              <w:t>other molecular methods in patients with ALL?</w:t>
            </w:r>
          </w:p>
          <w:p w14:paraId="7B6A753E" w14:textId="77777777" w:rsidR="002B170D" w:rsidRDefault="002B170D" w:rsidP="002B170D">
            <w:pPr>
              <w:pStyle w:val="TableText0"/>
              <w:rPr>
                <w:color w:val="000000" w:themeColor="text1"/>
              </w:rPr>
            </w:pPr>
            <w:r>
              <w:rPr>
                <w:color w:val="000000" w:themeColor="text1"/>
              </w:rPr>
              <w:t xml:space="preserve">3c. What is the accuracy of the </w:t>
            </w:r>
            <w:proofErr w:type="spellStart"/>
            <w:r>
              <w:rPr>
                <w:color w:val="000000" w:themeColor="text1"/>
              </w:rPr>
              <w:t>clonoSEQ</w:t>
            </w:r>
            <w:proofErr w:type="spellEnd"/>
            <w:r>
              <w:rPr>
                <w:color w:val="000000" w:themeColor="text1"/>
              </w:rPr>
              <w:t xml:space="preserve">® MRD assay for predicting response to treatment vs </w:t>
            </w:r>
            <w:r w:rsidRPr="00E02B38">
              <w:rPr>
                <w:color w:val="000000" w:themeColor="text1"/>
              </w:rPr>
              <w:t>other molecular methods in patients with ALL?</w:t>
            </w:r>
          </w:p>
          <w:p w14:paraId="49BC0E7A" w14:textId="77777777" w:rsidR="002B170D" w:rsidRDefault="002B170D" w:rsidP="002B170D">
            <w:pPr>
              <w:pStyle w:val="TableText0"/>
              <w:rPr>
                <w:color w:val="000000" w:themeColor="text1"/>
              </w:rPr>
            </w:pPr>
            <w:r>
              <w:rPr>
                <w:color w:val="000000" w:themeColor="text1"/>
              </w:rPr>
              <w:t xml:space="preserve">4c. How accurate is the </w:t>
            </w:r>
            <w:proofErr w:type="spellStart"/>
            <w:r>
              <w:rPr>
                <w:color w:val="000000" w:themeColor="text1"/>
              </w:rPr>
              <w:t>clonoSEQ</w:t>
            </w:r>
            <w:proofErr w:type="spellEnd"/>
            <w:r>
              <w:rPr>
                <w:color w:val="000000" w:themeColor="text1"/>
              </w:rPr>
              <w:t xml:space="preserve">® assay for monitoring (distinguishing between response to treatment and random variation) vs </w:t>
            </w:r>
            <w:r w:rsidRPr="00E02B38">
              <w:rPr>
                <w:color w:val="000000" w:themeColor="text1"/>
              </w:rPr>
              <w:t>other molecular methods</w:t>
            </w:r>
            <w:r>
              <w:rPr>
                <w:color w:val="000000" w:themeColor="text1"/>
              </w:rPr>
              <w:t xml:space="preserve"> in patients with ALL?</w:t>
            </w:r>
          </w:p>
          <w:p w14:paraId="419DA7C3" w14:textId="5D9A0789" w:rsidR="002B170D" w:rsidRDefault="002B170D" w:rsidP="002B170D">
            <w:pPr>
              <w:pStyle w:val="TableText0"/>
              <w:rPr>
                <w:color w:val="000000" w:themeColor="text1"/>
              </w:rPr>
            </w:pPr>
            <w:r>
              <w:rPr>
                <w:color w:val="000000" w:themeColor="text1"/>
              </w:rPr>
              <w:t xml:space="preserve">5c. Does use of the </w:t>
            </w:r>
            <w:proofErr w:type="spellStart"/>
            <w:r>
              <w:rPr>
                <w:color w:val="000000" w:themeColor="text1"/>
              </w:rPr>
              <w:t>clonoSEQ</w:t>
            </w:r>
            <w:proofErr w:type="spellEnd"/>
            <w:r>
              <w:rPr>
                <w:color w:val="000000" w:themeColor="text1"/>
              </w:rPr>
              <w:t xml:space="preserve">® assay alter management compared to </w:t>
            </w:r>
            <w:r w:rsidRPr="00906496">
              <w:rPr>
                <w:color w:val="000000" w:themeColor="text1"/>
              </w:rPr>
              <w:t>other molecular methods in patients with ALL?</w:t>
            </w:r>
          </w:p>
          <w:p w14:paraId="64BFBBC4" w14:textId="77777777" w:rsidR="002B170D" w:rsidRDefault="002B170D" w:rsidP="002B170D">
            <w:pPr>
              <w:pStyle w:val="TableText0"/>
              <w:rPr>
                <w:color w:val="000000" w:themeColor="text1"/>
              </w:rPr>
            </w:pPr>
            <w:r>
              <w:rPr>
                <w:color w:val="000000" w:themeColor="text1"/>
              </w:rPr>
              <w:t>6c. How safe and effective are the alterations in management (found in response to question 5c)?</w:t>
            </w:r>
          </w:p>
          <w:p w14:paraId="537BC236" w14:textId="3ED03F7B" w:rsidR="002B170D" w:rsidRPr="00D66CC1" w:rsidRDefault="002B170D" w:rsidP="002B170D">
            <w:pPr>
              <w:pStyle w:val="TableText0"/>
              <w:rPr>
                <w:color w:val="000000" w:themeColor="text1"/>
              </w:rPr>
            </w:pPr>
          </w:p>
        </w:tc>
      </w:tr>
    </w:tbl>
    <w:p w14:paraId="5D5376EF" w14:textId="261CDBC0" w:rsidR="006478E7" w:rsidRPr="00490FBB" w:rsidRDefault="0069791F" w:rsidP="0069791F">
      <w:pPr>
        <w:pStyle w:val="TableFooter"/>
      </w:pPr>
      <w:r>
        <w:t xml:space="preserve">ALL = acute lymphoblastic leukaemia; CAR-T = </w:t>
      </w:r>
      <w:r w:rsidRPr="000F3CD4">
        <w:t>chimeric antigen receptor T cell treatment</w:t>
      </w:r>
      <w:r>
        <w:t xml:space="preserve">; HSCT = hematopoietic stem-cell transplantation; </w:t>
      </w:r>
      <w:proofErr w:type="spellStart"/>
      <w:r>
        <w:t>mpFC</w:t>
      </w:r>
      <w:proofErr w:type="spellEnd"/>
      <w:r>
        <w:t xml:space="preserve"> = multiparametric flow cytometry; MRD = </w:t>
      </w:r>
      <w:r w:rsidR="00CC13C5">
        <w:t>measurable</w:t>
      </w:r>
      <w:r>
        <w:t xml:space="preserve"> residual disease; NGS = next generation sequencing; qPCR = quantitative polymerase chain reaction </w:t>
      </w:r>
      <w:r w:rsidR="006478E7" w:rsidRPr="00490FBB">
        <w:br w:type="page"/>
      </w:r>
    </w:p>
    <w:p w14:paraId="53297713" w14:textId="3F32290A" w:rsidR="00912660" w:rsidRDefault="00912660" w:rsidP="00713728">
      <w:pPr>
        <w:pStyle w:val="Heading2"/>
      </w:pPr>
      <w:r>
        <w:lastRenderedPageBreak/>
        <w:t>Purpose of application</w:t>
      </w:r>
    </w:p>
    <w:p w14:paraId="373B64D6" w14:textId="2EE3F81A" w:rsidR="00A10D3E" w:rsidRDefault="00A10D3E" w:rsidP="004C2C5E">
      <w:pPr>
        <w:spacing w:after="240"/>
        <w:rPr>
          <w:iCs/>
        </w:rPr>
      </w:pPr>
      <w:r>
        <w:rPr>
          <w:iCs/>
        </w:rPr>
        <w:t>Two</w:t>
      </w:r>
      <w:r w:rsidR="004C2C5E" w:rsidRPr="009A3778">
        <w:rPr>
          <w:iCs/>
        </w:rPr>
        <w:t xml:space="preserve"> application</w:t>
      </w:r>
      <w:r>
        <w:rPr>
          <w:iCs/>
        </w:rPr>
        <w:t xml:space="preserve">s requesting </w:t>
      </w:r>
      <w:r w:rsidR="004C2C5E" w:rsidRPr="00A10D3E">
        <w:rPr>
          <w:iCs/>
        </w:rPr>
        <w:t xml:space="preserve">Medicare Benefits Schedule (MBS) listing </w:t>
      </w:r>
      <w:r w:rsidRPr="00A10D3E">
        <w:rPr>
          <w:iCs/>
        </w:rPr>
        <w:t xml:space="preserve">for </w:t>
      </w:r>
      <w:r>
        <w:rPr>
          <w:iCs/>
        </w:rPr>
        <w:t xml:space="preserve">tests to </w:t>
      </w:r>
      <w:r w:rsidR="00CC13C5">
        <w:rPr>
          <w:iCs/>
        </w:rPr>
        <w:t>detect measurable</w:t>
      </w:r>
      <w:r>
        <w:rPr>
          <w:iCs/>
        </w:rPr>
        <w:t xml:space="preserve"> residual disease (MRD) </w:t>
      </w:r>
      <w:r w:rsidR="00C06D08">
        <w:rPr>
          <w:iCs/>
        </w:rPr>
        <w:t xml:space="preserve">(previously termed “minimal residual disease”) </w:t>
      </w:r>
      <w:r>
        <w:rPr>
          <w:iCs/>
        </w:rPr>
        <w:t>in patients with acute lymphoblastic leukaemia (ALL) were received from the Royal College of Pathologists of Australasia (RCPA</w:t>
      </w:r>
      <w:r w:rsidR="00185DEF">
        <w:rPr>
          <w:iCs/>
        </w:rPr>
        <w:t>; application 1703</w:t>
      </w:r>
      <w:r>
        <w:rPr>
          <w:iCs/>
        </w:rPr>
        <w:t xml:space="preserve">) and from Adaptive Biotechnologies™ </w:t>
      </w:r>
      <w:r w:rsidR="00185DEF">
        <w:rPr>
          <w:iCs/>
        </w:rPr>
        <w:t xml:space="preserve">(application 1707) </w:t>
      </w:r>
      <w:r>
        <w:rPr>
          <w:iCs/>
        </w:rPr>
        <w:t>by the Department of Health.</w:t>
      </w:r>
    </w:p>
    <w:p w14:paraId="1A263396" w14:textId="2CDF70D3" w:rsidR="00A10D3E" w:rsidRDefault="00185DEF" w:rsidP="004C2C5E">
      <w:pPr>
        <w:spacing w:after="240"/>
        <w:rPr>
          <w:iCs/>
        </w:rPr>
      </w:pPr>
      <w:r>
        <w:rPr>
          <w:iCs/>
        </w:rPr>
        <w:t>In application 1703, t</w:t>
      </w:r>
      <w:r w:rsidR="00A10D3E">
        <w:rPr>
          <w:iCs/>
        </w:rPr>
        <w:t>he RCPA requested two Medicare Benefits Schedule (MBS) items for</w:t>
      </w:r>
      <w:r w:rsidR="007C2145">
        <w:rPr>
          <w:iCs/>
        </w:rPr>
        <w:t xml:space="preserve"> methods of MRD measurement</w:t>
      </w:r>
      <w:r w:rsidR="00A10D3E">
        <w:rPr>
          <w:iCs/>
        </w:rPr>
        <w:t>:</w:t>
      </w:r>
    </w:p>
    <w:p w14:paraId="7C4F53C5" w14:textId="2BD6774F" w:rsidR="00A10D3E" w:rsidRDefault="00A10D3E" w:rsidP="00A10D3E">
      <w:pPr>
        <w:pStyle w:val="ListParagraph"/>
        <w:numPr>
          <w:ilvl w:val="0"/>
          <w:numId w:val="6"/>
        </w:numPr>
        <w:spacing w:after="240"/>
        <w:rPr>
          <w:iCs/>
        </w:rPr>
      </w:pPr>
      <w:r>
        <w:rPr>
          <w:iCs/>
        </w:rPr>
        <w:t>Multiparametric flow cytometry</w:t>
      </w:r>
      <w:r w:rsidR="00A3507B">
        <w:rPr>
          <w:iCs/>
        </w:rPr>
        <w:t xml:space="preserve"> (</w:t>
      </w:r>
      <w:proofErr w:type="spellStart"/>
      <w:r w:rsidR="00A3507B">
        <w:rPr>
          <w:iCs/>
        </w:rPr>
        <w:t>mpFC</w:t>
      </w:r>
      <w:proofErr w:type="spellEnd"/>
      <w:r w:rsidR="00A3507B">
        <w:rPr>
          <w:iCs/>
        </w:rPr>
        <w:t>)</w:t>
      </w:r>
      <w:r>
        <w:rPr>
          <w:iCs/>
        </w:rPr>
        <w:t>; and</w:t>
      </w:r>
    </w:p>
    <w:p w14:paraId="2C0466C4" w14:textId="12F8184F" w:rsidR="00A10D3E" w:rsidRDefault="007C2145" w:rsidP="00A10D3E">
      <w:pPr>
        <w:pStyle w:val="ListParagraph"/>
        <w:numPr>
          <w:ilvl w:val="0"/>
          <w:numId w:val="6"/>
        </w:numPr>
        <w:spacing w:after="240"/>
        <w:rPr>
          <w:iCs/>
        </w:rPr>
      </w:pPr>
      <w:r>
        <w:rPr>
          <w:iCs/>
        </w:rPr>
        <w:t>Molecular methods (</w:t>
      </w:r>
      <w:r w:rsidR="00BB245A">
        <w:rPr>
          <w:iCs/>
        </w:rPr>
        <w:t>method-agnostic</w:t>
      </w:r>
      <w:r>
        <w:rPr>
          <w:iCs/>
        </w:rPr>
        <w:t xml:space="preserve">, so would include both </w:t>
      </w:r>
      <w:r w:rsidR="009D4A6C" w:rsidRPr="006B5B2E">
        <w:t>allele-specific oligonucleotide</w:t>
      </w:r>
      <w:r w:rsidR="009D4A6C">
        <w:t xml:space="preserve"> </w:t>
      </w:r>
      <w:r w:rsidR="009D4A6C">
        <w:rPr>
          <w:iCs/>
        </w:rPr>
        <w:t>real time quantitative polymerase chain reaction</w:t>
      </w:r>
      <w:r w:rsidR="00CF1F62">
        <w:rPr>
          <w:iCs/>
        </w:rPr>
        <w:t xml:space="preserve"> </w:t>
      </w:r>
      <w:r w:rsidR="009D4A6C">
        <w:rPr>
          <w:iCs/>
        </w:rPr>
        <w:t xml:space="preserve">(ASO RT-qPCR) tests </w:t>
      </w:r>
      <w:r>
        <w:rPr>
          <w:iCs/>
        </w:rPr>
        <w:t xml:space="preserve">and </w:t>
      </w:r>
      <w:r w:rsidR="001A3658">
        <w:rPr>
          <w:iCs/>
        </w:rPr>
        <w:t>next generation sequencing (</w:t>
      </w:r>
      <w:r>
        <w:rPr>
          <w:iCs/>
        </w:rPr>
        <w:t>NGS</w:t>
      </w:r>
      <w:r w:rsidR="001A3658">
        <w:rPr>
          <w:iCs/>
        </w:rPr>
        <w:t>)</w:t>
      </w:r>
      <w:r>
        <w:rPr>
          <w:iCs/>
        </w:rPr>
        <w:t xml:space="preserve"> methods</w:t>
      </w:r>
      <w:r w:rsidR="009D4A6C">
        <w:rPr>
          <w:iCs/>
        </w:rPr>
        <w:t xml:space="preserve"> such as, but not limited to, the use of the </w:t>
      </w:r>
      <w:proofErr w:type="spellStart"/>
      <w:r w:rsidR="009D4A6C">
        <w:rPr>
          <w:iCs/>
        </w:rPr>
        <w:t>clonoSEQ</w:t>
      </w:r>
      <w:proofErr w:type="spellEnd"/>
      <w:r w:rsidR="009D4A6C">
        <w:rPr>
          <w:iCs/>
        </w:rPr>
        <w:t>® assay</w:t>
      </w:r>
      <w:r>
        <w:rPr>
          <w:iCs/>
        </w:rPr>
        <w:t>).</w:t>
      </w:r>
    </w:p>
    <w:p w14:paraId="618BA06B" w14:textId="52DC9E06" w:rsidR="009D4A6C" w:rsidRDefault="00185DEF" w:rsidP="003779B0">
      <w:pPr>
        <w:spacing w:after="240"/>
        <w:rPr>
          <w:iCs/>
        </w:rPr>
      </w:pPr>
      <w:r>
        <w:rPr>
          <w:iCs/>
        </w:rPr>
        <w:t>In application 1707</w:t>
      </w:r>
      <w:r w:rsidR="00975864">
        <w:rPr>
          <w:iCs/>
        </w:rPr>
        <w:t xml:space="preserve"> and after further consultation with the Department of Health</w:t>
      </w:r>
      <w:r>
        <w:rPr>
          <w:iCs/>
        </w:rPr>
        <w:t xml:space="preserve">, </w:t>
      </w:r>
      <w:r w:rsidR="007C2145">
        <w:rPr>
          <w:iCs/>
        </w:rPr>
        <w:t>Adap</w:t>
      </w:r>
      <w:r w:rsidR="009D4A6C">
        <w:rPr>
          <w:iCs/>
        </w:rPr>
        <w:t xml:space="preserve">tive Biotechnologies™ </w:t>
      </w:r>
      <w:r w:rsidR="00AA497F">
        <w:rPr>
          <w:iCs/>
        </w:rPr>
        <w:t xml:space="preserve">have </w:t>
      </w:r>
      <w:r w:rsidR="009D4A6C">
        <w:rPr>
          <w:iCs/>
        </w:rPr>
        <w:t xml:space="preserve">requested two </w:t>
      </w:r>
      <w:r w:rsidR="007C2145">
        <w:rPr>
          <w:iCs/>
        </w:rPr>
        <w:t>MBS item</w:t>
      </w:r>
      <w:r w:rsidR="009D4A6C">
        <w:rPr>
          <w:iCs/>
        </w:rPr>
        <w:t>s</w:t>
      </w:r>
      <w:r w:rsidR="007C2145">
        <w:rPr>
          <w:iCs/>
        </w:rPr>
        <w:t xml:space="preserve"> </w:t>
      </w:r>
      <w:r w:rsidR="003779B0">
        <w:rPr>
          <w:iCs/>
        </w:rPr>
        <w:t>for</w:t>
      </w:r>
      <w:r w:rsidR="009D4A6C">
        <w:rPr>
          <w:iCs/>
        </w:rPr>
        <w:t xml:space="preserve"> methods of</w:t>
      </w:r>
      <w:r w:rsidR="003779B0">
        <w:rPr>
          <w:iCs/>
        </w:rPr>
        <w:t xml:space="preserve"> MRD measurement</w:t>
      </w:r>
      <w:r w:rsidR="009D4A6C">
        <w:rPr>
          <w:iCs/>
        </w:rPr>
        <w:t>:</w:t>
      </w:r>
    </w:p>
    <w:p w14:paraId="492C8290" w14:textId="007E0DEA" w:rsidR="009D4A6C" w:rsidRDefault="009D4A6C" w:rsidP="009D4A6C">
      <w:pPr>
        <w:pStyle w:val="ListParagraph"/>
        <w:numPr>
          <w:ilvl w:val="0"/>
          <w:numId w:val="12"/>
        </w:numPr>
        <w:spacing w:after="240"/>
        <w:rPr>
          <w:iCs/>
        </w:rPr>
      </w:pPr>
      <w:proofErr w:type="spellStart"/>
      <w:r>
        <w:rPr>
          <w:iCs/>
        </w:rPr>
        <w:t>mpFC</w:t>
      </w:r>
      <w:proofErr w:type="spellEnd"/>
      <w:r>
        <w:rPr>
          <w:iCs/>
        </w:rPr>
        <w:t xml:space="preserve">; and </w:t>
      </w:r>
    </w:p>
    <w:p w14:paraId="7EE873BD" w14:textId="0878853E" w:rsidR="009D4A6C" w:rsidRPr="009D4A6C" w:rsidRDefault="009D4A6C" w:rsidP="009D4A6C">
      <w:pPr>
        <w:pStyle w:val="ListParagraph"/>
        <w:numPr>
          <w:ilvl w:val="0"/>
          <w:numId w:val="12"/>
        </w:numPr>
        <w:spacing w:after="240"/>
        <w:rPr>
          <w:iCs/>
        </w:rPr>
      </w:pPr>
      <w:r>
        <w:rPr>
          <w:iCs/>
        </w:rPr>
        <w:t>NGS</w:t>
      </w:r>
      <w:r w:rsidR="005378F7">
        <w:rPr>
          <w:iCs/>
        </w:rPr>
        <w:t>, with an item descriptor that reflects</w:t>
      </w:r>
      <w:r w:rsidR="00683DC5">
        <w:rPr>
          <w:iCs/>
        </w:rPr>
        <w:t xml:space="preserve"> and supports</w:t>
      </w:r>
      <w:r w:rsidR="005378F7">
        <w:rPr>
          <w:iCs/>
        </w:rPr>
        <w:t xml:space="preserve"> use of the</w:t>
      </w:r>
      <w:r>
        <w:rPr>
          <w:iCs/>
        </w:rPr>
        <w:t xml:space="preserve"> </w:t>
      </w:r>
      <w:proofErr w:type="spellStart"/>
      <w:r>
        <w:rPr>
          <w:iCs/>
        </w:rPr>
        <w:t>clonoSEQ</w:t>
      </w:r>
      <w:proofErr w:type="spellEnd"/>
      <w:r>
        <w:rPr>
          <w:iCs/>
        </w:rPr>
        <w:t>® assay.</w:t>
      </w:r>
    </w:p>
    <w:p w14:paraId="113DA809" w14:textId="52C95761" w:rsidR="00F06DAB" w:rsidRDefault="00A3507B" w:rsidP="00A3507B">
      <w:pPr>
        <w:spacing w:after="240"/>
        <w:rPr>
          <w:iCs/>
        </w:rPr>
      </w:pPr>
      <w:r>
        <w:rPr>
          <w:iCs/>
        </w:rPr>
        <w:t xml:space="preserve">The RCPA claim that measuring MRD is superior to bone marrow morphological assessment, as </w:t>
      </w:r>
      <w:r w:rsidR="00EE43EB">
        <w:rPr>
          <w:iCs/>
        </w:rPr>
        <w:t>it allows</w:t>
      </w:r>
      <w:r w:rsidR="00F06DAB">
        <w:rPr>
          <w:iCs/>
        </w:rPr>
        <w:t xml:space="preserve"> </w:t>
      </w:r>
      <w:r w:rsidR="00EE43EB">
        <w:rPr>
          <w:iCs/>
        </w:rPr>
        <w:t>more appro</w:t>
      </w:r>
      <w:r w:rsidR="00F06DAB">
        <w:rPr>
          <w:iCs/>
        </w:rPr>
        <w:t>priate treatment allocation:</w:t>
      </w:r>
    </w:p>
    <w:p w14:paraId="79F52601" w14:textId="654BD05D" w:rsidR="00F06DAB" w:rsidRPr="00F06DAB" w:rsidRDefault="00F06DAB" w:rsidP="00F06DAB">
      <w:pPr>
        <w:pStyle w:val="ListParagraph"/>
        <w:numPr>
          <w:ilvl w:val="0"/>
          <w:numId w:val="7"/>
        </w:numPr>
        <w:spacing w:after="240"/>
        <w:rPr>
          <w:iCs/>
        </w:rPr>
      </w:pPr>
      <w:r w:rsidRPr="00F06DAB">
        <w:rPr>
          <w:iCs/>
        </w:rPr>
        <w:t xml:space="preserve">Resulting in more intensive treatment </w:t>
      </w:r>
      <w:r w:rsidR="003779B0">
        <w:rPr>
          <w:iCs/>
        </w:rPr>
        <w:t>in</w:t>
      </w:r>
      <w:r w:rsidRPr="00F06DAB">
        <w:rPr>
          <w:iCs/>
        </w:rPr>
        <w:t xml:space="preserve"> those with poor prognosis, </w:t>
      </w:r>
      <w:r w:rsidR="00EE43EB" w:rsidRPr="00F06DAB">
        <w:rPr>
          <w:iCs/>
        </w:rPr>
        <w:t>improving survival</w:t>
      </w:r>
      <w:r>
        <w:rPr>
          <w:iCs/>
        </w:rPr>
        <w:t xml:space="preserve">, and </w:t>
      </w:r>
      <w:r w:rsidR="003779B0">
        <w:rPr>
          <w:iCs/>
        </w:rPr>
        <w:t xml:space="preserve">reducing </w:t>
      </w:r>
      <w:r>
        <w:rPr>
          <w:iCs/>
        </w:rPr>
        <w:t>the risk of recurrence (superior effectiveness</w:t>
      </w:r>
      <w:r w:rsidRPr="009D4A6C">
        <w:rPr>
          <w:iCs/>
        </w:rPr>
        <w:t>, non-inferior safety),</w:t>
      </w:r>
      <w:r>
        <w:rPr>
          <w:iCs/>
        </w:rPr>
        <w:t xml:space="preserve"> and </w:t>
      </w:r>
    </w:p>
    <w:p w14:paraId="776D95BB" w14:textId="112A056C" w:rsidR="00A3507B" w:rsidRPr="00FB4B43" w:rsidRDefault="00EE43EB" w:rsidP="00A3507B">
      <w:pPr>
        <w:pStyle w:val="ListParagraph"/>
        <w:numPr>
          <w:ilvl w:val="0"/>
          <w:numId w:val="7"/>
        </w:numPr>
        <w:spacing w:after="240"/>
        <w:rPr>
          <w:iCs/>
        </w:rPr>
      </w:pPr>
      <w:r w:rsidRPr="00F06DAB">
        <w:rPr>
          <w:iCs/>
        </w:rPr>
        <w:t xml:space="preserve">and </w:t>
      </w:r>
      <w:r w:rsidR="00F06DAB" w:rsidRPr="00F06DAB">
        <w:rPr>
          <w:iCs/>
        </w:rPr>
        <w:t xml:space="preserve">allowing less intensive treatment </w:t>
      </w:r>
      <w:r w:rsidR="003779B0">
        <w:rPr>
          <w:iCs/>
        </w:rPr>
        <w:t>in</w:t>
      </w:r>
      <w:r w:rsidR="00F06DAB" w:rsidRPr="00F06DAB">
        <w:rPr>
          <w:iCs/>
        </w:rPr>
        <w:t xml:space="preserve"> those with a good prognosis, reducing adverse events</w:t>
      </w:r>
      <w:r w:rsidR="00F06DAB">
        <w:rPr>
          <w:iCs/>
        </w:rPr>
        <w:t xml:space="preserve"> </w:t>
      </w:r>
      <w:r w:rsidR="00F06DAB" w:rsidRPr="00F06DAB">
        <w:rPr>
          <w:iCs/>
        </w:rPr>
        <w:t>(non-inferior effectiveness, superior safety).</w:t>
      </w:r>
    </w:p>
    <w:p w14:paraId="5CA43DEE" w14:textId="2780C613" w:rsidR="009D4A6C" w:rsidRDefault="00A3507B" w:rsidP="00A3507B">
      <w:pPr>
        <w:spacing w:after="240"/>
        <w:rPr>
          <w:iCs/>
        </w:rPr>
      </w:pPr>
      <w:r>
        <w:rPr>
          <w:iCs/>
        </w:rPr>
        <w:t xml:space="preserve">Adaptive Biotechnologies™ claim that the </w:t>
      </w:r>
      <w:proofErr w:type="spellStart"/>
      <w:r>
        <w:rPr>
          <w:iCs/>
        </w:rPr>
        <w:t>clonoSEQ</w:t>
      </w:r>
      <w:proofErr w:type="spellEnd"/>
      <w:r>
        <w:rPr>
          <w:iCs/>
        </w:rPr>
        <w:t>® assay</w:t>
      </w:r>
      <w:r w:rsidR="009D4A6C">
        <w:rPr>
          <w:iCs/>
        </w:rPr>
        <w:t xml:space="preserve"> and </w:t>
      </w:r>
      <w:proofErr w:type="spellStart"/>
      <w:r w:rsidR="009D4A6C">
        <w:rPr>
          <w:iCs/>
        </w:rPr>
        <w:t>mpFC</w:t>
      </w:r>
      <w:proofErr w:type="spellEnd"/>
      <w:r w:rsidR="009D4A6C">
        <w:rPr>
          <w:iCs/>
        </w:rPr>
        <w:t xml:space="preserve"> are superior in effectiveness to morphological assessment alone (with non-inferior safety), and the </w:t>
      </w:r>
      <w:proofErr w:type="spellStart"/>
      <w:r w:rsidR="009D4A6C">
        <w:rPr>
          <w:iCs/>
        </w:rPr>
        <w:t>clonoSEQ</w:t>
      </w:r>
      <w:proofErr w:type="spellEnd"/>
      <w:r w:rsidR="009D4A6C">
        <w:rPr>
          <w:iCs/>
        </w:rPr>
        <w:t>® assay is superior to other molecular methods of testing MRD (with non-inferior safety).</w:t>
      </w:r>
    </w:p>
    <w:p w14:paraId="1B3BD5E0" w14:textId="77777777" w:rsidR="009C1D3D" w:rsidRDefault="009C1D3D">
      <w:pPr>
        <w:spacing w:after="160" w:line="259" w:lineRule="auto"/>
        <w:rPr>
          <w:rFonts w:ascii="Franklin Gothic Medium" w:eastAsiaTheme="majorEastAsia" w:hAnsi="Franklin Gothic Medium" w:cstheme="majorBidi"/>
          <w:color w:val="000000" w:themeColor="text1"/>
          <w:sz w:val="32"/>
          <w:szCs w:val="26"/>
        </w:rPr>
      </w:pPr>
      <w:r>
        <w:br w:type="page"/>
      </w:r>
    </w:p>
    <w:p w14:paraId="18E66948" w14:textId="58D5C037" w:rsidR="00D73332" w:rsidRPr="00FD4C65" w:rsidRDefault="00D73332" w:rsidP="00FD4C65">
      <w:pPr>
        <w:pStyle w:val="Heading2"/>
      </w:pPr>
      <w:r w:rsidRPr="00FD4C65">
        <w:lastRenderedPageBreak/>
        <w:t xml:space="preserve">PICO </w:t>
      </w:r>
      <w:r w:rsidR="00FD4E33" w:rsidRPr="00FD4C65">
        <w:t xml:space="preserve">criteria </w:t>
      </w:r>
    </w:p>
    <w:p w14:paraId="5D298F40" w14:textId="7CEB5134" w:rsidR="00EF2934" w:rsidRPr="00C23BF2" w:rsidRDefault="007D6B83" w:rsidP="00C23BF2">
      <w:pPr>
        <w:pStyle w:val="Heading3"/>
      </w:pPr>
      <w:r w:rsidRPr="00713728">
        <w:t>Population</w:t>
      </w:r>
    </w:p>
    <w:p w14:paraId="4E73892B" w14:textId="5A8B19E9" w:rsidR="004A26D8" w:rsidRDefault="00DB58AA" w:rsidP="00DB58AA">
      <w:r>
        <w:t xml:space="preserve">The target population are people </w:t>
      </w:r>
      <w:r w:rsidR="00C73B04">
        <w:t>diagnosed with acute lymphoblastic</w:t>
      </w:r>
      <w:r>
        <w:t xml:space="preserve"> leukaemia (ALL), or suffe</w:t>
      </w:r>
      <w:r w:rsidR="00FB4B43">
        <w:t>ring relapse with this diseas</w:t>
      </w:r>
      <w:r w:rsidR="004A26D8">
        <w:t xml:space="preserve">e. ALL is a malignancy </w:t>
      </w:r>
      <w:r w:rsidR="00393C9C">
        <w:t xml:space="preserve">that </w:t>
      </w:r>
      <w:r w:rsidR="004A26D8">
        <w:t>affects immature blood white cells (or blasts). Abnormal blast cells are called leukaemic cells, which multiply quickly but do not mature into normal cells</w:t>
      </w:r>
      <w:r w:rsidR="00E55D61">
        <w:t>, or fulfil the infection-fighting role of white blood cells</w:t>
      </w:r>
      <w:r w:rsidR="004A26D8">
        <w:t>.</w:t>
      </w:r>
      <w:r w:rsidR="00E55D61">
        <w:t xml:space="preserve"> When leukaemic cells build up in bone marrow, the number of red blood cells and platelets drop, which causes fatigue, bleeding problems and other health problems</w:t>
      </w:r>
      <w:r w:rsidR="00926455">
        <w:t xml:space="preserve"> </w:t>
      </w:r>
      <w:r w:rsidR="005825DE">
        <w:fldChar w:fldCharType="begin"/>
      </w:r>
      <w:r w:rsidR="005825DE">
        <w:instrText xml:space="preserve"> ADDIN EN.CITE &lt;EndNote&gt;&lt;Cite&gt;&lt;Author&gt;Cancer Council NSW&lt;/Author&gt;&lt;Year&gt;2020&lt;/Year&gt;&lt;RecNum&gt;9&lt;/RecNum&gt;&lt;DisplayText&gt;(Cancer Council NSW 2020)&lt;/DisplayText&gt;&lt;record&gt;&lt;rec-number&gt;9&lt;/rec-number&gt;&lt;foreign-keys&gt;&lt;key app="EN" db-id="9r2v5a9alpsw54edwfqp9pte925d5pfszed2" timestamp="1644535683"&gt;9&lt;/key&gt;&lt;/foreign-keys&gt;&lt;ref-type name="Web Page"&gt;12&lt;/ref-type&gt;&lt;contributors&gt;&lt;authors&gt;&lt;author&gt;Cancer Council NSW,&lt;/author&gt;&lt;/authors&gt;&lt;secondary-authors&gt;&lt;author&gt;Cancer Council NSW&lt;/author&gt;&lt;/secondary-authors&gt;&lt;/contributors&gt;&lt;titles&gt;&lt;title&gt;Acute lymphoblastic leukaemia (ALL)&lt;/title&gt;&lt;/titles&gt;&lt;volume&gt;2022&lt;/volume&gt;&lt;number&gt;11th February&lt;/number&gt;&lt;dates&gt;&lt;year&gt;2020&lt;/year&gt;&lt;/dates&gt;&lt;urls&gt;&lt;related-urls&gt;&lt;url&gt;https://www.cancercouncil.com.au/acute-lymphoblastic-leukaemia/&lt;/url&gt;&lt;/related-urls&gt;&lt;/urls&gt;&lt;/record&gt;&lt;/Cite&gt;&lt;/EndNote&gt;</w:instrText>
      </w:r>
      <w:r w:rsidR="005825DE">
        <w:fldChar w:fldCharType="separate"/>
      </w:r>
      <w:r w:rsidR="005825DE">
        <w:rPr>
          <w:noProof/>
        </w:rPr>
        <w:t>(Cancer Council NSW 2020)</w:t>
      </w:r>
      <w:r w:rsidR="005825DE">
        <w:fldChar w:fldCharType="end"/>
      </w:r>
      <w:r w:rsidR="00E55D61">
        <w:t xml:space="preserve">. Without treatment, the leukaemic cells spread from the bone marrow into the bloodstream, and can spread to lymph nodes and some organs </w:t>
      </w:r>
      <w:r w:rsidR="005825DE">
        <w:fldChar w:fldCharType="begin"/>
      </w:r>
      <w:r w:rsidR="005825DE">
        <w:instrText xml:space="preserve"> ADDIN EN.CITE &lt;EndNote&gt;&lt;Cite&gt;&lt;Author&gt;Cancer Council NSW&lt;/Author&gt;&lt;Year&gt;2020&lt;/Year&gt;&lt;RecNum&gt;9&lt;/RecNum&gt;&lt;DisplayText&gt;(Cancer Council NSW 2020)&lt;/DisplayText&gt;&lt;record&gt;&lt;rec-number&gt;9&lt;/rec-number&gt;&lt;foreign-keys&gt;&lt;key app="EN" db-id="9r2v5a9alpsw54edwfqp9pte925d5pfszed2" timestamp="1644535683"&gt;9&lt;/key&gt;&lt;/foreign-keys&gt;&lt;ref-type name="Web Page"&gt;12&lt;/ref-type&gt;&lt;contributors&gt;&lt;authors&gt;&lt;author&gt;Cancer Council NSW,&lt;/author&gt;&lt;/authors&gt;&lt;secondary-authors&gt;&lt;author&gt;Cancer Council NSW&lt;/author&gt;&lt;/secondary-authors&gt;&lt;/contributors&gt;&lt;titles&gt;&lt;title&gt;Acute lymphoblastic leukaemia (ALL)&lt;/title&gt;&lt;/titles&gt;&lt;volume&gt;2022&lt;/volume&gt;&lt;number&gt;11th February&lt;/number&gt;&lt;dates&gt;&lt;year&gt;2020&lt;/year&gt;&lt;/dates&gt;&lt;urls&gt;&lt;related-urls&gt;&lt;url&gt;https://www.cancercouncil.com.au/acute-lymphoblastic-leukaemia/&lt;/url&gt;&lt;/related-urls&gt;&lt;/urls&gt;&lt;/record&gt;&lt;/Cite&gt;&lt;/EndNote&gt;</w:instrText>
      </w:r>
      <w:r w:rsidR="005825DE">
        <w:fldChar w:fldCharType="separate"/>
      </w:r>
      <w:r w:rsidR="005825DE">
        <w:rPr>
          <w:noProof/>
        </w:rPr>
        <w:t>(Cancer Council NSW 2020)</w:t>
      </w:r>
      <w:r w:rsidR="005825DE">
        <w:fldChar w:fldCharType="end"/>
      </w:r>
      <w:r w:rsidR="00E55D61">
        <w:t>.</w:t>
      </w:r>
      <w:r w:rsidR="00C73B04">
        <w:t xml:space="preserve"> The particular types of immature white blood cells affected are </w:t>
      </w:r>
      <w:r w:rsidR="00136B9B">
        <w:t xml:space="preserve">lymphoblasts, which normally develop into lymphocytes, or </w:t>
      </w:r>
      <w:r w:rsidR="00C73B04">
        <w:t xml:space="preserve">T cells </w:t>
      </w:r>
      <w:r w:rsidR="00136B9B">
        <w:t xml:space="preserve">and </w:t>
      </w:r>
      <w:r w:rsidR="00C73B04">
        <w:t>B cells.</w:t>
      </w:r>
    </w:p>
    <w:p w14:paraId="63B93040" w14:textId="256DDA16" w:rsidR="00AA01CA" w:rsidRDefault="00AA01CA" w:rsidP="00DB58AA">
      <w:r>
        <w:t>The World Health Organization (WHO) has classified ALL into several groups: B-cell ALL with genetic abnormalities (gene or chromosome changes), B-cell ALL not otherwise specified, and T-cell ALL.</w:t>
      </w:r>
    </w:p>
    <w:p w14:paraId="7DFAE0E1" w14:textId="3C271D35" w:rsidR="00252E43" w:rsidRDefault="00252E43" w:rsidP="00DB58AA">
      <w:r>
        <w:t xml:space="preserve">The precursor B-cell ALL is the most common subtype, and </w:t>
      </w:r>
      <w:r w:rsidR="00EA5A62">
        <w:t>a</w:t>
      </w:r>
      <w:r>
        <w:t xml:space="preserve"> common genetic abnormality associated with </w:t>
      </w:r>
      <w:r w:rsidR="00EA5A62">
        <w:t xml:space="preserve">adult </w:t>
      </w:r>
      <w:r>
        <w:t>B-ALL is the Phil</w:t>
      </w:r>
      <w:r w:rsidR="00393C9C">
        <w:t>a</w:t>
      </w:r>
      <w:r>
        <w:t xml:space="preserve">delphia chromosome (Ph-positive ALL). </w:t>
      </w:r>
      <w:bookmarkStart w:id="3" w:name="_Hlk105512899"/>
      <w:r w:rsidR="00EA5A62" w:rsidRPr="00EA5A62">
        <w:t xml:space="preserve">Other common genetic changes in ALL are </w:t>
      </w:r>
      <w:proofErr w:type="spellStart"/>
      <w:r w:rsidR="00EA5A62" w:rsidRPr="00EA5A62">
        <w:t>hyperdiploidy</w:t>
      </w:r>
      <w:proofErr w:type="spellEnd"/>
      <w:r w:rsidR="00EA5A62" w:rsidRPr="00EA5A62">
        <w:t xml:space="preserve"> and </w:t>
      </w:r>
      <w:r w:rsidR="00EA5A62" w:rsidRPr="00EA5A62">
        <w:rPr>
          <w:i/>
          <w:iCs/>
        </w:rPr>
        <w:t>ETV6-RUNX1</w:t>
      </w:r>
      <w:r w:rsidR="00EA5A62" w:rsidRPr="00EA5A62">
        <w:t xml:space="preserve"> translocation</w:t>
      </w:r>
      <w:bookmarkEnd w:id="3"/>
      <w:r w:rsidR="00EA5A62" w:rsidRPr="00EA5A62">
        <w:t xml:space="preserve">. </w:t>
      </w:r>
      <w:r w:rsidR="009C1EFA">
        <w:t>The different germline and somatic genetic alterations associated with ALL influence its prognosis and treatment strategy (together with the patient</w:t>
      </w:r>
      <w:r w:rsidR="00393C9C">
        <w:t>’</w:t>
      </w:r>
      <w:r w:rsidR="009C1EFA">
        <w:t xml:space="preserve">s age, performance status, comorbidities and end-organ function </w:t>
      </w:r>
      <w:r w:rsidR="005825DE">
        <w:fldChar w:fldCharType="begin">
          <w:fldData xml:space="preserve">PEVuZE5vdGU+PENpdGU+PEF1dGhvcj5Ccm93bjwvQXV0aG9yPjxZZWFyPjIwMjE8L1llYXI+PFJl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</w:fldData>
        </w:fldChar>
      </w:r>
      <w:r w:rsidR="005825DE">
        <w:instrText xml:space="preserve"> ADDIN EN.CITE </w:instrText>
      </w:r>
      <w:r w:rsidR="005825DE">
        <w:fldChar w:fldCharType="begin">
          <w:fldData xml:space="preserve">PEVuZE5vdGU+PENpdGU+PEF1dGhvcj5Ccm93bjwvQXV0aG9yPjxZZWFyPjIwMjE8L1llYXI+PFJl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</w:fldData>
        </w:fldChar>
      </w:r>
      <w:r w:rsidR="005825DE">
        <w:instrText xml:space="preserve"> ADDIN EN.CITE.DATA </w:instrText>
      </w:r>
      <w:r w:rsidR="005825DE">
        <w:fldChar w:fldCharType="end"/>
      </w:r>
      <w:r w:rsidR="005825DE">
        <w:fldChar w:fldCharType="separate"/>
      </w:r>
      <w:r w:rsidR="005825DE">
        <w:rPr>
          <w:noProof/>
        </w:rPr>
        <w:t>(Brown, PA, Ji, et al. 2021)</w:t>
      </w:r>
      <w:r w:rsidR="005825DE">
        <w:fldChar w:fldCharType="end"/>
      </w:r>
      <w:r w:rsidR="00393C9C">
        <w:t>)</w:t>
      </w:r>
      <w:r w:rsidR="003B3CB8">
        <w:t>.</w:t>
      </w:r>
    </w:p>
    <w:p w14:paraId="2CAD2A05" w14:textId="7DF0EA41" w:rsidR="006432CB" w:rsidRDefault="00D14804" w:rsidP="00DB58AA">
      <w:r>
        <w:t>ALL is the most common cancer in childhood</w:t>
      </w:r>
      <w:r w:rsidR="00A95B68">
        <w:t xml:space="preserve">, with 243 cases per 100,000 aged 0 to 19 years estimated to be diagnosed </w:t>
      </w:r>
      <w:r w:rsidR="00393C9C">
        <w:t xml:space="preserve">in Australia </w:t>
      </w:r>
      <w:r w:rsidR="00A95B68">
        <w:t xml:space="preserve">in 2021 </w:t>
      </w:r>
      <w:r w:rsidR="005825DE">
        <w:fldChar w:fldCharType="begin"/>
      </w:r>
      <w:r w:rsidR="005825DE">
        <w:instrText xml:space="preserve"> ADDIN EN.CITE &lt;EndNote&gt;&lt;Cite&gt;&lt;Author&gt;AIHW&lt;/Author&gt;&lt;Year&gt;2021&lt;/Year&gt;&lt;RecNum&gt;11&lt;/RecNum&gt;&lt;DisplayText&gt;(AIHW 2021)&lt;/DisplayText&gt;&lt;record&gt;&lt;rec-number&gt;11&lt;/rec-number&gt;&lt;foreign-keys&gt;&lt;key app="EN" db-id="9r2v5a9alpsw54edwfqp9pte925d5pfszed2" timestamp="1644799539"&gt;11&lt;/key&gt;&lt;/foreign-keys&gt;&lt;ref-type name="Report"&gt;27&lt;/ref-type&gt;&lt;contributors&gt;&lt;authors&gt;&lt;author&gt;AIHW&lt;/author&gt;&lt;/authors&gt;&lt;/contributors&gt;&lt;titles&gt;&lt;title&gt;Cancer in Australia 2021&lt;/title&gt;&lt;/titles&gt;&lt;volume&gt;Cat. no. CAN 144&lt;/volume&gt;&lt;dates&gt;&lt;year&gt;2021&lt;/year&gt;&lt;/dates&gt;&lt;pub-location&gt;Canberra&lt;/pub-location&gt;&lt;publisher&gt;Australian Institute of Health Welfare&lt;/publisher&gt;&lt;urls&gt;&lt;/urls&gt;&lt;/record&gt;&lt;/Cite&gt;&lt;/EndNote&gt;</w:instrText>
      </w:r>
      <w:r w:rsidR="005825DE">
        <w:fldChar w:fldCharType="separate"/>
      </w:r>
      <w:r w:rsidR="005825DE">
        <w:rPr>
          <w:noProof/>
        </w:rPr>
        <w:t>(AIHW 2021)</w:t>
      </w:r>
      <w:r w:rsidR="005825DE">
        <w:fldChar w:fldCharType="end"/>
      </w:r>
      <w:r w:rsidR="00A95B68">
        <w:t>.</w:t>
      </w:r>
      <w:r w:rsidR="000C51A5">
        <w:t xml:space="preserve"> It </w:t>
      </w:r>
      <w:r>
        <w:t xml:space="preserve">may also be diagnosed in adults, with bi-modal peaks of incidence between 2 and 5 years, and after 50 years of age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t xml:space="preserve">. </w:t>
      </w:r>
      <w:bookmarkStart w:id="4" w:name="_Hlk98501422"/>
      <w:r w:rsidR="006432CB">
        <w:t xml:space="preserve">All age groups would </w:t>
      </w:r>
      <w:r>
        <w:t xml:space="preserve">therefore </w:t>
      </w:r>
      <w:r w:rsidR="006432CB">
        <w:t>be considered eligible</w:t>
      </w:r>
      <w:r>
        <w:t xml:space="preserve"> for the proposed </w:t>
      </w:r>
      <w:r w:rsidR="00FA6987">
        <w:t>tests</w:t>
      </w:r>
      <w:r w:rsidR="006432CB">
        <w:t xml:space="preserve"> (paediatric, adolescent, young adult and adult). </w:t>
      </w:r>
      <w:bookmarkEnd w:id="4"/>
      <w:r w:rsidR="000C51A5">
        <w:t xml:space="preserve">Data from the Australian Institute for Health and Welfare (AIHW) indicate that the incidence of haematological malignancies </w:t>
      </w:r>
      <w:r w:rsidR="00393C9C">
        <w:t xml:space="preserve">is </w:t>
      </w:r>
      <w:r w:rsidR="000C51A5">
        <w:t>increasing at an average of 3.1% per year, so the expected number of ne</w:t>
      </w:r>
      <w:r w:rsidR="00C1069B">
        <w:t xml:space="preserve">wly diagnosed patients in 2022 </w:t>
      </w:r>
      <w:r w:rsidR="000C51A5">
        <w:t xml:space="preserve">is </w:t>
      </w:r>
      <w:r w:rsidR="00EB2C28">
        <w:t>460</w:t>
      </w:r>
      <w:r w:rsidR="000C51A5">
        <w:t xml:space="preserve"> (adults and children combined).</w:t>
      </w:r>
    </w:p>
    <w:p w14:paraId="085D85AF" w14:textId="77777777" w:rsidR="00B50016" w:rsidRDefault="00B50016" w:rsidP="00B50016">
      <w:r>
        <w:t xml:space="preserve">Treatment options have improved for patients with ALL over time, resulting in the 5 year survival rate in children having increased from 57% to 92% </w:t>
      </w:r>
      <w:r>
        <w:fldChar w:fldCharType="begin"/>
      </w:r>
      <w:r>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fldChar w:fldCharType="separate"/>
      </w:r>
      <w:r>
        <w:rPr>
          <w:noProof/>
        </w:rPr>
        <w:t>(Della Starza et al. 2019)</w:t>
      </w:r>
      <w:r>
        <w:fldChar w:fldCharType="end"/>
      </w:r>
      <w:r>
        <w:t xml:space="preserve">. </w:t>
      </w:r>
      <w:r w:rsidRPr="008D7E42">
        <w:t>In adults, those who are diagnosed with ALL are more likely to have high-risk leukaemia, w</w:t>
      </w:r>
      <w:r>
        <w:t>ith</w:t>
      </w:r>
      <w:r w:rsidRPr="008D7E42">
        <w:t xml:space="preserve"> a relapse rate of 40-50%, likely due to the combination of having a higher incidence of high-risk variants, and also due to the fact that older adults are less able to tolerate intensive treatments </w:t>
      </w:r>
      <w:r>
        <w:fldChar w:fldCharType="begin"/>
      </w:r>
      <w:r>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fldChar w:fldCharType="separate"/>
      </w:r>
      <w:r>
        <w:rPr>
          <w:noProof/>
        </w:rPr>
        <w:t>(Della Starza et al. 2019)</w:t>
      </w:r>
      <w:r>
        <w:fldChar w:fldCharType="end"/>
      </w:r>
      <w:r w:rsidRPr="008D7E42">
        <w:t xml:space="preserve">. </w:t>
      </w:r>
      <w:r>
        <w:t xml:space="preserve">Between 2013 and 2017, the 5-year survival rate for children aged 14 and under was 94.0%, whereas for people aged 15 to 39, 5-year survival was 81.0%, and for those aged 40 and over, 5-year survival was 37.3% </w:t>
      </w:r>
      <w:r>
        <w:fldChar w:fldCharType="begin"/>
      </w:r>
      <w:r>
        <w:instrText xml:space="preserve"> ADDIN EN.CITE &lt;EndNote&gt;&lt;Cite&gt;&lt;Author&gt;AIHW&lt;/Author&gt;&lt;Year&gt;2021&lt;/Year&gt;&lt;RecNum&gt;11&lt;/RecNum&gt;&lt;DisplayText&gt;(AIHW 2021)&lt;/DisplayText&gt;&lt;record&gt;&lt;rec-number&gt;11&lt;/rec-number&gt;&lt;foreign-keys&gt;&lt;key app="EN" db-id="9r2v5a9alpsw54edwfqp9pte925d5pfszed2" timestamp="1644799539"&gt;11&lt;/key&gt;&lt;/foreign-keys&gt;&lt;ref-type name="Report"&gt;27&lt;/ref-type&gt;&lt;contributors&gt;&lt;authors&gt;&lt;author&gt;AIHW&lt;/author&gt;&lt;/authors&gt;&lt;/contributors&gt;&lt;titles&gt;&lt;title&gt;Cancer in Australia 2021&lt;/title&gt;&lt;/titles&gt;&lt;volume&gt;Cat. no. CAN 144&lt;/volume&gt;&lt;dates&gt;&lt;year&gt;2021&lt;/year&gt;&lt;/dates&gt;&lt;pub-location&gt;Canberra&lt;/pub-location&gt;&lt;publisher&gt;Australian Institute of Health Welfare&lt;/publisher&gt;&lt;urls&gt;&lt;/urls&gt;&lt;/record&gt;&lt;/Cite&gt;&lt;/EndNote&gt;</w:instrText>
      </w:r>
      <w:r>
        <w:fldChar w:fldCharType="separate"/>
      </w:r>
      <w:r>
        <w:rPr>
          <w:noProof/>
        </w:rPr>
        <w:t>(AIHW 2021)</w:t>
      </w:r>
      <w:r>
        <w:fldChar w:fldCharType="end"/>
      </w:r>
      <w:r w:rsidRPr="00BD4127">
        <w:t>.</w:t>
      </w:r>
    </w:p>
    <w:p w14:paraId="06DE464C" w14:textId="38CE5881" w:rsidR="00B50016" w:rsidRPr="004F0EC3" w:rsidRDefault="00B50016" w:rsidP="00B50016">
      <w:r>
        <w:t xml:space="preserve">The RCPA provided data on an Australian cohort of children and teenagers (aged </w:t>
      </w:r>
      <w:bookmarkStart w:id="5" w:name="_Hlk105512968"/>
      <w:r w:rsidR="00504FA4" w:rsidRPr="00504FA4">
        <w:t>≥12 months</w:t>
      </w:r>
      <w:bookmarkEnd w:id="5"/>
      <w:r>
        <w:t xml:space="preserve"> – 18 years) treated for ALL between 1998 and 2013, that demonstrated a relapse rate of 10%.</w:t>
      </w:r>
      <w:r w:rsidR="009C1D3D">
        <w:t xml:space="preserve"> </w:t>
      </w:r>
      <w:bookmarkStart w:id="6" w:name="_Hlk105512983"/>
      <w:r w:rsidR="00504FA4" w:rsidRPr="00504FA4">
        <w:t>The RCPA also advised the relapse rate is 50% in infants aged ≤12 months.</w:t>
      </w:r>
      <w:bookmarkEnd w:id="6"/>
    </w:p>
    <w:p w14:paraId="0BE86411" w14:textId="7712D917" w:rsidR="00AC6BBC" w:rsidRDefault="00AC6BBC" w:rsidP="00DB58AA">
      <w:r>
        <w:t xml:space="preserve">Assumptions used to project the uptake of MRD testing include: </w:t>
      </w:r>
    </w:p>
    <w:p w14:paraId="3EC30FF1" w14:textId="745C2A5B" w:rsidR="00C41FF2" w:rsidRPr="00AC6BBC" w:rsidRDefault="007E1662" w:rsidP="00C41FF2">
      <w:pPr>
        <w:pStyle w:val="Instructionaltext"/>
        <w:numPr>
          <w:ilvl w:val="0"/>
          <w:numId w:val="10"/>
        </w:numPr>
        <w:rPr>
          <w:i/>
          <w:color w:val="000000" w:themeColor="text1"/>
        </w:rPr>
      </w:pPr>
      <w:r w:rsidRPr="00AC6BBC">
        <w:rPr>
          <w:color w:val="000000" w:themeColor="text1"/>
        </w:rPr>
        <w:t xml:space="preserve">3.1% growth in incidence of </w:t>
      </w:r>
      <w:r w:rsidR="00C41FF2" w:rsidRPr="00AC6BBC">
        <w:rPr>
          <w:color w:val="000000" w:themeColor="text1"/>
        </w:rPr>
        <w:t>ALL per year (based on AIHW data that haematological malignancies are increasing at 3.1% per year)</w:t>
      </w:r>
    </w:p>
    <w:p w14:paraId="352C42B8" w14:textId="18B653A2" w:rsidR="00C41FF2" w:rsidRPr="00136606" w:rsidRDefault="00C41FF2" w:rsidP="00C41FF2">
      <w:pPr>
        <w:pStyle w:val="Instructionaltext"/>
        <w:numPr>
          <w:ilvl w:val="0"/>
          <w:numId w:val="10"/>
        </w:numPr>
        <w:rPr>
          <w:i/>
          <w:color w:val="000000" w:themeColor="text1"/>
        </w:rPr>
      </w:pPr>
      <w:r w:rsidRPr="00AC6BBC">
        <w:rPr>
          <w:color w:val="000000" w:themeColor="text1"/>
        </w:rPr>
        <w:lastRenderedPageBreak/>
        <w:t>Uptake of 100% of paediatric cases (aged 0 to 1</w:t>
      </w:r>
      <w:r w:rsidR="00F42B66" w:rsidRPr="00AC6BBC">
        <w:rPr>
          <w:color w:val="000000" w:themeColor="text1"/>
        </w:rPr>
        <w:t xml:space="preserve">4) and 90% of adults </w:t>
      </w:r>
      <w:r w:rsidR="00393C9C">
        <w:rPr>
          <w:color w:val="000000" w:themeColor="text1"/>
        </w:rPr>
        <w:t xml:space="preserve">aged </w:t>
      </w:r>
      <w:r w:rsidR="00F42B66" w:rsidRPr="00AC6BBC">
        <w:rPr>
          <w:color w:val="000000" w:themeColor="text1"/>
        </w:rPr>
        <w:t>15</w:t>
      </w:r>
      <w:r w:rsidRPr="00AC6BBC">
        <w:rPr>
          <w:color w:val="000000" w:themeColor="text1"/>
        </w:rPr>
        <w:t xml:space="preserve">+ (to allow for </w:t>
      </w:r>
      <w:r w:rsidR="007E1662" w:rsidRPr="00AC6BBC">
        <w:rPr>
          <w:color w:val="000000" w:themeColor="text1"/>
        </w:rPr>
        <w:t xml:space="preserve">some </w:t>
      </w:r>
      <w:r w:rsidR="007E1662" w:rsidRPr="002747EA">
        <w:rPr>
          <w:color w:val="000000" w:themeColor="text1"/>
        </w:rPr>
        <w:t>patients being</w:t>
      </w:r>
      <w:r w:rsidR="00F42B66" w:rsidRPr="002747EA">
        <w:rPr>
          <w:color w:val="000000" w:themeColor="text1"/>
        </w:rPr>
        <w:t xml:space="preserve"> unsuitable for testing)</w:t>
      </w:r>
    </w:p>
    <w:p w14:paraId="43421C22" w14:textId="681760B7" w:rsidR="00242C85" w:rsidRPr="00136606" w:rsidRDefault="00E27DD9" w:rsidP="00C41FF2">
      <w:pPr>
        <w:pStyle w:val="Instructionaltext"/>
        <w:numPr>
          <w:ilvl w:val="0"/>
          <w:numId w:val="10"/>
        </w:numPr>
        <w:rPr>
          <w:i/>
          <w:color w:val="000000" w:themeColor="text1"/>
        </w:rPr>
      </w:pPr>
      <w:r>
        <w:rPr>
          <w:color w:val="000000" w:themeColor="text1"/>
        </w:rPr>
        <w:t>57.4</w:t>
      </w:r>
      <w:r w:rsidR="00242C85">
        <w:rPr>
          <w:color w:val="000000" w:themeColor="text1"/>
        </w:rPr>
        <w:t xml:space="preserve">% of incident cases being aged 0 to 19 years and </w:t>
      </w:r>
      <w:r>
        <w:rPr>
          <w:color w:val="000000" w:themeColor="text1"/>
        </w:rPr>
        <w:t>42.6</w:t>
      </w:r>
      <w:r w:rsidR="00242C85">
        <w:rPr>
          <w:color w:val="000000" w:themeColor="text1"/>
        </w:rPr>
        <w:t xml:space="preserve">% of cases being aged </w:t>
      </w:r>
      <w:r w:rsidR="00242C85">
        <w:rPr>
          <w:rFonts w:cs="Calibri"/>
          <w:color w:val="000000" w:themeColor="text1"/>
        </w:rPr>
        <w:t>≥</w:t>
      </w:r>
      <w:r w:rsidR="00242C85">
        <w:rPr>
          <w:color w:val="000000" w:themeColor="text1"/>
        </w:rPr>
        <w:t xml:space="preserve">20 years (based on AIHW data from </w:t>
      </w:r>
      <w:r>
        <w:rPr>
          <w:color w:val="000000" w:themeColor="text1"/>
        </w:rPr>
        <w:t xml:space="preserve">2013 - </w:t>
      </w:r>
      <w:r w:rsidR="00242C85">
        <w:rPr>
          <w:color w:val="000000" w:themeColor="text1"/>
        </w:rPr>
        <w:t>2017)</w:t>
      </w:r>
    </w:p>
    <w:p w14:paraId="02697DD1" w14:textId="77777777" w:rsidR="00242C85" w:rsidRPr="00A15E3E" w:rsidRDefault="00242C85" w:rsidP="00242C85">
      <w:pPr>
        <w:pStyle w:val="Instructionaltext"/>
        <w:numPr>
          <w:ilvl w:val="0"/>
          <w:numId w:val="10"/>
        </w:numPr>
        <w:rPr>
          <w:i/>
          <w:color w:val="000000" w:themeColor="text1"/>
        </w:rPr>
      </w:pPr>
      <w:r>
        <w:rPr>
          <w:color w:val="000000" w:themeColor="text1"/>
        </w:rPr>
        <w:t>Relapse rates:</w:t>
      </w:r>
    </w:p>
    <w:p w14:paraId="4C9C9056" w14:textId="77777777" w:rsidR="00B24351" w:rsidRPr="00B24351" w:rsidRDefault="00B24351" w:rsidP="00B24351">
      <w:pPr>
        <w:pStyle w:val="Instructionaltext"/>
        <w:numPr>
          <w:ilvl w:val="1"/>
          <w:numId w:val="10"/>
        </w:numPr>
        <w:rPr>
          <w:color w:val="000000" w:themeColor="text1"/>
        </w:rPr>
      </w:pPr>
      <w:r w:rsidRPr="00B24351">
        <w:rPr>
          <w:iCs/>
          <w:color w:val="000000" w:themeColor="text1"/>
        </w:rPr>
        <w:t xml:space="preserve">50% in infants aged </w:t>
      </w:r>
      <w:bookmarkStart w:id="7" w:name="_Hlk105513015"/>
      <w:r w:rsidRPr="00B24351">
        <w:rPr>
          <w:color w:val="000000" w:themeColor="text1"/>
        </w:rPr>
        <w:t>≤12 months</w:t>
      </w:r>
      <w:bookmarkEnd w:id="7"/>
    </w:p>
    <w:p w14:paraId="240C5D9F" w14:textId="4E0E1258" w:rsidR="00242C85" w:rsidRPr="00A15E3E" w:rsidRDefault="00242C85" w:rsidP="00242C85">
      <w:pPr>
        <w:pStyle w:val="Instructionaltext"/>
        <w:numPr>
          <w:ilvl w:val="1"/>
          <w:numId w:val="10"/>
        </w:numPr>
        <w:rPr>
          <w:i/>
          <w:color w:val="000000" w:themeColor="text1"/>
        </w:rPr>
      </w:pPr>
      <w:r>
        <w:rPr>
          <w:color w:val="000000" w:themeColor="text1"/>
        </w:rPr>
        <w:t xml:space="preserve">10% in children aged </w:t>
      </w:r>
      <w:r w:rsidR="00B24351">
        <w:rPr>
          <w:color w:val="000000" w:themeColor="text1"/>
        </w:rPr>
        <w:t>12 months</w:t>
      </w:r>
      <w:r>
        <w:rPr>
          <w:color w:val="000000" w:themeColor="text1"/>
        </w:rPr>
        <w:t xml:space="preserve"> to 18 years (based on in press data provided by the RCPA)</w:t>
      </w:r>
    </w:p>
    <w:p w14:paraId="1BF8E49A" w14:textId="1A433061" w:rsidR="002B5A1C" w:rsidRPr="00EB2C28" w:rsidRDefault="00242C85" w:rsidP="00136606">
      <w:pPr>
        <w:pStyle w:val="Instructionaltext"/>
        <w:numPr>
          <w:ilvl w:val="1"/>
          <w:numId w:val="10"/>
        </w:numPr>
        <w:rPr>
          <w:i/>
          <w:color w:val="000000" w:themeColor="text1"/>
        </w:rPr>
      </w:pPr>
      <w:r>
        <w:rPr>
          <w:color w:val="000000" w:themeColor="text1"/>
        </w:rPr>
        <w:t>50% in adults</w:t>
      </w:r>
      <w:r w:rsidR="006A0162">
        <w:rPr>
          <w:color w:val="000000" w:themeColor="text1"/>
        </w:rPr>
        <w:t>.</w:t>
      </w:r>
    </w:p>
    <w:p w14:paraId="1E564004" w14:textId="5E977059" w:rsidR="00645A42" w:rsidRDefault="00645A42" w:rsidP="00645A42">
      <w:pPr>
        <w:pStyle w:val="Caption"/>
      </w:pPr>
      <w:bookmarkStart w:id="8" w:name="_Ref97293961"/>
      <w:r>
        <w:t xml:space="preserve">Table </w:t>
      </w:r>
      <w:r>
        <w:fldChar w:fldCharType="begin"/>
      </w:r>
      <w:r>
        <w:instrText xml:space="preserve"> SEQ Table \* ARABIC </w:instrText>
      </w:r>
      <w:r>
        <w:fldChar w:fldCharType="separate"/>
      </w:r>
      <w:r w:rsidR="002A1A30">
        <w:rPr>
          <w:noProof/>
        </w:rPr>
        <w:t>2</w:t>
      </w:r>
      <w:r>
        <w:fldChar w:fldCharType="end"/>
      </w:r>
      <w:bookmarkEnd w:id="8"/>
      <w:r>
        <w:tab/>
        <w:t xml:space="preserve">Projected number of </w:t>
      </w:r>
      <w:proofErr w:type="gramStart"/>
      <w:r>
        <w:t>incident</w:t>
      </w:r>
      <w:proofErr w:type="gramEnd"/>
      <w:r>
        <w:t xml:space="preserve"> ALL cases,</w:t>
      </w:r>
      <w:r w:rsidR="00836947">
        <w:t xml:space="preserve"> and</w:t>
      </w:r>
      <w:r>
        <w:t xml:space="preserve"> pat</w:t>
      </w:r>
      <w:r w:rsidR="00836947">
        <w:t>ients eligible for MRD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252"/>
        <w:gridCol w:w="1252"/>
        <w:gridCol w:w="1248"/>
        <w:gridCol w:w="1248"/>
        <w:gridCol w:w="1304"/>
        <w:gridCol w:w="1302"/>
      </w:tblGrid>
      <w:tr w:rsidR="00264C69" w:rsidRPr="005446D5" w14:paraId="15F6C387" w14:textId="0433CF54" w:rsidTr="00264C69">
        <w:trPr>
          <w:trHeight w:val="611"/>
        </w:trPr>
        <w:tc>
          <w:tcPr>
            <w:tcW w:w="1027" w:type="pct"/>
            <w:shd w:val="clear" w:color="auto" w:fill="auto"/>
          </w:tcPr>
          <w:p w14:paraId="1080A486" w14:textId="77777777" w:rsidR="00264C69" w:rsidRPr="00454151" w:rsidRDefault="00264C69" w:rsidP="00F67A19">
            <w:pPr>
              <w:pStyle w:val="TableHeading"/>
              <w:rPr>
                <w:rFonts w:eastAsiaTheme="minorHAnsi"/>
              </w:rPr>
            </w:pPr>
          </w:p>
        </w:tc>
        <w:tc>
          <w:tcPr>
            <w:tcW w:w="654" w:type="pct"/>
            <w:tcBorders>
              <w:left w:val="single" w:sz="4" w:space="0" w:color="auto"/>
              <w:bottom w:val="single" w:sz="4" w:space="0" w:color="auto"/>
              <w:right w:val="single" w:sz="4" w:space="0" w:color="auto"/>
            </w:tcBorders>
            <w:shd w:val="clear" w:color="auto" w:fill="auto"/>
            <w:vAlign w:val="center"/>
          </w:tcPr>
          <w:p w14:paraId="6543F99E" w14:textId="344F3659" w:rsidR="00264C69" w:rsidRPr="00454151" w:rsidRDefault="00264C69" w:rsidP="007D4761">
            <w:pPr>
              <w:pStyle w:val="TableHeading"/>
              <w:jc w:val="center"/>
              <w:rPr>
                <w:rFonts w:eastAsiaTheme="minorHAnsi"/>
              </w:rPr>
            </w:pPr>
            <w:r>
              <w:rPr>
                <w:rFonts w:eastAsiaTheme="minorHAnsi"/>
              </w:rPr>
              <w:t>2022</w:t>
            </w:r>
          </w:p>
        </w:tc>
        <w:tc>
          <w:tcPr>
            <w:tcW w:w="654" w:type="pct"/>
            <w:tcBorders>
              <w:left w:val="single" w:sz="4" w:space="0" w:color="auto"/>
              <w:bottom w:val="single" w:sz="4" w:space="0" w:color="auto"/>
              <w:right w:val="single" w:sz="4" w:space="0" w:color="auto"/>
            </w:tcBorders>
            <w:shd w:val="clear" w:color="auto" w:fill="auto"/>
            <w:vAlign w:val="center"/>
          </w:tcPr>
          <w:p w14:paraId="7BCC0FA4" w14:textId="379F31CB" w:rsidR="00264C69" w:rsidRPr="00454151" w:rsidRDefault="00264C69" w:rsidP="007D4761">
            <w:pPr>
              <w:pStyle w:val="TableHeading"/>
              <w:jc w:val="center"/>
              <w:rPr>
                <w:rFonts w:eastAsiaTheme="minorHAnsi"/>
              </w:rPr>
            </w:pPr>
            <w:r>
              <w:rPr>
                <w:rFonts w:eastAsiaTheme="minorHAnsi"/>
              </w:rPr>
              <w:t>2023</w:t>
            </w:r>
          </w:p>
        </w:tc>
        <w:tc>
          <w:tcPr>
            <w:tcW w:w="652" w:type="pct"/>
            <w:tcBorders>
              <w:left w:val="single" w:sz="4" w:space="0" w:color="auto"/>
              <w:bottom w:val="single" w:sz="4" w:space="0" w:color="auto"/>
            </w:tcBorders>
            <w:vAlign w:val="center"/>
          </w:tcPr>
          <w:p w14:paraId="5E810056" w14:textId="122B8762" w:rsidR="00264C69" w:rsidRPr="005446D5" w:rsidRDefault="00264C69" w:rsidP="007D4761">
            <w:pPr>
              <w:pStyle w:val="Tabletext"/>
              <w:jc w:val="center"/>
              <w:rPr>
                <w:rFonts w:eastAsiaTheme="minorHAnsi"/>
                <w:b/>
              </w:rPr>
            </w:pPr>
            <w:r>
              <w:rPr>
                <w:rFonts w:eastAsiaTheme="minorHAnsi"/>
                <w:b/>
              </w:rPr>
              <w:t>2024</w:t>
            </w:r>
          </w:p>
        </w:tc>
        <w:tc>
          <w:tcPr>
            <w:tcW w:w="652" w:type="pct"/>
            <w:tcBorders>
              <w:left w:val="nil"/>
              <w:bottom w:val="single" w:sz="4" w:space="0" w:color="auto"/>
            </w:tcBorders>
            <w:vAlign w:val="center"/>
          </w:tcPr>
          <w:p w14:paraId="0B18171C" w14:textId="6E36DE0C" w:rsidR="00264C69" w:rsidRPr="005446D5" w:rsidRDefault="00264C69" w:rsidP="007D4761">
            <w:pPr>
              <w:pStyle w:val="Tabletext"/>
              <w:jc w:val="center"/>
              <w:rPr>
                <w:rFonts w:eastAsiaTheme="minorHAnsi"/>
                <w:b/>
              </w:rPr>
            </w:pPr>
            <w:r>
              <w:rPr>
                <w:rFonts w:eastAsiaTheme="minorHAnsi"/>
                <w:b/>
              </w:rPr>
              <w:t>2025</w:t>
            </w:r>
          </w:p>
        </w:tc>
        <w:tc>
          <w:tcPr>
            <w:tcW w:w="681" w:type="pct"/>
            <w:tcBorders>
              <w:left w:val="nil"/>
              <w:bottom w:val="single" w:sz="4" w:space="0" w:color="auto"/>
            </w:tcBorders>
            <w:vAlign w:val="center"/>
          </w:tcPr>
          <w:p w14:paraId="71FCD7C2" w14:textId="005E7CEB" w:rsidR="00264C69" w:rsidRDefault="00264C69" w:rsidP="007D4761">
            <w:pPr>
              <w:pStyle w:val="Tabletext"/>
              <w:jc w:val="center"/>
              <w:rPr>
                <w:rFonts w:eastAsiaTheme="minorHAnsi"/>
                <w:b/>
              </w:rPr>
            </w:pPr>
            <w:r>
              <w:rPr>
                <w:rFonts w:eastAsiaTheme="minorHAnsi"/>
                <w:b/>
              </w:rPr>
              <w:t>2026</w:t>
            </w:r>
          </w:p>
        </w:tc>
        <w:tc>
          <w:tcPr>
            <w:tcW w:w="680" w:type="pct"/>
            <w:tcBorders>
              <w:left w:val="nil"/>
              <w:bottom w:val="single" w:sz="4" w:space="0" w:color="auto"/>
            </w:tcBorders>
            <w:vAlign w:val="center"/>
          </w:tcPr>
          <w:p w14:paraId="52A572F3" w14:textId="04227A91" w:rsidR="00264C69" w:rsidRDefault="00264C69" w:rsidP="007D4761">
            <w:pPr>
              <w:pStyle w:val="Tabletext"/>
              <w:jc w:val="center"/>
              <w:rPr>
                <w:rFonts w:eastAsiaTheme="minorHAnsi"/>
                <w:b/>
              </w:rPr>
            </w:pPr>
            <w:r>
              <w:rPr>
                <w:rFonts w:eastAsiaTheme="minorHAnsi"/>
                <w:b/>
              </w:rPr>
              <w:t>2027</w:t>
            </w:r>
          </w:p>
        </w:tc>
      </w:tr>
      <w:tr w:rsidR="00264C69" w:rsidRPr="00454151" w14:paraId="5891AC68" w14:textId="3037BF47" w:rsidTr="00264C69">
        <w:trPr>
          <w:trHeight w:val="540"/>
        </w:trPr>
        <w:tc>
          <w:tcPr>
            <w:tcW w:w="1027" w:type="pct"/>
            <w:tcBorders>
              <w:top w:val="nil"/>
              <w:bottom w:val="single" w:sz="4" w:space="0" w:color="auto"/>
            </w:tcBorders>
            <w:shd w:val="clear" w:color="auto" w:fill="FFFFFF" w:themeFill="background1"/>
            <w:vAlign w:val="center"/>
          </w:tcPr>
          <w:p w14:paraId="36B7D52E" w14:textId="0CE2A292" w:rsidR="00264C69" w:rsidRPr="00E87AD4" w:rsidRDefault="00264C69" w:rsidP="00A42B0C">
            <w:pPr>
              <w:pStyle w:val="Tabletext"/>
              <w:rPr>
                <w:rFonts w:eastAsiaTheme="minorHAnsi"/>
              </w:rPr>
            </w:pPr>
            <w:r w:rsidRPr="00E87AD4">
              <w:rPr>
                <w:rFonts w:eastAsiaTheme="minorHAnsi"/>
              </w:rPr>
              <w:t xml:space="preserve">Projected new </w:t>
            </w:r>
            <w:proofErr w:type="spellStart"/>
            <w:r w:rsidRPr="00E87AD4">
              <w:rPr>
                <w:rFonts w:eastAsiaTheme="minorHAnsi"/>
              </w:rPr>
              <w:t>cases</w:t>
            </w:r>
            <w:r w:rsidR="00B24351">
              <w:rPr>
                <w:rFonts w:eastAsiaTheme="minorHAnsi"/>
                <w:vertAlign w:val="superscript"/>
              </w:rPr>
              <w:t>s</w:t>
            </w:r>
            <w:proofErr w:type="spellEnd"/>
            <w:r w:rsidRPr="00E87AD4">
              <w:rPr>
                <w:rFonts w:eastAsiaTheme="minorHAnsi"/>
              </w:rPr>
              <w:t xml:space="preserve"> </w:t>
            </w:r>
          </w:p>
        </w:tc>
        <w:tc>
          <w:tcPr>
            <w:tcW w:w="654" w:type="pct"/>
            <w:tcBorders>
              <w:top w:val="nil"/>
              <w:left w:val="single" w:sz="4" w:space="0" w:color="auto"/>
              <w:bottom w:val="single" w:sz="4" w:space="0" w:color="auto"/>
              <w:right w:val="single" w:sz="4" w:space="0" w:color="auto"/>
            </w:tcBorders>
            <w:shd w:val="clear" w:color="auto" w:fill="FFFFFF" w:themeFill="background1"/>
            <w:vAlign w:val="center"/>
          </w:tcPr>
          <w:p w14:paraId="34007994" w14:textId="5ACF7F9A" w:rsidR="00264C69" w:rsidRPr="00E87AD4" w:rsidRDefault="00264C69" w:rsidP="007D4761">
            <w:pPr>
              <w:pStyle w:val="Tabletext"/>
              <w:ind w:left="-99" w:right="-141"/>
              <w:jc w:val="center"/>
              <w:rPr>
                <w:rFonts w:eastAsiaTheme="minorHAnsi"/>
              </w:rPr>
            </w:pPr>
            <w:r w:rsidRPr="00E87AD4">
              <w:rPr>
                <w:rFonts w:eastAsiaTheme="minorHAnsi"/>
              </w:rPr>
              <w:t>460</w:t>
            </w:r>
          </w:p>
        </w:tc>
        <w:tc>
          <w:tcPr>
            <w:tcW w:w="654" w:type="pct"/>
            <w:tcBorders>
              <w:top w:val="nil"/>
              <w:left w:val="single" w:sz="4" w:space="0" w:color="auto"/>
              <w:bottom w:val="single" w:sz="4" w:space="0" w:color="auto"/>
              <w:right w:val="single" w:sz="4" w:space="0" w:color="auto"/>
            </w:tcBorders>
            <w:shd w:val="clear" w:color="auto" w:fill="FFFFFF" w:themeFill="background1"/>
            <w:vAlign w:val="center"/>
          </w:tcPr>
          <w:p w14:paraId="1144E77A" w14:textId="5B149D23" w:rsidR="00264C69" w:rsidRPr="00E87AD4" w:rsidRDefault="00264C69" w:rsidP="007D4761">
            <w:pPr>
              <w:pStyle w:val="Tabletext"/>
              <w:ind w:left="-99" w:right="-141"/>
              <w:jc w:val="center"/>
              <w:rPr>
                <w:rFonts w:eastAsiaTheme="minorHAnsi"/>
              </w:rPr>
            </w:pPr>
            <w:r w:rsidRPr="00E87AD4">
              <w:rPr>
                <w:rFonts w:eastAsiaTheme="minorHAnsi"/>
              </w:rPr>
              <w:t>474</w:t>
            </w:r>
          </w:p>
        </w:tc>
        <w:tc>
          <w:tcPr>
            <w:tcW w:w="652" w:type="pct"/>
            <w:tcBorders>
              <w:top w:val="nil"/>
              <w:left w:val="single" w:sz="4" w:space="0" w:color="auto"/>
              <w:bottom w:val="single" w:sz="4" w:space="0" w:color="auto"/>
            </w:tcBorders>
            <w:shd w:val="clear" w:color="auto" w:fill="FFFFFF" w:themeFill="background1"/>
            <w:vAlign w:val="center"/>
          </w:tcPr>
          <w:p w14:paraId="1B70FC74" w14:textId="7A4A7DF0" w:rsidR="00264C69" w:rsidRPr="00E87AD4" w:rsidRDefault="00264C69" w:rsidP="007D4761">
            <w:pPr>
              <w:pStyle w:val="Tabletext"/>
              <w:ind w:left="-99" w:right="-141"/>
              <w:jc w:val="center"/>
              <w:rPr>
                <w:rFonts w:eastAsiaTheme="minorHAnsi"/>
              </w:rPr>
            </w:pPr>
            <w:r w:rsidRPr="00E87AD4">
              <w:rPr>
                <w:rFonts w:eastAsiaTheme="minorHAnsi"/>
              </w:rPr>
              <w:t>489</w:t>
            </w:r>
          </w:p>
        </w:tc>
        <w:tc>
          <w:tcPr>
            <w:tcW w:w="652" w:type="pct"/>
            <w:tcBorders>
              <w:top w:val="nil"/>
              <w:left w:val="nil"/>
              <w:bottom w:val="single" w:sz="4" w:space="0" w:color="auto"/>
            </w:tcBorders>
            <w:shd w:val="clear" w:color="auto" w:fill="FFFFFF" w:themeFill="background1"/>
            <w:vAlign w:val="center"/>
          </w:tcPr>
          <w:p w14:paraId="18D021A1" w14:textId="2018A640" w:rsidR="00264C69" w:rsidRPr="00E87AD4" w:rsidRDefault="00264C69" w:rsidP="007D4761">
            <w:pPr>
              <w:pStyle w:val="Tabletext"/>
              <w:ind w:left="-99" w:right="-141"/>
              <w:jc w:val="center"/>
              <w:rPr>
                <w:rFonts w:eastAsiaTheme="minorHAnsi"/>
              </w:rPr>
            </w:pPr>
            <w:r w:rsidRPr="00E87AD4">
              <w:rPr>
                <w:rFonts w:eastAsiaTheme="minorHAnsi"/>
              </w:rPr>
              <w:t>504</w:t>
            </w:r>
          </w:p>
        </w:tc>
        <w:tc>
          <w:tcPr>
            <w:tcW w:w="681" w:type="pct"/>
            <w:tcBorders>
              <w:top w:val="nil"/>
              <w:left w:val="nil"/>
              <w:bottom w:val="single" w:sz="4" w:space="0" w:color="auto"/>
            </w:tcBorders>
            <w:shd w:val="clear" w:color="auto" w:fill="FFFFFF" w:themeFill="background1"/>
            <w:vAlign w:val="center"/>
          </w:tcPr>
          <w:p w14:paraId="4B278049" w14:textId="3A34B9D7" w:rsidR="00264C69" w:rsidRPr="00E87AD4" w:rsidRDefault="00264C69" w:rsidP="007D4761">
            <w:pPr>
              <w:pStyle w:val="Tabletext"/>
              <w:ind w:left="-99" w:right="-141"/>
              <w:jc w:val="center"/>
              <w:rPr>
                <w:rFonts w:eastAsiaTheme="minorHAnsi"/>
              </w:rPr>
            </w:pPr>
            <w:r w:rsidRPr="00E87AD4">
              <w:rPr>
                <w:rFonts w:eastAsiaTheme="minorHAnsi"/>
              </w:rPr>
              <w:t>520</w:t>
            </w:r>
          </w:p>
        </w:tc>
        <w:tc>
          <w:tcPr>
            <w:tcW w:w="680" w:type="pct"/>
            <w:tcBorders>
              <w:top w:val="nil"/>
              <w:left w:val="nil"/>
              <w:bottom w:val="single" w:sz="4" w:space="0" w:color="auto"/>
            </w:tcBorders>
            <w:shd w:val="clear" w:color="auto" w:fill="FFFFFF" w:themeFill="background1"/>
            <w:vAlign w:val="center"/>
          </w:tcPr>
          <w:p w14:paraId="65B1C8F4" w14:textId="4923AEA9" w:rsidR="00264C69" w:rsidRPr="00E87AD4" w:rsidRDefault="00264C69" w:rsidP="007D4761">
            <w:pPr>
              <w:pStyle w:val="Tabletext"/>
              <w:ind w:left="-99" w:right="-141"/>
              <w:jc w:val="center"/>
              <w:rPr>
                <w:rFonts w:eastAsiaTheme="minorHAnsi"/>
              </w:rPr>
            </w:pPr>
            <w:r>
              <w:rPr>
                <w:rFonts w:eastAsiaTheme="minorHAnsi"/>
              </w:rPr>
              <w:t>536</w:t>
            </w:r>
          </w:p>
        </w:tc>
      </w:tr>
      <w:tr w:rsidR="00264C69" w:rsidRPr="00454151" w14:paraId="35F989BA" w14:textId="70772163" w:rsidTr="00264C69">
        <w:trPr>
          <w:trHeight w:val="540"/>
        </w:trPr>
        <w:tc>
          <w:tcPr>
            <w:tcW w:w="1027" w:type="pct"/>
            <w:tcBorders>
              <w:top w:val="single" w:sz="4" w:space="0" w:color="auto"/>
              <w:bottom w:val="single" w:sz="4" w:space="0" w:color="auto"/>
            </w:tcBorders>
            <w:shd w:val="clear" w:color="auto" w:fill="FFFFFF" w:themeFill="background1"/>
            <w:vAlign w:val="center"/>
          </w:tcPr>
          <w:p w14:paraId="51ADAE52" w14:textId="6D838464" w:rsidR="00264C69" w:rsidRPr="00E87AD4" w:rsidRDefault="00264C69" w:rsidP="001E7035">
            <w:pPr>
              <w:pStyle w:val="Tabletext"/>
              <w:rPr>
                <w:rFonts w:eastAsiaTheme="minorHAnsi"/>
              </w:rPr>
            </w:pPr>
            <w:r w:rsidRPr="00E87AD4">
              <w:rPr>
                <w:rFonts w:eastAsiaTheme="minorHAnsi"/>
              </w:rPr>
              <w:t xml:space="preserve">Projected new cases who may uptake MRD </w:t>
            </w:r>
            <w:proofErr w:type="spellStart"/>
            <w:r w:rsidRPr="00E87AD4">
              <w:rPr>
                <w:rFonts w:eastAsiaTheme="minorHAnsi"/>
              </w:rPr>
              <w:t>testing</w:t>
            </w:r>
            <w:r w:rsidR="00B24351">
              <w:rPr>
                <w:rFonts w:eastAsiaTheme="minorHAnsi"/>
                <w:vertAlign w:val="superscript"/>
              </w:rPr>
              <w:t>b</w:t>
            </w:r>
            <w:proofErr w:type="spellEnd"/>
            <w:r w:rsidRPr="00E87AD4">
              <w:rPr>
                <w:rFonts w:eastAsiaTheme="minorHAnsi"/>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C5C58" w14:textId="7CC34576" w:rsidR="00264C69" w:rsidRPr="00E87AD4" w:rsidRDefault="00264C69" w:rsidP="007D4761">
            <w:pPr>
              <w:pStyle w:val="Tabletext"/>
              <w:ind w:left="-99" w:right="-141"/>
              <w:jc w:val="center"/>
              <w:rPr>
                <w:rFonts w:eastAsiaTheme="minorHAnsi"/>
              </w:rPr>
            </w:pPr>
            <w:r w:rsidRPr="00E87AD4">
              <w:rPr>
                <w:rFonts w:eastAsiaTheme="minorHAnsi"/>
              </w:rPr>
              <w:t>436</w:t>
            </w:r>
          </w:p>
          <w:p w14:paraId="4FA4A9E4" w14:textId="45A020E8" w:rsidR="00264C69" w:rsidRPr="00E87AD4" w:rsidRDefault="00264C69" w:rsidP="007D4761">
            <w:pPr>
              <w:pStyle w:val="Tabletext"/>
              <w:ind w:left="-99" w:right="-141"/>
              <w:jc w:val="center"/>
              <w:rPr>
                <w:rFonts w:eastAsiaTheme="minorHAnsi"/>
              </w:rPr>
            </w:pPr>
            <w:r w:rsidRPr="00E87AD4">
              <w:rPr>
                <w:rFonts w:eastAsiaTheme="minorHAnsi"/>
              </w:rPr>
              <w:t>(221 + 0.9*239)</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880B3" w14:textId="07902FAD" w:rsidR="00264C69" w:rsidRPr="00E87AD4" w:rsidRDefault="00264C69" w:rsidP="007D4761">
            <w:pPr>
              <w:pStyle w:val="Tabletext"/>
              <w:ind w:left="-99" w:right="-141"/>
              <w:jc w:val="center"/>
              <w:rPr>
                <w:rFonts w:eastAsiaTheme="minorHAnsi"/>
              </w:rPr>
            </w:pPr>
            <w:r w:rsidRPr="00E87AD4">
              <w:rPr>
                <w:rFonts w:eastAsiaTheme="minorHAnsi"/>
              </w:rPr>
              <w:t>449</w:t>
            </w:r>
          </w:p>
          <w:p w14:paraId="7B166013" w14:textId="54F49D9F" w:rsidR="00264C69" w:rsidRPr="00E87AD4" w:rsidRDefault="00264C69" w:rsidP="007D4761">
            <w:pPr>
              <w:pStyle w:val="Tabletext"/>
              <w:ind w:left="-99" w:right="-141"/>
              <w:jc w:val="center"/>
              <w:rPr>
                <w:rFonts w:eastAsiaTheme="minorHAnsi"/>
              </w:rPr>
            </w:pPr>
            <w:r w:rsidRPr="00E87AD4">
              <w:rPr>
                <w:rFonts w:eastAsiaTheme="minorHAnsi"/>
              </w:rPr>
              <w:t>(227 + 0.9*247)</w:t>
            </w:r>
          </w:p>
        </w:tc>
        <w:tc>
          <w:tcPr>
            <w:tcW w:w="652" w:type="pct"/>
            <w:tcBorders>
              <w:top w:val="single" w:sz="4" w:space="0" w:color="auto"/>
              <w:left w:val="single" w:sz="4" w:space="0" w:color="auto"/>
              <w:bottom w:val="single" w:sz="4" w:space="0" w:color="auto"/>
            </w:tcBorders>
            <w:shd w:val="clear" w:color="auto" w:fill="FFFFFF" w:themeFill="background1"/>
            <w:vAlign w:val="center"/>
          </w:tcPr>
          <w:p w14:paraId="6AF5243C" w14:textId="11811118" w:rsidR="00264C69" w:rsidRPr="00E87AD4" w:rsidRDefault="00264C69" w:rsidP="007D4761">
            <w:pPr>
              <w:pStyle w:val="Tabletext"/>
              <w:ind w:left="-99" w:right="-141"/>
              <w:jc w:val="center"/>
              <w:rPr>
                <w:rFonts w:eastAsiaTheme="minorHAnsi"/>
              </w:rPr>
            </w:pPr>
            <w:r w:rsidRPr="00E87AD4">
              <w:rPr>
                <w:rFonts w:eastAsiaTheme="minorHAnsi"/>
              </w:rPr>
              <w:t>463</w:t>
            </w:r>
          </w:p>
          <w:p w14:paraId="2470A759" w14:textId="1D2CDD75" w:rsidR="00264C69" w:rsidRPr="00E87AD4" w:rsidRDefault="00264C69" w:rsidP="007D4761">
            <w:pPr>
              <w:pStyle w:val="Tabletext"/>
              <w:ind w:left="-99" w:right="-141"/>
              <w:jc w:val="center"/>
              <w:rPr>
                <w:rFonts w:eastAsiaTheme="minorHAnsi"/>
              </w:rPr>
            </w:pPr>
            <w:r w:rsidRPr="00E87AD4">
              <w:rPr>
                <w:rFonts w:eastAsiaTheme="minorHAnsi"/>
              </w:rPr>
              <w:t>(235 + 0.9*254)</w:t>
            </w:r>
          </w:p>
        </w:tc>
        <w:tc>
          <w:tcPr>
            <w:tcW w:w="652" w:type="pct"/>
            <w:tcBorders>
              <w:top w:val="single" w:sz="4" w:space="0" w:color="auto"/>
              <w:left w:val="nil"/>
              <w:bottom w:val="single" w:sz="4" w:space="0" w:color="auto"/>
            </w:tcBorders>
            <w:shd w:val="clear" w:color="auto" w:fill="FFFFFF" w:themeFill="background1"/>
            <w:vAlign w:val="center"/>
          </w:tcPr>
          <w:p w14:paraId="508D28A1" w14:textId="1AD3367F" w:rsidR="00264C69" w:rsidRPr="00E87AD4" w:rsidRDefault="00264C69" w:rsidP="007D4761">
            <w:pPr>
              <w:pStyle w:val="Tabletext"/>
              <w:ind w:left="-99" w:right="-141"/>
              <w:jc w:val="center"/>
              <w:rPr>
                <w:rFonts w:eastAsiaTheme="minorHAnsi"/>
              </w:rPr>
            </w:pPr>
            <w:r w:rsidRPr="00E87AD4">
              <w:rPr>
                <w:rFonts w:eastAsiaTheme="minorHAnsi"/>
              </w:rPr>
              <w:t>478</w:t>
            </w:r>
          </w:p>
          <w:p w14:paraId="10D0D149" w14:textId="085411B1" w:rsidR="00264C69" w:rsidRPr="00E87AD4" w:rsidRDefault="00264C69" w:rsidP="007D4761">
            <w:pPr>
              <w:pStyle w:val="Tabletext"/>
              <w:ind w:left="-99" w:right="-141"/>
              <w:jc w:val="center"/>
              <w:rPr>
                <w:rFonts w:eastAsiaTheme="minorHAnsi"/>
              </w:rPr>
            </w:pPr>
            <w:r w:rsidRPr="00E87AD4">
              <w:rPr>
                <w:rFonts w:eastAsiaTheme="minorHAnsi"/>
              </w:rPr>
              <w:t>(242 + 0.9*262)</w:t>
            </w:r>
          </w:p>
        </w:tc>
        <w:tc>
          <w:tcPr>
            <w:tcW w:w="681" w:type="pct"/>
            <w:tcBorders>
              <w:top w:val="single" w:sz="4" w:space="0" w:color="auto"/>
              <w:left w:val="nil"/>
              <w:bottom w:val="single" w:sz="4" w:space="0" w:color="auto"/>
            </w:tcBorders>
            <w:shd w:val="clear" w:color="auto" w:fill="FFFFFF" w:themeFill="background1"/>
            <w:vAlign w:val="center"/>
          </w:tcPr>
          <w:p w14:paraId="6ACC3DB7" w14:textId="33DE671A" w:rsidR="00264C69" w:rsidRPr="00E87AD4" w:rsidRDefault="00264C69" w:rsidP="007D4761">
            <w:pPr>
              <w:pStyle w:val="Tabletext"/>
              <w:ind w:left="-99" w:right="-141"/>
              <w:jc w:val="center"/>
              <w:rPr>
                <w:rFonts w:eastAsiaTheme="minorHAnsi"/>
              </w:rPr>
            </w:pPr>
            <w:r w:rsidRPr="00E87AD4">
              <w:rPr>
                <w:rFonts w:eastAsiaTheme="minorHAnsi"/>
              </w:rPr>
              <w:t>493</w:t>
            </w:r>
          </w:p>
          <w:p w14:paraId="26D6D63E" w14:textId="26F6F2C5" w:rsidR="00264C69" w:rsidRPr="00E87AD4" w:rsidRDefault="00264C69" w:rsidP="007D4761">
            <w:pPr>
              <w:pStyle w:val="Tabletext"/>
              <w:ind w:left="-99" w:right="-141"/>
              <w:jc w:val="center"/>
              <w:rPr>
                <w:rFonts w:eastAsiaTheme="minorHAnsi"/>
              </w:rPr>
            </w:pPr>
            <w:r w:rsidRPr="00E87AD4">
              <w:rPr>
                <w:rFonts w:eastAsiaTheme="minorHAnsi"/>
              </w:rPr>
              <w:t>(249 + 0.9*270)</w:t>
            </w:r>
          </w:p>
        </w:tc>
        <w:tc>
          <w:tcPr>
            <w:tcW w:w="680" w:type="pct"/>
            <w:tcBorders>
              <w:top w:val="single" w:sz="4" w:space="0" w:color="auto"/>
              <w:left w:val="nil"/>
              <w:bottom w:val="single" w:sz="4" w:space="0" w:color="auto"/>
            </w:tcBorders>
            <w:shd w:val="clear" w:color="auto" w:fill="FFFFFF" w:themeFill="background1"/>
            <w:vAlign w:val="center"/>
          </w:tcPr>
          <w:p w14:paraId="173EA916" w14:textId="72BF3341" w:rsidR="00264C69" w:rsidRDefault="00264C69" w:rsidP="007D4761">
            <w:pPr>
              <w:pStyle w:val="Tabletext"/>
              <w:ind w:left="-99" w:right="-141"/>
              <w:jc w:val="center"/>
              <w:rPr>
                <w:rFonts w:eastAsiaTheme="minorHAnsi"/>
              </w:rPr>
            </w:pPr>
            <w:r>
              <w:rPr>
                <w:rFonts w:eastAsiaTheme="minorHAnsi"/>
              </w:rPr>
              <w:t>535</w:t>
            </w:r>
          </w:p>
          <w:p w14:paraId="2548D09F" w14:textId="05A49D99" w:rsidR="00264C69" w:rsidRPr="00E87AD4" w:rsidRDefault="00264C69" w:rsidP="007D4761">
            <w:pPr>
              <w:pStyle w:val="Tabletext"/>
              <w:ind w:left="-99" w:right="-141"/>
              <w:jc w:val="center"/>
              <w:rPr>
                <w:rFonts w:eastAsiaTheme="minorHAnsi"/>
              </w:rPr>
            </w:pPr>
            <w:r>
              <w:rPr>
                <w:rFonts w:eastAsiaTheme="minorHAnsi"/>
              </w:rPr>
              <w:t>(257 + 0.9*278)</w:t>
            </w:r>
          </w:p>
        </w:tc>
      </w:tr>
      <w:tr w:rsidR="00264C69" w:rsidRPr="00454151" w14:paraId="39221802" w14:textId="75782EC3" w:rsidTr="00264C69">
        <w:trPr>
          <w:trHeight w:val="540"/>
        </w:trPr>
        <w:tc>
          <w:tcPr>
            <w:tcW w:w="1027" w:type="pct"/>
            <w:tcBorders>
              <w:top w:val="single" w:sz="4" w:space="0" w:color="auto"/>
              <w:bottom w:val="single" w:sz="4" w:space="0" w:color="auto"/>
            </w:tcBorders>
            <w:shd w:val="clear" w:color="auto" w:fill="FFFFFF" w:themeFill="background1"/>
            <w:vAlign w:val="center"/>
          </w:tcPr>
          <w:p w14:paraId="4AFE3F6F" w14:textId="697AE9DC" w:rsidR="00264C69" w:rsidRPr="00E87AD4" w:rsidRDefault="00F45DE5" w:rsidP="00E87AD4">
            <w:pPr>
              <w:pStyle w:val="Tabletext"/>
              <w:rPr>
                <w:rFonts w:eastAsiaTheme="minorHAnsi"/>
              </w:rPr>
            </w:pPr>
            <w:r>
              <w:rPr>
                <w:rFonts w:eastAsiaTheme="minorHAnsi"/>
              </w:rPr>
              <w:t xml:space="preserve">Projected relapsed </w:t>
            </w:r>
            <w:proofErr w:type="spellStart"/>
            <w:r>
              <w:rPr>
                <w:rFonts w:eastAsiaTheme="minorHAnsi"/>
              </w:rPr>
              <w:t>cases</w:t>
            </w:r>
            <w:r w:rsidR="00B24351">
              <w:rPr>
                <w:rFonts w:eastAsiaTheme="minorHAnsi"/>
                <w:vertAlign w:val="superscript"/>
              </w:rPr>
              <w:t>c</w:t>
            </w:r>
            <w:proofErr w:type="spellEnd"/>
            <w:r>
              <w:rPr>
                <w:rFonts w:eastAsiaTheme="minorHAnsi"/>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1CF1B" w14:textId="7626166D" w:rsidR="00FF5A89" w:rsidRDefault="004B3096" w:rsidP="007D4761">
            <w:pPr>
              <w:pStyle w:val="Tabletext"/>
              <w:ind w:left="-99" w:right="-141"/>
              <w:jc w:val="center"/>
              <w:rPr>
                <w:rFonts w:eastAsiaTheme="minorHAnsi"/>
              </w:rPr>
            </w:pPr>
            <w:r>
              <w:rPr>
                <w:rFonts w:eastAsiaTheme="minorHAnsi"/>
              </w:rPr>
              <w:t>124</w:t>
            </w:r>
          </w:p>
          <w:p w14:paraId="16D468AF" w14:textId="31F2BF21" w:rsidR="00264C69" w:rsidRPr="00E87AD4" w:rsidRDefault="00FF5A89" w:rsidP="007D4761">
            <w:pPr>
              <w:pStyle w:val="Tabletext"/>
              <w:ind w:left="-99" w:right="-141"/>
              <w:jc w:val="center"/>
              <w:rPr>
                <w:rFonts w:eastAsiaTheme="minorHAnsi"/>
              </w:rPr>
            </w:pPr>
            <w:r>
              <w:rPr>
                <w:rFonts w:eastAsiaTheme="minorHAnsi"/>
              </w:rPr>
              <w:t>(</w:t>
            </w:r>
            <w:r w:rsidR="004B3096">
              <w:rPr>
                <w:rFonts w:eastAsiaTheme="minorHAnsi"/>
              </w:rPr>
              <w:t>14 + 21</w:t>
            </w:r>
            <w:r>
              <w:rPr>
                <w:rFonts w:eastAsiaTheme="minorHAnsi"/>
              </w:rPr>
              <w:t xml:space="preserve"> + 89)</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9DD72" w14:textId="2E374677" w:rsidR="00FF5A89" w:rsidRDefault="004B3096" w:rsidP="007D4761">
            <w:pPr>
              <w:pStyle w:val="Tabletext"/>
              <w:ind w:left="-99" w:right="-141"/>
              <w:jc w:val="center"/>
              <w:rPr>
                <w:rFonts w:eastAsiaTheme="minorHAnsi"/>
              </w:rPr>
            </w:pPr>
            <w:r>
              <w:rPr>
                <w:rFonts w:eastAsiaTheme="minorHAnsi"/>
              </w:rPr>
              <w:t>127</w:t>
            </w:r>
          </w:p>
          <w:p w14:paraId="6DC0AF81" w14:textId="0227264C" w:rsidR="00264C69" w:rsidRPr="00E87AD4" w:rsidRDefault="00FF5A89" w:rsidP="007D4761">
            <w:pPr>
              <w:pStyle w:val="Tabletext"/>
              <w:ind w:left="-99" w:right="-141"/>
              <w:jc w:val="center"/>
              <w:rPr>
                <w:rFonts w:eastAsiaTheme="minorHAnsi"/>
              </w:rPr>
            </w:pPr>
            <w:r>
              <w:rPr>
                <w:rFonts w:eastAsiaTheme="minorHAnsi"/>
              </w:rPr>
              <w:t>(</w:t>
            </w:r>
            <w:r w:rsidR="004B3096">
              <w:rPr>
                <w:rFonts w:eastAsiaTheme="minorHAnsi"/>
              </w:rPr>
              <w:t>15 + 21</w:t>
            </w:r>
            <w:r>
              <w:rPr>
                <w:rFonts w:eastAsiaTheme="minorHAnsi"/>
              </w:rPr>
              <w:t xml:space="preserve"> + 91)</w:t>
            </w:r>
          </w:p>
        </w:tc>
        <w:tc>
          <w:tcPr>
            <w:tcW w:w="652" w:type="pct"/>
            <w:tcBorders>
              <w:top w:val="single" w:sz="4" w:space="0" w:color="auto"/>
              <w:left w:val="single" w:sz="4" w:space="0" w:color="auto"/>
              <w:bottom w:val="single" w:sz="4" w:space="0" w:color="auto"/>
            </w:tcBorders>
            <w:shd w:val="clear" w:color="auto" w:fill="FFFFFF" w:themeFill="background1"/>
            <w:vAlign w:val="center"/>
          </w:tcPr>
          <w:p w14:paraId="4611F0F2" w14:textId="1997083E" w:rsidR="00FF5A89" w:rsidRDefault="004B3096" w:rsidP="007D4761">
            <w:pPr>
              <w:pStyle w:val="Tabletext"/>
              <w:ind w:left="-99" w:right="-141"/>
              <w:jc w:val="center"/>
              <w:rPr>
                <w:rFonts w:eastAsiaTheme="minorHAnsi"/>
              </w:rPr>
            </w:pPr>
            <w:r>
              <w:rPr>
                <w:rFonts w:eastAsiaTheme="minorHAnsi"/>
              </w:rPr>
              <w:t>133</w:t>
            </w:r>
          </w:p>
          <w:p w14:paraId="1419CEF8" w14:textId="7980BD98" w:rsidR="00264C69" w:rsidRPr="00E87AD4" w:rsidRDefault="00FF5A89" w:rsidP="007D4761">
            <w:pPr>
              <w:pStyle w:val="Tabletext"/>
              <w:ind w:left="-99" w:right="-141"/>
              <w:jc w:val="center"/>
              <w:rPr>
                <w:rFonts w:eastAsiaTheme="minorHAnsi"/>
              </w:rPr>
            </w:pPr>
            <w:r>
              <w:rPr>
                <w:rFonts w:eastAsiaTheme="minorHAnsi"/>
              </w:rPr>
              <w:t>(</w:t>
            </w:r>
            <w:r w:rsidR="004B3096">
              <w:rPr>
                <w:rFonts w:eastAsiaTheme="minorHAnsi"/>
              </w:rPr>
              <w:t>15 + 22</w:t>
            </w:r>
            <w:r>
              <w:rPr>
                <w:rFonts w:eastAsiaTheme="minorHAnsi"/>
              </w:rPr>
              <w:t xml:space="preserve"> + 95)</w:t>
            </w:r>
          </w:p>
        </w:tc>
        <w:tc>
          <w:tcPr>
            <w:tcW w:w="652" w:type="pct"/>
            <w:tcBorders>
              <w:top w:val="single" w:sz="4" w:space="0" w:color="auto"/>
              <w:left w:val="nil"/>
              <w:bottom w:val="single" w:sz="4" w:space="0" w:color="auto"/>
            </w:tcBorders>
            <w:shd w:val="clear" w:color="auto" w:fill="FFFFFF" w:themeFill="background1"/>
            <w:vAlign w:val="center"/>
          </w:tcPr>
          <w:p w14:paraId="516D35C5" w14:textId="5223F12A" w:rsidR="00FF5A89" w:rsidRDefault="004B3096" w:rsidP="007D4761">
            <w:pPr>
              <w:pStyle w:val="Tabletext"/>
              <w:ind w:left="-99" w:right="-141"/>
              <w:jc w:val="center"/>
              <w:rPr>
                <w:rFonts w:eastAsiaTheme="minorHAnsi"/>
              </w:rPr>
            </w:pPr>
            <w:r>
              <w:rPr>
                <w:rFonts w:eastAsiaTheme="minorHAnsi"/>
              </w:rPr>
              <w:t>137</w:t>
            </w:r>
          </w:p>
          <w:p w14:paraId="3D25B12C" w14:textId="37DCB818" w:rsidR="00264C69" w:rsidRPr="00E87AD4" w:rsidRDefault="00FF5A89" w:rsidP="007D4761">
            <w:pPr>
              <w:pStyle w:val="Tabletext"/>
              <w:ind w:left="-99" w:right="-141"/>
              <w:jc w:val="center"/>
              <w:rPr>
                <w:rFonts w:eastAsiaTheme="minorHAnsi"/>
              </w:rPr>
            </w:pPr>
            <w:r>
              <w:rPr>
                <w:rFonts w:eastAsiaTheme="minorHAnsi"/>
              </w:rPr>
              <w:t>(</w:t>
            </w:r>
            <w:r w:rsidR="004B3096">
              <w:rPr>
                <w:rFonts w:eastAsiaTheme="minorHAnsi"/>
              </w:rPr>
              <w:t>16 + 23</w:t>
            </w:r>
            <w:r>
              <w:rPr>
                <w:rFonts w:eastAsiaTheme="minorHAnsi"/>
              </w:rPr>
              <w:t xml:space="preserve"> + 98)</w:t>
            </w:r>
          </w:p>
        </w:tc>
        <w:tc>
          <w:tcPr>
            <w:tcW w:w="681" w:type="pct"/>
            <w:tcBorders>
              <w:top w:val="single" w:sz="4" w:space="0" w:color="auto"/>
              <w:left w:val="nil"/>
              <w:bottom w:val="single" w:sz="4" w:space="0" w:color="auto"/>
            </w:tcBorders>
            <w:shd w:val="clear" w:color="auto" w:fill="FFFFFF" w:themeFill="background1"/>
            <w:vAlign w:val="center"/>
          </w:tcPr>
          <w:p w14:paraId="33F0A4FE" w14:textId="47E7AC67" w:rsidR="00FF5A89" w:rsidRDefault="004B3096" w:rsidP="007D4761">
            <w:pPr>
              <w:pStyle w:val="Tabletext"/>
              <w:ind w:left="-99" w:right="-141"/>
              <w:jc w:val="center"/>
              <w:rPr>
                <w:rFonts w:eastAsiaTheme="minorHAnsi"/>
              </w:rPr>
            </w:pPr>
            <w:r>
              <w:rPr>
                <w:rFonts w:eastAsiaTheme="minorHAnsi"/>
              </w:rPr>
              <w:t>141</w:t>
            </w:r>
          </w:p>
          <w:p w14:paraId="6A0ABDD9" w14:textId="7682E045" w:rsidR="00264C69" w:rsidRPr="00E87AD4" w:rsidRDefault="00FF5A89" w:rsidP="007D4761">
            <w:pPr>
              <w:pStyle w:val="Tabletext"/>
              <w:ind w:left="-99" w:right="-141"/>
              <w:jc w:val="center"/>
              <w:rPr>
                <w:rFonts w:eastAsiaTheme="minorHAnsi"/>
              </w:rPr>
            </w:pPr>
            <w:r>
              <w:rPr>
                <w:rFonts w:eastAsiaTheme="minorHAnsi"/>
              </w:rPr>
              <w:t>(</w:t>
            </w:r>
            <w:r w:rsidR="004B3096">
              <w:rPr>
                <w:rFonts w:eastAsiaTheme="minorHAnsi"/>
              </w:rPr>
              <w:t>16 + 24</w:t>
            </w:r>
            <w:r>
              <w:rPr>
                <w:rFonts w:eastAsiaTheme="minorHAnsi"/>
              </w:rPr>
              <w:t xml:space="preserve"> + 101)</w:t>
            </w:r>
          </w:p>
        </w:tc>
        <w:tc>
          <w:tcPr>
            <w:tcW w:w="680" w:type="pct"/>
            <w:tcBorders>
              <w:top w:val="single" w:sz="4" w:space="0" w:color="auto"/>
              <w:left w:val="nil"/>
              <w:bottom w:val="single" w:sz="4" w:space="0" w:color="auto"/>
            </w:tcBorders>
            <w:shd w:val="clear" w:color="auto" w:fill="FFFFFF" w:themeFill="background1"/>
            <w:vAlign w:val="center"/>
          </w:tcPr>
          <w:p w14:paraId="67889C5F" w14:textId="1DCDC496" w:rsidR="00FF5A89" w:rsidRDefault="004B3096" w:rsidP="007D4761">
            <w:pPr>
              <w:pStyle w:val="Tabletext"/>
              <w:ind w:left="-99" w:right="-141"/>
              <w:jc w:val="center"/>
              <w:rPr>
                <w:rFonts w:eastAsiaTheme="minorHAnsi"/>
              </w:rPr>
            </w:pPr>
            <w:r>
              <w:rPr>
                <w:rFonts w:eastAsiaTheme="minorHAnsi"/>
              </w:rPr>
              <w:t>146</w:t>
            </w:r>
          </w:p>
          <w:p w14:paraId="1EA6E83A" w14:textId="32702857" w:rsidR="00264C69" w:rsidRDefault="00FF5A89" w:rsidP="007D4761">
            <w:pPr>
              <w:pStyle w:val="Tabletext"/>
              <w:ind w:left="-99" w:right="-141"/>
              <w:jc w:val="center"/>
              <w:rPr>
                <w:rFonts w:eastAsiaTheme="minorHAnsi"/>
              </w:rPr>
            </w:pPr>
            <w:r>
              <w:rPr>
                <w:rFonts w:eastAsiaTheme="minorHAnsi"/>
              </w:rPr>
              <w:t>(</w:t>
            </w:r>
            <w:r w:rsidR="004B3096">
              <w:rPr>
                <w:rFonts w:eastAsiaTheme="minorHAnsi"/>
              </w:rPr>
              <w:t>17 + 25</w:t>
            </w:r>
            <w:r>
              <w:rPr>
                <w:rFonts w:eastAsiaTheme="minorHAnsi"/>
              </w:rPr>
              <w:t xml:space="preserve"> + 104)</w:t>
            </w:r>
          </w:p>
        </w:tc>
      </w:tr>
      <w:tr w:rsidR="00264C69" w:rsidRPr="00454151" w14:paraId="34FB23F9" w14:textId="0427B671" w:rsidTr="00264C69">
        <w:trPr>
          <w:trHeight w:val="540"/>
        </w:trPr>
        <w:tc>
          <w:tcPr>
            <w:tcW w:w="1027" w:type="pct"/>
            <w:tcBorders>
              <w:top w:val="single" w:sz="4" w:space="0" w:color="auto"/>
              <w:bottom w:val="single" w:sz="4" w:space="0" w:color="auto"/>
            </w:tcBorders>
            <w:shd w:val="clear" w:color="auto" w:fill="FFFFFF" w:themeFill="background1"/>
            <w:vAlign w:val="center"/>
          </w:tcPr>
          <w:p w14:paraId="76A353F1" w14:textId="3647F515" w:rsidR="00264C69" w:rsidRPr="00623078" w:rsidRDefault="00FF5A89" w:rsidP="00E87AD4">
            <w:pPr>
              <w:pStyle w:val="Tabletext"/>
              <w:rPr>
                <w:rFonts w:eastAsiaTheme="minorHAnsi"/>
                <w:vertAlign w:val="superscript"/>
              </w:rPr>
            </w:pPr>
            <w:r>
              <w:rPr>
                <w:rFonts w:eastAsiaTheme="minorHAnsi"/>
              </w:rPr>
              <w:t xml:space="preserve">Projected total </w:t>
            </w:r>
            <w:proofErr w:type="spellStart"/>
            <w:r>
              <w:rPr>
                <w:rFonts w:eastAsiaTheme="minorHAnsi"/>
              </w:rPr>
              <w:t>cases</w:t>
            </w:r>
            <w:r w:rsidR="00B24351">
              <w:rPr>
                <w:rFonts w:eastAsiaTheme="minorHAnsi"/>
                <w:vertAlign w:val="superscript"/>
              </w:rPr>
              <w:t>d</w:t>
            </w:r>
            <w:proofErr w:type="spellEnd"/>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3278" w14:textId="13C853FF" w:rsidR="00264C69" w:rsidRDefault="00823108" w:rsidP="007D4761">
            <w:pPr>
              <w:pStyle w:val="Tabletext"/>
              <w:ind w:left="-99" w:right="-141"/>
              <w:jc w:val="center"/>
              <w:rPr>
                <w:rFonts w:eastAsiaTheme="minorHAnsi"/>
              </w:rPr>
            </w:pPr>
            <w:r>
              <w:rPr>
                <w:rFonts w:eastAsiaTheme="minorHAnsi"/>
              </w:rPr>
              <w:t>560</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5116A" w14:textId="074B0E92" w:rsidR="00264C69" w:rsidRDefault="00823108" w:rsidP="007D4761">
            <w:pPr>
              <w:pStyle w:val="Tabletext"/>
              <w:ind w:left="-99" w:right="-141"/>
              <w:jc w:val="center"/>
              <w:rPr>
                <w:rFonts w:eastAsiaTheme="minorHAnsi"/>
              </w:rPr>
            </w:pPr>
            <w:r>
              <w:rPr>
                <w:rFonts w:eastAsiaTheme="minorHAnsi"/>
              </w:rPr>
              <w:t>576</w:t>
            </w:r>
          </w:p>
        </w:tc>
        <w:tc>
          <w:tcPr>
            <w:tcW w:w="652" w:type="pct"/>
            <w:tcBorders>
              <w:top w:val="single" w:sz="4" w:space="0" w:color="auto"/>
              <w:left w:val="single" w:sz="4" w:space="0" w:color="auto"/>
              <w:bottom w:val="single" w:sz="4" w:space="0" w:color="auto"/>
            </w:tcBorders>
            <w:shd w:val="clear" w:color="auto" w:fill="FFFFFF" w:themeFill="background1"/>
            <w:vAlign w:val="center"/>
          </w:tcPr>
          <w:p w14:paraId="2249F809" w14:textId="657A9B9A" w:rsidR="00264C69" w:rsidRDefault="00823108" w:rsidP="007D4761">
            <w:pPr>
              <w:pStyle w:val="Tabletext"/>
              <w:ind w:left="-99" w:right="-141"/>
              <w:jc w:val="center"/>
              <w:rPr>
                <w:rFonts w:eastAsiaTheme="minorHAnsi"/>
              </w:rPr>
            </w:pPr>
            <w:r>
              <w:rPr>
                <w:rFonts w:eastAsiaTheme="minorHAnsi"/>
              </w:rPr>
              <w:t>596</w:t>
            </w:r>
          </w:p>
        </w:tc>
        <w:tc>
          <w:tcPr>
            <w:tcW w:w="652" w:type="pct"/>
            <w:tcBorders>
              <w:top w:val="single" w:sz="4" w:space="0" w:color="auto"/>
              <w:left w:val="nil"/>
              <w:bottom w:val="single" w:sz="4" w:space="0" w:color="auto"/>
            </w:tcBorders>
            <w:shd w:val="clear" w:color="auto" w:fill="FFFFFF" w:themeFill="background1"/>
            <w:vAlign w:val="center"/>
          </w:tcPr>
          <w:p w14:paraId="0ABD33BC" w14:textId="2BB0555D" w:rsidR="00264C69" w:rsidRDefault="00823108" w:rsidP="007D4761">
            <w:pPr>
              <w:pStyle w:val="Tabletext"/>
              <w:ind w:left="-99" w:right="-141"/>
              <w:jc w:val="center"/>
              <w:rPr>
                <w:rFonts w:eastAsiaTheme="minorHAnsi"/>
              </w:rPr>
            </w:pPr>
            <w:r>
              <w:rPr>
                <w:rFonts w:eastAsiaTheme="minorHAnsi"/>
              </w:rPr>
              <w:t>615</w:t>
            </w:r>
          </w:p>
        </w:tc>
        <w:tc>
          <w:tcPr>
            <w:tcW w:w="681" w:type="pct"/>
            <w:tcBorders>
              <w:top w:val="single" w:sz="4" w:space="0" w:color="auto"/>
              <w:left w:val="nil"/>
              <w:bottom w:val="single" w:sz="4" w:space="0" w:color="auto"/>
            </w:tcBorders>
            <w:shd w:val="clear" w:color="auto" w:fill="FFFFFF" w:themeFill="background1"/>
            <w:vAlign w:val="center"/>
          </w:tcPr>
          <w:p w14:paraId="17766B32" w14:textId="26C79246" w:rsidR="00264C69" w:rsidRDefault="00823108" w:rsidP="007D4761">
            <w:pPr>
              <w:pStyle w:val="Tabletext"/>
              <w:ind w:left="-99" w:right="-141"/>
              <w:jc w:val="center"/>
              <w:rPr>
                <w:rFonts w:eastAsiaTheme="minorHAnsi"/>
              </w:rPr>
            </w:pPr>
            <w:r>
              <w:rPr>
                <w:rFonts w:eastAsiaTheme="minorHAnsi"/>
              </w:rPr>
              <w:t>634</w:t>
            </w:r>
          </w:p>
        </w:tc>
        <w:tc>
          <w:tcPr>
            <w:tcW w:w="680" w:type="pct"/>
            <w:tcBorders>
              <w:top w:val="single" w:sz="4" w:space="0" w:color="auto"/>
              <w:left w:val="nil"/>
              <w:bottom w:val="single" w:sz="4" w:space="0" w:color="auto"/>
            </w:tcBorders>
            <w:shd w:val="clear" w:color="auto" w:fill="FFFFFF" w:themeFill="background1"/>
            <w:vAlign w:val="center"/>
          </w:tcPr>
          <w:p w14:paraId="028EB777" w14:textId="514357D4" w:rsidR="00264C69" w:rsidRDefault="00823108" w:rsidP="007D4761">
            <w:pPr>
              <w:pStyle w:val="Tabletext"/>
              <w:ind w:left="-99" w:right="-141"/>
              <w:jc w:val="center"/>
              <w:rPr>
                <w:rFonts w:eastAsiaTheme="minorHAnsi"/>
              </w:rPr>
            </w:pPr>
            <w:r>
              <w:rPr>
                <w:rFonts w:eastAsiaTheme="minorHAnsi"/>
              </w:rPr>
              <w:t>681</w:t>
            </w:r>
          </w:p>
        </w:tc>
      </w:tr>
    </w:tbl>
    <w:p w14:paraId="54083174" w14:textId="77777777" w:rsidR="00B24351" w:rsidRDefault="00B24351" w:rsidP="00B24351">
      <w:pPr>
        <w:pStyle w:val="TableFooter"/>
      </w:pPr>
      <w:r>
        <w:rPr>
          <w:vertAlign w:val="superscript"/>
        </w:rPr>
        <w:t xml:space="preserve">s </w:t>
      </w:r>
      <w:r w:rsidRPr="00E87AD4">
        <w:rPr>
          <w:rFonts w:eastAsiaTheme="minorHAnsi"/>
        </w:rPr>
        <w:t>(based on AIHW projections for 2021 and assumption of 3.1% growth)</w:t>
      </w:r>
    </w:p>
    <w:p w14:paraId="595E0C33" w14:textId="77777777" w:rsidR="00B24351" w:rsidRDefault="00B24351" w:rsidP="00B24351">
      <w:pPr>
        <w:pStyle w:val="TableFooter"/>
      </w:pPr>
      <w:r>
        <w:rPr>
          <w:vertAlign w:val="superscript"/>
        </w:rPr>
        <w:t xml:space="preserve">b </w:t>
      </w:r>
      <w:r w:rsidRPr="00E87AD4">
        <w:rPr>
          <w:rFonts w:eastAsiaTheme="minorHAnsi"/>
        </w:rPr>
        <w:t xml:space="preserve">(based on 100% of 0-14 years </w:t>
      </w:r>
      <w:proofErr w:type="spellStart"/>
      <w:r w:rsidRPr="00E87AD4">
        <w:rPr>
          <w:rFonts w:eastAsiaTheme="minorHAnsi"/>
        </w:rPr>
        <w:t>olds</w:t>
      </w:r>
      <w:proofErr w:type="spellEnd"/>
      <w:r w:rsidRPr="00E87AD4">
        <w:rPr>
          <w:rFonts w:eastAsiaTheme="minorHAnsi"/>
        </w:rPr>
        <w:t xml:space="preserve">, and 90% of 15+ year </w:t>
      </w:r>
      <w:proofErr w:type="spellStart"/>
      <w:r w:rsidRPr="00E87AD4">
        <w:rPr>
          <w:rFonts w:eastAsiaTheme="minorHAnsi"/>
        </w:rPr>
        <w:t>olds</w:t>
      </w:r>
      <w:proofErr w:type="spellEnd"/>
      <w:r w:rsidRPr="00E87AD4">
        <w:rPr>
          <w:rFonts w:eastAsiaTheme="minorHAnsi"/>
        </w:rPr>
        <w:t>)</w:t>
      </w:r>
    </w:p>
    <w:p w14:paraId="0806F14C" w14:textId="77777777" w:rsidR="00B24351" w:rsidRDefault="00B24351" w:rsidP="00B24351">
      <w:pPr>
        <w:pStyle w:val="TableFooter"/>
      </w:pPr>
      <w:r>
        <w:rPr>
          <w:vertAlign w:val="superscript"/>
        </w:rPr>
        <w:t xml:space="preserve">c </w:t>
      </w:r>
      <w:r>
        <w:rPr>
          <w:rFonts w:eastAsiaTheme="minorHAnsi"/>
        </w:rPr>
        <w:t xml:space="preserve">(based on 50% relapse in those aged ≤12 months, 10% relapse in 1-18 year </w:t>
      </w:r>
      <w:proofErr w:type="spellStart"/>
      <w:r>
        <w:rPr>
          <w:rFonts w:eastAsiaTheme="minorHAnsi"/>
        </w:rPr>
        <w:t>olds</w:t>
      </w:r>
      <w:proofErr w:type="spellEnd"/>
      <w:r>
        <w:rPr>
          <w:rFonts w:eastAsiaTheme="minorHAnsi"/>
        </w:rPr>
        <w:t xml:space="preserve">, and 50% of 19+ year </w:t>
      </w:r>
      <w:proofErr w:type="spellStart"/>
      <w:r>
        <w:rPr>
          <w:rFonts w:eastAsiaTheme="minorHAnsi"/>
        </w:rPr>
        <w:t>olds</w:t>
      </w:r>
      <w:proofErr w:type="spellEnd"/>
      <w:r>
        <w:rPr>
          <w:rFonts w:eastAsiaTheme="minorHAnsi"/>
        </w:rPr>
        <w:t xml:space="preserve"> from incident cases 3 years prior)</w:t>
      </w:r>
    </w:p>
    <w:p w14:paraId="7AD24530" w14:textId="26C9D65B" w:rsidR="00BD4127" w:rsidRPr="00515D0F" w:rsidRDefault="00B24351" w:rsidP="00CA146F">
      <w:pPr>
        <w:pStyle w:val="TableFooter"/>
      </w:pPr>
      <w:r>
        <w:rPr>
          <w:vertAlign w:val="superscript"/>
        </w:rPr>
        <w:t xml:space="preserve">d </w:t>
      </w:r>
      <w:r>
        <w:t>Sum of new cases who uptake MRD testing and relapsed cases</w:t>
      </w:r>
    </w:p>
    <w:p w14:paraId="4CA8C5A5" w14:textId="6A97273B" w:rsidR="00EF2934" w:rsidRDefault="007A66C8" w:rsidP="00C23BF2">
      <w:pPr>
        <w:pStyle w:val="Heading3"/>
      </w:pPr>
      <w:r w:rsidRPr="008F1532">
        <w:t>Intervention</w:t>
      </w:r>
      <w:r w:rsidR="001A5196">
        <w:t>s</w:t>
      </w:r>
    </w:p>
    <w:p w14:paraId="4FDFE169" w14:textId="7E896DF4" w:rsidR="00FD21E6" w:rsidRPr="00FD21E6" w:rsidRDefault="00A7221C" w:rsidP="00A7221C">
      <w:pPr>
        <w:rPr>
          <w:i/>
        </w:rPr>
      </w:pPr>
      <w:r w:rsidRPr="00437BDC">
        <w:rPr>
          <w:b/>
        </w:rPr>
        <w:t xml:space="preserve">The proposed intervention for application 1703 is MRD testing, using </w:t>
      </w:r>
      <w:proofErr w:type="spellStart"/>
      <w:r w:rsidR="00B278A5">
        <w:rPr>
          <w:b/>
        </w:rPr>
        <w:t>mpFC</w:t>
      </w:r>
      <w:proofErr w:type="spellEnd"/>
      <w:r w:rsidR="00B278A5">
        <w:rPr>
          <w:b/>
        </w:rPr>
        <w:t>,</w:t>
      </w:r>
      <w:r w:rsidRPr="00437BDC">
        <w:rPr>
          <w:b/>
        </w:rPr>
        <w:t xml:space="preserve"> or molecular methods</w:t>
      </w:r>
      <w:r w:rsidR="007E1662">
        <w:rPr>
          <w:b/>
        </w:rPr>
        <w:t>.</w:t>
      </w:r>
      <w:r w:rsidR="005778A4" w:rsidRPr="00437BDC">
        <w:rPr>
          <w:b/>
        </w:rPr>
        <w:t xml:space="preserve"> </w:t>
      </w:r>
    </w:p>
    <w:p w14:paraId="16A216DC" w14:textId="670B6CEA" w:rsidR="00A36685" w:rsidRDefault="004F6EE2" w:rsidP="00A7221C">
      <w:r>
        <w:t xml:space="preserve">MRD </w:t>
      </w:r>
      <w:r w:rsidR="0061307A">
        <w:t xml:space="preserve">testing </w:t>
      </w:r>
      <w:r>
        <w:t>detects the presence of, and quantifies, malignant</w:t>
      </w:r>
      <w:r w:rsidR="00504B70">
        <w:t xml:space="preserve"> (precursor)</w:t>
      </w:r>
      <w:r>
        <w:t xml:space="preserve"> B- or T-cells in a patient</w:t>
      </w:r>
      <w:r w:rsidR="00B278A5">
        <w:t>’</w:t>
      </w:r>
      <w:r>
        <w:t xml:space="preserve">s body. This information is used to determine the person’s prognosis, </w:t>
      </w:r>
      <w:r w:rsidR="00D82880">
        <w:t>predict how beneficial treatment is likely to be</w:t>
      </w:r>
      <w:r>
        <w:t xml:space="preserve">, </w:t>
      </w:r>
      <w:r w:rsidR="00334D82">
        <w:t>and</w:t>
      </w:r>
      <w:r w:rsidR="00F469C6">
        <w:t xml:space="preserve"> monitor response to treatment. All of these factors are used to inform treatment decisions across the treatment pathway.</w:t>
      </w:r>
    </w:p>
    <w:p w14:paraId="30DEF107" w14:textId="77777777" w:rsidR="00136606" w:rsidRDefault="00F329A8" w:rsidP="001C766D">
      <w:r>
        <w:t xml:space="preserve">Although not currently </w:t>
      </w:r>
      <w:r w:rsidR="00FB7870">
        <w:t>MBS-listed,</w:t>
      </w:r>
      <w:r>
        <w:t xml:space="preserve"> MRD testing </w:t>
      </w:r>
      <w:r w:rsidR="00FB7870">
        <w:t xml:space="preserve">has been standard practice for children with ALL in Australia for more than 10 years </w:t>
      </w:r>
      <w:r w:rsidR="005825DE">
        <w:fldChar w:fldCharType="begin"/>
      </w:r>
      <w:r w:rsidR="005825DE">
        <w:instrText xml:space="preserve"> ADDIN EN.CITE &lt;EndNote&gt;&lt;Cite&gt;&lt;Author&gt;RCPA&lt;/Author&gt;&lt;Year&gt;2022&lt;/Year&gt;&lt;RecNum&gt;10&lt;/RecNum&gt;&lt;DisplayText&gt;(RCPA 2022)&lt;/DisplayText&gt;&lt;record&gt;&lt;rec-number&gt;10&lt;/rec-number&gt;&lt;foreign-keys&gt;&lt;key app="EN" db-id="9r2v5a9alpsw54edwfqp9pte925d5pfszed2" timestamp="1644548809"&gt;10&lt;/key&gt;&lt;/foreign-keys&gt;&lt;ref-type name="Serial"&gt;57&lt;/ref-type&gt;&lt;contributors&gt;&lt;authors&gt;&lt;author&gt;RCPA&lt;/author&gt;&lt;/authors&gt;&lt;/contributors&gt;&lt;titles&gt;&lt;title&gt;Detection of minimal residual disease in patients with acute lymphoblastic leukaemia&lt;/title&gt;&lt;secondary-title&gt;Application to the MSAC&lt;/secondary-title&gt;&lt;/titles&gt;&lt;dates&gt;&lt;year&gt;2022&lt;/year&gt;&lt;/dates&gt;&lt;urls&gt;&lt;/urls&gt;&lt;/record&gt;&lt;/Cite&gt;&lt;/EndNote&gt;</w:instrText>
      </w:r>
      <w:r w:rsidR="005825DE">
        <w:fldChar w:fldCharType="separate"/>
      </w:r>
      <w:r w:rsidR="005825DE">
        <w:rPr>
          <w:noProof/>
        </w:rPr>
        <w:t>(RCPA 2022)</w:t>
      </w:r>
      <w:r w:rsidR="005825DE">
        <w:fldChar w:fldCharType="end"/>
      </w:r>
      <w:r w:rsidR="00FB7870">
        <w:t>.</w:t>
      </w:r>
      <w:r w:rsidR="0012662C">
        <w:t xml:space="preserve"> </w:t>
      </w:r>
      <w:r w:rsidR="00FF656B">
        <w:t>MRD testing is performed in addition to morphological assessment</w:t>
      </w:r>
      <w:r w:rsidR="009D4A6C">
        <w:t xml:space="preserve"> ± cytogenetic analysis</w:t>
      </w:r>
      <w:r w:rsidR="00FF656B">
        <w:t xml:space="preserve">, which is performed in order to determine whether the patient has achieved morphological remission. </w:t>
      </w:r>
      <w:r w:rsidR="001E157A">
        <w:t>Given that MRD testing is proposed to only be used at times when bone marrow morphological assessment is also performed, the MRD testing is proposed to be performed on bone marrow samples rather than blood samples.</w:t>
      </w:r>
    </w:p>
    <w:p w14:paraId="0232E213" w14:textId="2031C032" w:rsidR="00FF656B" w:rsidRPr="00136606" w:rsidRDefault="001C766D" w:rsidP="001C766D">
      <w:pPr>
        <w:rPr>
          <w:rFonts w:asciiTheme="minorHAnsi" w:hAnsiTheme="minorHAnsi" w:cstheme="minorHAnsi"/>
          <w:i/>
          <w:iCs/>
        </w:rPr>
      </w:pPr>
      <w:r>
        <w:rPr>
          <w:rFonts w:asciiTheme="minorHAnsi" w:hAnsiTheme="minorHAnsi" w:cstheme="minorHAnsi"/>
          <w:i/>
          <w:iCs/>
        </w:rPr>
        <w:t xml:space="preserve">PASC discussed whether the intervention should also include analysis on peripheral blood. Clinical advice suggested that although testing on peripheral blood may be performed in the future, it </w:t>
      </w:r>
      <w:r w:rsidR="00E3550D">
        <w:rPr>
          <w:rFonts w:asciiTheme="minorHAnsi" w:hAnsiTheme="minorHAnsi" w:cstheme="minorHAnsi"/>
          <w:i/>
          <w:iCs/>
        </w:rPr>
        <w:t xml:space="preserve">is </w:t>
      </w:r>
      <w:r>
        <w:rPr>
          <w:rFonts w:asciiTheme="minorHAnsi" w:hAnsiTheme="minorHAnsi" w:cstheme="minorHAnsi"/>
          <w:i/>
          <w:iCs/>
        </w:rPr>
        <w:t xml:space="preserve">not done currently in Australia. It was decided that the current assessments and proposed items should be limited to MRD testing on bone marrow tissue, and that a future application may </w:t>
      </w:r>
      <w:r w:rsidR="005060B0">
        <w:rPr>
          <w:rFonts w:asciiTheme="minorHAnsi" w:hAnsiTheme="minorHAnsi" w:cstheme="minorHAnsi"/>
          <w:i/>
          <w:iCs/>
        </w:rPr>
        <w:t xml:space="preserve">request </w:t>
      </w:r>
      <w:r>
        <w:rPr>
          <w:rFonts w:asciiTheme="minorHAnsi" w:hAnsiTheme="minorHAnsi" w:cstheme="minorHAnsi"/>
          <w:i/>
          <w:iCs/>
        </w:rPr>
        <w:t>expan</w:t>
      </w:r>
      <w:r w:rsidR="005060B0">
        <w:rPr>
          <w:rFonts w:asciiTheme="minorHAnsi" w:hAnsiTheme="minorHAnsi" w:cstheme="minorHAnsi"/>
          <w:i/>
          <w:iCs/>
        </w:rPr>
        <w:t>sion of</w:t>
      </w:r>
      <w:r>
        <w:rPr>
          <w:rFonts w:asciiTheme="minorHAnsi" w:hAnsiTheme="minorHAnsi" w:cstheme="minorHAnsi"/>
          <w:i/>
          <w:iCs/>
        </w:rPr>
        <w:t xml:space="preserve"> MRD testing to </w:t>
      </w:r>
      <w:r w:rsidR="005060B0">
        <w:rPr>
          <w:rFonts w:asciiTheme="minorHAnsi" w:hAnsiTheme="minorHAnsi" w:cstheme="minorHAnsi"/>
          <w:i/>
          <w:iCs/>
        </w:rPr>
        <w:t xml:space="preserve">include </w:t>
      </w:r>
      <w:r>
        <w:rPr>
          <w:rFonts w:asciiTheme="minorHAnsi" w:hAnsiTheme="minorHAnsi" w:cstheme="minorHAnsi"/>
          <w:i/>
          <w:iCs/>
        </w:rPr>
        <w:t>peripheral blood</w:t>
      </w:r>
      <w:r w:rsidR="005060B0">
        <w:rPr>
          <w:rFonts w:asciiTheme="minorHAnsi" w:hAnsiTheme="minorHAnsi" w:cstheme="minorHAnsi"/>
          <w:i/>
          <w:iCs/>
        </w:rPr>
        <w:t xml:space="preserve"> samples</w:t>
      </w:r>
      <w:r>
        <w:rPr>
          <w:rFonts w:asciiTheme="minorHAnsi" w:hAnsiTheme="minorHAnsi" w:cstheme="minorHAnsi"/>
          <w:i/>
          <w:iCs/>
        </w:rPr>
        <w:t xml:space="preserve">. </w:t>
      </w:r>
      <w:r w:rsidR="00916F29">
        <w:rPr>
          <w:rFonts w:asciiTheme="minorHAnsi" w:hAnsiTheme="minorHAnsi" w:cstheme="minorHAnsi"/>
          <w:i/>
          <w:iCs/>
        </w:rPr>
        <w:t xml:space="preserve">If the item descriptors do not further specify then this would include </w:t>
      </w:r>
      <w:r w:rsidR="00916F29">
        <w:rPr>
          <w:rFonts w:asciiTheme="minorHAnsi" w:hAnsiTheme="minorHAnsi" w:cstheme="minorHAnsi"/>
          <w:i/>
          <w:iCs/>
        </w:rPr>
        <w:lastRenderedPageBreak/>
        <w:t xml:space="preserve">both aspirate and biopsy bone marrow samples: the assessment report should examine whether there is sufficient confidence that all options within scope perform sufficiently similarly to allow them to be interchanged, or justify </w:t>
      </w:r>
      <w:r w:rsidR="00141CE7">
        <w:rPr>
          <w:rFonts w:asciiTheme="minorHAnsi" w:hAnsiTheme="minorHAnsi" w:cstheme="minorHAnsi"/>
          <w:i/>
          <w:iCs/>
        </w:rPr>
        <w:t>any</w:t>
      </w:r>
      <w:r w:rsidR="00916F29">
        <w:rPr>
          <w:rFonts w:asciiTheme="minorHAnsi" w:hAnsiTheme="minorHAnsi" w:cstheme="minorHAnsi"/>
          <w:i/>
          <w:iCs/>
        </w:rPr>
        <w:t xml:space="preserve"> proposed selection, preferably in terms of consequences for the patients tested.</w:t>
      </w:r>
      <w:r>
        <w:rPr>
          <w:rFonts w:asciiTheme="minorHAnsi" w:hAnsiTheme="minorHAnsi" w:cstheme="minorHAnsi"/>
          <w:i/>
          <w:iCs/>
        </w:rPr>
        <w:t xml:space="preserve"> </w:t>
      </w:r>
      <w:r w:rsidR="00EE1539">
        <w:rPr>
          <w:rFonts w:asciiTheme="minorHAnsi" w:hAnsiTheme="minorHAnsi" w:cstheme="minorHAnsi"/>
          <w:i/>
          <w:iCs/>
        </w:rPr>
        <w:t>All item descriptors should be consistent with respect to aspirate, biopsy, or both.</w:t>
      </w:r>
    </w:p>
    <w:p w14:paraId="10BE432F" w14:textId="07FE0F87" w:rsidR="00E90131" w:rsidRDefault="004F6EE2" w:rsidP="00437BDC">
      <w:r>
        <w:t>Multi-parametric flow cytometry (</w:t>
      </w:r>
      <w:proofErr w:type="spellStart"/>
      <w:r>
        <w:t>mpFC</w:t>
      </w:r>
      <w:proofErr w:type="spellEnd"/>
      <w:r>
        <w:t>) detects malignant cells through detection of leukae</w:t>
      </w:r>
      <w:r w:rsidR="00E90131">
        <w:t>mia-associated immunophenotypes. It can be successfully used in &gt;90% of cases to a sensitivity of 10</w:t>
      </w:r>
      <w:r w:rsidR="00E90131">
        <w:rPr>
          <w:vertAlign w:val="superscript"/>
        </w:rPr>
        <w:t>-3</w:t>
      </w:r>
      <w:r w:rsidR="00E90131">
        <w:t xml:space="preserve"> to 10</w:t>
      </w:r>
      <w:r w:rsidR="00E90131">
        <w:rPr>
          <w:vertAlign w:val="superscript"/>
        </w:rPr>
        <w:t>-4</w:t>
      </w:r>
      <w:r w:rsidR="00E90131">
        <w:t xml:space="preserve"> (one leukaemic cell out of 1000-10,000 cells). Flow cytometry is the fastest of MRD methods, with a turnaround time of a few hours. However, the samples must be analysed within a short time period of sample collection (to avoid cell death), which limits the ability of samples to be sent to a central laboratory </w:t>
      </w:r>
      <w:r w:rsidR="00A715A0">
        <w:t xml:space="preserve">for analysis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rsidR="00E90131">
        <w:t>.</w:t>
      </w:r>
      <w:r w:rsidR="00A715A0">
        <w:t xml:space="preserve"> There can also be some false-positive results due to post-induction regeneration of normal lymphoid cells co-expressing some ALL-type antigens, or due to the bone marrow sample hypocellularity or phenotypic shift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rsidR="00A715A0">
        <w:t>.</w:t>
      </w:r>
    </w:p>
    <w:p w14:paraId="35BE5227" w14:textId="11C10E4C" w:rsidR="00437BDC" w:rsidRPr="009F7F9E" w:rsidRDefault="007E1662" w:rsidP="00437BDC">
      <w:pPr>
        <w:rPr>
          <w:i/>
        </w:rPr>
      </w:pPr>
      <w:r>
        <w:t>M</w:t>
      </w:r>
      <w:r w:rsidR="004F6EE2">
        <w:t xml:space="preserve">olecular methods </w:t>
      </w:r>
      <w:r>
        <w:t xml:space="preserve">of MRD testing </w:t>
      </w:r>
      <w:r w:rsidR="00287EBF">
        <w:t>use</w:t>
      </w:r>
      <w:r w:rsidR="004F6EE2">
        <w:t xml:space="preserve"> leukaemia-specific fusion gene transcripts or patient-specific (immunoglobulin/T-cell receptor gene rearrangements</w:t>
      </w:r>
      <w:r w:rsidR="00287EBF">
        <w:t xml:space="preserve"> and microdeletions</w:t>
      </w:r>
      <w:r w:rsidR="004F6EE2">
        <w:t xml:space="preserve">) molecular markers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rsidR="004F6EE2">
        <w:t>.</w:t>
      </w:r>
      <w:r>
        <w:t xml:space="preserve"> The most common molecular methods are real time quantitative polymerase chain reaction (q</w:t>
      </w:r>
      <w:r w:rsidRPr="00CF1F62">
        <w:t>PCR</w:t>
      </w:r>
      <w:r>
        <w:t>)</w:t>
      </w:r>
      <w:r w:rsidRPr="00CF1F62">
        <w:t xml:space="preserve"> or NGS.</w:t>
      </w:r>
      <w:r>
        <w:t xml:space="preserve"> </w:t>
      </w:r>
      <w:r w:rsidR="00C61EE4">
        <w:t>Molecular methods are more robust than flow cytometry when the sample is being sent to a central laboratory, so are less time-critical.</w:t>
      </w:r>
      <w:r w:rsidR="00C05B89">
        <w:t xml:space="preserve"> </w:t>
      </w:r>
      <w:r w:rsidR="00C05B89" w:rsidRPr="00C05B89">
        <w:t>The RCPA comment that where it is difficult to obtain bone marrow by aspiration, allele-specific oligonucleotide (ASO) qPCR can be performed on bone marrow biopsy (trephine samples).</w:t>
      </w:r>
    </w:p>
    <w:p w14:paraId="42AEB629" w14:textId="62C1BF71" w:rsidR="005C5EFB" w:rsidRPr="00C64442" w:rsidRDefault="00B109B7" w:rsidP="00A7221C">
      <w:r>
        <w:t xml:space="preserve">The RCPA suggest that flow cytometry and molecular methods are complementary, as MRD is easier to measure in some individuals using flow cytometry, </w:t>
      </w:r>
      <w:r w:rsidR="00B278A5">
        <w:t xml:space="preserve">whereas </w:t>
      </w:r>
      <w:r>
        <w:t>in other individuals</w:t>
      </w:r>
      <w:r w:rsidR="005C5EFB">
        <w:t>, molecular methods are easier. Flow cytometry is helpful when there is a large proportion of leukaemic cells in the sample</w:t>
      </w:r>
      <w:r w:rsidR="001E157A">
        <w:t xml:space="preserve"> (such as early in the treatment pathway)</w:t>
      </w:r>
      <w:r w:rsidR="005C5EFB">
        <w:t xml:space="preserve">, as in these situations the lower sensitivity is not a concern, and the results may be returned quickly. </w:t>
      </w:r>
      <w:r w:rsidR="00C61EE4">
        <w:t xml:space="preserve">However, there are times when the flow cytometry result is hard to interpret, or patients in whom appropriate markers are not identified, and who must be tested with molecular methods in order to </w:t>
      </w:r>
      <w:r w:rsidR="004A68D6">
        <w:t>determine</w:t>
      </w:r>
      <w:r w:rsidR="00C61EE4">
        <w:t xml:space="preserve"> MRD. Similarly, not all patients have molecular markers, and </w:t>
      </w:r>
      <w:r w:rsidR="00B278A5">
        <w:t xml:space="preserve">for such patients </w:t>
      </w:r>
      <w:r w:rsidR="00C61EE4">
        <w:t>flow cytometry may be the only option for MRD testing. Different treatment centres have preferences for one method over the other. Once a marker has been identified using one method, then patients are likely to continue to have their MRD tested using that method. The RCPA therefore consider</w:t>
      </w:r>
      <w:r w:rsidR="0027405B">
        <w:t>ed</w:t>
      </w:r>
      <w:r w:rsidR="00C61EE4">
        <w:t xml:space="preserve"> it important to have flexibility of methods</w:t>
      </w:r>
      <w:r w:rsidR="00C61EE4" w:rsidRPr="00C64442">
        <w:t>.</w:t>
      </w:r>
    </w:p>
    <w:p w14:paraId="3DDA4FDB" w14:textId="6F4CE05C" w:rsidR="001C766D" w:rsidRDefault="001C766D" w:rsidP="001C766D">
      <w:r>
        <w:rPr>
          <w:rFonts w:asciiTheme="minorHAnsi" w:hAnsiTheme="minorHAnsi" w:cstheme="minorHAnsi"/>
          <w:i/>
          <w:iCs/>
        </w:rPr>
        <w:t>PASC noted that ASO qPCR methods for MRD testing are currently being assessed by the National Association of Testing Authorities (NATA).</w:t>
      </w:r>
    </w:p>
    <w:p w14:paraId="56B02526" w14:textId="10542A52" w:rsidR="00B109B7" w:rsidRPr="00E23941" w:rsidRDefault="00437BDC" w:rsidP="00DB58AA">
      <w:pPr>
        <w:rPr>
          <w:i/>
        </w:rPr>
      </w:pPr>
      <w:r w:rsidRPr="00437BDC">
        <w:rPr>
          <w:b/>
        </w:rPr>
        <w:t xml:space="preserve">The proposed intervention for </w:t>
      </w:r>
      <w:r w:rsidR="00CF1F62">
        <w:rPr>
          <w:b/>
        </w:rPr>
        <w:t>application 170</w:t>
      </w:r>
      <w:r w:rsidR="00BB75BC">
        <w:rPr>
          <w:b/>
        </w:rPr>
        <w:t>7</w:t>
      </w:r>
      <w:r w:rsidR="00CF1F62">
        <w:rPr>
          <w:b/>
        </w:rPr>
        <w:t xml:space="preserve"> is MRD testing, using </w:t>
      </w:r>
      <w:proofErr w:type="spellStart"/>
      <w:r w:rsidR="009D4A6C">
        <w:rPr>
          <w:b/>
        </w:rPr>
        <w:t>mpFC</w:t>
      </w:r>
      <w:proofErr w:type="spellEnd"/>
      <w:r w:rsidR="009D4A6C">
        <w:rPr>
          <w:b/>
        </w:rPr>
        <w:t xml:space="preserve">, or </w:t>
      </w:r>
      <w:r w:rsidR="002B48F8">
        <w:rPr>
          <w:b/>
        </w:rPr>
        <w:t xml:space="preserve">the </w:t>
      </w:r>
      <w:proofErr w:type="spellStart"/>
      <w:r w:rsidR="002B48F8" w:rsidRPr="00437BDC">
        <w:rPr>
          <w:b/>
        </w:rPr>
        <w:t>clonoSEQ</w:t>
      </w:r>
      <w:proofErr w:type="spellEnd"/>
      <w:r w:rsidR="002B48F8" w:rsidRPr="00437BDC">
        <w:rPr>
          <w:b/>
        </w:rPr>
        <w:t xml:space="preserve">® </w:t>
      </w:r>
      <w:r w:rsidRPr="00437BDC">
        <w:rPr>
          <w:b/>
        </w:rPr>
        <w:t>Next Generation Sequencing (NGS)-b</w:t>
      </w:r>
      <w:r w:rsidR="002B48F8">
        <w:rPr>
          <w:b/>
        </w:rPr>
        <w:t>ased assay</w:t>
      </w:r>
      <w:r>
        <w:t xml:space="preserve">. </w:t>
      </w:r>
      <w:r w:rsidR="00A7221C">
        <w:t xml:space="preserve">The </w:t>
      </w:r>
      <w:proofErr w:type="spellStart"/>
      <w:r w:rsidR="00A7221C">
        <w:t>clonoSEQ</w:t>
      </w:r>
      <w:proofErr w:type="spellEnd"/>
      <w:r w:rsidR="00A7221C">
        <w:t xml:space="preserve">® assay uses a proprietary multiplex polymerase chain reaction (PCR) and NGS platform to identify specific sequences within a malignant lymphocyte in a given patient sample. The assay identifies and quantifies DNA sequences associated with ALL: rearranged </w:t>
      </w:r>
      <w:proofErr w:type="spellStart"/>
      <w:r w:rsidR="00A7221C">
        <w:t>IgH</w:t>
      </w:r>
      <w:proofErr w:type="spellEnd"/>
      <w:r w:rsidR="00A7221C">
        <w:t xml:space="preserve"> (VDJ), </w:t>
      </w:r>
      <w:proofErr w:type="spellStart"/>
      <w:r w:rsidR="00A7221C">
        <w:t>IgH</w:t>
      </w:r>
      <w:proofErr w:type="spellEnd"/>
      <w:r w:rsidR="00A7221C">
        <w:t xml:space="preserve"> (DJ), </w:t>
      </w:r>
      <w:proofErr w:type="spellStart"/>
      <w:r w:rsidR="00A7221C">
        <w:t>IgK</w:t>
      </w:r>
      <w:proofErr w:type="spellEnd"/>
      <w:r w:rsidR="00A7221C">
        <w:t xml:space="preserve"> and </w:t>
      </w:r>
      <w:proofErr w:type="spellStart"/>
      <w:r w:rsidR="00A7221C">
        <w:t>IgL</w:t>
      </w:r>
      <w:proofErr w:type="spellEnd"/>
      <w:r w:rsidR="00A7221C">
        <w:t xml:space="preserve"> receptor gene sequences. </w:t>
      </w:r>
      <w:r w:rsidR="00965C28">
        <w:rPr>
          <w:iCs/>
        </w:rPr>
        <w:t>Adaptive Biotechnologies™</w:t>
      </w:r>
      <w:r w:rsidR="00965C28">
        <w:t xml:space="preserve"> submitted an application to the Therapeutic Goods Administration for registering of the </w:t>
      </w:r>
      <w:proofErr w:type="spellStart"/>
      <w:r w:rsidR="00965C28">
        <w:t>clonoSEQ</w:t>
      </w:r>
      <w:proofErr w:type="spellEnd"/>
      <w:r w:rsidR="00965C28">
        <w:t>® assay in December 2021, and feedback is expected in March or April 2022.</w:t>
      </w:r>
    </w:p>
    <w:p w14:paraId="5D67C9FF" w14:textId="07E84D35" w:rsidR="00614B7C" w:rsidRPr="00240F51" w:rsidRDefault="00614B7C" w:rsidP="00DB58AA">
      <w:pPr>
        <w:rPr>
          <w:i/>
        </w:rPr>
      </w:pPr>
      <w:r>
        <w:t xml:space="preserve">The </w:t>
      </w:r>
      <w:proofErr w:type="spellStart"/>
      <w:r>
        <w:t>clonoSEQ</w:t>
      </w:r>
      <w:proofErr w:type="spellEnd"/>
      <w:r>
        <w:t xml:space="preserve">® is proposed as </w:t>
      </w:r>
      <w:r w:rsidRPr="009F7F9E">
        <w:t>an alternative</w:t>
      </w:r>
      <w:r>
        <w:t xml:space="preserve"> to flow cytometry</w:t>
      </w:r>
      <w:r w:rsidR="00965C28">
        <w:t xml:space="preserve"> and other</w:t>
      </w:r>
      <w:r w:rsidR="00E23941" w:rsidRPr="00965C28">
        <w:t xml:space="preserve"> forms of molecular MRD testing (RT-qPCR and other forms of NGS)</w:t>
      </w:r>
      <w:r w:rsidRPr="00965C28">
        <w:t>.</w:t>
      </w:r>
      <w:r>
        <w:t xml:space="preserve"> </w:t>
      </w:r>
      <w:r w:rsidR="00B278A5">
        <w:t>Though a</w:t>
      </w:r>
      <w:r w:rsidR="008054F3">
        <w:t>s discussed above,</w:t>
      </w:r>
      <w:r w:rsidR="00965C28">
        <w:t xml:space="preserve"> there will be a small proportion of patients without molecular variants identifiable by the </w:t>
      </w:r>
      <w:proofErr w:type="spellStart"/>
      <w:r w:rsidR="00965C28">
        <w:t>clonoSEQ</w:t>
      </w:r>
      <w:proofErr w:type="spellEnd"/>
      <w:r w:rsidR="00965C28">
        <w:t xml:space="preserve">® assay or other molecular methods. The </w:t>
      </w:r>
      <w:proofErr w:type="spellStart"/>
      <w:r w:rsidR="00965C28">
        <w:lastRenderedPageBreak/>
        <w:t>clonoSEQ</w:t>
      </w:r>
      <w:proofErr w:type="spellEnd"/>
      <w:r w:rsidR="00965C28">
        <w:t>® therefore cannot completely replace use of flow cytometry</w:t>
      </w:r>
      <w:r w:rsidR="002B48F8">
        <w:t xml:space="preserve"> (hence also proposing </w:t>
      </w:r>
      <w:proofErr w:type="spellStart"/>
      <w:r w:rsidR="002B48F8">
        <w:t>mpFC</w:t>
      </w:r>
      <w:proofErr w:type="spellEnd"/>
      <w:r w:rsidR="002B48F8">
        <w:t xml:space="preserve"> as an additional intervention)</w:t>
      </w:r>
      <w:r w:rsidR="00965C28">
        <w:t>.</w:t>
      </w:r>
    </w:p>
    <w:p w14:paraId="01FBCDEA" w14:textId="75E68D51" w:rsidR="009A56D1" w:rsidRDefault="006432CB" w:rsidP="00DD6BB2">
      <w:r>
        <w:t>Each person</w:t>
      </w:r>
      <w:r w:rsidR="009F7F9E">
        <w:t xml:space="preserve"> diagnosed and being</w:t>
      </w:r>
      <w:r>
        <w:t xml:space="preserve"> treated </w:t>
      </w:r>
      <w:r w:rsidR="009F7F9E">
        <w:t xml:space="preserve">for ALL </w:t>
      </w:r>
      <w:r>
        <w:t xml:space="preserve">would be tested </w:t>
      </w:r>
      <w:r w:rsidR="009F7F9E">
        <w:t xml:space="preserve">for MRD </w:t>
      </w:r>
      <w:r>
        <w:t>a</w:t>
      </w:r>
      <w:r w:rsidR="00FD4D9B">
        <w:t>t multiple timepoints. Initiall</w:t>
      </w:r>
      <w:r w:rsidR="009F7F9E">
        <w:t>y, they would have M</w:t>
      </w:r>
      <w:r>
        <w:t>RD testing performed on a bone marrow aspirate sample prior to induction therapy to establish a baseline assessment</w:t>
      </w:r>
      <w:r w:rsidR="00185DEF">
        <w:t xml:space="preserve">. </w:t>
      </w:r>
      <w:r>
        <w:t xml:space="preserve">Subsequent to induction therapy, additional MRD assessments would occur on bone marrow aspirates or peripheral blood samples, to assess and monitor treatment effectiveness. </w:t>
      </w:r>
      <w:r w:rsidR="00A041A4">
        <w:t>More discussion of the number of tests is provided under ‘Proposal for public funding’.</w:t>
      </w:r>
    </w:p>
    <w:p w14:paraId="223D0015" w14:textId="28C85CEE" w:rsidR="00781F87" w:rsidRDefault="00781F87" w:rsidP="00DD6BB2">
      <w:r>
        <w:t>The assessment of MRD testing will need to separate the clinical evidence into the different time points whe</w:t>
      </w:r>
      <w:r w:rsidR="00D8468D">
        <w:t>n</w:t>
      </w:r>
      <w:r>
        <w:t xml:space="preserve"> MRD testing is performed (i.e. demonstrating the value of testing after induction therapy, separate from testing after consolidation therapy, separate from testing before high-intensity protocols etc.)</w:t>
      </w:r>
      <w:r w:rsidR="004A1220">
        <w:t>.</w:t>
      </w:r>
    </w:p>
    <w:p w14:paraId="4147573E" w14:textId="43C8FFA4" w:rsidR="00EF2934" w:rsidRPr="00C23BF2" w:rsidRDefault="007A66C8" w:rsidP="00C23BF2">
      <w:pPr>
        <w:pStyle w:val="Heading3"/>
      </w:pPr>
      <w:r w:rsidRPr="008F1532">
        <w:t>Comparator</w:t>
      </w:r>
      <w:r w:rsidR="008F1532">
        <w:t>s</w:t>
      </w:r>
    </w:p>
    <w:p w14:paraId="6B3513FC" w14:textId="134D719A" w:rsidR="004B7F8E" w:rsidRPr="00342414" w:rsidRDefault="00FC2560" w:rsidP="00BE7000">
      <w:pPr>
        <w:rPr>
          <w:i/>
        </w:rPr>
      </w:pPr>
      <w:r w:rsidRPr="008B079F">
        <w:rPr>
          <w:b/>
        </w:rPr>
        <w:t>The comparator for application 1703</w:t>
      </w:r>
      <w:r w:rsidR="00975864">
        <w:rPr>
          <w:b/>
        </w:rPr>
        <w:t>, and the primary comparator for application 1707,</w:t>
      </w:r>
      <w:r w:rsidRPr="008B079F">
        <w:rPr>
          <w:b/>
        </w:rPr>
        <w:t xml:space="preserve"> is proposed to be </w:t>
      </w:r>
      <w:r w:rsidR="00245FB6" w:rsidRPr="008B079F">
        <w:rPr>
          <w:b/>
        </w:rPr>
        <w:t xml:space="preserve">morphological assessment </w:t>
      </w:r>
      <w:r w:rsidR="00186870" w:rsidRPr="008B079F">
        <w:rPr>
          <w:b/>
        </w:rPr>
        <w:t>±</w:t>
      </w:r>
      <w:r w:rsidR="00245FB6" w:rsidRPr="008B079F">
        <w:rPr>
          <w:b/>
        </w:rPr>
        <w:t xml:space="preserve"> cytogenetic analysis performed on bone marrow samples</w:t>
      </w:r>
      <w:r w:rsidR="00245FB6">
        <w:t xml:space="preserve">. </w:t>
      </w:r>
      <w:r w:rsidR="004B7F8E">
        <w:t>After the sample has been obtained, a slide is prepared and stained with Giemsa before its morphology is examined with a microscope. Morphology tends to only be able to detect leukaemic cells if there are more than five per 100 white cells</w:t>
      </w:r>
      <w:r w:rsidR="008054F3">
        <w:t xml:space="preserve"> (i.e. 5% blast cells)</w:t>
      </w:r>
      <w:r w:rsidR="00C05B89" w:rsidRPr="00C05B89">
        <w:t>, and the definition of complete morphologic remission is a blast count &lt;5%.</w:t>
      </w:r>
      <w:r w:rsidR="004B7F8E">
        <w:t xml:space="preserve"> Although this may be useful to diagnose ALL (when </w:t>
      </w:r>
      <w:r w:rsidR="004B7F8E">
        <w:rPr>
          <w:rFonts w:cs="Calibri"/>
        </w:rPr>
        <w:t>≥</w:t>
      </w:r>
      <w:r w:rsidR="004B7F8E">
        <w:t xml:space="preserve">20% of cells are leukaemic), it is too insensitive to detect whether the patient has gone into remission after treatment </w:t>
      </w:r>
      <w:r w:rsidR="005825DE">
        <w:fldChar w:fldCharType="begin"/>
      </w:r>
      <w:r w:rsidR="005825DE">
        <w:instrText xml:space="preserve"> ADDIN EN.CITE &lt;EndNote&gt;&lt;Cite&gt;&lt;Author&gt;RCPA&lt;/Author&gt;&lt;Year&gt;2022&lt;/Year&gt;&lt;RecNum&gt;10&lt;/RecNum&gt;&lt;DisplayText&gt;(RCPA 2022)&lt;/DisplayText&gt;&lt;record&gt;&lt;rec-number&gt;10&lt;/rec-number&gt;&lt;foreign-keys&gt;&lt;key app="EN" db-id="9r2v5a9alpsw54edwfqp9pte925d5pfszed2" timestamp="1644548809"&gt;10&lt;/key&gt;&lt;/foreign-keys&gt;&lt;ref-type name="Serial"&gt;57&lt;/ref-type&gt;&lt;contributors&gt;&lt;authors&gt;&lt;author&gt;RCPA&lt;/author&gt;&lt;/authors&gt;&lt;/contributors&gt;&lt;titles&gt;&lt;title&gt;Detection of minimal residual disease in patients with acute lymphoblastic leukaemia&lt;/title&gt;&lt;secondary-title&gt;Application to the MSAC&lt;/secondary-title&gt;&lt;/titles&gt;&lt;dates&gt;&lt;year&gt;2022&lt;/year&gt;&lt;/dates&gt;&lt;urls&gt;&lt;/urls&gt;&lt;/record&gt;&lt;/Cite&gt;&lt;/EndNote&gt;</w:instrText>
      </w:r>
      <w:r w:rsidR="005825DE">
        <w:fldChar w:fldCharType="separate"/>
      </w:r>
      <w:r w:rsidR="005825DE">
        <w:rPr>
          <w:noProof/>
        </w:rPr>
        <w:t>(RCPA 2022)</w:t>
      </w:r>
      <w:r w:rsidR="005825DE">
        <w:fldChar w:fldCharType="end"/>
      </w:r>
      <w:r w:rsidR="00973C82">
        <w:t xml:space="preserve">, </w:t>
      </w:r>
      <w:r w:rsidR="00973C82" w:rsidRPr="00973C82">
        <w:t>and cannot be used to assess treatment response once the blast percentage is &lt;5%</w:t>
      </w:r>
      <w:r w:rsidR="004B7F8E">
        <w:t xml:space="preserve">. </w:t>
      </w:r>
      <w:r w:rsidR="00973C82">
        <w:t>Bone marrow examination</w:t>
      </w:r>
      <w:r w:rsidR="00C61EE4">
        <w:t xml:space="preserve"> is used after </w:t>
      </w:r>
      <w:r w:rsidR="00973C82">
        <w:t>initial</w:t>
      </w:r>
      <w:r w:rsidR="00C61EE4">
        <w:t xml:space="preserve"> treatment</w:t>
      </w:r>
      <w:r w:rsidR="00973C82">
        <w:t xml:space="preserve"> (induction and consolidation</w:t>
      </w:r>
      <w:r w:rsidR="00C61EE4">
        <w:t xml:space="preserve">) to </w:t>
      </w:r>
      <w:r w:rsidR="00973C82">
        <w:t>confirm</w:t>
      </w:r>
      <w:r w:rsidR="00C61EE4">
        <w:t xml:space="preserve"> </w:t>
      </w:r>
      <w:r w:rsidR="00973C82">
        <w:t>that a</w:t>
      </w:r>
      <w:r w:rsidR="00C61EE4">
        <w:t xml:space="preserve"> patient has achieved morphological remission. </w:t>
      </w:r>
      <w:r w:rsidR="00973C82" w:rsidRPr="00973C82">
        <w:t xml:space="preserve">After achieving morphologic remission, the major clinical purpose of additional bone marrow examinations is to measure MRD and confirm ongoing morphologic remission. </w:t>
      </w:r>
      <w:r w:rsidR="00C61EE4">
        <w:t xml:space="preserve">Bone marrow biopsies are performed for morphological assessment, and the RCPA considered that </w:t>
      </w:r>
      <w:r w:rsidR="00E013C0">
        <w:t xml:space="preserve">if the sample is sufficient for morphological assessment, it would </w:t>
      </w:r>
      <w:r w:rsidR="00290C5C">
        <w:t>usually</w:t>
      </w:r>
      <w:r w:rsidR="00E013C0">
        <w:t xml:space="preserve"> be sufficient for MRD testing as well</w:t>
      </w:r>
      <w:r w:rsidR="00290C5C">
        <w:t>. The RCPA commented that</w:t>
      </w:r>
      <w:r w:rsidR="00E013C0">
        <w:t xml:space="preserve"> rebiopsies occur in very rare circumstances, </w:t>
      </w:r>
      <w:r w:rsidR="00290C5C">
        <w:t>and</w:t>
      </w:r>
      <w:r w:rsidR="00E013C0">
        <w:t xml:space="preserve"> </w:t>
      </w:r>
      <w:r w:rsidR="00290C5C">
        <w:t>c</w:t>
      </w:r>
      <w:r w:rsidR="00E013C0">
        <w:t>ould occur for MRD testing alone</w:t>
      </w:r>
      <w:r w:rsidR="00290C5C" w:rsidRPr="00290C5C">
        <w:t>: all paediatric and adolescent ALL protocols have treatment stratified by MRD response. If there is an inadequate sample for MRD at a stratifying timepoint then there would be a recollection to repeat the MRD analysis, particularly if the MRD result is used to stratify high risk treatment (i.e. to identify patients who would benefit from blinatumomab, as per the PBS indication, CAR-T cells or stem cell transplantation).</w:t>
      </w:r>
    </w:p>
    <w:p w14:paraId="6D1FA896" w14:textId="65C2337E" w:rsidR="00245FB6" w:rsidRDefault="00EC5107" w:rsidP="00BE7000">
      <w:r>
        <w:t xml:space="preserve">Cytogenetic analysis may also be performed using </w:t>
      </w:r>
      <w:r w:rsidR="00D8468D">
        <w:t xml:space="preserve">a </w:t>
      </w:r>
      <w:r>
        <w:t xml:space="preserve">stained slide and microscope, to examine </w:t>
      </w:r>
      <w:r w:rsidR="001F09A4">
        <w:t xml:space="preserve">the banded pattern of </w:t>
      </w:r>
      <w:r>
        <w:t>c</w:t>
      </w:r>
      <w:r w:rsidR="001F09A4">
        <w:t xml:space="preserve">hromosomes during the metaphase of the cell cycle. It is carried out on a cell-by-cell basis and can detect large scale abnormalities. </w:t>
      </w:r>
      <w:r w:rsidR="00290C5C" w:rsidRPr="00290C5C">
        <w:t xml:space="preserve">Where there is an identified translocation (such as </w:t>
      </w:r>
      <w:r w:rsidR="00290C5C" w:rsidRPr="00290C5C">
        <w:rPr>
          <w:i/>
          <w:iCs/>
        </w:rPr>
        <w:t>KMT2A</w:t>
      </w:r>
      <w:r w:rsidR="00290C5C" w:rsidRPr="00290C5C">
        <w:t xml:space="preserve"> or </w:t>
      </w:r>
      <w:r w:rsidR="00290C5C" w:rsidRPr="00290C5C">
        <w:rPr>
          <w:i/>
          <w:iCs/>
        </w:rPr>
        <w:t>BCR-ABL</w:t>
      </w:r>
      <w:r w:rsidR="00290C5C" w:rsidRPr="00290C5C">
        <w:t xml:space="preserve">), cytogenetic analysis could be done using existing MBS items (73314 and 73315). </w:t>
      </w:r>
      <w:r w:rsidR="001F09A4">
        <w:t xml:space="preserve">It </w:t>
      </w:r>
      <w:r w:rsidR="00D8468D">
        <w:t>may</w:t>
      </w:r>
      <w:r w:rsidR="001F09A4">
        <w:t xml:space="preserve"> be </w:t>
      </w:r>
      <w:r>
        <w:t>used to detect leukaemic cell burden if at least five per 100 white cells are</w:t>
      </w:r>
      <w:r w:rsidR="001F09A4">
        <w:t xml:space="preserve"> affected. However, it does rel</w:t>
      </w:r>
      <w:r>
        <w:t>y on a clonal cytogenetic marker to be identified (so is only suitable for those with chromosomal abnormalitie</w:t>
      </w:r>
      <w:r w:rsidRPr="00185DEF">
        <w:t>s).</w:t>
      </w:r>
    </w:p>
    <w:p w14:paraId="1A695857" w14:textId="77777777" w:rsidR="002F0ADA" w:rsidRDefault="002F0ADA" w:rsidP="002F0AD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affirmed that the comparator was </w:t>
      </w:r>
      <w:r w:rsidRPr="005060B0">
        <w:rPr>
          <w:rFonts w:asciiTheme="minorHAnsi" w:hAnsiTheme="minorHAnsi" w:cstheme="minorHAnsi"/>
          <w:i/>
          <w:iCs/>
        </w:rPr>
        <w:t>morphological assessment ± cytogenetic analysis performed on bone marrow samples</w:t>
      </w:r>
      <w:r>
        <w:rPr>
          <w:rFonts w:asciiTheme="minorHAnsi" w:hAnsiTheme="minorHAnsi" w:cstheme="minorHAnsi"/>
          <w:i/>
          <w:iCs/>
        </w:rPr>
        <w:t xml:space="preserve"> (</w:t>
      </w:r>
      <w:proofErr w:type="spellStart"/>
      <w:r>
        <w:rPr>
          <w:rFonts w:asciiTheme="minorHAnsi" w:hAnsiTheme="minorHAnsi" w:cstheme="minorHAnsi"/>
          <w:i/>
          <w:iCs/>
        </w:rPr>
        <w:t>ie</w:t>
      </w:r>
      <w:proofErr w:type="spellEnd"/>
      <w:r>
        <w:rPr>
          <w:rFonts w:asciiTheme="minorHAnsi" w:hAnsiTheme="minorHAnsi" w:cstheme="minorHAnsi"/>
          <w:i/>
          <w:iCs/>
        </w:rPr>
        <w:t xml:space="preserve"> without the addition of the proposed interventions), and that </w:t>
      </w:r>
      <w:r w:rsidRPr="005060B0">
        <w:rPr>
          <w:rFonts w:asciiTheme="minorHAnsi" w:hAnsiTheme="minorHAnsi" w:cstheme="minorHAnsi"/>
          <w:i/>
          <w:iCs/>
        </w:rPr>
        <w:t>morphological assessment ± cytogenetic analysis performed on bone marrow samples</w:t>
      </w:r>
      <w:r>
        <w:rPr>
          <w:rFonts w:asciiTheme="minorHAnsi" w:hAnsiTheme="minorHAnsi" w:cstheme="minorHAnsi"/>
          <w:i/>
          <w:iCs/>
        </w:rPr>
        <w:t xml:space="preserve"> would continue to be performed with the addition of the proposed interventions.</w:t>
      </w:r>
    </w:p>
    <w:p w14:paraId="353788D1" w14:textId="1B26F277" w:rsidR="002F0ADA" w:rsidRPr="00136606" w:rsidRDefault="002F0ADA" w:rsidP="0013660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advised that the test options proposed by both 1703 and 1707 should be compared with each other as well as compared with </w:t>
      </w:r>
      <w:r w:rsidRPr="005060B0">
        <w:rPr>
          <w:rFonts w:asciiTheme="minorHAnsi" w:hAnsiTheme="minorHAnsi" w:cstheme="minorHAnsi"/>
          <w:i/>
          <w:iCs/>
        </w:rPr>
        <w:t xml:space="preserve">morphological assessment ± cytogenetic analysis performed on bone marrow </w:t>
      </w:r>
      <w:r w:rsidRPr="005060B0">
        <w:rPr>
          <w:rFonts w:asciiTheme="minorHAnsi" w:hAnsiTheme="minorHAnsi" w:cstheme="minorHAnsi"/>
          <w:i/>
          <w:iCs/>
        </w:rPr>
        <w:lastRenderedPageBreak/>
        <w:t>samples</w:t>
      </w:r>
      <w:r>
        <w:rPr>
          <w:rFonts w:asciiTheme="minorHAnsi" w:hAnsiTheme="minorHAnsi" w:cstheme="minorHAnsi"/>
          <w:i/>
          <w:iCs/>
        </w:rPr>
        <w:t xml:space="preserve"> alone. This is needed to justify the different costs per patient of these different proposed test options.</w:t>
      </w:r>
    </w:p>
    <w:p w14:paraId="0593F8FF" w14:textId="6B7D12AF" w:rsidR="002F0ADA" w:rsidRPr="005B5030" w:rsidRDefault="005B5030" w:rsidP="00BE7000">
      <w:r>
        <w:t xml:space="preserve">MBS items relevant to morphological assessment and cytogenetic analysis are described in </w:t>
      </w:r>
      <w:r>
        <w:fldChar w:fldCharType="begin"/>
      </w:r>
      <w:r>
        <w:instrText xml:space="preserve"> REF _Ref95828629 \h </w:instrText>
      </w:r>
      <w:r>
        <w:fldChar w:fldCharType="separate"/>
      </w:r>
      <w:r w:rsidR="00D8468D">
        <w:t xml:space="preserve">Table </w:t>
      </w:r>
      <w:r w:rsidR="00D8468D">
        <w:rPr>
          <w:noProof/>
        </w:rPr>
        <w:t>3</w:t>
      </w:r>
      <w:r>
        <w:fldChar w:fldCharType="end"/>
      </w:r>
      <w:r>
        <w:t xml:space="preserve">. These items are nonspecific to ALL, so </w:t>
      </w:r>
      <w:r w:rsidR="00E71ACF">
        <w:t>MBS statistics are unable to provide data on the number of services performed per year for ALL.</w:t>
      </w:r>
    </w:p>
    <w:p w14:paraId="56EF5E20" w14:textId="1DED62AC" w:rsidR="0032467B" w:rsidRDefault="0032467B" w:rsidP="0032467B">
      <w:pPr>
        <w:pStyle w:val="Caption"/>
      </w:pPr>
      <w:bookmarkStart w:id="9" w:name="_Ref95828629"/>
      <w:r>
        <w:t xml:space="preserve">Table </w:t>
      </w:r>
      <w:r>
        <w:fldChar w:fldCharType="begin"/>
      </w:r>
      <w:r>
        <w:instrText xml:space="preserve"> SEQ Table \* ARABIC </w:instrText>
      </w:r>
      <w:r>
        <w:fldChar w:fldCharType="separate"/>
      </w:r>
      <w:r w:rsidR="00996BE8">
        <w:rPr>
          <w:noProof/>
        </w:rPr>
        <w:t>3</w:t>
      </w:r>
      <w:r>
        <w:fldChar w:fldCharType="end"/>
      </w:r>
      <w:bookmarkEnd w:id="9"/>
      <w:r>
        <w:tab/>
        <w:t>MBS items for morphological assessment and cytogenetic analysis</w:t>
      </w:r>
    </w:p>
    <w:tbl>
      <w:tblPr>
        <w:tblStyle w:val="TableGrid"/>
        <w:tblW w:w="0" w:type="auto"/>
        <w:tblInd w:w="0" w:type="dxa"/>
        <w:tblLook w:val="04A0" w:firstRow="1" w:lastRow="0" w:firstColumn="1" w:lastColumn="0" w:noHBand="0" w:noVBand="1"/>
        <w:tblCaption w:val="MBS items for morphological assessment cytogenetic analysis"/>
        <w:tblDescription w:val="Table showing MBS items for the comparator for 1703 and primary comparator for 1707"/>
      </w:tblPr>
      <w:tblGrid>
        <w:gridCol w:w="9571"/>
      </w:tblGrid>
      <w:tr w:rsidR="00702852" w14:paraId="66BF7634" w14:textId="77777777" w:rsidTr="00136606">
        <w:trPr>
          <w:trHeight w:val="353"/>
        </w:trPr>
        <w:tc>
          <w:tcPr>
            <w:tcW w:w="9571" w:type="dxa"/>
          </w:tcPr>
          <w:p w14:paraId="498DFA13" w14:textId="2BB4B164" w:rsidR="00702852" w:rsidRDefault="00702852" w:rsidP="00702852">
            <w:pPr>
              <w:pStyle w:val="TableHeading"/>
            </w:pPr>
            <w:r>
              <w:t>MBS items relevant to comparator for 1703 and primary comparator for 1707</w:t>
            </w:r>
          </w:p>
        </w:tc>
      </w:tr>
      <w:tr w:rsidR="00245FB6" w14:paraId="3B2A7D14" w14:textId="77777777" w:rsidTr="00136606">
        <w:trPr>
          <w:trHeight w:val="1066"/>
        </w:trPr>
        <w:tc>
          <w:tcPr>
            <w:tcW w:w="9571" w:type="dxa"/>
          </w:tcPr>
          <w:p w14:paraId="46ABA2F5" w14:textId="3D327900" w:rsidR="00245FB6" w:rsidRPr="002D38C9" w:rsidRDefault="0032467B" w:rsidP="00245FB6">
            <w:pPr>
              <w:pStyle w:val="TableText0"/>
            </w:pPr>
            <w:r>
              <w:t>MBS item</w:t>
            </w:r>
            <w:r w:rsidR="00245FB6" w:rsidRPr="002D38C9">
              <w:t xml:space="preserve"> 65087 </w:t>
            </w:r>
          </w:p>
          <w:p w14:paraId="41975C15" w14:textId="77777777" w:rsidR="00245FB6" w:rsidRPr="00832562" w:rsidRDefault="00245FB6" w:rsidP="00245FB6">
            <w:pPr>
              <w:pStyle w:val="TableText0"/>
            </w:pPr>
            <w:r w:rsidRPr="00832562">
              <w:t>Bone marrow - examination of aspirated material (including clot sections where necessary), including (if performed):</w:t>
            </w:r>
            <w:r>
              <w:t xml:space="preserve"> </w:t>
            </w:r>
            <w:r w:rsidRPr="00832562">
              <w:t>any test described in item 65060, 65066 or 65070</w:t>
            </w:r>
          </w:p>
          <w:p w14:paraId="694FF302" w14:textId="69FC5EB0" w:rsidR="00245FB6" w:rsidRDefault="00245FB6" w:rsidP="00245FB6">
            <w:pPr>
              <w:pStyle w:val="TableText0"/>
            </w:pPr>
            <w:r w:rsidRPr="00832562">
              <w:t>Fee: $83.10 Benefit: 75% = $62.35 85% = $70.65</w:t>
            </w:r>
          </w:p>
        </w:tc>
      </w:tr>
      <w:tr w:rsidR="00245FB6" w14:paraId="43C872D4" w14:textId="77777777" w:rsidTr="00136606">
        <w:trPr>
          <w:trHeight w:val="1253"/>
        </w:trPr>
        <w:tc>
          <w:tcPr>
            <w:tcW w:w="9571" w:type="dxa"/>
          </w:tcPr>
          <w:p w14:paraId="5FBBB0C6" w14:textId="53E38D18" w:rsidR="00245FB6" w:rsidRPr="0063630D" w:rsidRDefault="0032467B" w:rsidP="00245FB6">
            <w:pPr>
              <w:pStyle w:val="TableText0"/>
            </w:pPr>
            <w:r>
              <w:t>MBS item</w:t>
            </w:r>
            <w:r w:rsidR="009C1D3D">
              <w:t xml:space="preserve"> </w:t>
            </w:r>
            <w:r w:rsidR="00245FB6" w:rsidRPr="0063630D">
              <w:t>73290</w:t>
            </w:r>
          </w:p>
          <w:p w14:paraId="3E797791" w14:textId="77777777" w:rsidR="00245FB6" w:rsidRPr="0063630D" w:rsidRDefault="00245FB6" w:rsidP="00245FB6">
            <w:pPr>
              <w:pStyle w:val="TableText0"/>
            </w:pPr>
            <w:r w:rsidRPr="0063630D">
              <w:t>The study of the whole of each chromosome by cytogenetic or other techniques, performed on blood or bone marrow, in the diagnosis and monitoring</w:t>
            </w:r>
            <w:r>
              <w:t xml:space="preserve"> </w:t>
            </w:r>
            <w:r w:rsidRPr="0063630D">
              <w:t>of haematological malignancy (including a service in items 73287 or 73289, if performed). - 1 or more tests.</w:t>
            </w:r>
          </w:p>
          <w:p w14:paraId="75D33C97" w14:textId="3F75C19B" w:rsidR="00245FB6" w:rsidRPr="002D38C9" w:rsidRDefault="00245FB6" w:rsidP="00245FB6">
            <w:pPr>
              <w:pStyle w:val="TableText0"/>
            </w:pPr>
            <w:r w:rsidRPr="0063630D">
              <w:t>Fee: $394.55 Benefit: 75% = $295.95 85% = $335.40</w:t>
            </w:r>
          </w:p>
        </w:tc>
      </w:tr>
      <w:tr w:rsidR="00501E7A" w14:paraId="2D1F0E14" w14:textId="77777777" w:rsidTr="00136606">
        <w:trPr>
          <w:trHeight w:val="1253"/>
        </w:trPr>
        <w:tc>
          <w:tcPr>
            <w:tcW w:w="9571" w:type="dxa"/>
          </w:tcPr>
          <w:p w14:paraId="74474016" w14:textId="77777777" w:rsidR="00501E7A" w:rsidRPr="00DA69C7" w:rsidRDefault="00501E7A" w:rsidP="00501E7A">
            <w:pPr>
              <w:pStyle w:val="TableText0"/>
            </w:pPr>
            <w:r w:rsidRPr="00DA69C7">
              <w:t>MBS item 73314</w:t>
            </w:r>
          </w:p>
          <w:p w14:paraId="6C727976" w14:textId="77777777" w:rsidR="00501E7A" w:rsidRPr="00DA69C7" w:rsidRDefault="00501E7A" w:rsidP="00501E7A">
            <w:pPr>
              <w:pStyle w:val="TableText0"/>
            </w:pPr>
            <w:r w:rsidRPr="00DA69C7">
              <w:t>Characterisation of gene rearrangement or the identification of mutations within a known gene rearrangement, in the diagnosis and monitoring of patients with laboratory evidence of:</w:t>
            </w:r>
          </w:p>
          <w:p w14:paraId="7EAA8C3D" w14:textId="77777777" w:rsidR="00501E7A" w:rsidRPr="00DA69C7" w:rsidRDefault="00501E7A" w:rsidP="00501E7A">
            <w:pPr>
              <w:pStyle w:val="TableText0"/>
            </w:pPr>
            <w:r w:rsidRPr="00DA69C7">
              <w:t>(a)    acute myeloid leukaemia; or</w:t>
            </w:r>
          </w:p>
          <w:p w14:paraId="6FD30169" w14:textId="77777777" w:rsidR="00501E7A" w:rsidRPr="00DA69C7" w:rsidRDefault="00501E7A" w:rsidP="00501E7A">
            <w:pPr>
              <w:pStyle w:val="TableText0"/>
            </w:pPr>
            <w:r w:rsidRPr="00DA69C7">
              <w:t>(b)    acute promyelocytic leukaemia; or</w:t>
            </w:r>
          </w:p>
          <w:p w14:paraId="0CE9FFBA" w14:textId="77777777" w:rsidR="00501E7A" w:rsidRPr="00DA69C7" w:rsidRDefault="00501E7A" w:rsidP="00501E7A">
            <w:pPr>
              <w:pStyle w:val="TableText0"/>
            </w:pPr>
            <w:r w:rsidRPr="00DA69C7">
              <w:t>(c)    acute lymphoid leukaemia; or</w:t>
            </w:r>
          </w:p>
          <w:p w14:paraId="08042950" w14:textId="77777777" w:rsidR="00501E7A" w:rsidRPr="00DA69C7" w:rsidRDefault="00501E7A" w:rsidP="00501E7A">
            <w:pPr>
              <w:pStyle w:val="TableText0"/>
            </w:pPr>
            <w:r w:rsidRPr="00DA69C7">
              <w:t>(d)    chronic myeloid leukaemia;</w:t>
            </w:r>
          </w:p>
          <w:p w14:paraId="16ED6A98" w14:textId="22B19205" w:rsidR="00501E7A" w:rsidRDefault="00501E7A" w:rsidP="00501E7A">
            <w:pPr>
              <w:pStyle w:val="TableText0"/>
            </w:pPr>
            <w:r w:rsidRPr="00DA69C7">
              <w:t>Fee: $230.95 Benefit: 75% = $173.25 85% = $196.35</w:t>
            </w:r>
          </w:p>
        </w:tc>
      </w:tr>
      <w:tr w:rsidR="00501E7A" w14:paraId="082EA3B8" w14:textId="77777777" w:rsidTr="00136606">
        <w:trPr>
          <w:trHeight w:val="1253"/>
        </w:trPr>
        <w:tc>
          <w:tcPr>
            <w:tcW w:w="9571" w:type="dxa"/>
          </w:tcPr>
          <w:p w14:paraId="113B86E3" w14:textId="77777777" w:rsidR="00501E7A" w:rsidRPr="00DA69C7" w:rsidRDefault="00501E7A" w:rsidP="00501E7A">
            <w:pPr>
              <w:pStyle w:val="TableText0"/>
            </w:pPr>
            <w:r w:rsidRPr="00DA69C7">
              <w:t>MBS item 73315</w:t>
            </w:r>
          </w:p>
          <w:p w14:paraId="33B2675E" w14:textId="77777777" w:rsidR="00501E7A" w:rsidRPr="00DA69C7" w:rsidRDefault="00501E7A" w:rsidP="00501E7A">
            <w:pPr>
              <w:pStyle w:val="TableText0"/>
            </w:pPr>
            <w:r w:rsidRPr="00DA69C7">
              <w:t>A test described in item 73314, if rendered by a receiving APP - 1 or more tests</w:t>
            </w:r>
          </w:p>
          <w:p w14:paraId="5E343DC4" w14:textId="77777777" w:rsidR="00501E7A" w:rsidRPr="00DA69C7" w:rsidRDefault="00501E7A" w:rsidP="00501E7A">
            <w:pPr>
              <w:pStyle w:val="TableText0"/>
            </w:pPr>
            <w:r w:rsidRPr="00DA69C7">
              <w:t>(Item is subject to rule 18)</w:t>
            </w:r>
          </w:p>
          <w:p w14:paraId="7909CDF2" w14:textId="15326006" w:rsidR="00501E7A" w:rsidRDefault="00501E7A" w:rsidP="00501E7A">
            <w:pPr>
              <w:pStyle w:val="TableText0"/>
            </w:pPr>
            <w:r w:rsidRPr="00DA69C7">
              <w:t>Fee: $230.95 Benefit: 75% = $173.25 85% = $196.35</w:t>
            </w:r>
          </w:p>
        </w:tc>
      </w:tr>
      <w:tr w:rsidR="00501E7A" w14:paraId="54FCE15E" w14:textId="77777777" w:rsidTr="00136606">
        <w:trPr>
          <w:trHeight w:val="276"/>
        </w:trPr>
        <w:tc>
          <w:tcPr>
            <w:tcW w:w="9571" w:type="dxa"/>
          </w:tcPr>
          <w:p w14:paraId="77CB8010" w14:textId="054522EE" w:rsidR="00501E7A" w:rsidRPr="002D38C9" w:rsidRDefault="00501E7A" w:rsidP="00501E7A">
            <w:pPr>
              <w:pStyle w:val="TableHeading"/>
            </w:pPr>
            <w:r w:rsidRPr="000F1853">
              <w:t xml:space="preserve">MBS item numbers </w:t>
            </w:r>
            <w:r>
              <w:t>used for services performed</w:t>
            </w:r>
            <w:r w:rsidRPr="000F1853">
              <w:t xml:space="preserve"> to obtain the bone marrow </w:t>
            </w:r>
            <w:r>
              <w:t>sample</w:t>
            </w:r>
            <w:r w:rsidRPr="000F1853">
              <w:t xml:space="preserve"> </w:t>
            </w:r>
          </w:p>
        </w:tc>
      </w:tr>
      <w:tr w:rsidR="00501E7A" w14:paraId="54DC3731" w14:textId="77777777" w:rsidTr="00136606">
        <w:trPr>
          <w:trHeight w:val="823"/>
        </w:trPr>
        <w:tc>
          <w:tcPr>
            <w:tcW w:w="9571" w:type="dxa"/>
          </w:tcPr>
          <w:p w14:paraId="6F617F94" w14:textId="77777777" w:rsidR="00501E7A" w:rsidRPr="000F1853" w:rsidRDefault="00501E7A" w:rsidP="00501E7A">
            <w:pPr>
              <w:pStyle w:val="TableText0"/>
            </w:pPr>
            <w:r w:rsidRPr="000F1853">
              <w:t>MBS item number 20440</w:t>
            </w:r>
          </w:p>
          <w:p w14:paraId="0A6849A1" w14:textId="77777777" w:rsidR="00501E7A" w:rsidRPr="003A0AC2" w:rsidRDefault="00501E7A" w:rsidP="00501E7A">
            <w:pPr>
              <w:pStyle w:val="TableText0"/>
            </w:pPr>
            <w:r w:rsidRPr="003A0AC2">
              <w:t>INITIATION OF MANAGEMENT OF ANAESTHESIA for percutaneous bone marrow biopsy of the sternum</w:t>
            </w:r>
            <w:r>
              <w:t xml:space="preserve"> (4 basic units)</w:t>
            </w:r>
          </w:p>
          <w:p w14:paraId="61535477" w14:textId="5DDD5883" w:rsidR="00501E7A" w:rsidRPr="000F1853" w:rsidRDefault="00501E7A" w:rsidP="00501E7A">
            <w:pPr>
              <w:pStyle w:val="TableText0"/>
            </w:pPr>
            <w:r w:rsidRPr="003A0AC2">
              <w:t>Fee: $82.40 Benefit: 75% = $61.80 85% = $70.05</w:t>
            </w:r>
          </w:p>
        </w:tc>
      </w:tr>
      <w:tr w:rsidR="00501E7A" w14:paraId="17608C72" w14:textId="77777777" w:rsidTr="00136606">
        <w:trPr>
          <w:trHeight w:val="1028"/>
        </w:trPr>
        <w:tc>
          <w:tcPr>
            <w:tcW w:w="9571" w:type="dxa"/>
          </w:tcPr>
          <w:p w14:paraId="2D9F22CE" w14:textId="77777777" w:rsidR="00501E7A" w:rsidRPr="000F1853" w:rsidRDefault="00501E7A" w:rsidP="00501E7A">
            <w:pPr>
              <w:pStyle w:val="TableText0"/>
            </w:pPr>
            <w:r w:rsidRPr="000F1853">
              <w:t>MBS item number 21112</w:t>
            </w:r>
          </w:p>
          <w:p w14:paraId="4D070C9B" w14:textId="77777777" w:rsidR="00501E7A" w:rsidRPr="0043770C" w:rsidRDefault="00501E7A" w:rsidP="00501E7A">
            <w:pPr>
              <w:pStyle w:val="TableText0"/>
            </w:pPr>
            <w:r w:rsidRPr="0043770C">
              <w:t>INITIATION OF MANAGEMENT OF ANAESTHESIA for percutaneous bone marrow biopsy of the anterior iliac crest</w:t>
            </w:r>
            <w:r>
              <w:t xml:space="preserve"> (4 basic units)</w:t>
            </w:r>
          </w:p>
          <w:p w14:paraId="545D3900" w14:textId="1159DE24" w:rsidR="00501E7A" w:rsidRPr="000F1853" w:rsidRDefault="00501E7A" w:rsidP="00501E7A">
            <w:pPr>
              <w:pStyle w:val="TableText0"/>
            </w:pPr>
            <w:r w:rsidRPr="0043770C">
              <w:t>Fee: $82.40 Benefit: 75% = $61.80 85% = $70.05</w:t>
            </w:r>
          </w:p>
        </w:tc>
      </w:tr>
      <w:tr w:rsidR="00501E7A" w14:paraId="07A1ED98" w14:textId="77777777" w:rsidTr="00136606">
        <w:trPr>
          <w:trHeight w:val="1055"/>
        </w:trPr>
        <w:tc>
          <w:tcPr>
            <w:tcW w:w="9571" w:type="dxa"/>
          </w:tcPr>
          <w:p w14:paraId="207A6989" w14:textId="77777777" w:rsidR="00501E7A" w:rsidRPr="000F1853" w:rsidRDefault="00501E7A" w:rsidP="00501E7A">
            <w:pPr>
              <w:pStyle w:val="TableText0"/>
            </w:pPr>
            <w:r w:rsidRPr="000F1853">
              <w:t>MBS item number 21114</w:t>
            </w:r>
          </w:p>
          <w:p w14:paraId="132F77A0" w14:textId="77777777" w:rsidR="00501E7A" w:rsidRPr="00143B8A" w:rsidRDefault="00501E7A" w:rsidP="00501E7A">
            <w:pPr>
              <w:pStyle w:val="TableText0"/>
            </w:pPr>
            <w:r w:rsidRPr="00143B8A">
              <w:t>INITIATION OF MANAGEMENT OF ANAESTHESIA for percutaneous bone marrow biopsy of the posterior iliac crest</w:t>
            </w:r>
            <w:r>
              <w:t xml:space="preserve"> (5 basic units)</w:t>
            </w:r>
          </w:p>
          <w:p w14:paraId="766479CF" w14:textId="7BC78AFC" w:rsidR="00501E7A" w:rsidRPr="000F1853" w:rsidRDefault="00501E7A" w:rsidP="00501E7A">
            <w:pPr>
              <w:pStyle w:val="TableText0"/>
            </w:pPr>
            <w:r w:rsidRPr="00143B8A">
              <w:t>Fee: $103.00 Benefit: 75% = $77.25 85% = $87.55</w:t>
            </w:r>
          </w:p>
        </w:tc>
      </w:tr>
      <w:tr w:rsidR="00501E7A" w14:paraId="489787FD" w14:textId="77777777" w:rsidTr="00136606">
        <w:trPr>
          <w:trHeight w:val="893"/>
        </w:trPr>
        <w:tc>
          <w:tcPr>
            <w:tcW w:w="9571" w:type="dxa"/>
          </w:tcPr>
          <w:p w14:paraId="6A1D283E" w14:textId="77777777" w:rsidR="00501E7A" w:rsidRPr="000F1853" w:rsidRDefault="00501E7A" w:rsidP="00501E7A">
            <w:pPr>
              <w:pStyle w:val="TableText0"/>
            </w:pPr>
            <w:r w:rsidRPr="000F1853">
              <w:t>MBS item number 21116</w:t>
            </w:r>
          </w:p>
          <w:p w14:paraId="7B9DBCD8" w14:textId="77777777" w:rsidR="00501E7A" w:rsidRPr="00EA7E3A" w:rsidRDefault="00501E7A" w:rsidP="00501E7A">
            <w:pPr>
              <w:pStyle w:val="TableText0"/>
            </w:pPr>
            <w:r w:rsidRPr="00EA7E3A">
              <w:t>INITIATION OF MANAGEMENT OF ANAESTHESIA for percutaneous bone marrow harvesting from the pelvis</w:t>
            </w:r>
            <w:r>
              <w:t xml:space="preserve"> (6 basic units)</w:t>
            </w:r>
          </w:p>
          <w:p w14:paraId="449CA5F5" w14:textId="604B7790" w:rsidR="00501E7A" w:rsidRPr="000F1853" w:rsidRDefault="00501E7A" w:rsidP="00501E7A">
            <w:pPr>
              <w:pStyle w:val="TableText0"/>
            </w:pPr>
            <w:r w:rsidRPr="00EA7E3A">
              <w:t>Fee: $123.60 Benefit: 75% = $92.70 85% = $105.10</w:t>
            </w:r>
          </w:p>
        </w:tc>
      </w:tr>
      <w:tr w:rsidR="00501E7A" w14:paraId="3B2CDE9B" w14:textId="77777777" w:rsidTr="00136606">
        <w:trPr>
          <w:trHeight w:val="1342"/>
        </w:trPr>
        <w:tc>
          <w:tcPr>
            <w:tcW w:w="9571" w:type="dxa"/>
          </w:tcPr>
          <w:p w14:paraId="641BAB95" w14:textId="77777777" w:rsidR="00501E7A" w:rsidRDefault="00501E7A" w:rsidP="00501E7A">
            <w:pPr>
              <w:pStyle w:val="TableText0"/>
            </w:pPr>
            <w:r>
              <w:t xml:space="preserve">MBS </w:t>
            </w:r>
            <w:proofErr w:type="spellStart"/>
            <w:r>
              <w:t>iten</w:t>
            </w:r>
            <w:proofErr w:type="spellEnd"/>
            <w:r>
              <w:t xml:space="preserve"> number </w:t>
            </w:r>
            <w:r w:rsidRPr="00745FE4">
              <w:t>30081</w:t>
            </w:r>
          </w:p>
          <w:p w14:paraId="74A00D58" w14:textId="5DEE6908" w:rsidR="00501E7A" w:rsidRPr="00745FE4" w:rsidRDefault="00501E7A" w:rsidP="00501E7A">
            <w:r w:rsidRPr="00745FE4">
              <w:rPr>
                <w:rFonts w:ascii="Arial Narrow" w:eastAsiaTheme="minorHAnsi" w:hAnsi="Arial Narrow" w:cstheme="minorBidi"/>
                <w:sz w:val="20"/>
              </w:rPr>
              <w:t>DIAGNOSTIC BIOPSY OF BONE MARROW by trephine using open approach, where the biopsy specimen is sent for pathological examination</w:t>
            </w:r>
            <w:r>
              <w:rPr>
                <w:rFonts w:ascii="Arial Narrow" w:eastAsiaTheme="minorHAnsi" w:hAnsi="Arial Narrow" w:cstheme="minorBidi"/>
                <w:sz w:val="20"/>
              </w:rPr>
              <w:br/>
            </w:r>
            <w:r w:rsidRPr="00745FE4">
              <w:rPr>
                <w:rFonts w:ascii="Arial Narrow" w:eastAsiaTheme="minorHAnsi" w:hAnsi="Arial Narrow" w:cstheme="minorBidi"/>
                <w:sz w:val="20"/>
              </w:rPr>
              <w:lastRenderedPageBreak/>
              <w:t>(Anaes.)</w:t>
            </w:r>
            <w:r>
              <w:rPr>
                <w:rFonts w:ascii="Arial Narrow" w:eastAsiaTheme="minorHAnsi" w:hAnsi="Arial Narrow" w:cstheme="minorBidi"/>
                <w:sz w:val="20"/>
              </w:rPr>
              <w:br/>
            </w:r>
            <w:r w:rsidRPr="00745FE4">
              <w:rPr>
                <w:rFonts w:ascii="Arial Narrow" w:eastAsiaTheme="minorHAnsi" w:hAnsi="Arial Narrow" w:cstheme="minorBidi"/>
                <w:sz w:val="20"/>
              </w:rPr>
              <w:t>Fee: $114.30 Benefit: 75% = $85.75 85% = $97.20</w:t>
            </w:r>
          </w:p>
        </w:tc>
      </w:tr>
      <w:tr w:rsidR="00501E7A" w14:paraId="3924087F" w14:textId="77777777" w:rsidTr="00EE1539">
        <w:trPr>
          <w:trHeight w:val="1055"/>
        </w:trPr>
        <w:tc>
          <w:tcPr>
            <w:tcW w:w="9571" w:type="dxa"/>
          </w:tcPr>
          <w:p w14:paraId="1AD7CC70" w14:textId="77777777" w:rsidR="00501E7A" w:rsidRDefault="00501E7A" w:rsidP="00501E7A">
            <w:pPr>
              <w:pStyle w:val="TableText0"/>
            </w:pPr>
            <w:r>
              <w:lastRenderedPageBreak/>
              <w:t>MBS item number 30084</w:t>
            </w:r>
          </w:p>
          <w:p w14:paraId="63CA9F94" w14:textId="77777777" w:rsidR="00501E7A" w:rsidRDefault="00501E7A" w:rsidP="00501E7A">
            <w:pPr>
              <w:pStyle w:val="TableText0"/>
            </w:pPr>
            <w:r w:rsidRPr="00EE1539">
              <w:t>DIAGNOSTIC BIOPSY OF BONE MARROW by trephine using percutaneous approach where the biopsy is sent for pathological examination</w:t>
            </w:r>
          </w:p>
          <w:p w14:paraId="6F58E820" w14:textId="77777777" w:rsidR="00501E7A" w:rsidRPr="00EE1539" w:rsidRDefault="00501E7A" w:rsidP="00501E7A">
            <w:pPr>
              <w:pStyle w:val="TableText0"/>
            </w:pPr>
            <w:r w:rsidRPr="00EE1539">
              <w:t>(Anaes.)</w:t>
            </w:r>
          </w:p>
          <w:p w14:paraId="40CDFB07" w14:textId="77777777" w:rsidR="00501E7A" w:rsidRPr="00EE1539" w:rsidRDefault="00501E7A" w:rsidP="00501E7A">
            <w:pPr>
              <w:pStyle w:val="TableText0"/>
            </w:pPr>
            <w:r w:rsidRPr="00EE1539">
              <w:t>Fee: $61.20 Benefit: 75% = $45.90 85% = $52.05</w:t>
            </w:r>
          </w:p>
        </w:tc>
      </w:tr>
      <w:tr w:rsidR="00501E7A" w14:paraId="095EC4D4" w14:textId="77777777" w:rsidTr="00EE1539">
        <w:trPr>
          <w:trHeight w:val="1055"/>
        </w:trPr>
        <w:tc>
          <w:tcPr>
            <w:tcW w:w="9571" w:type="dxa"/>
          </w:tcPr>
          <w:p w14:paraId="3666B885" w14:textId="77777777" w:rsidR="00501E7A" w:rsidRDefault="00501E7A" w:rsidP="00501E7A">
            <w:pPr>
              <w:pStyle w:val="TableText0"/>
            </w:pPr>
            <w:r>
              <w:t>MBS item number 30087</w:t>
            </w:r>
          </w:p>
          <w:p w14:paraId="1DC18BA1" w14:textId="77777777" w:rsidR="00501E7A" w:rsidRDefault="00501E7A" w:rsidP="00501E7A">
            <w:pPr>
              <w:pStyle w:val="TableText0"/>
            </w:pPr>
            <w:r w:rsidRPr="00EE1539">
              <w:t>DIAGNOSTIC BIOPSY OF BONE MARROW by aspiration or PUNCH BIOPSY OF SYNOVIAL MEMBRANE, where the biopsy is sent for pathological examination</w:t>
            </w:r>
          </w:p>
          <w:p w14:paraId="251653A4" w14:textId="77777777" w:rsidR="00501E7A" w:rsidRDefault="00501E7A" w:rsidP="00501E7A">
            <w:pPr>
              <w:pStyle w:val="TableText0"/>
            </w:pPr>
            <w:r>
              <w:t>(Anaes.)</w:t>
            </w:r>
          </w:p>
          <w:p w14:paraId="64937E3D" w14:textId="77777777" w:rsidR="00501E7A" w:rsidRDefault="00501E7A" w:rsidP="00501E7A">
            <w:pPr>
              <w:pStyle w:val="TableText0"/>
            </w:pPr>
            <w:r>
              <w:t>Fee: $30.60 Benefit: 75% = $22.95 85% = $26.05</w:t>
            </w:r>
          </w:p>
        </w:tc>
      </w:tr>
    </w:tbl>
    <w:p w14:paraId="4630E9B5" w14:textId="60C08BDC" w:rsidR="00245FB6" w:rsidRDefault="00245FB6" w:rsidP="00BE7000"/>
    <w:p w14:paraId="648A2CF7" w14:textId="22570C39" w:rsidR="00975864" w:rsidRPr="00975864" w:rsidRDefault="00975864" w:rsidP="00BE7000">
      <w:r>
        <w:rPr>
          <w:b/>
        </w:rPr>
        <w:t>The secondary comparator f</w:t>
      </w:r>
      <w:r w:rsidR="00FC2560" w:rsidRPr="008B079F">
        <w:rPr>
          <w:b/>
        </w:rPr>
        <w:t xml:space="preserve">or application 1707 is proposed to be </w:t>
      </w:r>
      <w:r w:rsidR="00031C0E">
        <w:rPr>
          <w:b/>
        </w:rPr>
        <w:t>other molecular methods of MRD testing</w:t>
      </w:r>
      <w:r w:rsidR="00FC2560">
        <w:t xml:space="preserve">. </w:t>
      </w:r>
      <w:r>
        <w:t xml:space="preserve">This involves any molecular methods of MRD testing likely to be used in Australia under the MBS item proposed by the RCPA in application 1703, such as ASO-qPCR, or other NGS assays. This comparison is necessary due to the higher fee proposed in application 1707 for use of the </w:t>
      </w:r>
      <w:proofErr w:type="spellStart"/>
      <w:r>
        <w:t>clonoSEQ</w:t>
      </w:r>
      <w:proofErr w:type="spellEnd"/>
      <w:r>
        <w:t>® assay, than proposed in application 1703 for a method-agnostic item for molecular methods of MRD testing.</w:t>
      </w:r>
    </w:p>
    <w:p w14:paraId="7BA3DAA4" w14:textId="1103FE10" w:rsidR="00EF2934" w:rsidRPr="00C23BF2" w:rsidRDefault="00677AE3" w:rsidP="00C23BF2">
      <w:pPr>
        <w:pStyle w:val="Heading3"/>
      </w:pPr>
      <w:r w:rsidRPr="008F1532">
        <w:t>Reference standard</w:t>
      </w:r>
      <w:r w:rsidR="00454151">
        <w:t xml:space="preserve"> </w:t>
      </w:r>
    </w:p>
    <w:p w14:paraId="5108E205" w14:textId="4915F48A" w:rsidR="001E6135" w:rsidRDefault="00454151" w:rsidP="00454151">
      <w:r>
        <w:t>The</w:t>
      </w:r>
      <w:r w:rsidR="007C01C6">
        <w:t xml:space="preserve"> prognostic and predictive</w:t>
      </w:r>
      <w:r>
        <w:t xml:space="preserve"> test performance of MRD will be assessed using health outcomes as the reference standard (e.g. overall survival, disease-free survival).</w:t>
      </w:r>
    </w:p>
    <w:p w14:paraId="589E8A6D" w14:textId="778F21F0" w:rsidR="00454151" w:rsidRDefault="00B67D71" w:rsidP="00454151">
      <w:r>
        <w:t>The analyses for prognostic and predictive accuracy will need to be grouped by time of testing, and by the treatment rec</w:t>
      </w:r>
      <w:r w:rsidR="001E6135">
        <w:t>eived subsequent to testing (e.g</w:t>
      </w:r>
      <w:r>
        <w:t xml:space="preserve">. </w:t>
      </w:r>
      <w:r w:rsidR="001E6135">
        <w:t xml:space="preserve">accuracy of MRD prognostic estimates after induction therapy presented separately from accuracy of MRD prognostic estimates after consolidation therapy; and </w:t>
      </w:r>
      <w:r>
        <w:t xml:space="preserve">accuracy of </w:t>
      </w:r>
      <w:r w:rsidR="001E6135">
        <w:t xml:space="preserve">MRD to predict response to CAR-T separate from </w:t>
      </w:r>
      <w:proofErr w:type="spellStart"/>
      <w:r w:rsidR="001E6135">
        <w:t>from</w:t>
      </w:r>
      <w:proofErr w:type="spellEnd"/>
      <w:r w:rsidR="001E6135">
        <w:t xml:space="preserve"> accuracy of MRD to predict response to treatment with HSCT).</w:t>
      </w:r>
    </w:p>
    <w:p w14:paraId="17BC3FC4" w14:textId="61366A3A" w:rsidR="00EF2934" w:rsidRPr="00C23BF2" w:rsidRDefault="00CE1B13" w:rsidP="00C23BF2">
      <w:pPr>
        <w:pStyle w:val="Heading3"/>
      </w:pPr>
      <w:r w:rsidRPr="008F1532">
        <w:t>Clinical utility standard (for codependent investigative technologies only)</w:t>
      </w:r>
    </w:p>
    <w:p w14:paraId="799AC436" w14:textId="77777777" w:rsidR="00C64442" w:rsidRDefault="00FB7D43" w:rsidP="00136606">
      <w:pPr>
        <w:autoSpaceDE w:val="0"/>
        <w:autoSpaceDN w:val="0"/>
        <w:adjustRightInd w:val="0"/>
        <w:spacing w:line="23" w:lineRule="atLeast"/>
      </w:pPr>
      <w:r>
        <w:t xml:space="preserve">Although </w:t>
      </w:r>
      <w:r w:rsidR="00524DF2">
        <w:t xml:space="preserve">assessment of </w:t>
      </w:r>
      <w:r>
        <w:t xml:space="preserve">MRD testing is not </w:t>
      </w:r>
      <w:r w:rsidR="00524DF2">
        <w:t>considered to be</w:t>
      </w:r>
      <w:r>
        <w:t xml:space="preserve"> an integrated codependent assessment, it is used to determine treatment allocation, including for PBS-listed blinatumomab.</w:t>
      </w:r>
      <w:r w:rsidR="00F349DD">
        <w:t xml:space="preserve"> </w:t>
      </w:r>
    </w:p>
    <w:p w14:paraId="46A28D4D" w14:textId="7830E4C8" w:rsidR="00FB7D43" w:rsidRPr="00136606" w:rsidRDefault="00F349DD" w:rsidP="0013660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proposed service would allow earlier access to </w:t>
      </w:r>
      <w:r w:rsidR="005D38F4">
        <w:rPr>
          <w:rFonts w:asciiTheme="minorHAnsi" w:hAnsiTheme="minorHAnsi" w:cstheme="minorHAnsi"/>
          <w:i/>
          <w:iCs/>
        </w:rPr>
        <w:t>b</w:t>
      </w:r>
      <w:r>
        <w:rPr>
          <w:rFonts w:asciiTheme="minorHAnsi" w:hAnsiTheme="minorHAnsi" w:cstheme="minorHAnsi"/>
          <w:i/>
          <w:iCs/>
        </w:rPr>
        <w:t xml:space="preserve">linatumomab </w:t>
      </w:r>
      <w:r w:rsidR="003671D8">
        <w:rPr>
          <w:rFonts w:asciiTheme="minorHAnsi" w:hAnsiTheme="minorHAnsi" w:cstheme="minorHAnsi"/>
          <w:i/>
          <w:iCs/>
        </w:rPr>
        <w:t xml:space="preserve">if a lower limit of MRD detection was used, </w:t>
      </w:r>
      <w:r>
        <w:rPr>
          <w:rFonts w:asciiTheme="minorHAnsi" w:hAnsiTheme="minorHAnsi" w:cstheme="minorHAnsi"/>
          <w:i/>
          <w:iCs/>
        </w:rPr>
        <w:t>but would not increase the number of patients being treated with the drug</w:t>
      </w:r>
      <w:r w:rsidR="003671D8">
        <w:rPr>
          <w:rFonts w:asciiTheme="minorHAnsi" w:hAnsiTheme="minorHAnsi" w:cstheme="minorHAnsi"/>
          <w:i/>
          <w:iCs/>
        </w:rPr>
        <w:t xml:space="preserve"> as (non-MBS funded) testing is performed in accordance with the PBS restriction</w:t>
      </w:r>
      <w:r>
        <w:rPr>
          <w:rFonts w:asciiTheme="minorHAnsi" w:hAnsiTheme="minorHAnsi" w:cstheme="minorHAnsi"/>
          <w:i/>
          <w:iCs/>
        </w:rPr>
        <w:t>.</w:t>
      </w:r>
    </w:p>
    <w:p w14:paraId="567C81F4" w14:textId="3E951B4D" w:rsidR="00454151" w:rsidRDefault="00BA6ACA" w:rsidP="00162F0B">
      <w:pPr>
        <w:rPr>
          <w:i/>
        </w:rPr>
      </w:pPr>
      <w:r>
        <w:t xml:space="preserve">The key trial for the blinatumomab PBAC submission was the BLAST trial, which selected patients using </w:t>
      </w:r>
      <w:r w:rsidR="00524DF2">
        <w:t>q</w:t>
      </w:r>
      <w:r>
        <w:t>PCR of clonally rearranged immunoglobulin and/or T-cell receptor gene</w:t>
      </w:r>
      <w:r w:rsidR="00524DF2">
        <w:t>s</w:t>
      </w:r>
      <w:r>
        <w:t xml:space="preserve"> or using flow cytometry. </w:t>
      </w:r>
      <w:r w:rsidR="00607B71">
        <w:t>The PBS listing for blinatumomab (code 11867N)</w:t>
      </w:r>
      <w:r w:rsidR="00162F0B">
        <w:t xml:space="preserve"> </w:t>
      </w:r>
      <w:r w:rsidR="00607B71">
        <w:t>allows access to</w:t>
      </w:r>
      <w:r w:rsidR="00162F0B">
        <w:t xml:space="preserve"> patients </w:t>
      </w:r>
      <w:r w:rsidR="00454151">
        <w:t xml:space="preserve">with </w:t>
      </w:r>
      <w:r>
        <w:t>pre-</w:t>
      </w:r>
      <w:r w:rsidR="00454151">
        <w:t>B</w:t>
      </w:r>
      <w:r>
        <w:t>-cell</w:t>
      </w:r>
      <w:r w:rsidR="00454151">
        <w:t>-ALL and MRD</w:t>
      </w:r>
      <w:r>
        <w:t xml:space="preserve"> defined at least 10</w:t>
      </w:r>
      <w:r>
        <w:rPr>
          <w:vertAlign w:val="superscript"/>
        </w:rPr>
        <w:t xml:space="preserve">-4 </w:t>
      </w:r>
      <w:r w:rsidRPr="00BA6ACA">
        <w:t>(0.01%)</w:t>
      </w:r>
      <w:r w:rsidR="00454151">
        <w:t xml:space="preserve"> </w:t>
      </w:r>
      <w:r>
        <w:t xml:space="preserve">blasts measured in bone marrow, and </w:t>
      </w:r>
      <w:r w:rsidR="00454151">
        <w:t xml:space="preserve">measured using </w:t>
      </w:r>
      <w:r w:rsidR="00860948">
        <w:t>PCR</w:t>
      </w:r>
      <w:r w:rsidR="00454151">
        <w:t xml:space="preserve"> or flow cytometry</w:t>
      </w:r>
      <w:r w:rsidR="007A085C">
        <w:t xml:space="preserve"> </w:t>
      </w:r>
      <w:r w:rsidR="00607B71">
        <w:t>(</w:t>
      </w:r>
      <w:hyperlink r:id="rId9" w:history="1">
        <w:r w:rsidR="00607B71" w:rsidRPr="00607B71">
          <w:rPr>
            <w:rStyle w:val="Hyperlink"/>
            <w:rFonts w:ascii="Calibri" w:hAnsi="Calibri"/>
          </w:rPr>
          <w:t>PBS Online</w:t>
        </w:r>
      </w:hyperlink>
      <w:r w:rsidR="00607B71">
        <w:t xml:space="preserve">). </w:t>
      </w:r>
      <w:r w:rsidR="00F10E2D" w:rsidRPr="00136606">
        <w:t>As the restriction does not mention the method of PCR, it could either be real-time PCR or NGS PCR, making the proposed interventions for application 1703 and 1707 both suitable.</w:t>
      </w:r>
    </w:p>
    <w:p w14:paraId="2B93336A" w14:textId="77777777" w:rsidR="008A3376" w:rsidRDefault="008A3376">
      <w:pPr>
        <w:spacing w:after="160" w:line="259" w:lineRule="auto"/>
        <w:rPr>
          <w:rFonts w:eastAsia="MS Gothic"/>
          <w:b/>
          <w:bCs/>
          <w:i/>
          <w:sz w:val="24"/>
          <w:szCs w:val="24"/>
        </w:rPr>
      </w:pPr>
      <w:r>
        <w:br w:type="page"/>
      </w:r>
    </w:p>
    <w:p w14:paraId="45792EFA" w14:textId="0D7A6577" w:rsidR="00EF2934" w:rsidRPr="00C23BF2" w:rsidRDefault="007A66C8" w:rsidP="00C23BF2">
      <w:pPr>
        <w:pStyle w:val="Heading3"/>
      </w:pPr>
      <w:r w:rsidRPr="008F1532">
        <w:lastRenderedPageBreak/>
        <w:t xml:space="preserve">Outcomes </w:t>
      </w:r>
    </w:p>
    <w:p w14:paraId="564F2870" w14:textId="7EF71025" w:rsidR="00D97455" w:rsidRDefault="00D97455" w:rsidP="00970512">
      <w:pPr>
        <w:pStyle w:val="Heading4"/>
      </w:pPr>
      <w:r>
        <w:t>Test performance</w:t>
      </w:r>
      <w:r w:rsidR="003637E8">
        <w:t xml:space="preserve"> </w:t>
      </w:r>
    </w:p>
    <w:p w14:paraId="6DE25031" w14:textId="5E0A58E9" w:rsidR="00D6705A" w:rsidRDefault="00EA5665" w:rsidP="00970512">
      <w:r>
        <w:t>P</w:t>
      </w:r>
      <w:r w:rsidR="00A36685">
        <w:t xml:space="preserve">rognostic ability </w:t>
      </w:r>
      <w:r w:rsidR="003637E8">
        <w:t>(</w:t>
      </w:r>
      <w:r w:rsidR="00A36685">
        <w:t xml:space="preserve">to </w:t>
      </w:r>
      <w:r w:rsidR="00970512">
        <w:t>predict health outcomes</w:t>
      </w:r>
      <w:r w:rsidR="009E0015">
        <w:t>, e.g. ha</w:t>
      </w:r>
      <w:r w:rsidR="00D41750">
        <w:t>zard ratios for</w:t>
      </w:r>
      <w:r w:rsidR="009E0015">
        <w:t xml:space="preserve"> </w:t>
      </w:r>
      <w:r w:rsidR="00D41750">
        <w:t>different MRD-categorised groups</w:t>
      </w:r>
      <w:r w:rsidR="003637E8">
        <w:t>)</w:t>
      </w:r>
      <w:r w:rsidR="00A36685">
        <w:t xml:space="preserve"> </w:t>
      </w:r>
    </w:p>
    <w:p w14:paraId="4E01B9A3" w14:textId="6DCC802E" w:rsidR="001E6135" w:rsidRPr="00D6705A" w:rsidRDefault="001E6135" w:rsidP="00970512">
      <w:r>
        <w:t>Predictive accuracy (predicting response to treatment</w:t>
      </w:r>
      <w:r w:rsidR="001E157A">
        <w:t xml:space="preserve">, such as </w:t>
      </w:r>
      <w:r w:rsidR="005D38F4">
        <w:t>blinatumomab</w:t>
      </w:r>
      <w:r w:rsidR="001E157A">
        <w:t>, HSCT, CAR-T</w:t>
      </w:r>
      <w:r>
        <w:t>)</w:t>
      </w:r>
    </w:p>
    <w:p w14:paraId="61FB888D" w14:textId="3060FB3F" w:rsidR="00F828BA" w:rsidRPr="00EA5665" w:rsidRDefault="00F828BA" w:rsidP="00A36685">
      <w:pPr>
        <w:rPr>
          <w:i/>
        </w:rPr>
      </w:pPr>
      <w:r>
        <w:t>Responsiveness to treatment</w:t>
      </w:r>
      <w:r w:rsidR="00EA5665">
        <w:t xml:space="preserve"> </w:t>
      </w:r>
      <w:r>
        <w:t>(relative to background random variation, i.e. signal to noise ratio)</w:t>
      </w:r>
      <w:r w:rsidR="00EA5665">
        <w:t xml:space="preserve"> </w:t>
      </w:r>
    </w:p>
    <w:p w14:paraId="45C5017A" w14:textId="7E22123F" w:rsidR="00F828BA" w:rsidRDefault="00F828BA" w:rsidP="00A36685">
      <w:r>
        <w:t>Detectability of long-term change relative to background random variation (to justify frequency of monitoring)</w:t>
      </w:r>
    </w:p>
    <w:p w14:paraId="7C22E3C8" w14:textId="13C8688D" w:rsidR="00F40BA5" w:rsidRDefault="00F40BA5" w:rsidP="00A36685">
      <w:r>
        <w:t>Test turnaround time and availability of test</w:t>
      </w:r>
      <w:r w:rsidR="00A91937">
        <w:t xml:space="preserve"> (equity of access)</w:t>
      </w:r>
    </w:p>
    <w:p w14:paraId="2ADDA56B" w14:textId="5F8FAD3A" w:rsidR="00F40BA5" w:rsidRDefault="00F40BA5" w:rsidP="00A36685">
      <w:r>
        <w:t xml:space="preserve">Rate of </w:t>
      </w:r>
      <w:proofErr w:type="spellStart"/>
      <w:r>
        <w:t>rebiopsy</w:t>
      </w:r>
      <w:proofErr w:type="spellEnd"/>
      <w:r w:rsidR="00DC08AE">
        <w:t>/</w:t>
      </w:r>
      <w:proofErr w:type="spellStart"/>
      <w:r w:rsidR="00DC08AE">
        <w:t>reaspiration</w:t>
      </w:r>
      <w:proofErr w:type="spellEnd"/>
    </w:p>
    <w:p w14:paraId="54DDF299" w14:textId="77777777" w:rsidR="004B06AC" w:rsidRDefault="004B06AC" w:rsidP="004B06AC">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agreed to additional outcomes of “test turnaround time”, “cost of test”, and “availability of test”. </w:t>
      </w:r>
    </w:p>
    <w:p w14:paraId="25F576DE" w14:textId="56852ECE" w:rsidR="004B06AC" w:rsidRDefault="004B06AC" w:rsidP="004B06AC">
      <w:r>
        <w:rPr>
          <w:rFonts w:asciiTheme="minorHAnsi" w:hAnsiTheme="minorHAnsi" w:cstheme="minorHAnsi"/>
          <w:i/>
          <w:iCs/>
        </w:rPr>
        <w:t xml:space="preserve">PASC noted that some public consultation responses suggested that the proposed intervention may result in an increase in bone marrow biopsies. The applicants for 1703 and 1707 had both reported that this would not occur (as MRD testing would only occur simultaneously with bone marrow biopsies for morphological assessment). PASC agreed the proposed </w:t>
      </w:r>
      <w:proofErr w:type="spellStart"/>
      <w:r>
        <w:rPr>
          <w:rFonts w:asciiTheme="minorHAnsi" w:hAnsiTheme="minorHAnsi" w:cstheme="minorHAnsi"/>
          <w:i/>
          <w:iCs/>
        </w:rPr>
        <w:t>interevention</w:t>
      </w:r>
      <w:proofErr w:type="spellEnd"/>
      <w:r>
        <w:rPr>
          <w:rFonts w:asciiTheme="minorHAnsi" w:hAnsiTheme="minorHAnsi" w:cstheme="minorHAnsi"/>
          <w:i/>
          <w:iCs/>
        </w:rPr>
        <w:t xml:space="preserve"> would not result in an increase in bone marrow biopsies. However, if any evidence becomes available during the assessment phase on the rate of rebiopsy, this should be included.</w:t>
      </w:r>
    </w:p>
    <w:p w14:paraId="54E60543" w14:textId="12A2E16A" w:rsidR="00F67A19" w:rsidRDefault="00F67A19" w:rsidP="00F67A19">
      <w:pPr>
        <w:pStyle w:val="Heading4"/>
      </w:pPr>
      <w:r>
        <w:t xml:space="preserve">Change in management </w:t>
      </w:r>
    </w:p>
    <w:p w14:paraId="6EC17341" w14:textId="549293A9" w:rsidR="00AC7DAF" w:rsidRDefault="00AC7DAF" w:rsidP="00F67A19">
      <w:bookmarkStart w:id="10" w:name="_Hlk98494973"/>
      <w:r>
        <w:t>Proportion of tests where the resulting MRD-directed treatment would differ from standard treatment (i.e. number needed to test to alter treatment)</w:t>
      </w:r>
    </w:p>
    <w:bookmarkEnd w:id="10"/>
    <w:p w14:paraId="0DAE55C3" w14:textId="41A8408F" w:rsidR="00F67A19" w:rsidRPr="00F67A19" w:rsidRDefault="00F67A19" w:rsidP="00F67A19">
      <w:r>
        <w:t>Evidence that test results (at different points in the treatment pathway) are used to change management</w:t>
      </w:r>
    </w:p>
    <w:p w14:paraId="1EB70D99" w14:textId="0DD09853" w:rsidR="00970512" w:rsidRDefault="00970512" w:rsidP="00970512">
      <w:pPr>
        <w:pStyle w:val="Heading4"/>
      </w:pPr>
      <w:r>
        <w:t>Clinical utility</w:t>
      </w:r>
    </w:p>
    <w:p w14:paraId="556CE66E" w14:textId="0D744FF7" w:rsidR="00970512" w:rsidRDefault="003C60E8" w:rsidP="00970512">
      <w:bookmarkStart w:id="11" w:name="_Hlk98495018"/>
      <w:r>
        <w:t xml:space="preserve">Health outcomes as a result of using MRD-directed treatment versus standard treatment, e.g. </w:t>
      </w:r>
      <w:r w:rsidR="003534F7">
        <w:t>s</w:t>
      </w:r>
      <w:r w:rsidR="00970512">
        <w:t>urvival, qua</w:t>
      </w:r>
      <w:r w:rsidR="00AC7DAF">
        <w:t>lity of life, rate of remission</w:t>
      </w:r>
    </w:p>
    <w:bookmarkEnd w:id="11"/>
    <w:p w14:paraId="4D14B509" w14:textId="35F83C28" w:rsidR="00970512" w:rsidRDefault="00970512" w:rsidP="00970512">
      <w:r>
        <w:t xml:space="preserve">Safety of using MRD </w:t>
      </w:r>
      <w:r w:rsidR="003637E8">
        <w:t xml:space="preserve">vs morphological assessment ± cytogenetic analysis </w:t>
      </w:r>
      <w:r>
        <w:t xml:space="preserve">to guide treatment decisions (adverse events related to treatments chosen). </w:t>
      </w:r>
    </w:p>
    <w:p w14:paraId="1670538A" w14:textId="34C48D76" w:rsidR="00970512" w:rsidRPr="00F828BA" w:rsidRDefault="00F828BA" w:rsidP="00F828BA">
      <w:pPr>
        <w:pStyle w:val="Heading4"/>
      </w:pPr>
      <w:r w:rsidRPr="00F828BA">
        <w:t>Economic evaluation</w:t>
      </w:r>
    </w:p>
    <w:p w14:paraId="0EA4C99D" w14:textId="0A5F9F53" w:rsidR="00445D51" w:rsidRDefault="002F0ADA" w:rsidP="00445D51">
      <w:r>
        <w:t>Cost of test and f</w:t>
      </w:r>
      <w:r w:rsidR="00445D51">
        <w:t>inancial implications to Medicare Benefits Schedule and healthcare system</w:t>
      </w:r>
    </w:p>
    <w:p w14:paraId="272E0DE8" w14:textId="33A21720" w:rsidR="00970512" w:rsidRDefault="00445D51" w:rsidP="0055634E">
      <w:r>
        <w:t>Cost-effectiveness</w:t>
      </w:r>
    </w:p>
    <w:p w14:paraId="0B6C8E30" w14:textId="77777777" w:rsidR="004B06AC" w:rsidRDefault="004B06AC">
      <w:pPr>
        <w:spacing w:after="160" w:line="259" w:lineRule="auto"/>
        <w:rPr>
          <w:rFonts w:ascii="Franklin Gothic Medium" w:eastAsiaTheme="majorEastAsia" w:hAnsi="Franklin Gothic Medium" w:cstheme="majorBidi"/>
          <w:color w:val="000000" w:themeColor="text1"/>
          <w:sz w:val="32"/>
          <w:szCs w:val="26"/>
        </w:rPr>
      </w:pPr>
      <w:r>
        <w:br w:type="page"/>
      </w:r>
    </w:p>
    <w:p w14:paraId="4BBF84CB" w14:textId="4E617259" w:rsidR="009B31CC" w:rsidRDefault="009B31CC" w:rsidP="00713728">
      <w:pPr>
        <w:pStyle w:val="Heading2"/>
      </w:pPr>
      <w:r w:rsidRPr="00490FBB">
        <w:lastRenderedPageBreak/>
        <w:t xml:space="preserve">Assessment framework </w:t>
      </w:r>
    </w:p>
    <w:p w14:paraId="436FEAF3" w14:textId="4FA30F47" w:rsidR="006F1314" w:rsidRDefault="003D79D1" w:rsidP="00E01349">
      <w:pPr>
        <w:pStyle w:val="Instructionaltext"/>
        <w:rPr>
          <w:color w:val="auto"/>
        </w:rPr>
      </w:pPr>
      <w:r>
        <w:rPr>
          <w:color w:val="auto"/>
        </w:rPr>
        <w:t xml:space="preserve">Application 1703 </w:t>
      </w:r>
      <w:r w:rsidR="00E50419">
        <w:rPr>
          <w:color w:val="auto"/>
        </w:rPr>
        <w:t xml:space="preserve">identified two studies </w:t>
      </w:r>
      <w:r w:rsidR="00E23901">
        <w:rPr>
          <w:color w:val="auto"/>
        </w:rPr>
        <w:t xml:space="preserve">that </w:t>
      </w:r>
      <w:r w:rsidR="00E50419">
        <w:rPr>
          <w:color w:val="auto"/>
        </w:rPr>
        <w:t>provide direct from test to health outcomes evidence for MRD testing</w:t>
      </w:r>
      <w:r>
        <w:rPr>
          <w:color w:val="auto"/>
        </w:rPr>
        <w:t>.</w:t>
      </w:r>
    </w:p>
    <w:p w14:paraId="2CA316A2" w14:textId="794532E2" w:rsidR="003D79D1" w:rsidRDefault="006F1314" w:rsidP="00E01349">
      <w:pPr>
        <w:pStyle w:val="Instructionaltext"/>
        <w:rPr>
          <w:color w:val="auto"/>
        </w:rPr>
      </w:pPr>
      <w:r>
        <w:rPr>
          <w:color w:val="auto"/>
        </w:rPr>
        <w:t xml:space="preserve">The key evidence </w:t>
      </w:r>
      <w:r w:rsidR="00E50419">
        <w:rPr>
          <w:color w:val="auto"/>
        </w:rPr>
        <w:t xml:space="preserve">in de novo ALL patients comes from </w:t>
      </w:r>
      <w:r>
        <w:rPr>
          <w:color w:val="auto"/>
        </w:rPr>
        <w:t>two randomised trials</w:t>
      </w:r>
      <w:r w:rsidR="009A2D10">
        <w:rPr>
          <w:color w:val="auto"/>
        </w:rPr>
        <w:t xml:space="preserve"> in one</w:t>
      </w:r>
      <w:r w:rsidR="00E50419">
        <w:rPr>
          <w:color w:val="auto"/>
        </w:rPr>
        <w:t xml:space="preserve"> </w:t>
      </w:r>
      <w:r w:rsidR="009A2D10">
        <w:rPr>
          <w:color w:val="auto"/>
        </w:rPr>
        <w:t>(UKALL2003)</w:t>
      </w:r>
      <w:r>
        <w:rPr>
          <w:color w:val="auto"/>
        </w:rPr>
        <w:t>. In those with low risk (determined by MRD), patients were randomised to receive standard treatment (equivalent to what they would have received in the absence of MRD testing), or reduced treatment (</w:t>
      </w:r>
      <w:r w:rsidR="00DF0A90">
        <w:rPr>
          <w:color w:val="auto"/>
        </w:rPr>
        <w:t xml:space="preserve">qPCR </w:t>
      </w:r>
      <w:r>
        <w:rPr>
          <w:color w:val="auto"/>
        </w:rPr>
        <w:t>MRD-directed treatment), and had equivalent health outcomes (i.e. no loss of effectiveness, but reduced risk of adverse events).</w:t>
      </w:r>
    </w:p>
    <w:p w14:paraId="28D7F7B3" w14:textId="0B236C28" w:rsidR="006F1314" w:rsidRDefault="006F1314" w:rsidP="00E01349">
      <w:pPr>
        <w:pStyle w:val="Instructionaltext"/>
        <w:rPr>
          <w:color w:val="auto"/>
        </w:rPr>
      </w:pPr>
      <w:r>
        <w:rPr>
          <w:color w:val="auto"/>
        </w:rPr>
        <w:t xml:space="preserve">In those deemed intermediate risk by morphological assessment, but high risk by </w:t>
      </w:r>
      <w:r w:rsidR="00DF0A90">
        <w:rPr>
          <w:color w:val="auto"/>
        </w:rPr>
        <w:t xml:space="preserve">qPCR </w:t>
      </w:r>
      <w:r>
        <w:rPr>
          <w:color w:val="auto"/>
        </w:rPr>
        <w:t>MRD testing, patients were randomised to either standard treatment (equivalent to what they would have received in the absence of MRD testing) or augmented treatment (</w:t>
      </w:r>
      <w:r w:rsidR="002B48F8">
        <w:rPr>
          <w:color w:val="auto"/>
        </w:rPr>
        <w:t xml:space="preserve">qPCR </w:t>
      </w:r>
      <w:r>
        <w:rPr>
          <w:color w:val="auto"/>
        </w:rPr>
        <w:t xml:space="preserve">MRD-directed treatment). Event-free survival and risk of relapse were significantly better in those with MRD-directed treatment, and the </w:t>
      </w:r>
      <w:r w:rsidR="00E23901">
        <w:rPr>
          <w:color w:val="auto"/>
        </w:rPr>
        <w:t>h</w:t>
      </w:r>
      <w:r w:rsidR="009A2D10">
        <w:rPr>
          <w:color w:val="auto"/>
        </w:rPr>
        <w:t xml:space="preserve">azard </w:t>
      </w:r>
      <w:r w:rsidR="00E23901">
        <w:rPr>
          <w:color w:val="auto"/>
        </w:rPr>
        <w:t>r</w:t>
      </w:r>
      <w:r w:rsidR="009A2D10">
        <w:rPr>
          <w:color w:val="auto"/>
        </w:rPr>
        <w:t>atio</w:t>
      </w:r>
      <w:r>
        <w:rPr>
          <w:color w:val="auto"/>
        </w:rPr>
        <w:t xml:space="preserve"> for overall survival </w:t>
      </w:r>
      <w:r w:rsidR="009A2D10">
        <w:rPr>
          <w:color w:val="auto"/>
        </w:rPr>
        <w:t>looked clinically important</w:t>
      </w:r>
      <w:r>
        <w:rPr>
          <w:color w:val="auto"/>
        </w:rPr>
        <w:t>, although there were too few events for it to be statistically significant.</w:t>
      </w:r>
    </w:p>
    <w:p w14:paraId="1AB12B13" w14:textId="68F8E9CF" w:rsidR="0042642C" w:rsidRDefault="0042642C" w:rsidP="00E01349">
      <w:pPr>
        <w:pStyle w:val="Instructionaltext"/>
        <w:rPr>
          <w:color w:val="auto"/>
        </w:rPr>
      </w:pPr>
      <w:r>
        <w:rPr>
          <w:color w:val="auto"/>
        </w:rPr>
        <w:t>An additional historical control study (ALL-REZ BFM 2002</w:t>
      </w:r>
      <w:r w:rsidR="00BB33A2">
        <w:rPr>
          <w:color w:val="auto"/>
        </w:rPr>
        <w:t xml:space="preserve"> for </w:t>
      </w:r>
      <w:r w:rsidR="00E91D8B">
        <w:rPr>
          <w:color w:val="auto"/>
        </w:rPr>
        <w:t xml:space="preserve">qPCR </w:t>
      </w:r>
      <w:r w:rsidR="00BB33A2">
        <w:rPr>
          <w:color w:val="auto"/>
        </w:rPr>
        <w:t>MRD-directed treatment, and ALL-REZ BFM P95/96 for standard treatment)</w:t>
      </w:r>
      <w:r>
        <w:rPr>
          <w:color w:val="auto"/>
        </w:rPr>
        <w:t xml:space="preserve"> </w:t>
      </w:r>
      <w:r w:rsidR="0054506B">
        <w:rPr>
          <w:color w:val="auto"/>
        </w:rPr>
        <w:t xml:space="preserve">provides direct from test to health outcomes evidence, in children with relapsed ALL. </w:t>
      </w:r>
      <w:r w:rsidR="00E50419">
        <w:rPr>
          <w:color w:val="auto"/>
        </w:rPr>
        <w:t>In the prospective cohort component, those low risk by MRD testing proceeded without HSCT, and those deemed high risk received HSCT. Health outcomes were compared to those in a historical control group who had MRD testing performed as part of a prognostic study (without MRD-directed treatment).</w:t>
      </w:r>
    </w:p>
    <w:p w14:paraId="35066334" w14:textId="302E9BA4" w:rsidR="00C67AED" w:rsidRDefault="00E50419" w:rsidP="00E01349">
      <w:pPr>
        <w:pStyle w:val="Instructionaltext"/>
        <w:rPr>
          <w:color w:val="auto"/>
        </w:rPr>
      </w:pPr>
      <w:r>
        <w:rPr>
          <w:color w:val="auto"/>
        </w:rPr>
        <w:t>As these direct evidence studies do not cover all uses of MRD testing</w:t>
      </w:r>
      <w:r w:rsidR="00E91D8B">
        <w:rPr>
          <w:color w:val="auto"/>
        </w:rPr>
        <w:t xml:space="preserve">, and only cover qPCR methods (not </w:t>
      </w:r>
      <w:proofErr w:type="spellStart"/>
      <w:r w:rsidR="00E91D8B">
        <w:rPr>
          <w:color w:val="auto"/>
        </w:rPr>
        <w:t>mpFC</w:t>
      </w:r>
      <w:proofErr w:type="spellEnd"/>
      <w:r w:rsidR="00E91D8B">
        <w:rPr>
          <w:color w:val="auto"/>
        </w:rPr>
        <w:t>)</w:t>
      </w:r>
      <w:r>
        <w:rPr>
          <w:color w:val="auto"/>
        </w:rPr>
        <w:t>, the assessment will also need to include additional prognostic and predictive evidence</w:t>
      </w:r>
      <w:r w:rsidR="005225DB">
        <w:rPr>
          <w:color w:val="auto"/>
        </w:rPr>
        <w:t xml:space="preserve"> to demonstrate the benefit of testing at other time points</w:t>
      </w:r>
      <w:r w:rsidR="00E91D8B">
        <w:rPr>
          <w:color w:val="auto"/>
        </w:rPr>
        <w:t>, and other methods</w:t>
      </w:r>
      <w:r>
        <w:rPr>
          <w:color w:val="auto"/>
        </w:rPr>
        <w:t xml:space="preserve">, and seek any further evidence </w:t>
      </w:r>
      <w:r w:rsidR="003F0EB9">
        <w:rPr>
          <w:color w:val="auto"/>
        </w:rPr>
        <w:t xml:space="preserve">on how it impacts on </w:t>
      </w:r>
      <w:r w:rsidR="005225DB">
        <w:rPr>
          <w:color w:val="auto"/>
        </w:rPr>
        <w:t xml:space="preserve">the </w:t>
      </w:r>
      <w:r w:rsidR="003F0EB9">
        <w:rPr>
          <w:color w:val="auto"/>
        </w:rPr>
        <w:t xml:space="preserve">management </w:t>
      </w:r>
      <w:r w:rsidR="005225DB">
        <w:rPr>
          <w:color w:val="auto"/>
        </w:rPr>
        <w:t>of patients.</w:t>
      </w:r>
    </w:p>
    <w:p w14:paraId="172AF44D" w14:textId="639436FD" w:rsidR="00F745D9" w:rsidRPr="004B06AC" w:rsidRDefault="00F516B9" w:rsidP="00E01349">
      <w:pPr>
        <w:pStyle w:val="Instructionaltext"/>
        <w:rPr>
          <w:iCs/>
          <w:color w:val="auto"/>
        </w:rPr>
      </w:pPr>
      <w:r>
        <w:rPr>
          <w:color w:val="auto"/>
        </w:rPr>
        <w:t>References provided in application</w:t>
      </w:r>
      <w:r w:rsidR="00F745D9">
        <w:rPr>
          <w:color w:val="auto"/>
        </w:rPr>
        <w:t xml:space="preserve"> 1703 suggests that the assessment framework will </w:t>
      </w:r>
      <w:r>
        <w:rPr>
          <w:color w:val="auto"/>
        </w:rPr>
        <w:t xml:space="preserve">be able to </w:t>
      </w:r>
      <w:r w:rsidR="00F745D9">
        <w:rPr>
          <w:color w:val="auto"/>
        </w:rPr>
        <w:t xml:space="preserve">include the evidence components in the dark boxes and circles in </w:t>
      </w:r>
      <w:r w:rsidR="00F745D9">
        <w:rPr>
          <w:color w:val="auto"/>
        </w:rPr>
        <w:fldChar w:fldCharType="begin"/>
      </w:r>
      <w:r w:rsidR="00F745D9">
        <w:rPr>
          <w:color w:val="auto"/>
        </w:rPr>
        <w:instrText xml:space="preserve"> REF _Ref96608795 \h  \* MERGEFORMAT </w:instrText>
      </w:r>
      <w:r w:rsidR="00F745D9">
        <w:rPr>
          <w:color w:val="auto"/>
        </w:rPr>
      </w:r>
      <w:r w:rsidR="00F745D9">
        <w:rPr>
          <w:color w:val="auto"/>
        </w:rPr>
        <w:fldChar w:fldCharType="separate"/>
      </w:r>
      <w:r w:rsidR="00F745D9" w:rsidRPr="00F745D9">
        <w:rPr>
          <w:color w:val="auto"/>
        </w:rPr>
        <w:t>Figure 1</w:t>
      </w:r>
      <w:r w:rsidR="00F745D9">
        <w:rPr>
          <w:color w:val="auto"/>
        </w:rPr>
        <w:fldChar w:fldCharType="end"/>
      </w:r>
      <w:r w:rsidR="00F745D9">
        <w:rPr>
          <w:color w:val="auto"/>
        </w:rPr>
        <w:t xml:space="preserve">. </w:t>
      </w:r>
      <w:r w:rsidR="000D059A" w:rsidRPr="004B06AC">
        <w:rPr>
          <w:iCs/>
          <w:color w:val="auto"/>
        </w:rPr>
        <w:t>(Please note, a comprehensive search will only be performed during the assessment stage, and some forms of evidence may have been missed in the scoping search).</w:t>
      </w:r>
    </w:p>
    <w:p w14:paraId="7634BEE8" w14:textId="74B380BA" w:rsidR="00632D87" w:rsidRDefault="002B570E" w:rsidP="00632D87">
      <w:pPr>
        <w:pStyle w:val="Instructionaltext"/>
        <w:keepNext/>
      </w:pPr>
      <w:r>
        <w:rPr>
          <w:noProof/>
          <w:lang w:eastAsia="en-AU"/>
        </w:rPr>
        <w:lastRenderedPageBreak/>
        <w:drawing>
          <wp:inline distT="0" distB="0" distL="0" distR="0" wp14:anchorId="255E5A88" wp14:editId="3860AF80">
            <wp:extent cx="6248400" cy="2505075"/>
            <wp:effectExtent l="0" t="0" r="0" b="9525"/>
            <wp:docPr id="4" name="Picture 4" descr="Framework showing that both direct from test to health outcomes evidence will be used, as well as evidence on the accuracy of MRD testing (for determining prognosis, predicting treatment effect, changing managmenet and health outcomes)" title="Assessment framework for application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1703(4).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248400" cy="2505075"/>
                    </a:xfrm>
                    <a:prstGeom prst="rect">
                      <a:avLst/>
                    </a:prstGeom>
                    <a:ln>
                      <a:noFill/>
                    </a:ln>
                    <a:extLst>
                      <a:ext uri="{53640926-AAD7-44D8-BBD7-CCE9431645EC}">
                        <a14:shadowObscured xmlns:a14="http://schemas.microsoft.com/office/drawing/2010/main"/>
                      </a:ext>
                    </a:extLst>
                  </pic:spPr>
                </pic:pic>
              </a:graphicData>
            </a:graphic>
          </wp:inline>
        </w:drawing>
      </w:r>
    </w:p>
    <w:p w14:paraId="207E5EC2" w14:textId="16A92307" w:rsidR="00632D87" w:rsidRDefault="00632D87" w:rsidP="00C67AED">
      <w:pPr>
        <w:pStyle w:val="Caption"/>
        <w:spacing w:before="0"/>
      </w:pPr>
      <w:bookmarkStart w:id="12" w:name="_Ref96608795"/>
      <w:r>
        <w:t xml:space="preserve">Figure </w:t>
      </w:r>
      <w:r>
        <w:fldChar w:fldCharType="begin"/>
      </w:r>
      <w:r>
        <w:instrText xml:space="preserve"> SEQ Figure \* ARABIC </w:instrText>
      </w:r>
      <w:r>
        <w:fldChar w:fldCharType="separate"/>
      </w:r>
      <w:r w:rsidR="00B0630A">
        <w:rPr>
          <w:noProof/>
        </w:rPr>
        <w:t>1</w:t>
      </w:r>
      <w:r>
        <w:fldChar w:fldCharType="end"/>
      </w:r>
      <w:bookmarkEnd w:id="12"/>
      <w:r>
        <w:tab/>
        <w:t xml:space="preserve">Assessment framework for assessment 1703 showing direct from test to health outcomes evidence and linked evidence from test to health outcomes for assessment </w:t>
      </w:r>
    </w:p>
    <w:p w14:paraId="0FFB8FE1" w14:textId="3B4E2FD3" w:rsidR="00632D87" w:rsidRDefault="00632D87" w:rsidP="005B7476">
      <w:pPr>
        <w:pStyle w:val="Tablenotes"/>
        <w:keepLines/>
        <w:rPr>
          <w:szCs w:val="18"/>
        </w:rPr>
      </w:pPr>
      <w:r w:rsidRPr="00C40CC4">
        <w:rPr>
          <w:szCs w:val="18"/>
        </w:rPr>
        <w:t>Figure notes: 1: direct from test to h</w:t>
      </w:r>
      <w:r>
        <w:rPr>
          <w:szCs w:val="18"/>
        </w:rPr>
        <w:t>ealth outcomes evidence (safety and effectiveness); 2: prognostic</w:t>
      </w:r>
      <w:r w:rsidRPr="00C40CC4">
        <w:rPr>
          <w:szCs w:val="18"/>
        </w:rPr>
        <w:t xml:space="preserve"> accuracy;</w:t>
      </w:r>
      <w:r>
        <w:rPr>
          <w:szCs w:val="18"/>
        </w:rPr>
        <w:t xml:space="preserve"> </w:t>
      </w:r>
      <w:r w:rsidR="002B570E">
        <w:rPr>
          <w:szCs w:val="18"/>
        </w:rPr>
        <w:t>3: predictive accuracy; 4</w:t>
      </w:r>
      <w:r>
        <w:rPr>
          <w:szCs w:val="18"/>
        </w:rPr>
        <w:t>: monitoring accuracy;</w:t>
      </w:r>
      <w:r w:rsidRPr="00C40CC4">
        <w:rPr>
          <w:szCs w:val="18"/>
        </w:rPr>
        <w:t xml:space="preserve"> </w:t>
      </w:r>
      <w:r w:rsidR="002B570E">
        <w:rPr>
          <w:szCs w:val="18"/>
        </w:rPr>
        <w:t>5</w:t>
      </w:r>
      <w:r w:rsidRPr="00C40CC4">
        <w:rPr>
          <w:szCs w:val="18"/>
        </w:rPr>
        <w:t xml:space="preserve">: change in treatment/management; </w:t>
      </w:r>
      <w:r w:rsidR="002B570E">
        <w:rPr>
          <w:szCs w:val="18"/>
        </w:rPr>
        <w:t>6</w:t>
      </w:r>
      <w:r w:rsidRPr="00C40CC4">
        <w:rPr>
          <w:szCs w:val="18"/>
        </w:rPr>
        <w:t>: influence of the change in management on health outcomes</w:t>
      </w:r>
      <w:r>
        <w:rPr>
          <w:szCs w:val="18"/>
        </w:rPr>
        <w:t xml:space="preserve"> (safety and effectiveness)</w:t>
      </w:r>
      <w:r w:rsidR="000D059A">
        <w:rPr>
          <w:szCs w:val="18"/>
        </w:rPr>
        <w:t>, which do not meet the criteria to be direct from test to health outcomes evidence</w:t>
      </w:r>
    </w:p>
    <w:p w14:paraId="418D8E90" w14:textId="77777777" w:rsidR="005B7476" w:rsidRDefault="005B7476" w:rsidP="005B7476">
      <w:pPr>
        <w:pStyle w:val="Tablenotes"/>
        <w:keepLines/>
        <w:rPr>
          <w:szCs w:val="18"/>
        </w:rPr>
      </w:pPr>
    </w:p>
    <w:p w14:paraId="342C62CC" w14:textId="480E7827" w:rsidR="00C67AED" w:rsidRPr="00C67AED" w:rsidRDefault="00C67AED" w:rsidP="00C67AED">
      <w:pPr>
        <w:spacing w:before="120" w:after="120" w:line="240" w:lineRule="auto"/>
        <w:jc w:val="both"/>
        <w:rPr>
          <w:color w:val="000000" w:themeColor="text1"/>
        </w:rPr>
      </w:pPr>
      <w:r w:rsidRPr="00C67AED">
        <w:rPr>
          <w:color w:val="000000" w:themeColor="text1"/>
        </w:rPr>
        <w:t xml:space="preserve">The </w:t>
      </w:r>
      <w:r>
        <w:rPr>
          <w:color w:val="000000" w:themeColor="text1"/>
        </w:rPr>
        <w:t xml:space="preserve">questions to be addressed in the assessment report (relating to components of the framework above) </w:t>
      </w:r>
      <w:r w:rsidR="00E23901">
        <w:rPr>
          <w:color w:val="000000" w:themeColor="text1"/>
        </w:rPr>
        <w:t xml:space="preserve">for 1703 </w:t>
      </w:r>
      <w:r>
        <w:rPr>
          <w:color w:val="000000" w:themeColor="text1"/>
        </w:rPr>
        <w:t>are:</w:t>
      </w:r>
    </w:p>
    <w:p w14:paraId="3FF11F19" w14:textId="6E245C23" w:rsidR="00AB4300" w:rsidRPr="00136606" w:rsidRDefault="00AB4300" w:rsidP="00136606">
      <w:pPr>
        <w:spacing w:before="120" w:after="120" w:line="240" w:lineRule="auto"/>
        <w:ind w:left="720"/>
        <w:jc w:val="both"/>
        <w:rPr>
          <w:color w:val="000000" w:themeColor="text1"/>
        </w:rPr>
      </w:pPr>
      <w:r w:rsidRPr="00136606">
        <w:rPr>
          <w:color w:val="000000" w:themeColor="text1"/>
        </w:rPr>
        <w:t>1a. What is the safety, effectiveness and cost-effectiveness of MRD testing (</w:t>
      </w:r>
      <w:proofErr w:type="spellStart"/>
      <w:r w:rsidRPr="00136606">
        <w:rPr>
          <w:color w:val="000000" w:themeColor="text1"/>
        </w:rPr>
        <w:t>mpFC</w:t>
      </w:r>
      <w:proofErr w:type="spellEnd"/>
      <w:r w:rsidRPr="00136606">
        <w:rPr>
          <w:color w:val="000000" w:themeColor="text1"/>
        </w:rPr>
        <w:t xml:space="preserve"> or molecular methods) in addition to assessment of morphological remission, compared to assessment of morphological remission alone, in patients with ALL?</w:t>
      </w:r>
    </w:p>
    <w:p w14:paraId="2042C7D8" w14:textId="77777777" w:rsidR="00AB4300" w:rsidRPr="00136606" w:rsidRDefault="00AB4300" w:rsidP="00136606">
      <w:pPr>
        <w:spacing w:before="120" w:after="120" w:line="240" w:lineRule="auto"/>
        <w:ind w:left="720"/>
        <w:jc w:val="both"/>
        <w:rPr>
          <w:color w:val="000000" w:themeColor="text1"/>
        </w:rPr>
      </w:pPr>
      <w:r w:rsidRPr="00136606">
        <w:rPr>
          <w:color w:val="000000" w:themeColor="text1"/>
        </w:rPr>
        <w:t>2a. What is the incremental prognostic benefit of using MRD testing in addition to assessment of morphological remission, compared to assessment of morphological remission alone, in patients with ALL?</w:t>
      </w:r>
    </w:p>
    <w:p w14:paraId="3CF96111" w14:textId="77777777" w:rsidR="00AB4300" w:rsidRPr="00136606" w:rsidRDefault="00AB4300" w:rsidP="00136606">
      <w:pPr>
        <w:spacing w:before="120" w:after="120" w:line="240" w:lineRule="auto"/>
        <w:ind w:left="720"/>
        <w:jc w:val="both"/>
        <w:rPr>
          <w:color w:val="000000" w:themeColor="text1"/>
        </w:rPr>
      </w:pPr>
      <w:r w:rsidRPr="00136606">
        <w:rPr>
          <w:color w:val="000000" w:themeColor="text1"/>
        </w:rPr>
        <w:t>3a. What is the incremental predictive benefit of using MRD testing in addition to assessment of morphological remission, compared to predicting treatment benefit with assessment of morphological remission alone, in patients with ALL?</w:t>
      </w:r>
    </w:p>
    <w:p w14:paraId="460D9A79" w14:textId="77777777" w:rsidR="00AB4300" w:rsidRPr="00136606" w:rsidRDefault="00AB4300" w:rsidP="00136606">
      <w:pPr>
        <w:spacing w:before="120" w:after="120" w:line="240" w:lineRule="auto"/>
        <w:ind w:left="720"/>
        <w:jc w:val="both"/>
        <w:rPr>
          <w:color w:val="000000" w:themeColor="text1"/>
        </w:rPr>
      </w:pPr>
      <w:r w:rsidRPr="00136606">
        <w:rPr>
          <w:color w:val="000000" w:themeColor="text1"/>
        </w:rPr>
        <w:t>4a. How accurate is MRD testing (</w:t>
      </w:r>
      <w:proofErr w:type="spellStart"/>
      <w:r w:rsidRPr="00136606">
        <w:rPr>
          <w:color w:val="000000" w:themeColor="text1"/>
        </w:rPr>
        <w:t>mpFC</w:t>
      </w:r>
      <w:proofErr w:type="spellEnd"/>
      <w:r w:rsidRPr="00136606">
        <w:rPr>
          <w:color w:val="000000" w:themeColor="text1"/>
        </w:rPr>
        <w:t xml:space="preserve"> or molecular methods) for monitoring (distinguishing between response to treatment and random variation) compared to assessment of morphological remission alone, in patients with ALL?</w:t>
      </w:r>
    </w:p>
    <w:p w14:paraId="12EBF0DF" w14:textId="03EFA11B" w:rsidR="00AB4300" w:rsidRPr="00136606" w:rsidRDefault="00AB4300" w:rsidP="00136606">
      <w:pPr>
        <w:spacing w:before="120" w:after="120" w:line="240" w:lineRule="auto"/>
        <w:ind w:left="720"/>
        <w:jc w:val="both"/>
        <w:rPr>
          <w:color w:val="000000" w:themeColor="text1"/>
        </w:rPr>
      </w:pPr>
      <w:r w:rsidRPr="00136606">
        <w:rPr>
          <w:color w:val="000000" w:themeColor="text1"/>
        </w:rPr>
        <w:t>5a. Does MRD testing (</w:t>
      </w:r>
      <w:proofErr w:type="spellStart"/>
      <w:r w:rsidRPr="00136606">
        <w:rPr>
          <w:color w:val="000000" w:themeColor="text1"/>
        </w:rPr>
        <w:t>mpFC</w:t>
      </w:r>
      <w:proofErr w:type="spellEnd"/>
      <w:r w:rsidRPr="00136606">
        <w:rPr>
          <w:color w:val="000000" w:themeColor="text1"/>
        </w:rPr>
        <w:t xml:space="preserve"> or molecular methods) alter management compared to assessment of morphological assessment alone, in patients with ALL?</w:t>
      </w:r>
    </w:p>
    <w:p w14:paraId="320807AF" w14:textId="1B043BFD" w:rsidR="00AB4300" w:rsidRPr="00136606" w:rsidRDefault="00AB4300" w:rsidP="00136606">
      <w:pPr>
        <w:spacing w:before="120" w:after="120" w:line="240" w:lineRule="auto"/>
        <w:ind w:left="720"/>
        <w:jc w:val="both"/>
        <w:rPr>
          <w:color w:val="000000" w:themeColor="text1"/>
        </w:rPr>
      </w:pPr>
      <w:r w:rsidRPr="00136606">
        <w:rPr>
          <w:color w:val="000000" w:themeColor="text1"/>
        </w:rPr>
        <w:t>6a. How safe and effective are the alterations in management (found in 5a)?</w:t>
      </w:r>
    </w:p>
    <w:p w14:paraId="66890962" w14:textId="67EFE648" w:rsidR="00C67AED" w:rsidRDefault="00E91D8B" w:rsidP="004B06AC">
      <w:pPr>
        <w:pStyle w:val="Instructionaltext"/>
        <w:spacing w:before="200"/>
        <w:rPr>
          <w:color w:val="auto"/>
        </w:rPr>
      </w:pPr>
      <w:r>
        <w:rPr>
          <w:color w:val="auto"/>
        </w:rPr>
        <w:t xml:space="preserve">No direct from test to health outcomes evidence was identified from scoping searches on either </w:t>
      </w:r>
      <w:proofErr w:type="spellStart"/>
      <w:r>
        <w:rPr>
          <w:color w:val="auto"/>
        </w:rPr>
        <w:t>mpFC</w:t>
      </w:r>
      <w:proofErr w:type="spellEnd"/>
      <w:r>
        <w:rPr>
          <w:color w:val="auto"/>
        </w:rPr>
        <w:t xml:space="preserve"> or the </w:t>
      </w:r>
      <w:proofErr w:type="spellStart"/>
      <w:r>
        <w:rPr>
          <w:color w:val="auto"/>
        </w:rPr>
        <w:t>clonoSEQ</w:t>
      </w:r>
      <w:proofErr w:type="spellEnd"/>
      <w:r>
        <w:rPr>
          <w:color w:val="auto"/>
        </w:rPr>
        <w:t xml:space="preserve">® assay. A linked evidence approach will therefore </w:t>
      </w:r>
      <w:r w:rsidR="007C1F1D">
        <w:rPr>
          <w:color w:val="auto"/>
        </w:rPr>
        <w:t xml:space="preserve">likely </w:t>
      </w:r>
      <w:r>
        <w:rPr>
          <w:color w:val="auto"/>
        </w:rPr>
        <w:t xml:space="preserve">be required, linking together evidence regarding the accuracy of </w:t>
      </w:r>
      <w:proofErr w:type="spellStart"/>
      <w:r>
        <w:rPr>
          <w:color w:val="auto"/>
        </w:rPr>
        <w:t>mpFC</w:t>
      </w:r>
      <w:proofErr w:type="spellEnd"/>
      <w:r>
        <w:rPr>
          <w:color w:val="auto"/>
        </w:rPr>
        <w:t xml:space="preserve"> and </w:t>
      </w:r>
      <w:proofErr w:type="spellStart"/>
      <w:r>
        <w:rPr>
          <w:color w:val="auto"/>
        </w:rPr>
        <w:t>clonoSEQ</w:t>
      </w:r>
      <w:proofErr w:type="spellEnd"/>
      <w:r>
        <w:rPr>
          <w:color w:val="auto"/>
        </w:rPr>
        <w:t xml:space="preserve">® (for determining prognosis, predicting treatment response, and monitoring), </w:t>
      </w:r>
      <w:r w:rsidR="007C1F1D">
        <w:rPr>
          <w:color w:val="auto"/>
        </w:rPr>
        <w:t xml:space="preserve">compared to no MRD testing, and MRD testing by other molecular methods, combined </w:t>
      </w:r>
      <w:r>
        <w:rPr>
          <w:color w:val="auto"/>
        </w:rPr>
        <w:t>with evidence that MRD is used to alter treatment, and evidence that these treatment alterations are likely to benefit the health of patients</w:t>
      </w:r>
      <w:r w:rsidR="007C1F1D">
        <w:rPr>
          <w:color w:val="auto"/>
        </w:rPr>
        <w:t xml:space="preserve"> (note, in the absence of direct from test to health outcome evidence, the evidence of MRD-guided treatment altering health outcomes may come from studies using other methods of MRD testing, such as qPCR)</w:t>
      </w:r>
      <w:r>
        <w:rPr>
          <w:color w:val="auto"/>
        </w:rPr>
        <w:t>.</w:t>
      </w:r>
    </w:p>
    <w:p w14:paraId="07B9356F" w14:textId="327B9833" w:rsidR="00C67AED" w:rsidRPr="002A487D" w:rsidRDefault="002A487D" w:rsidP="002A487D">
      <w:pPr>
        <w:pStyle w:val="Instructionaltext"/>
        <w:rPr>
          <w:color w:val="auto"/>
        </w:rPr>
      </w:pPr>
      <w:r>
        <w:rPr>
          <w:color w:val="auto"/>
        </w:rPr>
        <w:lastRenderedPageBreak/>
        <w:t xml:space="preserve">The assessment framework expected to be used for assessment 1707 is shown in </w:t>
      </w:r>
      <w:r>
        <w:rPr>
          <w:color w:val="auto"/>
        </w:rPr>
        <w:fldChar w:fldCharType="begin"/>
      </w:r>
      <w:r>
        <w:rPr>
          <w:color w:val="auto"/>
        </w:rPr>
        <w:instrText xml:space="preserve"> REF _Ref97217400 \h  \* MERGEFORMAT </w:instrText>
      </w:r>
      <w:r>
        <w:rPr>
          <w:color w:val="auto"/>
        </w:rPr>
      </w:r>
      <w:r>
        <w:rPr>
          <w:color w:val="auto"/>
        </w:rPr>
        <w:fldChar w:fldCharType="separate"/>
      </w:r>
      <w:r w:rsidRPr="002A487D">
        <w:rPr>
          <w:color w:val="auto"/>
        </w:rPr>
        <w:t>Figure 2</w:t>
      </w:r>
      <w:r>
        <w:rPr>
          <w:color w:val="auto"/>
        </w:rPr>
        <w:fldChar w:fldCharType="end"/>
      </w:r>
      <w:r>
        <w:rPr>
          <w:color w:val="auto"/>
        </w:rPr>
        <w:t xml:space="preserve">. </w:t>
      </w:r>
      <w:r w:rsidR="00FD558C">
        <w:rPr>
          <w:color w:val="auto"/>
        </w:rPr>
        <w:t xml:space="preserve">The dark boxes </w:t>
      </w:r>
      <w:r w:rsidR="00E23901">
        <w:rPr>
          <w:color w:val="auto"/>
        </w:rPr>
        <w:t xml:space="preserve">and circles </w:t>
      </w:r>
      <w:r w:rsidR="00FD558C">
        <w:rPr>
          <w:color w:val="auto"/>
        </w:rPr>
        <w:t xml:space="preserve">are the components of the assessment framework for which evidence is known from the scoping searches to be available (i.e. evidence of superior prognostic accuracy of </w:t>
      </w:r>
      <w:proofErr w:type="spellStart"/>
      <w:r w:rsidR="00FD558C">
        <w:rPr>
          <w:color w:val="auto"/>
        </w:rPr>
        <w:t>clonoSEQ</w:t>
      </w:r>
      <w:proofErr w:type="spellEnd"/>
      <w:r w:rsidR="00FD558C">
        <w:rPr>
          <w:color w:val="auto"/>
        </w:rPr>
        <w:t xml:space="preserve">® versus other molecular methods, superior prognostic accuracy of </w:t>
      </w:r>
      <w:proofErr w:type="spellStart"/>
      <w:r w:rsidR="00FD558C">
        <w:rPr>
          <w:color w:val="auto"/>
        </w:rPr>
        <w:t>clonoSEQ</w:t>
      </w:r>
      <w:proofErr w:type="spellEnd"/>
      <w:r w:rsidR="00FD558C">
        <w:rPr>
          <w:color w:val="auto"/>
        </w:rPr>
        <w:t xml:space="preserve">® versus </w:t>
      </w:r>
      <w:proofErr w:type="spellStart"/>
      <w:r w:rsidR="00FD558C">
        <w:rPr>
          <w:color w:val="auto"/>
        </w:rPr>
        <w:t>mpFC</w:t>
      </w:r>
      <w:proofErr w:type="spellEnd"/>
      <w:r w:rsidR="00FD558C">
        <w:rPr>
          <w:color w:val="auto"/>
        </w:rPr>
        <w:t xml:space="preserve">, and superior prognostic accuracy of </w:t>
      </w:r>
      <w:proofErr w:type="spellStart"/>
      <w:r w:rsidR="00FD558C">
        <w:rPr>
          <w:color w:val="auto"/>
        </w:rPr>
        <w:t>mpFC</w:t>
      </w:r>
      <w:proofErr w:type="spellEnd"/>
      <w:r w:rsidR="00FD558C">
        <w:rPr>
          <w:color w:val="auto"/>
        </w:rPr>
        <w:t xml:space="preserve"> vs no MRD testing</w:t>
      </w:r>
      <w:r w:rsidR="00FD558C" w:rsidRPr="00136606">
        <w:rPr>
          <w:color w:val="auto"/>
        </w:rPr>
        <w:t>). (Note that a full systematic review is yet to be performed and the scoping searches do not represent all available information).</w:t>
      </w:r>
    </w:p>
    <w:p w14:paraId="00D66E5B" w14:textId="2126EE02" w:rsidR="00F516B9" w:rsidRDefault="002A487D" w:rsidP="00F516B9">
      <w:pPr>
        <w:keepNext/>
      </w:pPr>
      <w:r>
        <w:rPr>
          <w:noProof/>
          <w:lang w:eastAsia="en-AU"/>
        </w:rPr>
        <w:drawing>
          <wp:inline distT="0" distB="0" distL="0" distR="0" wp14:anchorId="6D858C87" wp14:editId="24FEB016">
            <wp:extent cx="6162675" cy="2146938"/>
            <wp:effectExtent l="0" t="0" r="0" b="5715"/>
            <wp:docPr id="23" name="Picture 23" descr="No direct from test to health outcomes is expected for assessment 1707. A linked evidence approach is shown in the framework. " title="Assessment framework for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plified for 1707.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205043" cy="2161698"/>
                    </a:xfrm>
                    <a:prstGeom prst="rect">
                      <a:avLst/>
                    </a:prstGeom>
                    <a:ln>
                      <a:noFill/>
                    </a:ln>
                    <a:extLst>
                      <a:ext uri="{53640926-AAD7-44D8-BBD7-CCE9431645EC}">
                        <a14:shadowObscured xmlns:a14="http://schemas.microsoft.com/office/drawing/2010/main"/>
                      </a:ext>
                    </a:extLst>
                  </pic:spPr>
                </pic:pic>
              </a:graphicData>
            </a:graphic>
          </wp:inline>
        </w:drawing>
      </w:r>
    </w:p>
    <w:p w14:paraId="419A6661" w14:textId="148ACEC6" w:rsidR="00F516B9" w:rsidRDefault="00F516B9" w:rsidP="002A487D">
      <w:pPr>
        <w:pStyle w:val="Caption"/>
        <w:spacing w:before="0"/>
      </w:pPr>
      <w:bookmarkStart w:id="13" w:name="_Ref97217400"/>
      <w:r>
        <w:t xml:space="preserve">Figure </w:t>
      </w:r>
      <w:r>
        <w:fldChar w:fldCharType="begin"/>
      </w:r>
      <w:r>
        <w:instrText xml:space="preserve"> SEQ Figure \* ARABIC </w:instrText>
      </w:r>
      <w:r>
        <w:fldChar w:fldCharType="separate"/>
      </w:r>
      <w:r w:rsidR="00B0630A">
        <w:rPr>
          <w:noProof/>
        </w:rPr>
        <w:t>2</w:t>
      </w:r>
      <w:r>
        <w:fldChar w:fldCharType="end"/>
      </w:r>
      <w:bookmarkEnd w:id="13"/>
      <w:r>
        <w:tab/>
        <w:t xml:space="preserve">Assessment framework for assessment 1707 showing linked evidence from test to health outcomes for assessment </w:t>
      </w:r>
    </w:p>
    <w:p w14:paraId="5B567473" w14:textId="034654DD" w:rsidR="00F516B9" w:rsidRDefault="00F516B9" w:rsidP="005B7476">
      <w:pPr>
        <w:pStyle w:val="Tablenotes"/>
        <w:keepLines/>
        <w:rPr>
          <w:szCs w:val="18"/>
        </w:rPr>
      </w:pPr>
      <w:r w:rsidRPr="00C40CC4">
        <w:rPr>
          <w:szCs w:val="18"/>
        </w:rPr>
        <w:t>Figure notes:</w:t>
      </w:r>
      <w:r>
        <w:rPr>
          <w:szCs w:val="18"/>
        </w:rPr>
        <w:t xml:space="preserve"> 2: prognostic</w:t>
      </w:r>
      <w:r w:rsidRPr="00C40CC4">
        <w:rPr>
          <w:szCs w:val="18"/>
        </w:rPr>
        <w:t xml:space="preserve"> accuracy;</w:t>
      </w:r>
      <w:r>
        <w:rPr>
          <w:szCs w:val="18"/>
        </w:rPr>
        <w:t xml:space="preserve"> 3: monitoring accuracy;</w:t>
      </w:r>
      <w:r w:rsidRPr="00C40CC4">
        <w:rPr>
          <w:szCs w:val="18"/>
        </w:rPr>
        <w:t xml:space="preserve"> </w:t>
      </w:r>
      <w:r>
        <w:rPr>
          <w:szCs w:val="18"/>
        </w:rPr>
        <w:t>4</w:t>
      </w:r>
      <w:r w:rsidRPr="00C40CC4">
        <w:rPr>
          <w:szCs w:val="18"/>
        </w:rPr>
        <w:t xml:space="preserve">: change in treatment/management; </w:t>
      </w:r>
      <w:r>
        <w:rPr>
          <w:szCs w:val="18"/>
        </w:rPr>
        <w:t>5</w:t>
      </w:r>
      <w:r w:rsidRPr="00C40CC4">
        <w:rPr>
          <w:szCs w:val="18"/>
        </w:rPr>
        <w:t>: influence of the change in management on health outcomes</w:t>
      </w:r>
      <w:r>
        <w:rPr>
          <w:szCs w:val="18"/>
        </w:rPr>
        <w:t xml:space="preserve"> (safety and effectiveness), which do not meet the criteria to be direct from test to health outcomes evidence</w:t>
      </w:r>
    </w:p>
    <w:p w14:paraId="625B6E3D" w14:textId="5B071FA0" w:rsidR="00632D87" w:rsidRDefault="002A487D" w:rsidP="004B06AC">
      <w:pPr>
        <w:spacing w:before="200"/>
        <w:rPr>
          <w:lang w:val="en-GB" w:eastAsia="ja-JP"/>
        </w:rPr>
      </w:pPr>
      <w:r>
        <w:rPr>
          <w:lang w:val="en-GB" w:eastAsia="ja-JP"/>
        </w:rPr>
        <w:t xml:space="preserve">The questions to be addressed </w:t>
      </w:r>
      <w:r w:rsidR="00E23901">
        <w:rPr>
          <w:lang w:val="en-GB" w:eastAsia="ja-JP"/>
        </w:rPr>
        <w:t xml:space="preserve">in the </w:t>
      </w:r>
      <w:r w:rsidR="0055634E">
        <w:rPr>
          <w:lang w:val="en-GB" w:eastAsia="ja-JP"/>
        </w:rPr>
        <w:t xml:space="preserve">assessment </w:t>
      </w:r>
      <w:r w:rsidR="00E23901">
        <w:rPr>
          <w:lang w:val="en-GB" w:eastAsia="ja-JP"/>
        </w:rPr>
        <w:t xml:space="preserve">report </w:t>
      </w:r>
      <w:r w:rsidR="00E23901">
        <w:rPr>
          <w:color w:val="000000" w:themeColor="text1"/>
        </w:rPr>
        <w:t xml:space="preserve">(relating to components of the framework above) for </w:t>
      </w:r>
      <w:r w:rsidR="0055634E">
        <w:rPr>
          <w:lang w:val="en-GB" w:eastAsia="ja-JP"/>
        </w:rPr>
        <w:t>1707 are</w:t>
      </w:r>
      <w:r w:rsidR="00E23901">
        <w:rPr>
          <w:lang w:val="en-GB" w:eastAsia="ja-JP"/>
        </w:rPr>
        <w:t>:</w:t>
      </w:r>
    </w:p>
    <w:p w14:paraId="12A9FDCC" w14:textId="3B553037" w:rsidR="005836ED" w:rsidRDefault="005836ED" w:rsidP="00136606">
      <w:r>
        <w:rPr>
          <w:lang w:val="en-GB" w:eastAsia="ja-JP"/>
        </w:rPr>
        <w:t>Research questions for the primary comparison:</w:t>
      </w:r>
    </w:p>
    <w:p w14:paraId="7B667C51"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1b. What is the safety, effectiveness and cost-effectiveness of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in addition to assessment of morphological remission, compared to assessment of morphological remission alone, in patients with ALL?</w:t>
      </w:r>
    </w:p>
    <w:p w14:paraId="25BC2092"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2b. What is the incremental prognostic benefit of using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in addition to assessment of morphological remission, compared to assessment of morphological remission alone, in patients with ALL?</w:t>
      </w:r>
    </w:p>
    <w:p w14:paraId="3D3A3F4E"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3b. What is the incremental predictive benefit of using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in addition to assessment of morphological remission, compared to predicting treatment benefit with assessment of morphological remission alone, in patients with ALL?</w:t>
      </w:r>
    </w:p>
    <w:p w14:paraId="7E9B6B00"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4b. How accurate is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for monitoring (distinguishing between response to treatment and random variation) compared to assessment of morphological remission alone, in patients with ALL?</w:t>
      </w:r>
    </w:p>
    <w:p w14:paraId="2B64CCC6" w14:textId="4E2787D2"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5b. Does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alter management compared to assessment of morphological assessment alone, in patients with ALL?</w:t>
      </w:r>
    </w:p>
    <w:p w14:paraId="55107F73" w14:textId="15B3446C" w:rsidR="00FD558C" w:rsidRPr="00136606" w:rsidRDefault="00FD558C" w:rsidP="00136606">
      <w:pPr>
        <w:spacing w:before="120" w:after="240" w:line="240" w:lineRule="auto"/>
        <w:ind w:left="720"/>
        <w:jc w:val="both"/>
        <w:rPr>
          <w:iCs/>
          <w:color w:val="000000" w:themeColor="text1"/>
        </w:rPr>
      </w:pPr>
      <w:r w:rsidRPr="00136606">
        <w:rPr>
          <w:iCs/>
          <w:color w:val="000000" w:themeColor="text1"/>
        </w:rPr>
        <w:t>6b. How safe and effective are the alterations in management (found in response to question 5b)?</w:t>
      </w:r>
    </w:p>
    <w:p w14:paraId="74F64F77" w14:textId="299F4BAE" w:rsidR="00FD558C" w:rsidRPr="00FD558C" w:rsidRDefault="005836ED" w:rsidP="005836ED">
      <w:pPr>
        <w:rPr>
          <w:i/>
          <w:color w:val="000000" w:themeColor="text1"/>
        </w:rPr>
      </w:pPr>
      <w:r>
        <w:rPr>
          <w:lang w:val="en-GB" w:eastAsia="ja-JP"/>
        </w:rPr>
        <w:t>Research questions for the secondary comparison:</w:t>
      </w:r>
    </w:p>
    <w:p w14:paraId="28538FA1"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1c. What is the safety, effectiveness and cost-effectiveness of using the </w:t>
      </w:r>
      <w:proofErr w:type="spellStart"/>
      <w:r w:rsidRPr="00136606">
        <w:rPr>
          <w:iCs/>
          <w:color w:val="000000" w:themeColor="text1"/>
        </w:rPr>
        <w:t>clonoSEQ</w:t>
      </w:r>
      <w:proofErr w:type="spellEnd"/>
      <w:r w:rsidRPr="00136606">
        <w:rPr>
          <w:iCs/>
          <w:color w:val="000000" w:themeColor="text1"/>
        </w:rPr>
        <w:t>® assay for MRD testing vs other molecular methods in patients with ALL?</w:t>
      </w:r>
    </w:p>
    <w:p w14:paraId="28B9CFA8"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lastRenderedPageBreak/>
        <w:t xml:space="preserve">2c. What is the accuracy of the </w:t>
      </w:r>
      <w:proofErr w:type="spellStart"/>
      <w:r w:rsidRPr="00136606">
        <w:rPr>
          <w:iCs/>
          <w:color w:val="000000" w:themeColor="text1"/>
        </w:rPr>
        <w:t>clonoSEQ</w:t>
      </w:r>
      <w:proofErr w:type="spellEnd"/>
      <w:r w:rsidRPr="00136606">
        <w:rPr>
          <w:iCs/>
          <w:color w:val="000000" w:themeColor="text1"/>
        </w:rPr>
        <w:t>® MRD assay for determining prognosis vs other molecular methods in patients with ALL?</w:t>
      </w:r>
    </w:p>
    <w:p w14:paraId="7B603466"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3c. What is the accuracy of the </w:t>
      </w:r>
      <w:proofErr w:type="spellStart"/>
      <w:r w:rsidRPr="00136606">
        <w:rPr>
          <w:iCs/>
          <w:color w:val="000000" w:themeColor="text1"/>
        </w:rPr>
        <w:t>clonoSEQ</w:t>
      </w:r>
      <w:proofErr w:type="spellEnd"/>
      <w:r w:rsidRPr="00136606">
        <w:rPr>
          <w:iCs/>
          <w:color w:val="000000" w:themeColor="text1"/>
        </w:rPr>
        <w:t>® MRD assay for predicting response to treatment vs other molecular methods in patients with ALL?</w:t>
      </w:r>
    </w:p>
    <w:p w14:paraId="34C71B20"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4c. How accurate is the </w:t>
      </w:r>
      <w:proofErr w:type="spellStart"/>
      <w:r w:rsidRPr="00136606">
        <w:rPr>
          <w:iCs/>
          <w:color w:val="000000" w:themeColor="text1"/>
        </w:rPr>
        <w:t>clonoSEQ</w:t>
      </w:r>
      <w:proofErr w:type="spellEnd"/>
      <w:r w:rsidRPr="00136606">
        <w:rPr>
          <w:iCs/>
          <w:color w:val="000000" w:themeColor="text1"/>
        </w:rPr>
        <w:t>® assay for monitoring (distinguishing between response to treatment and random variation) vs other molecular methods in patients with ALL?</w:t>
      </w:r>
    </w:p>
    <w:p w14:paraId="55686E05" w14:textId="5D9254F6"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5c. Does use of the </w:t>
      </w:r>
      <w:proofErr w:type="spellStart"/>
      <w:r w:rsidRPr="00136606">
        <w:rPr>
          <w:iCs/>
          <w:color w:val="000000" w:themeColor="text1"/>
        </w:rPr>
        <w:t>clonoSEQ</w:t>
      </w:r>
      <w:proofErr w:type="spellEnd"/>
      <w:r w:rsidRPr="00136606">
        <w:rPr>
          <w:iCs/>
          <w:color w:val="000000" w:themeColor="text1"/>
        </w:rPr>
        <w:t>® assay alter management compared to other molecular methods in patients with ALL?</w:t>
      </w:r>
    </w:p>
    <w:p w14:paraId="18F3BAF3" w14:textId="77777777" w:rsidR="00632D87" w:rsidRDefault="00FD558C" w:rsidP="004B06AC">
      <w:pPr>
        <w:spacing w:before="120" w:after="120" w:line="240" w:lineRule="auto"/>
        <w:ind w:left="720"/>
        <w:jc w:val="both"/>
        <w:rPr>
          <w:iCs/>
          <w:color w:val="000000" w:themeColor="text1"/>
        </w:rPr>
      </w:pPr>
      <w:r w:rsidRPr="00136606">
        <w:rPr>
          <w:iCs/>
          <w:color w:val="000000" w:themeColor="text1"/>
        </w:rPr>
        <w:t>6c. How safe and effective are the alterations in management (found in response to question 5c)?</w:t>
      </w:r>
    </w:p>
    <w:p w14:paraId="7B82CD50" w14:textId="3C3D6403" w:rsidR="00EF2934" w:rsidRPr="00C23BF2" w:rsidRDefault="00D73332" w:rsidP="00C23BF2">
      <w:pPr>
        <w:pStyle w:val="Heading2"/>
        <w:rPr>
          <w:b/>
          <w:bCs/>
          <w:i/>
        </w:rPr>
      </w:pPr>
      <w:r w:rsidRPr="00490FBB">
        <w:t>Clinical management algorithms</w:t>
      </w:r>
    </w:p>
    <w:p w14:paraId="2BAA2323" w14:textId="77777777" w:rsidR="004B06AC" w:rsidRDefault="00C67AED" w:rsidP="00E01349">
      <w:pPr>
        <w:pStyle w:val="Instructionaltext"/>
        <w:rPr>
          <w:color w:val="auto"/>
        </w:rPr>
      </w:pPr>
      <w:r w:rsidRPr="00C67AED">
        <w:rPr>
          <w:color w:val="auto"/>
        </w:rPr>
        <w:t>The clinical management algorithm provided in application 1703 for the scenario in the absence of MRD</w:t>
      </w:r>
      <w:r w:rsidR="005836ED">
        <w:rPr>
          <w:color w:val="auto"/>
        </w:rPr>
        <w:t xml:space="preserve"> testing</w:t>
      </w:r>
      <w:r w:rsidRPr="00C67AED">
        <w:rPr>
          <w:color w:val="auto"/>
        </w:rPr>
        <w:t xml:space="preserve"> is shown in </w:t>
      </w:r>
      <w:r w:rsidRPr="00C67AED">
        <w:rPr>
          <w:color w:val="auto"/>
        </w:rPr>
        <w:fldChar w:fldCharType="begin"/>
      </w:r>
      <w:r w:rsidRPr="00C67AED">
        <w:rPr>
          <w:color w:val="auto"/>
        </w:rPr>
        <w:instrText xml:space="preserve"> REF _Ref97130887 \h </w:instrText>
      </w:r>
      <w:r w:rsidRPr="00C67AED">
        <w:rPr>
          <w:color w:val="auto"/>
        </w:rPr>
      </w:r>
      <w:r w:rsidRPr="00C67AED">
        <w:rPr>
          <w:color w:val="auto"/>
        </w:rPr>
        <w:fldChar w:fldCharType="separate"/>
      </w:r>
      <w:r w:rsidRPr="00C67AED">
        <w:rPr>
          <w:color w:val="auto"/>
        </w:rPr>
        <w:t xml:space="preserve">Figure </w:t>
      </w:r>
      <w:r w:rsidRPr="00C67AED">
        <w:rPr>
          <w:noProof/>
          <w:color w:val="auto"/>
        </w:rPr>
        <w:t>3</w:t>
      </w:r>
      <w:r w:rsidRPr="00C67AED">
        <w:rPr>
          <w:color w:val="auto"/>
        </w:rPr>
        <w:fldChar w:fldCharType="end"/>
      </w:r>
      <w:r w:rsidRPr="00C67AED">
        <w:rPr>
          <w:color w:val="auto"/>
        </w:rPr>
        <w:t xml:space="preserve">. </w:t>
      </w:r>
      <w:r>
        <w:rPr>
          <w:color w:val="auto"/>
        </w:rPr>
        <w:t xml:space="preserve">The tests are shown in blue. </w:t>
      </w:r>
      <w:bookmarkStart w:id="14" w:name="_Hlk98494291"/>
      <w:r w:rsidR="00ED2DE6">
        <w:rPr>
          <w:color w:val="auto"/>
        </w:rPr>
        <w:t>These algorithms are based on the ALL06 treatment protocol, which has been found to be effective in children, and is now also being used in adults</w:t>
      </w:r>
      <w:bookmarkEnd w:id="14"/>
      <w:r w:rsidR="00ED2DE6">
        <w:rPr>
          <w:color w:val="auto"/>
        </w:rPr>
        <w:t xml:space="preserve">. The treatment protocol is provided in more detail in </w:t>
      </w:r>
      <w:r w:rsidR="00ED2DE6">
        <w:rPr>
          <w:color w:val="auto"/>
        </w:rPr>
        <w:fldChar w:fldCharType="begin"/>
      </w:r>
      <w:r w:rsidR="00ED2DE6">
        <w:rPr>
          <w:color w:val="auto"/>
        </w:rPr>
        <w:instrText xml:space="preserve"> REF _Ref97193128 \h  \* MERGEFORMAT </w:instrText>
      </w:r>
      <w:r w:rsidR="00ED2DE6">
        <w:rPr>
          <w:color w:val="auto"/>
        </w:rPr>
      </w:r>
      <w:r w:rsidR="00ED2DE6">
        <w:rPr>
          <w:color w:val="auto"/>
        </w:rPr>
        <w:fldChar w:fldCharType="separate"/>
      </w:r>
      <w:r w:rsidR="00ED2DE6" w:rsidRPr="00ED2DE6">
        <w:rPr>
          <w:color w:val="auto"/>
        </w:rPr>
        <w:t>Appendix B</w:t>
      </w:r>
      <w:r w:rsidR="00ED2DE6">
        <w:rPr>
          <w:color w:val="auto"/>
        </w:rPr>
        <w:fldChar w:fldCharType="end"/>
      </w:r>
      <w:r w:rsidR="00874B7D">
        <w:rPr>
          <w:color w:val="auto"/>
        </w:rPr>
        <w:t xml:space="preserve"> (explaining what the treatment elements are in each phase)</w:t>
      </w:r>
      <w:r w:rsidR="00ED2DE6">
        <w:rPr>
          <w:color w:val="auto"/>
        </w:rPr>
        <w:t xml:space="preserve">. </w:t>
      </w:r>
      <w:bookmarkStart w:id="15" w:name="_Hlk98494304"/>
    </w:p>
    <w:p w14:paraId="231CE9D6" w14:textId="29B8A54C" w:rsidR="00DC6437" w:rsidRDefault="002D7A33" w:rsidP="00E01349">
      <w:pPr>
        <w:pStyle w:val="Instructionaltext"/>
        <w:rPr>
          <w:rFonts w:asciiTheme="minorHAnsi" w:hAnsiTheme="minorHAnsi" w:cstheme="minorHAnsi"/>
          <w:i/>
          <w:iCs/>
          <w:color w:val="auto"/>
        </w:rPr>
      </w:pPr>
      <w:r w:rsidRPr="00136606">
        <w:rPr>
          <w:rFonts w:asciiTheme="minorHAnsi" w:hAnsiTheme="minorHAnsi" w:cstheme="minorHAnsi"/>
          <w:i/>
          <w:iCs/>
          <w:color w:val="auto"/>
        </w:rPr>
        <w:t>PASC noted that after patients have relapse</w:t>
      </w:r>
      <w:r w:rsidR="00B92D2B">
        <w:rPr>
          <w:rFonts w:asciiTheme="minorHAnsi" w:hAnsiTheme="minorHAnsi" w:cstheme="minorHAnsi"/>
          <w:i/>
          <w:iCs/>
          <w:color w:val="auto"/>
        </w:rPr>
        <w:t>d</w:t>
      </w:r>
      <w:r w:rsidRPr="00136606">
        <w:rPr>
          <w:rFonts w:asciiTheme="minorHAnsi" w:hAnsiTheme="minorHAnsi" w:cstheme="minorHAnsi"/>
          <w:i/>
          <w:iCs/>
          <w:color w:val="auto"/>
        </w:rPr>
        <w:t xml:space="preserve">, they are considered to have high risk of recurrence. However, instead of starting a new treatment phase which includes the Protocol I induction and consolidation, they would receive the treatments suitable for those with no morphological remission (i.e. CAR-T, </w:t>
      </w:r>
      <w:proofErr w:type="spellStart"/>
      <w:r w:rsidR="007D510F">
        <w:rPr>
          <w:rFonts w:asciiTheme="minorHAnsi" w:hAnsiTheme="minorHAnsi" w:cstheme="minorHAnsi"/>
          <w:i/>
          <w:iCs/>
          <w:color w:val="auto"/>
        </w:rPr>
        <w:t>i</w:t>
      </w:r>
      <w:r w:rsidRPr="00136606">
        <w:rPr>
          <w:rFonts w:asciiTheme="minorHAnsi" w:hAnsiTheme="minorHAnsi" w:cstheme="minorHAnsi"/>
          <w:i/>
          <w:iCs/>
          <w:color w:val="auto"/>
        </w:rPr>
        <w:t>notuzumab</w:t>
      </w:r>
      <w:proofErr w:type="spellEnd"/>
      <w:r w:rsidRPr="00136606">
        <w:rPr>
          <w:rFonts w:asciiTheme="minorHAnsi" w:hAnsiTheme="minorHAnsi" w:cstheme="minorHAnsi"/>
          <w:i/>
          <w:iCs/>
          <w:color w:val="auto"/>
        </w:rPr>
        <w:t xml:space="preserve"> </w:t>
      </w:r>
      <w:proofErr w:type="spellStart"/>
      <w:r w:rsidRPr="00136606">
        <w:rPr>
          <w:rFonts w:asciiTheme="minorHAnsi" w:hAnsiTheme="minorHAnsi" w:cstheme="minorHAnsi"/>
          <w:i/>
          <w:iCs/>
          <w:color w:val="auto"/>
        </w:rPr>
        <w:t>ozogamicin</w:t>
      </w:r>
      <w:proofErr w:type="spellEnd"/>
      <w:r w:rsidRPr="00136606">
        <w:rPr>
          <w:rFonts w:asciiTheme="minorHAnsi" w:hAnsiTheme="minorHAnsi" w:cstheme="minorHAnsi"/>
          <w:i/>
          <w:iCs/>
          <w:color w:val="auto"/>
        </w:rPr>
        <w:t xml:space="preserve"> or </w:t>
      </w:r>
      <w:r w:rsidR="005D38F4">
        <w:rPr>
          <w:rFonts w:asciiTheme="minorHAnsi" w:hAnsiTheme="minorHAnsi" w:cstheme="minorHAnsi"/>
          <w:i/>
          <w:iCs/>
          <w:color w:val="auto"/>
        </w:rPr>
        <w:t>b</w:t>
      </w:r>
      <w:r w:rsidRPr="00136606">
        <w:rPr>
          <w:rFonts w:asciiTheme="minorHAnsi" w:hAnsiTheme="minorHAnsi" w:cstheme="minorHAnsi"/>
          <w:i/>
          <w:iCs/>
          <w:color w:val="auto"/>
        </w:rPr>
        <w:t xml:space="preserve">linatumomab). </w:t>
      </w:r>
      <w:r w:rsidR="00975B65" w:rsidRPr="00136606">
        <w:rPr>
          <w:rFonts w:asciiTheme="minorHAnsi" w:hAnsiTheme="minorHAnsi" w:cstheme="minorHAnsi"/>
          <w:i/>
          <w:iCs/>
          <w:color w:val="auto"/>
        </w:rPr>
        <w:t xml:space="preserve">They may also be considered for new anti-cancer therapies (including </w:t>
      </w:r>
      <w:proofErr w:type="spellStart"/>
      <w:r w:rsidR="00975B65" w:rsidRPr="00136606">
        <w:rPr>
          <w:rFonts w:asciiTheme="minorHAnsi" w:hAnsiTheme="minorHAnsi" w:cstheme="minorHAnsi"/>
          <w:i/>
          <w:iCs/>
          <w:color w:val="auto"/>
        </w:rPr>
        <w:t>cytoxic</w:t>
      </w:r>
      <w:proofErr w:type="spellEnd"/>
      <w:r w:rsidR="00975B65" w:rsidRPr="00136606">
        <w:rPr>
          <w:rFonts w:asciiTheme="minorHAnsi" w:hAnsiTheme="minorHAnsi" w:cstheme="minorHAnsi"/>
          <w:i/>
          <w:iCs/>
          <w:color w:val="auto"/>
        </w:rPr>
        <w:t xml:space="preserve"> drugs and clinical trials). The algorithm should also include an option for clinical remission, and surveillance. </w:t>
      </w:r>
    </w:p>
    <w:p w14:paraId="12F80475" w14:textId="12CA2525" w:rsidR="00DC6437" w:rsidRPr="009A6C5D" w:rsidRDefault="00DC6437" w:rsidP="009A6C5D">
      <w:pPr>
        <w:pStyle w:val="Instructionaltext"/>
        <w:rPr>
          <w:rFonts w:asciiTheme="minorHAnsi" w:hAnsiTheme="minorHAnsi" w:cstheme="minorHAnsi"/>
          <w:i/>
          <w:iCs/>
          <w:color w:val="auto"/>
        </w:rPr>
      </w:pPr>
      <w:r w:rsidRPr="009A6C5D">
        <w:rPr>
          <w:rFonts w:asciiTheme="minorHAnsi" w:hAnsiTheme="minorHAnsi" w:cstheme="minorHAnsi"/>
          <w:i/>
          <w:iCs/>
          <w:color w:val="auto"/>
        </w:rPr>
        <w:t xml:space="preserve">PASC queried whether patients with low to moderate risk of relapse (including children and adolescents) would be monitored using MRD testing after completion of therapy. Expert advice suggested that MRD after completion of therapy is not a standard used internationally, and not proposed. The exception is for those at high risk of recurrence, who have undergone HSCT or treatment with </w:t>
      </w:r>
      <w:r w:rsidR="005D38F4" w:rsidRPr="009A6C5D">
        <w:rPr>
          <w:rFonts w:asciiTheme="minorHAnsi" w:hAnsiTheme="minorHAnsi" w:cstheme="minorHAnsi"/>
          <w:i/>
          <w:iCs/>
          <w:color w:val="auto"/>
        </w:rPr>
        <w:t>b</w:t>
      </w:r>
      <w:r w:rsidRPr="009A6C5D">
        <w:rPr>
          <w:rFonts w:asciiTheme="minorHAnsi" w:hAnsiTheme="minorHAnsi" w:cstheme="minorHAnsi"/>
          <w:i/>
          <w:iCs/>
          <w:color w:val="auto"/>
        </w:rPr>
        <w:t>linatumomab.</w:t>
      </w:r>
    </w:p>
    <w:p w14:paraId="4FCFB4B3" w14:textId="6FFFC98A" w:rsidR="00DC6437" w:rsidRPr="009A6C5D" w:rsidRDefault="00DC6437" w:rsidP="009A6C5D">
      <w:pPr>
        <w:pStyle w:val="Instructionaltext"/>
        <w:rPr>
          <w:rFonts w:asciiTheme="minorHAnsi" w:hAnsiTheme="minorHAnsi" w:cstheme="minorHAnsi"/>
          <w:i/>
          <w:iCs/>
          <w:color w:val="auto"/>
        </w:rPr>
      </w:pPr>
      <w:r w:rsidRPr="009A6C5D">
        <w:rPr>
          <w:rFonts w:asciiTheme="minorHAnsi" w:hAnsiTheme="minorHAnsi" w:cstheme="minorHAnsi"/>
          <w:i/>
          <w:iCs/>
          <w:color w:val="auto"/>
        </w:rPr>
        <w:t xml:space="preserve">PASC queried whether there should be separate clinical management algorithms for children and adults. However, expert advice suggested that there are many different protocols for treating patients with ALL, and it would be impossible to capture all the different treatment pathways. </w:t>
      </w:r>
      <w:r w:rsidR="00601789" w:rsidRPr="009A6C5D">
        <w:rPr>
          <w:rFonts w:asciiTheme="minorHAnsi" w:hAnsiTheme="minorHAnsi" w:cstheme="minorHAnsi"/>
          <w:i/>
          <w:iCs/>
          <w:color w:val="auto"/>
        </w:rPr>
        <w:t>PASC</w:t>
      </w:r>
      <w:r w:rsidRPr="009A6C5D">
        <w:rPr>
          <w:rFonts w:asciiTheme="minorHAnsi" w:hAnsiTheme="minorHAnsi" w:cstheme="minorHAnsi"/>
          <w:i/>
          <w:iCs/>
          <w:color w:val="auto"/>
        </w:rPr>
        <w:t xml:space="preserve"> therefore did not see a benefit in creating additional clinical management algorithms. </w:t>
      </w:r>
    </w:p>
    <w:bookmarkEnd w:id="15"/>
    <w:p w14:paraId="71810985" w14:textId="3B6F1A32" w:rsidR="00C67AED" w:rsidRDefault="00105A85" w:rsidP="00C67AED">
      <w:pPr>
        <w:pStyle w:val="Instructionaltext"/>
        <w:keepNext/>
      </w:pPr>
      <w:r w:rsidRPr="00105A85">
        <w:rPr>
          <w:noProof/>
          <w:lang w:eastAsia="en-AU"/>
        </w:rPr>
        <w:lastRenderedPageBreak/>
        <w:drawing>
          <wp:inline distT="0" distB="0" distL="0" distR="0" wp14:anchorId="313FA1BE" wp14:editId="555799A3">
            <wp:extent cx="6083935" cy="4956175"/>
            <wp:effectExtent l="0" t="0" r="0" b="0"/>
            <wp:docPr id="13" name="Picture 13" descr="Complex treatment algorithm showing that treatment is influenced by levels of morphological remission" title="Clinical management algorithm for ALL in absence of M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83935" cy="4956175"/>
                    </a:xfrm>
                    <a:prstGeom prst="rect">
                      <a:avLst/>
                    </a:prstGeom>
                  </pic:spPr>
                </pic:pic>
              </a:graphicData>
            </a:graphic>
          </wp:inline>
        </w:drawing>
      </w:r>
    </w:p>
    <w:p w14:paraId="60CD08C1" w14:textId="3F500B22" w:rsidR="00C67AED" w:rsidRDefault="00C67AED" w:rsidP="00C67AED">
      <w:pPr>
        <w:pStyle w:val="Caption"/>
      </w:pPr>
      <w:bookmarkStart w:id="16" w:name="_Ref97130887"/>
      <w:r>
        <w:t xml:space="preserve">Figure </w:t>
      </w:r>
      <w:r>
        <w:fldChar w:fldCharType="begin"/>
      </w:r>
      <w:r>
        <w:instrText xml:space="preserve"> SEQ Figure \* ARABIC </w:instrText>
      </w:r>
      <w:r>
        <w:fldChar w:fldCharType="separate"/>
      </w:r>
      <w:r w:rsidR="00B0630A">
        <w:rPr>
          <w:noProof/>
        </w:rPr>
        <w:t>3</w:t>
      </w:r>
      <w:r>
        <w:fldChar w:fldCharType="end"/>
      </w:r>
      <w:bookmarkEnd w:id="16"/>
      <w:r>
        <w:tab/>
        <w:t>Clinical management algorithm for patients with ALL in absence of MRD</w:t>
      </w:r>
      <w:r w:rsidR="00105A85">
        <w:t xml:space="preserve"> (current)</w:t>
      </w:r>
    </w:p>
    <w:p w14:paraId="6D4C68E7" w14:textId="77777777" w:rsidR="002D7A33" w:rsidRDefault="002D7A33" w:rsidP="002D7A33">
      <w:pPr>
        <w:pStyle w:val="TableFooter"/>
      </w:pPr>
      <w:r>
        <w:t xml:space="preserve">ALL = acute lymphoblastic leukaemia; B-ALL = B cell ALL; </w:t>
      </w:r>
      <w:r w:rsidRPr="00C67AED">
        <w:t xml:space="preserve">BM = bone marrow morphological assessment; </w:t>
      </w:r>
      <w:r>
        <w:t xml:space="preserve">CAR-T = </w:t>
      </w:r>
      <w:r w:rsidRPr="000F3CD4">
        <w:t>chimeric antigen receptor T cell treatment</w:t>
      </w:r>
      <w:r>
        <w:t xml:space="preserve">; </w:t>
      </w:r>
      <w:r w:rsidRPr="00C67AED">
        <w:t xml:space="preserve">CG = cytogenetic analysis; FBC = </w:t>
      </w:r>
      <w:r>
        <w:t xml:space="preserve">full blood count; </w:t>
      </w:r>
      <w:r w:rsidRPr="00ED2DE6">
        <w:t>HSCT = hematopoietic stem-cell transplantation</w:t>
      </w:r>
      <w:r>
        <w:t xml:space="preserve">; MRD = </w:t>
      </w:r>
      <w:proofErr w:type="spellStart"/>
      <w:r>
        <w:t>measureable</w:t>
      </w:r>
      <w:proofErr w:type="spellEnd"/>
      <w:r>
        <w:t xml:space="preserve"> residual disease</w:t>
      </w:r>
    </w:p>
    <w:p w14:paraId="59C96C0D" w14:textId="35E807EE" w:rsidR="00C67AED" w:rsidRDefault="00C67AED" w:rsidP="00C67AED">
      <w:pPr>
        <w:pStyle w:val="TableFooter"/>
      </w:pPr>
    </w:p>
    <w:p w14:paraId="71A6CBC0" w14:textId="0924F2B5" w:rsidR="007B15EB" w:rsidRDefault="00ED2DE6" w:rsidP="00C67AED">
      <w:pPr>
        <w:pStyle w:val="Instructionaltext"/>
        <w:rPr>
          <w:color w:val="auto"/>
        </w:rPr>
      </w:pPr>
      <w:r>
        <w:rPr>
          <w:color w:val="auto"/>
        </w:rPr>
        <w:t xml:space="preserve">The clinical management algorithm showing the addition of MRD testing (in red) is </w:t>
      </w:r>
      <w:r w:rsidRPr="00ED2DE6">
        <w:rPr>
          <w:color w:val="auto"/>
        </w:rPr>
        <w:t xml:space="preserve">provided in </w:t>
      </w:r>
      <w:r w:rsidRPr="00ED2DE6">
        <w:rPr>
          <w:color w:val="auto"/>
        </w:rPr>
        <w:fldChar w:fldCharType="begin"/>
      </w:r>
      <w:r w:rsidRPr="00ED2DE6">
        <w:rPr>
          <w:color w:val="auto"/>
        </w:rPr>
        <w:instrText xml:space="preserve"> REF _Ref97193438 \h </w:instrText>
      </w:r>
      <w:r w:rsidRPr="00ED2DE6">
        <w:rPr>
          <w:color w:val="auto"/>
        </w:rPr>
      </w:r>
      <w:r w:rsidRPr="00ED2DE6">
        <w:rPr>
          <w:color w:val="auto"/>
        </w:rPr>
        <w:fldChar w:fldCharType="separate"/>
      </w:r>
      <w:r w:rsidRPr="00ED2DE6">
        <w:rPr>
          <w:color w:val="auto"/>
        </w:rPr>
        <w:t xml:space="preserve">Figure </w:t>
      </w:r>
      <w:r w:rsidRPr="00ED2DE6">
        <w:rPr>
          <w:noProof/>
          <w:color w:val="auto"/>
        </w:rPr>
        <w:t>4</w:t>
      </w:r>
      <w:r w:rsidRPr="00ED2DE6">
        <w:rPr>
          <w:color w:val="auto"/>
        </w:rPr>
        <w:fldChar w:fldCharType="end"/>
      </w:r>
      <w:r w:rsidR="000F3CD4">
        <w:rPr>
          <w:color w:val="auto"/>
        </w:rPr>
        <w:t xml:space="preserve">. MRD testing influences the proportion of patients who receive different treatments, and is also used to determine access to blinatumomab, hematopoietic stem-cell transplantation (HSCT) and </w:t>
      </w:r>
      <w:r w:rsidR="000F3CD4" w:rsidRPr="000F3CD4">
        <w:rPr>
          <w:color w:val="auto"/>
        </w:rPr>
        <w:t>chimeric antigen receptor T cell treatment</w:t>
      </w:r>
      <w:r w:rsidR="000F3CD4">
        <w:rPr>
          <w:color w:val="auto"/>
        </w:rPr>
        <w:t xml:space="preserve"> (CAR-T).</w:t>
      </w:r>
    </w:p>
    <w:p w14:paraId="16302394" w14:textId="3A83D825" w:rsidR="00ED2DE6" w:rsidRDefault="009C1D3D" w:rsidP="002864B3">
      <w:pPr>
        <w:pStyle w:val="Instructionaltext"/>
      </w:pPr>
      <w:r>
        <w:rPr>
          <w:color w:val="auto"/>
        </w:rPr>
        <w:lastRenderedPageBreak/>
        <w:t xml:space="preserve"> </w:t>
      </w:r>
      <w:r w:rsidR="00105A85" w:rsidRPr="00105A85">
        <w:rPr>
          <w:i/>
          <w:noProof/>
          <w:color w:val="auto"/>
          <w:lang w:eastAsia="en-AU"/>
        </w:rPr>
        <w:drawing>
          <wp:inline distT="0" distB="0" distL="0" distR="0" wp14:anchorId="0FE1919D" wp14:editId="3A79A68B">
            <wp:extent cx="6083935" cy="5020310"/>
            <wp:effectExtent l="0" t="0" r="0" b="8890"/>
            <wp:docPr id="14" name="Picture 14" descr="Complex management algorithm showing that MRD is used to influence treatment decisions, rather than morphological assessment. " title="Proposed clinical management algorithm for people with ALL including MRD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3935" cy="5020310"/>
                    </a:xfrm>
                    <a:prstGeom prst="rect">
                      <a:avLst/>
                    </a:prstGeom>
                  </pic:spPr>
                </pic:pic>
              </a:graphicData>
            </a:graphic>
          </wp:inline>
        </w:drawing>
      </w:r>
    </w:p>
    <w:p w14:paraId="25E1CD65" w14:textId="74BFF193" w:rsidR="00932F2B" w:rsidRPr="00C67AED" w:rsidRDefault="00ED2DE6" w:rsidP="00ED2DE6">
      <w:pPr>
        <w:pStyle w:val="Caption"/>
        <w:rPr>
          <w:i/>
        </w:rPr>
      </w:pPr>
      <w:bookmarkStart w:id="17" w:name="_Ref97193438"/>
      <w:r>
        <w:t xml:space="preserve">Figure </w:t>
      </w:r>
      <w:r>
        <w:fldChar w:fldCharType="begin"/>
      </w:r>
      <w:r>
        <w:instrText xml:space="preserve"> SEQ Figure \* ARABIC </w:instrText>
      </w:r>
      <w:r>
        <w:fldChar w:fldCharType="separate"/>
      </w:r>
      <w:r w:rsidR="00B0630A">
        <w:rPr>
          <w:noProof/>
        </w:rPr>
        <w:t>4</w:t>
      </w:r>
      <w:r>
        <w:fldChar w:fldCharType="end"/>
      </w:r>
      <w:bookmarkEnd w:id="17"/>
      <w:r>
        <w:tab/>
        <w:t>Clinical management algorithm for patients with ALL with MRD</w:t>
      </w:r>
      <w:r w:rsidR="00105A85">
        <w:t xml:space="preserve"> (proposed)</w:t>
      </w:r>
    </w:p>
    <w:p w14:paraId="275431AC" w14:textId="5B59F1C7" w:rsidR="00C67AED" w:rsidRDefault="000F3CD4" w:rsidP="00C67AED">
      <w:pPr>
        <w:pStyle w:val="TableFooter"/>
      </w:pPr>
      <w:r>
        <w:t xml:space="preserve">ALL = acute lymphoblastic leukaemia; B-ALL = B cell ALL; </w:t>
      </w:r>
      <w:r w:rsidR="00ED2DE6" w:rsidRPr="00C67AED">
        <w:t xml:space="preserve">BM = bone marrow morphological assessment; </w:t>
      </w:r>
      <w:r>
        <w:t xml:space="preserve">CAR-T = </w:t>
      </w:r>
      <w:r w:rsidRPr="000F3CD4">
        <w:t>chimeric antigen receptor T cell treatment</w:t>
      </w:r>
      <w:r>
        <w:t xml:space="preserve">; </w:t>
      </w:r>
      <w:r w:rsidR="00ED2DE6" w:rsidRPr="00C67AED">
        <w:t xml:space="preserve">CG = cytogenetic analysis; FBC = </w:t>
      </w:r>
      <w:r w:rsidR="00ED2DE6">
        <w:t xml:space="preserve">full blood count; </w:t>
      </w:r>
      <w:r w:rsidR="00ED2DE6" w:rsidRPr="00ED2DE6">
        <w:t>HSCT = hematopoietic stem-cell transplantation</w:t>
      </w:r>
      <w:r w:rsidR="002D7A33">
        <w:t xml:space="preserve">; MRD = </w:t>
      </w:r>
      <w:proofErr w:type="spellStart"/>
      <w:r w:rsidR="002D7A33">
        <w:t>measureable</w:t>
      </w:r>
      <w:proofErr w:type="spellEnd"/>
      <w:r w:rsidR="002D7A33">
        <w:t xml:space="preserve"> residual disease</w:t>
      </w:r>
    </w:p>
    <w:p w14:paraId="48EF4B59" w14:textId="064B37E4" w:rsidR="00D80B70" w:rsidRPr="0022522F" w:rsidRDefault="0022522F" w:rsidP="004A1220">
      <w:pPr>
        <w:pStyle w:val="TableFooter"/>
        <w:tabs>
          <w:tab w:val="left" w:pos="7995"/>
        </w:tabs>
        <w:sectPr w:rsidR="00D80B70" w:rsidRPr="0022522F" w:rsidSect="00F31324">
          <w:headerReference w:type="even" r:id="rId14"/>
          <w:headerReference w:type="default" r:id="rId15"/>
          <w:footerReference w:type="even" r:id="rId16"/>
          <w:footerReference w:type="default" r:id="rId17"/>
          <w:headerReference w:type="first" r:id="rId18"/>
          <w:footerReference w:type="first" r:id="rId19"/>
          <w:pgSz w:w="11906" w:h="16838"/>
          <w:pgMar w:top="682" w:right="1134" w:bottom="1021" w:left="1191" w:header="709" w:footer="709" w:gutter="0"/>
          <w:cols w:space="708"/>
          <w:docGrid w:linePitch="360"/>
        </w:sectPr>
      </w:pPr>
      <w:r>
        <w:tab/>
      </w:r>
      <w:r>
        <w:tab/>
      </w:r>
    </w:p>
    <w:p w14:paraId="5F2BF375" w14:textId="220AF608" w:rsidR="00D80B70" w:rsidRDefault="00D80B70" w:rsidP="00C67AED">
      <w:pPr>
        <w:pStyle w:val="TableFooter"/>
      </w:pPr>
    </w:p>
    <w:p w14:paraId="45577CD2" w14:textId="6712FDB7" w:rsidR="001567D3" w:rsidRPr="00515D0F" w:rsidRDefault="004C0E6D" w:rsidP="00515D0F">
      <w:pPr>
        <w:pStyle w:val="Instructionaltext"/>
        <w:rPr>
          <w:color w:val="auto"/>
        </w:rPr>
      </w:pPr>
      <w:r>
        <w:rPr>
          <w:color w:val="auto"/>
        </w:rPr>
        <w:t xml:space="preserve">The algorithm in </w:t>
      </w:r>
      <w:r w:rsidR="00A91B98" w:rsidRPr="00F9396C">
        <w:fldChar w:fldCharType="begin"/>
      </w:r>
      <w:r w:rsidR="00A91B98" w:rsidRPr="00F9396C">
        <w:rPr>
          <w:color w:val="auto"/>
        </w:rPr>
        <w:instrText xml:space="preserve"> REF _Ref97130887 \h </w:instrText>
      </w:r>
      <w:r w:rsidR="00A91B98" w:rsidRPr="00F9396C">
        <w:fldChar w:fldCharType="separate"/>
      </w:r>
      <w:r w:rsidR="00A91B98" w:rsidRPr="00F9396C">
        <w:rPr>
          <w:color w:val="auto"/>
        </w:rPr>
        <w:t xml:space="preserve">Figure </w:t>
      </w:r>
      <w:r w:rsidR="00A91B98" w:rsidRPr="00F9396C">
        <w:rPr>
          <w:noProof/>
          <w:color w:val="auto"/>
        </w:rPr>
        <w:t>3</w:t>
      </w:r>
      <w:r w:rsidR="00A91B98" w:rsidRPr="00F9396C">
        <w:fldChar w:fldCharType="end"/>
      </w:r>
      <w:r w:rsidR="00A91B98" w:rsidRPr="00F9396C">
        <w:rPr>
          <w:color w:val="auto"/>
        </w:rPr>
        <w:t xml:space="preserve"> </w:t>
      </w:r>
      <w:r w:rsidR="00A91B98">
        <w:rPr>
          <w:color w:val="auto"/>
        </w:rPr>
        <w:t>would also be relevant to the primary comparator scenario for assessment 1707. For the secondary comparison in assessment 1707, the clinical management algorithms for the</w:t>
      </w:r>
      <w:r w:rsidR="00926455">
        <w:rPr>
          <w:color w:val="auto"/>
        </w:rPr>
        <w:t xml:space="preserve"> </w:t>
      </w:r>
      <w:r w:rsidR="00A91B98">
        <w:rPr>
          <w:color w:val="auto"/>
        </w:rPr>
        <w:t>intervention (</w:t>
      </w:r>
      <w:proofErr w:type="spellStart"/>
      <w:r w:rsidR="00A91B98">
        <w:rPr>
          <w:color w:val="auto"/>
        </w:rPr>
        <w:t>clonoSEQ</w:t>
      </w:r>
      <w:proofErr w:type="spellEnd"/>
      <w:r w:rsidR="00A91B98">
        <w:rPr>
          <w:color w:val="auto"/>
        </w:rPr>
        <w:t>® assay) versus the comparator (other molecular methods of MRD testing) would</w:t>
      </w:r>
      <w:r w:rsidR="00926455">
        <w:rPr>
          <w:color w:val="auto"/>
        </w:rPr>
        <w:t xml:space="preserve"> </w:t>
      </w:r>
      <w:r w:rsidR="00A91B98">
        <w:rPr>
          <w:color w:val="auto"/>
        </w:rPr>
        <w:t>be identical to each other (although the</w:t>
      </w:r>
      <w:r w:rsidR="00926455">
        <w:rPr>
          <w:color w:val="auto"/>
        </w:rPr>
        <w:t xml:space="preserve"> </w:t>
      </w:r>
      <w:r w:rsidR="00A91B98">
        <w:rPr>
          <w:color w:val="auto"/>
        </w:rPr>
        <w:t xml:space="preserve">accuracy of the MRD method may alter the proportion of patients who receive different treatments). </w:t>
      </w:r>
      <w:r w:rsidR="00A91B98">
        <w:fldChar w:fldCharType="begin"/>
      </w:r>
      <w:r w:rsidR="00A91B98">
        <w:rPr>
          <w:color w:val="auto"/>
        </w:rPr>
        <w:instrText xml:space="preserve"> REF _Ref97193438 \h  \* MERGEFORMAT </w:instrText>
      </w:r>
      <w:r w:rsidR="00A91B98">
        <w:fldChar w:fldCharType="separate"/>
      </w:r>
      <w:r w:rsidR="00A91B98" w:rsidRPr="002864B3">
        <w:rPr>
          <w:color w:val="auto"/>
        </w:rPr>
        <w:t>Figure 4</w:t>
      </w:r>
      <w:r w:rsidR="00A91B98">
        <w:fldChar w:fldCharType="end"/>
      </w:r>
      <w:r w:rsidR="00A91B98">
        <w:rPr>
          <w:color w:val="auto"/>
        </w:rPr>
        <w:t xml:space="preserve"> would therefore be relevant to both the intervention and </w:t>
      </w:r>
      <w:r w:rsidR="00A91B98" w:rsidRPr="00515D0F">
        <w:rPr>
          <w:color w:val="auto"/>
        </w:rPr>
        <w:t>comparator scenarios.</w:t>
      </w:r>
    </w:p>
    <w:p w14:paraId="2BDE22B9" w14:textId="77777777" w:rsidR="00D73332" w:rsidRPr="004A1220" w:rsidRDefault="00D73332" w:rsidP="00713728">
      <w:pPr>
        <w:pStyle w:val="Heading2"/>
        <w:rPr>
          <w:b/>
          <w:bCs/>
        </w:rPr>
      </w:pPr>
      <w:r w:rsidRPr="004A1220">
        <w:t>Proposed economic evaluation</w:t>
      </w:r>
    </w:p>
    <w:p w14:paraId="51B872E6" w14:textId="5423EBC1" w:rsidR="008A69F5" w:rsidRDefault="000C67ED" w:rsidP="000C67ED">
      <w:pPr>
        <w:pStyle w:val="Instructionaltext"/>
        <w:rPr>
          <w:color w:val="auto"/>
        </w:rPr>
      </w:pPr>
      <w:r>
        <w:rPr>
          <w:color w:val="auto"/>
        </w:rPr>
        <w:t xml:space="preserve">Application 1703 </w:t>
      </w:r>
      <w:r w:rsidR="008A69F5">
        <w:rPr>
          <w:color w:val="auto"/>
        </w:rPr>
        <w:t>and 1707 both claim</w:t>
      </w:r>
      <w:r>
        <w:rPr>
          <w:color w:val="auto"/>
        </w:rPr>
        <w:t xml:space="preserve"> that MRD testing </w:t>
      </w:r>
      <w:r w:rsidR="008A69F5">
        <w:rPr>
          <w:color w:val="auto"/>
        </w:rPr>
        <w:t xml:space="preserve">(by </w:t>
      </w:r>
      <w:proofErr w:type="spellStart"/>
      <w:r w:rsidR="008A69F5">
        <w:rPr>
          <w:color w:val="auto"/>
        </w:rPr>
        <w:t>mpFC</w:t>
      </w:r>
      <w:proofErr w:type="spellEnd"/>
      <w:r w:rsidR="008A69F5">
        <w:rPr>
          <w:color w:val="auto"/>
        </w:rPr>
        <w:t xml:space="preserve">, </w:t>
      </w:r>
      <w:proofErr w:type="spellStart"/>
      <w:r w:rsidR="008A69F5">
        <w:rPr>
          <w:color w:val="auto"/>
        </w:rPr>
        <w:t>clonoSEQ</w:t>
      </w:r>
      <w:proofErr w:type="spellEnd"/>
      <w:r w:rsidR="008A69F5">
        <w:rPr>
          <w:color w:val="auto"/>
        </w:rPr>
        <w:t xml:space="preserve">® assay or other molecular methods) </w:t>
      </w:r>
      <w:r>
        <w:rPr>
          <w:color w:val="auto"/>
        </w:rPr>
        <w:t xml:space="preserve">has superior effectiveness </w:t>
      </w:r>
      <w:r w:rsidR="008A69F5">
        <w:rPr>
          <w:color w:val="auto"/>
        </w:rPr>
        <w:t xml:space="preserve">and non-inferior safety </w:t>
      </w:r>
      <w:r>
        <w:rPr>
          <w:color w:val="auto"/>
        </w:rPr>
        <w:t xml:space="preserve">to </w:t>
      </w:r>
      <w:r w:rsidR="008A69F5">
        <w:rPr>
          <w:color w:val="auto"/>
        </w:rPr>
        <w:t>assessment of morphological remission alone (morphological assessment ± cytogenetic analysis).</w:t>
      </w:r>
    </w:p>
    <w:p w14:paraId="04EF1644" w14:textId="4B6E4573" w:rsidR="008A69F5" w:rsidRPr="00364CEA" w:rsidRDefault="008A69F5" w:rsidP="00364CEA">
      <w:pPr>
        <w:autoSpaceDE w:val="0"/>
        <w:autoSpaceDN w:val="0"/>
        <w:adjustRightInd w:val="0"/>
        <w:spacing w:line="23" w:lineRule="atLeast"/>
        <w:rPr>
          <w:rFonts w:asciiTheme="minorHAnsi" w:hAnsiTheme="minorHAnsi" w:cstheme="minorHAnsi"/>
          <w:i/>
          <w:iCs/>
        </w:rPr>
      </w:pPr>
      <w:r>
        <w:t>A</w:t>
      </w:r>
      <w:r w:rsidR="000C67ED">
        <w:t xml:space="preserve">pplication 1707 </w:t>
      </w:r>
      <w:r>
        <w:t xml:space="preserve">further </w:t>
      </w:r>
      <w:r w:rsidR="000C67ED">
        <w:t xml:space="preserve">claims that </w:t>
      </w:r>
      <w:proofErr w:type="spellStart"/>
      <w:r w:rsidR="000C67ED">
        <w:t>clonoSEQ</w:t>
      </w:r>
      <w:proofErr w:type="spellEnd"/>
      <w:r w:rsidR="000C67ED">
        <w:t xml:space="preserve">® has superior effectiveness </w:t>
      </w:r>
      <w:r>
        <w:t xml:space="preserve">to </w:t>
      </w:r>
      <w:r w:rsidR="00767FDD">
        <w:t>other molecular methods of MRD testing</w:t>
      </w:r>
      <w:r w:rsidR="000C67ED">
        <w:t>.</w:t>
      </w:r>
      <w:r w:rsidR="00364CEA">
        <w:t xml:space="preserve"> </w:t>
      </w:r>
      <w:r w:rsidR="00364CEA">
        <w:rPr>
          <w:rFonts w:asciiTheme="minorHAnsi" w:hAnsiTheme="minorHAnsi" w:cstheme="minorHAnsi"/>
          <w:i/>
          <w:iCs/>
        </w:rPr>
        <w:t xml:space="preserve">PASC emphasised that </w:t>
      </w:r>
      <w:r w:rsidR="007D510F">
        <w:rPr>
          <w:rFonts w:asciiTheme="minorHAnsi" w:hAnsiTheme="minorHAnsi" w:cstheme="minorHAnsi"/>
          <w:i/>
          <w:iCs/>
        </w:rPr>
        <w:t xml:space="preserve">both </w:t>
      </w:r>
      <w:r w:rsidR="00364CEA">
        <w:rPr>
          <w:rFonts w:asciiTheme="minorHAnsi" w:hAnsiTheme="minorHAnsi" w:cstheme="minorHAnsi"/>
          <w:i/>
          <w:iCs/>
        </w:rPr>
        <w:t>assessment</w:t>
      </w:r>
      <w:r w:rsidR="007D510F">
        <w:rPr>
          <w:rFonts w:asciiTheme="minorHAnsi" w:hAnsiTheme="minorHAnsi" w:cstheme="minorHAnsi"/>
          <w:i/>
          <w:iCs/>
        </w:rPr>
        <w:t>s</w:t>
      </w:r>
      <w:r w:rsidR="00364CEA">
        <w:rPr>
          <w:rFonts w:asciiTheme="minorHAnsi" w:hAnsiTheme="minorHAnsi" w:cstheme="minorHAnsi"/>
          <w:i/>
          <w:iCs/>
        </w:rPr>
        <w:t xml:space="preserve"> will require evidence of </w:t>
      </w:r>
      <w:r w:rsidR="007D510F">
        <w:rPr>
          <w:rFonts w:asciiTheme="minorHAnsi" w:hAnsiTheme="minorHAnsi" w:cstheme="minorHAnsi"/>
          <w:i/>
          <w:iCs/>
        </w:rPr>
        <w:t xml:space="preserve">incremental </w:t>
      </w:r>
      <w:r w:rsidR="00364CEA">
        <w:rPr>
          <w:rFonts w:asciiTheme="minorHAnsi" w:hAnsiTheme="minorHAnsi" w:cstheme="minorHAnsi"/>
          <w:i/>
          <w:iCs/>
        </w:rPr>
        <w:t>benefits associated with the more expensive test</w:t>
      </w:r>
      <w:r w:rsidR="007D510F" w:rsidRPr="007D510F">
        <w:rPr>
          <w:rFonts w:asciiTheme="minorHAnsi" w:hAnsiTheme="minorHAnsi" w:cstheme="minorHAnsi"/>
          <w:i/>
          <w:iCs/>
        </w:rPr>
        <w:t xml:space="preserve"> options over the cheaper test options</w:t>
      </w:r>
      <w:r w:rsidR="00364CEA">
        <w:rPr>
          <w:rFonts w:asciiTheme="minorHAnsi" w:hAnsiTheme="minorHAnsi" w:cstheme="minorHAnsi"/>
          <w:i/>
          <w:iCs/>
        </w:rPr>
        <w:t xml:space="preserve">. </w:t>
      </w:r>
    </w:p>
    <w:p w14:paraId="52DAABEC" w14:textId="15825F7F" w:rsidR="000C67ED" w:rsidRDefault="000C67ED" w:rsidP="000C67ED">
      <w:pPr>
        <w:pStyle w:val="Instructionaltext"/>
        <w:rPr>
          <w:color w:val="auto"/>
        </w:rPr>
      </w:pPr>
      <w:r>
        <w:rPr>
          <w:color w:val="auto"/>
        </w:rPr>
        <w:t>The type of economic evaluations for these comparisons would be a cost-effectiveness or cost-utility analysis</w:t>
      </w:r>
      <w:r w:rsidR="00785F3F">
        <w:rPr>
          <w:color w:val="auto"/>
        </w:rPr>
        <w:t xml:space="preserve"> (</w:t>
      </w:r>
      <w:r w:rsidR="00785F3F">
        <w:rPr>
          <w:color w:val="auto"/>
        </w:rPr>
        <w:fldChar w:fldCharType="begin"/>
      </w:r>
      <w:r w:rsidR="00785F3F">
        <w:rPr>
          <w:color w:val="auto"/>
        </w:rPr>
        <w:instrText xml:space="preserve"> REF _Ref54260209 \h  \* MERGEFORMAT </w:instrText>
      </w:r>
      <w:r w:rsidR="00785F3F">
        <w:rPr>
          <w:color w:val="auto"/>
        </w:rPr>
      </w:r>
      <w:r w:rsidR="00785F3F">
        <w:rPr>
          <w:color w:val="auto"/>
        </w:rPr>
        <w:fldChar w:fldCharType="separate"/>
      </w:r>
      <w:r w:rsidR="00996BE8" w:rsidRPr="001E157A">
        <w:rPr>
          <w:color w:val="auto"/>
        </w:rPr>
        <w:t>Table 4</w:t>
      </w:r>
      <w:r w:rsidR="00785F3F">
        <w:rPr>
          <w:color w:val="auto"/>
        </w:rPr>
        <w:fldChar w:fldCharType="end"/>
      </w:r>
      <w:r w:rsidR="00785F3F">
        <w:rPr>
          <w:color w:val="auto"/>
        </w:rPr>
        <w:t>)</w:t>
      </w:r>
      <w:r>
        <w:rPr>
          <w:color w:val="auto"/>
        </w:rPr>
        <w:t>.</w:t>
      </w:r>
    </w:p>
    <w:p w14:paraId="59509CD2" w14:textId="45965637" w:rsidR="006E4036" w:rsidRDefault="0093089B" w:rsidP="000C67ED">
      <w:pPr>
        <w:pStyle w:val="Instructionaltext"/>
        <w:rPr>
          <w:color w:val="auto"/>
        </w:rPr>
      </w:pPr>
      <w:r>
        <w:rPr>
          <w:color w:val="auto"/>
        </w:rPr>
        <w:t>A p</w:t>
      </w:r>
      <w:r w:rsidR="006E4036">
        <w:rPr>
          <w:color w:val="auto"/>
        </w:rPr>
        <w:t xml:space="preserve">ublished economic </w:t>
      </w:r>
      <w:r>
        <w:rPr>
          <w:color w:val="auto"/>
        </w:rPr>
        <w:t>analysis</w:t>
      </w:r>
      <w:r w:rsidR="006E4036">
        <w:rPr>
          <w:color w:val="auto"/>
        </w:rPr>
        <w:t xml:space="preserve"> </w:t>
      </w:r>
      <w:r>
        <w:rPr>
          <w:color w:val="auto"/>
        </w:rPr>
        <w:t>was</w:t>
      </w:r>
      <w:r w:rsidR="006E4036">
        <w:rPr>
          <w:color w:val="auto"/>
        </w:rPr>
        <w:t xml:space="preserve"> identified for MRD testing by flow cytometry in childhood ALL</w:t>
      </w:r>
      <w:r w:rsidR="00822425">
        <w:rPr>
          <w:color w:val="auto"/>
        </w:rPr>
        <w:t xml:space="preserve"> vs no MRD testing</w:t>
      </w:r>
      <w:r w:rsidR="006E4036">
        <w:rPr>
          <w:color w:val="auto"/>
        </w:rPr>
        <w:t xml:space="preserve"> </w:t>
      </w:r>
      <w:r w:rsidR="005825DE">
        <w:rPr>
          <w:color w:val="auto"/>
        </w:rPr>
        <w:fldChar w:fldCharType="begin"/>
      </w:r>
      <w:r w:rsidR="005825DE">
        <w:rPr>
          <w:color w:val="auto"/>
        </w:rPr>
        <w:instrText xml:space="preserve"> ADDIN EN.CITE &lt;EndNote&gt;&lt;Cite&gt;&lt;Author&gt;Health Quality Ontario&lt;/Author&gt;&lt;Year&gt;2016&lt;/Year&gt;&lt;RecNum&gt;6&lt;/RecNum&gt;&lt;DisplayText&gt;(Health Quality Ontario &amp;amp; Toronto Health Econonomics and Technology Assessment Collaborative 2016)&lt;/DisplayText&gt;&lt;record&gt;&lt;rec-number&gt;6&lt;/rec-number&gt;&lt;foreign-keys&gt;&lt;key app="EN" db-id="9r2v5a9alpsw54edwfqp9pte925d5pfszed2" timestamp="1644373287"&gt;6&lt;/key&gt;&lt;/foreign-keys&gt;&lt;ref-type name="Report"&gt;27&lt;/ref-type&gt;&lt;contributors&gt;&lt;authors&gt;&lt;author&gt;Health Quality Ontario,&lt;/author&gt;&lt;author&gt;Toronto Health Econonomics and Technology Assessment Collaborative,&lt;/author&gt;&lt;/authors&gt;&lt;/contributors&gt;&lt;titles&gt;&lt;title&gt;Minimal Residual Disease Evaluation in Childhood Acute Lymphoblastic Leukemia: An Economic Analysis&lt;/title&gt;&lt;secondary-title&gt;Ont Health Technol Assess Ser&lt;/secondary-title&gt;&lt;/titles&gt;&lt;volume&gt;16(8)&lt;/volume&gt;&lt;dates&gt;&lt;year&gt;2016&lt;/year&gt;&lt;pub-dates&gt;&lt;date&gt;2016&lt;/date&gt;&lt;/pub-dates&gt;&lt;/dates&gt;&lt;urls&gt;&lt;related-urls&gt;&lt;url&gt;http://www.hqontario.ca/evidence/publications-and-ohtacrecommendations/ontario-health-technology-assessment-series/econ-mrd&lt;/url&gt;&lt;/related-urls&gt;&lt;/urls&gt;&lt;/record&gt;&lt;/Cite&gt;&lt;/EndNote&gt;</w:instrText>
      </w:r>
      <w:r w:rsidR="005825DE">
        <w:rPr>
          <w:color w:val="auto"/>
        </w:rPr>
        <w:fldChar w:fldCharType="separate"/>
      </w:r>
      <w:r w:rsidR="005825DE">
        <w:rPr>
          <w:noProof/>
          <w:color w:val="auto"/>
        </w:rPr>
        <w:t>(Health Quality Ontario &amp; Toronto Health Econonomics and Technology Assessment Collaborative 2016)</w:t>
      </w:r>
      <w:r w:rsidR="005825DE">
        <w:rPr>
          <w:color w:val="auto"/>
        </w:rPr>
        <w:fldChar w:fldCharType="end"/>
      </w:r>
      <w:r>
        <w:rPr>
          <w:color w:val="auto"/>
        </w:rPr>
        <w:t xml:space="preserve">. Testing </w:t>
      </w:r>
      <w:r w:rsidR="00F31324">
        <w:rPr>
          <w:color w:val="auto"/>
        </w:rPr>
        <w:t xml:space="preserve">with flow cytometry </w:t>
      </w:r>
      <w:r>
        <w:rPr>
          <w:color w:val="auto"/>
        </w:rPr>
        <w:t>at the end of induction and consolidation (i.e. two tests per patient) was associated with improved survival</w:t>
      </w:r>
      <w:r w:rsidR="00785F3F">
        <w:rPr>
          <w:color w:val="auto"/>
        </w:rPr>
        <w:t xml:space="preserve"> in newly diagnosed patients with ALL</w:t>
      </w:r>
      <w:r>
        <w:rPr>
          <w:color w:val="auto"/>
        </w:rPr>
        <w:t xml:space="preserve">, and </w:t>
      </w:r>
      <w:r w:rsidR="00785F3F">
        <w:rPr>
          <w:color w:val="auto"/>
        </w:rPr>
        <w:t>an incremental cost of C$43,613 per Quality Adjusted Life Year (QALY)</w:t>
      </w:r>
      <w:r w:rsidR="00767FDD">
        <w:rPr>
          <w:color w:val="auto"/>
        </w:rPr>
        <w:t xml:space="preserve"> (or C$53,515/QALY after adjusting for parameter uncertainty)</w:t>
      </w:r>
      <w:r w:rsidR="00785F3F">
        <w:rPr>
          <w:color w:val="auto"/>
        </w:rPr>
        <w:t>.</w:t>
      </w:r>
    </w:p>
    <w:p w14:paraId="6DAB2DBD" w14:textId="453B8900" w:rsidR="000939E0" w:rsidRPr="00490FBB" w:rsidRDefault="000939E0" w:rsidP="00C40CC4">
      <w:pPr>
        <w:pStyle w:val="Caption"/>
      </w:pPr>
      <w:bookmarkStart w:id="18" w:name="_Ref54260209"/>
      <w:bookmarkStart w:id="19" w:name="_Toc423450289"/>
      <w:r w:rsidRPr="00490FBB">
        <w:t>Table</w:t>
      </w:r>
      <w:r w:rsidR="00DE762F">
        <w:t> </w:t>
      </w:r>
      <w:r w:rsidR="00454151">
        <w:fldChar w:fldCharType="begin"/>
      </w:r>
      <w:r w:rsidR="00454151">
        <w:instrText xml:space="preserve"> SEQ Table \* ARABIC </w:instrText>
      </w:r>
      <w:r w:rsidR="00454151">
        <w:fldChar w:fldCharType="separate"/>
      </w:r>
      <w:r w:rsidR="00996BE8">
        <w:rPr>
          <w:noProof/>
        </w:rPr>
        <w:t>4</w:t>
      </w:r>
      <w:r w:rsidR="00454151">
        <w:fldChar w:fldCharType="end"/>
      </w:r>
      <w:bookmarkEnd w:id="18"/>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9"/>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0"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D7851">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2937DDB5" w:rsidR="000939E0" w:rsidRPr="00490FBB" w:rsidRDefault="000939E0" w:rsidP="009C1D3D">
      <w:pPr>
        <w:pStyle w:val="Tablenotes"/>
        <w:keepNext/>
        <w:spacing w:beforeLines="40" w:before="96" w:after="40"/>
        <w:rPr>
          <w:szCs w:val="18"/>
        </w:rPr>
      </w:pPr>
      <w:r w:rsidRPr="00490FBB">
        <w:rPr>
          <w:szCs w:val="18"/>
        </w:rPr>
        <w:t>CEA</w:t>
      </w:r>
      <w:r w:rsidR="000C67ED">
        <w:rPr>
          <w:szCs w:val="18"/>
        </w:rPr>
        <w:t xml:space="preserve"> </w:t>
      </w:r>
      <w:r w:rsidRPr="00490FBB">
        <w:rPr>
          <w:szCs w:val="18"/>
        </w:rPr>
        <w:t>=</w:t>
      </w:r>
      <w:r w:rsidR="000C67ED">
        <w:rPr>
          <w:szCs w:val="18"/>
        </w:rPr>
        <w:t xml:space="preserve"> </w:t>
      </w:r>
      <w:r w:rsidRPr="00490FBB">
        <w:rPr>
          <w:szCs w:val="18"/>
        </w:rPr>
        <w:t>cost-effectiveness analysis; CMA</w:t>
      </w:r>
      <w:r w:rsidR="000C67ED">
        <w:rPr>
          <w:szCs w:val="18"/>
        </w:rPr>
        <w:t xml:space="preserve"> </w:t>
      </w:r>
      <w:r w:rsidRPr="00490FBB">
        <w:rPr>
          <w:szCs w:val="18"/>
        </w:rPr>
        <w:t>=</w:t>
      </w:r>
      <w:r w:rsidR="000C67ED">
        <w:rPr>
          <w:szCs w:val="18"/>
        </w:rPr>
        <w:t xml:space="preserve"> </w:t>
      </w:r>
      <w:r w:rsidRPr="00490FBB">
        <w:rPr>
          <w:szCs w:val="18"/>
        </w:rPr>
        <w:t>cost-minimisation analysis; CUA</w:t>
      </w:r>
      <w:r w:rsidR="000C67ED">
        <w:rPr>
          <w:szCs w:val="18"/>
        </w:rPr>
        <w:t xml:space="preserve"> </w:t>
      </w:r>
      <w:r w:rsidRPr="00490FBB">
        <w:rPr>
          <w:szCs w:val="18"/>
        </w:rPr>
        <w:t>=</w:t>
      </w:r>
      <w:r w:rsidR="000C67ED">
        <w:rPr>
          <w:szCs w:val="18"/>
        </w:rPr>
        <w:t xml:space="preserve"> </w:t>
      </w:r>
      <w:r w:rsidRPr="00490FBB">
        <w:rPr>
          <w:szCs w:val="18"/>
        </w:rPr>
        <w:t>cost-utility analysis</w:t>
      </w:r>
    </w:p>
    <w:p w14:paraId="48F7CED7" w14:textId="77777777" w:rsidR="000939E0" w:rsidRPr="00490FBB" w:rsidRDefault="000939E0" w:rsidP="009C1D3D">
      <w:pPr>
        <w:pStyle w:val="Tablenotes"/>
        <w:keepNext/>
        <w:spacing w:beforeLines="40" w:before="96" w:after="4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9C1D3D">
      <w:pPr>
        <w:pStyle w:val="Tablenotes"/>
        <w:keepNext/>
        <w:spacing w:beforeLines="40" w:before="96" w:after="4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4FAE2678" w:rsidR="000939E0" w:rsidRDefault="000939E0" w:rsidP="009C1D3D">
      <w:pPr>
        <w:pStyle w:val="Tablenotes"/>
        <w:tabs>
          <w:tab w:val="left" w:pos="7905"/>
        </w:tabs>
        <w:spacing w:beforeLines="40" w:before="96" w:after="40"/>
        <w:rPr>
          <w:szCs w:val="18"/>
        </w:rPr>
      </w:pPr>
      <w:r w:rsidRPr="00490FBB">
        <w:rPr>
          <w:szCs w:val="18"/>
          <w:vertAlign w:val="superscript"/>
        </w:rPr>
        <w:t>b</w:t>
      </w:r>
      <w:r w:rsidRPr="00490FBB">
        <w:rPr>
          <w:szCs w:val="18"/>
        </w:rPr>
        <w:t> An adequate assessment of ‘noninferiority’ is the preferred basis for demonstrating equivalence</w:t>
      </w:r>
    </w:p>
    <w:p w14:paraId="06CE480E" w14:textId="63B2C8B3" w:rsidR="0073537E" w:rsidRDefault="0073537E" w:rsidP="0073537E">
      <w:pPr>
        <w:pStyle w:val="Heading3"/>
      </w:pPr>
      <w:r>
        <w:lastRenderedPageBreak/>
        <w:t>Financial analysis</w:t>
      </w:r>
    </w:p>
    <w:p w14:paraId="0B5BF086" w14:textId="77777777" w:rsidR="00A650F2" w:rsidRDefault="00A650F2" w:rsidP="00A650F2">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While the applicants and PASC agreed the proposed interventions would not result in an increase in the number of bone marrow </w:t>
      </w:r>
      <w:proofErr w:type="spellStart"/>
      <w:r>
        <w:rPr>
          <w:rFonts w:asciiTheme="minorHAnsi" w:hAnsiTheme="minorHAnsi" w:cstheme="minorHAnsi"/>
          <w:i/>
          <w:iCs/>
        </w:rPr>
        <w:t>bioposes</w:t>
      </w:r>
      <w:proofErr w:type="spellEnd"/>
      <w:r>
        <w:rPr>
          <w:rFonts w:asciiTheme="minorHAnsi" w:hAnsiTheme="minorHAnsi" w:cstheme="minorHAnsi"/>
          <w:i/>
          <w:iCs/>
        </w:rPr>
        <w:t>, the financial analysis should incorporate any increase in the number of bone marrow aspirations/biopsies performed should evidence suggesting this become available during the assessment phase.</w:t>
      </w:r>
    </w:p>
    <w:p w14:paraId="0B70317F" w14:textId="66D2A833" w:rsidR="00801D15" w:rsidRDefault="004B06AC">
      <w:pPr>
        <w:spacing w:after="160" w:line="259" w:lineRule="auto"/>
        <w:rPr>
          <w:rFonts w:asciiTheme="minorHAnsi" w:hAnsiTheme="minorHAnsi" w:cstheme="minorHAnsi"/>
          <w:i/>
        </w:rPr>
      </w:pPr>
      <w:r>
        <w:rPr>
          <w:rFonts w:asciiTheme="minorHAnsi" w:hAnsiTheme="minorHAnsi" w:cstheme="minorHAnsi"/>
          <w:i/>
        </w:rPr>
        <w:t xml:space="preserve">The </w:t>
      </w:r>
      <w:r w:rsidR="00364CEA">
        <w:rPr>
          <w:rFonts w:asciiTheme="minorHAnsi" w:hAnsiTheme="minorHAnsi" w:cstheme="minorHAnsi"/>
          <w:i/>
        </w:rPr>
        <w:t xml:space="preserve">RCPA explained that although MRD testing is routinely used in paediatric ALL, its use is currently funded by hospitals and oncology departments, usually using donated funds, or by patients paying out-of-pocket. MRD testing is therefore not paid for by the states/territories, and the implications of cost-shifting do not need to be assessed. </w:t>
      </w:r>
    </w:p>
    <w:p w14:paraId="4313A195" w14:textId="612B7613" w:rsidR="00801D15" w:rsidRDefault="00801D15">
      <w:pPr>
        <w:spacing w:after="160" w:line="259" w:lineRule="auto"/>
        <w:rPr>
          <w:rFonts w:asciiTheme="minorHAnsi" w:hAnsiTheme="minorHAnsi" w:cstheme="minorHAnsi"/>
          <w:i/>
        </w:rPr>
      </w:pPr>
      <w:r>
        <w:rPr>
          <w:rFonts w:asciiTheme="minorHAnsi" w:hAnsiTheme="minorHAnsi" w:cstheme="minorHAnsi"/>
          <w:i/>
        </w:rPr>
        <w:t xml:space="preserve">Some patients may be tested with different testing modalities </w:t>
      </w:r>
      <w:r w:rsidR="005420C6">
        <w:rPr>
          <w:rFonts w:asciiTheme="minorHAnsi" w:hAnsiTheme="minorHAnsi" w:cstheme="minorHAnsi"/>
          <w:i/>
        </w:rPr>
        <w:t xml:space="preserve">or swap testing providers </w:t>
      </w:r>
      <w:r>
        <w:rPr>
          <w:rFonts w:asciiTheme="minorHAnsi" w:hAnsiTheme="minorHAnsi" w:cstheme="minorHAnsi"/>
          <w:i/>
        </w:rPr>
        <w:t>over the course of their disease. This may require archival tissue to be retrieved</w:t>
      </w:r>
      <w:r w:rsidR="005420C6">
        <w:rPr>
          <w:rFonts w:asciiTheme="minorHAnsi" w:hAnsiTheme="minorHAnsi" w:cstheme="minorHAnsi"/>
          <w:i/>
        </w:rPr>
        <w:t>. The costs of archival tissue retrieval (MBS item 72860) should be incorporated into the assessment reports.</w:t>
      </w:r>
    </w:p>
    <w:p w14:paraId="54CC9DF1" w14:textId="1A32A5BA" w:rsidR="00EF2934" w:rsidRDefault="00D73332" w:rsidP="00C23BF2">
      <w:pPr>
        <w:pStyle w:val="Heading2"/>
      </w:pPr>
      <w:r w:rsidRPr="00DE762F">
        <w:t>Propos</w:t>
      </w:r>
      <w:r w:rsidR="000D1FCF" w:rsidRPr="00DE762F">
        <w:t>al for public funding</w:t>
      </w:r>
    </w:p>
    <w:p w14:paraId="0E5CCF15" w14:textId="367CCD0E" w:rsidR="00C84791" w:rsidRDefault="00414746" w:rsidP="00414746">
      <w:r w:rsidRPr="00414746">
        <w:t xml:space="preserve">Three MBS items </w:t>
      </w:r>
      <w:r w:rsidR="00DE7F47">
        <w:t>were initially</w:t>
      </w:r>
      <w:r w:rsidRPr="00414746">
        <w:t xml:space="preserve"> proposed across the two applications, for flow cytometry, molecular methods of MRD, </w:t>
      </w:r>
      <w:r w:rsidR="00683DC5">
        <w:t xml:space="preserve">and by NGS (with an item descriptor that reflects and supports the </w:t>
      </w:r>
      <w:r w:rsidRPr="00414746">
        <w:t xml:space="preserve">use of the </w:t>
      </w:r>
      <w:proofErr w:type="spellStart"/>
      <w:r w:rsidRPr="00414746">
        <w:t>clonoSEQ</w:t>
      </w:r>
      <w:proofErr w:type="spellEnd"/>
      <w:r w:rsidRPr="00414746">
        <w:t>® assay</w:t>
      </w:r>
      <w:r w:rsidR="00683DC5">
        <w:t>)</w:t>
      </w:r>
      <w:r w:rsidRPr="00414746">
        <w:t>.</w:t>
      </w:r>
      <w:r w:rsidR="00DE7F47">
        <w:t xml:space="preserve"> </w:t>
      </w:r>
    </w:p>
    <w:p w14:paraId="4AA79017" w14:textId="5659A5E0" w:rsidR="00C84791" w:rsidRDefault="00C84791" w:rsidP="00414746">
      <w:r>
        <w:fldChar w:fldCharType="begin"/>
      </w:r>
      <w:r>
        <w:instrText xml:space="preserve"> REF _Ref95835243 \h </w:instrText>
      </w:r>
      <w:r>
        <w:fldChar w:fldCharType="separate"/>
      </w:r>
      <w:r>
        <w:t xml:space="preserve">Table </w:t>
      </w:r>
      <w:r>
        <w:rPr>
          <w:noProof/>
        </w:rPr>
        <w:t>5</w:t>
      </w:r>
      <w:r>
        <w:fldChar w:fldCharType="end"/>
      </w:r>
      <w:r>
        <w:t xml:space="preserve"> and </w:t>
      </w:r>
      <w:r>
        <w:fldChar w:fldCharType="begin"/>
      </w:r>
      <w:r>
        <w:instrText xml:space="preserve"> REF _Ref101355616 \h </w:instrText>
      </w:r>
      <w:r>
        <w:fldChar w:fldCharType="separate"/>
      </w:r>
      <w:r>
        <w:t xml:space="preserve">Table </w:t>
      </w:r>
      <w:r>
        <w:rPr>
          <w:noProof/>
        </w:rPr>
        <w:t>6</w:t>
      </w:r>
      <w:r>
        <w:fldChar w:fldCharType="end"/>
      </w:r>
      <w:r>
        <w:t xml:space="preserve"> incorporate revisions made after PASC to include the following:</w:t>
      </w:r>
    </w:p>
    <w:p w14:paraId="1D08AFBC" w14:textId="77777777"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The item should be amended for “a patient”, rather than “patients”. The item should also incorporate restrictions to limit requesting the item to haematologists or oncologists, for the purpose of guiding treatment decisions. </w:t>
      </w:r>
    </w:p>
    <w:p w14:paraId="714A88E0" w14:textId="1023EDC6"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The RCPA clarified that proposed item AAAA should be in group P4 Immunology, and proposed item BBBB should be in group P7 Genetics.</w:t>
      </w:r>
    </w:p>
    <w:p w14:paraId="52E2DE28" w14:textId="4D658DFC"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w:t>
      </w:r>
      <w:r w:rsidR="00F56EF3">
        <w:rPr>
          <w:rFonts w:asciiTheme="minorHAnsi" w:hAnsiTheme="minorHAnsi" w:cstheme="minorHAnsi"/>
          <w:i/>
          <w:iCs/>
        </w:rPr>
        <w:t xml:space="preserve">expert advice that qualitative methods are not used, and advised </w:t>
      </w:r>
      <w:r>
        <w:rPr>
          <w:rFonts w:asciiTheme="minorHAnsi" w:hAnsiTheme="minorHAnsi" w:cstheme="minorHAnsi"/>
          <w:i/>
          <w:iCs/>
        </w:rPr>
        <w:t>that item BBBB for molecular methods should specify “quantitative” molecular methods.</w:t>
      </w:r>
    </w:p>
    <w:p w14:paraId="64717527" w14:textId="4C04DA35"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Adaptive Biotechnologies were satisfied to proceed with the item for flow cytology, as suggested by the RCPA, and amended by PASC.</w:t>
      </w:r>
    </w:p>
    <w:p w14:paraId="254907EA" w14:textId="77F897F7" w:rsidR="00C84791" w:rsidRDefault="00CA6FC8" w:rsidP="00C84791">
      <w:pPr>
        <w:autoSpaceDE w:val="0"/>
        <w:autoSpaceDN w:val="0"/>
        <w:adjustRightInd w:val="0"/>
        <w:spacing w:line="23" w:lineRule="atLeast"/>
        <w:rPr>
          <w:rFonts w:asciiTheme="minorHAnsi" w:hAnsiTheme="minorHAnsi" w:cstheme="minorHAnsi"/>
          <w:i/>
        </w:rPr>
      </w:pPr>
      <w:r>
        <w:rPr>
          <w:rFonts w:asciiTheme="minorHAnsi" w:hAnsiTheme="minorHAnsi" w:cstheme="minorHAnsi"/>
          <w:i/>
        </w:rPr>
        <w:t>At the meeting, the RCPA was willing for the proposed item BBBB (for molecular methods of MRD testing) to be split into 3 separate items, to be further developed by the policy area of the Department:</w:t>
      </w:r>
    </w:p>
    <w:p w14:paraId="19C9E514" w14:textId="109DAFA5" w:rsidR="00B23C48" w:rsidRPr="00B23C48" w:rsidRDefault="00B23C48" w:rsidP="00B23C48">
      <w:pPr>
        <w:pStyle w:val="ListParagraph"/>
        <w:numPr>
          <w:ilvl w:val="0"/>
          <w:numId w:val="24"/>
        </w:numPr>
        <w:spacing w:after="0" w:line="240" w:lineRule="auto"/>
        <w:rPr>
          <w:i/>
          <w:iCs/>
        </w:rPr>
      </w:pPr>
      <w:r w:rsidRPr="00B23C48">
        <w:rPr>
          <w:i/>
          <w:iCs/>
        </w:rPr>
        <w:t>an item for NGS testing</w:t>
      </w:r>
    </w:p>
    <w:p w14:paraId="7165FCD7" w14:textId="79624FAA" w:rsidR="00B23C48" w:rsidRPr="00B23C48" w:rsidRDefault="00B23C48" w:rsidP="00B23C48">
      <w:pPr>
        <w:pStyle w:val="ListParagraph"/>
        <w:numPr>
          <w:ilvl w:val="0"/>
          <w:numId w:val="24"/>
        </w:numPr>
        <w:spacing w:after="0" w:line="240" w:lineRule="auto"/>
        <w:rPr>
          <w:i/>
          <w:iCs/>
        </w:rPr>
      </w:pPr>
      <w:r w:rsidRPr="00B23C48">
        <w:rPr>
          <w:i/>
          <w:iCs/>
        </w:rPr>
        <w:t>an item for the development of the patient specific assay for qPCR and the first test using this assay</w:t>
      </w:r>
    </w:p>
    <w:p w14:paraId="70A1B65E" w14:textId="4B972218" w:rsidR="00B23C48" w:rsidRPr="00B23C48" w:rsidRDefault="00B23C48" w:rsidP="00B23C48">
      <w:pPr>
        <w:pStyle w:val="ListParagraph"/>
        <w:numPr>
          <w:ilvl w:val="0"/>
          <w:numId w:val="24"/>
        </w:numPr>
        <w:spacing w:after="0" w:line="240" w:lineRule="auto"/>
        <w:rPr>
          <w:i/>
          <w:iCs/>
        </w:rPr>
      </w:pPr>
      <w:r w:rsidRPr="00B23C48">
        <w:rPr>
          <w:i/>
          <w:iCs/>
        </w:rPr>
        <w:t>an item for subsequent testing using the patient specific assay for qPCR.</w:t>
      </w:r>
    </w:p>
    <w:p w14:paraId="4A386564" w14:textId="46860B9A" w:rsidR="00C84791" w:rsidRPr="00A15E3E" w:rsidRDefault="00C84791" w:rsidP="008F54BE">
      <w:pPr>
        <w:pStyle w:val="ListParagraph"/>
        <w:spacing w:after="0" w:line="240" w:lineRule="auto"/>
      </w:pPr>
    </w:p>
    <w:p w14:paraId="2C2761D5" w14:textId="4ABE4207" w:rsidR="00C33836" w:rsidRDefault="00C33836" w:rsidP="00C84791">
      <w:pPr>
        <w:rPr>
          <w:rFonts w:asciiTheme="minorHAnsi" w:hAnsiTheme="minorHAnsi" w:cstheme="minorHAnsi"/>
          <w:i/>
        </w:rPr>
      </w:pPr>
      <w:bookmarkStart w:id="21" w:name="_Hlk104196087"/>
      <w:r w:rsidRPr="00C33836">
        <w:rPr>
          <w:rFonts w:asciiTheme="minorHAnsi" w:hAnsiTheme="minorHAnsi" w:cstheme="minorHAnsi"/>
          <w:i/>
        </w:rPr>
        <w:t>PASC noted post-PASC advice from the 1703 applicant that the assay would be developed using the sample at diagnosis and that the first use for MRD testing would take place weeks later on a follow-up bone marrow sample. PASC considered that for CCCC, the item descriptor should make clear that the rebate is for testing two separate samples taken at different time points: the diagnostic specimen and the first MRD specimen.</w:t>
      </w:r>
      <w:bookmarkEnd w:id="21"/>
    </w:p>
    <w:p w14:paraId="2FE2196F" w14:textId="354C39F8" w:rsidR="00802CA2" w:rsidRDefault="00C33836" w:rsidP="00C84791">
      <w:pPr>
        <w:rPr>
          <w:rFonts w:asciiTheme="minorHAnsi" w:hAnsiTheme="minorHAnsi" w:cstheme="minorHAnsi"/>
          <w:i/>
        </w:rPr>
      </w:pPr>
      <w:r>
        <w:rPr>
          <w:rFonts w:asciiTheme="minorHAnsi" w:hAnsiTheme="minorHAnsi" w:cstheme="minorHAnsi"/>
          <w:i/>
        </w:rPr>
        <w:t>Having an item for assay development</w:t>
      </w:r>
      <w:r w:rsidR="00C84791">
        <w:rPr>
          <w:rFonts w:asciiTheme="minorHAnsi" w:hAnsiTheme="minorHAnsi" w:cstheme="minorHAnsi"/>
          <w:i/>
        </w:rPr>
        <w:t xml:space="preserve"> would be </w:t>
      </w:r>
      <w:r w:rsidR="008A3630">
        <w:rPr>
          <w:rFonts w:asciiTheme="minorHAnsi" w:hAnsiTheme="minorHAnsi" w:cstheme="minorHAnsi"/>
          <w:i/>
        </w:rPr>
        <w:t>similar to</w:t>
      </w:r>
      <w:r w:rsidR="00C84791">
        <w:rPr>
          <w:rFonts w:asciiTheme="minorHAnsi" w:hAnsiTheme="minorHAnsi" w:cstheme="minorHAnsi"/>
          <w:i/>
        </w:rPr>
        <w:t xml:space="preserve"> the approach taken for pre-implantation genetic testing (MSAC Application 1165.1), implemented under MBS items 73</w:t>
      </w:r>
      <w:r w:rsidR="008A3630">
        <w:rPr>
          <w:rFonts w:asciiTheme="minorHAnsi" w:hAnsiTheme="minorHAnsi" w:cstheme="minorHAnsi"/>
          <w:i/>
        </w:rPr>
        <w:t>3</w:t>
      </w:r>
      <w:r w:rsidR="00C84791">
        <w:rPr>
          <w:rFonts w:asciiTheme="minorHAnsi" w:hAnsiTheme="minorHAnsi" w:cstheme="minorHAnsi"/>
          <w:i/>
        </w:rPr>
        <w:t xml:space="preserve">84, 73385, 73386 and 73387. </w:t>
      </w:r>
    </w:p>
    <w:p w14:paraId="14759828" w14:textId="03618BDC" w:rsidR="00C84791" w:rsidRPr="008F54BE" w:rsidRDefault="00190F01" w:rsidP="00B23C48">
      <w:pPr>
        <w:rPr>
          <w:rFonts w:asciiTheme="minorHAnsi" w:hAnsiTheme="minorHAnsi" w:cstheme="minorHAnsi"/>
          <w:i/>
        </w:rPr>
      </w:pPr>
      <w:r>
        <w:rPr>
          <w:rFonts w:asciiTheme="minorHAnsi" w:hAnsiTheme="minorHAnsi" w:cstheme="minorHAnsi"/>
          <w:i/>
        </w:rPr>
        <w:lastRenderedPageBreak/>
        <w:t xml:space="preserve">PASC agreed that the restrictions on the number of tests able to be performed should incorporate all testing modalities. </w:t>
      </w:r>
      <w:r w:rsidR="00CA6FC8">
        <w:rPr>
          <w:rFonts w:asciiTheme="minorHAnsi" w:hAnsiTheme="minorHAnsi" w:cstheme="minorHAnsi"/>
          <w:i/>
        </w:rPr>
        <w:t>PASC noted there was no need to apply co-claiming restrictions across testing modalities, as it would be unlikely for a pathologist to use multiple modalities on the same occasion.</w:t>
      </w:r>
      <w:r w:rsidR="00B23C48">
        <w:rPr>
          <w:rFonts w:asciiTheme="minorHAnsi" w:hAnsiTheme="minorHAnsi" w:cstheme="minorHAnsi"/>
          <w:i/>
        </w:rPr>
        <w:t xml:space="preserve"> </w:t>
      </w:r>
      <w:r w:rsidR="009B7D8C">
        <w:rPr>
          <w:rFonts w:asciiTheme="minorHAnsi" w:hAnsiTheme="minorHAnsi" w:cstheme="minorHAnsi"/>
          <w:i/>
        </w:rPr>
        <w:t xml:space="preserve">PASC discussed how best to limit the use of MRD testing, as public consultation responses suggested that “per episode of disease” was difficult to define. Further discussion is required with the </w:t>
      </w:r>
      <w:r w:rsidR="008A3630">
        <w:rPr>
          <w:rFonts w:asciiTheme="minorHAnsi" w:hAnsiTheme="minorHAnsi" w:cstheme="minorHAnsi"/>
          <w:i/>
        </w:rPr>
        <w:t>p</w:t>
      </w:r>
      <w:r w:rsidR="009B7D8C">
        <w:rPr>
          <w:rFonts w:asciiTheme="minorHAnsi" w:hAnsiTheme="minorHAnsi" w:cstheme="minorHAnsi"/>
          <w:i/>
        </w:rPr>
        <w:t xml:space="preserve">olicy area on whether to restrict by time frame (e.g. 12 tests within 24 months of diagnosis or relapse), or by course of </w:t>
      </w:r>
      <w:r w:rsidR="008A3630">
        <w:rPr>
          <w:rFonts w:asciiTheme="minorHAnsi" w:hAnsiTheme="minorHAnsi" w:cstheme="minorHAnsi"/>
          <w:i/>
        </w:rPr>
        <w:t xml:space="preserve">treatments before and after </w:t>
      </w:r>
      <w:r w:rsidR="009B7D8C">
        <w:rPr>
          <w:rFonts w:asciiTheme="minorHAnsi" w:hAnsiTheme="minorHAnsi" w:cstheme="minorHAnsi"/>
          <w:i/>
        </w:rPr>
        <w:t xml:space="preserve">disease </w:t>
      </w:r>
      <w:r w:rsidR="008A3630">
        <w:rPr>
          <w:rFonts w:asciiTheme="minorHAnsi" w:hAnsiTheme="minorHAnsi" w:cstheme="minorHAnsi"/>
          <w:i/>
        </w:rPr>
        <w:t xml:space="preserve">relapse </w:t>
      </w:r>
      <w:r w:rsidR="009B7D8C">
        <w:rPr>
          <w:rFonts w:asciiTheme="minorHAnsi" w:hAnsiTheme="minorHAnsi" w:cstheme="minorHAnsi"/>
          <w:i/>
        </w:rPr>
        <w:t>(as currently worded).</w:t>
      </w:r>
    </w:p>
    <w:p w14:paraId="531E0156" w14:textId="388EBAB1" w:rsidR="00F561C1" w:rsidRDefault="002A209C" w:rsidP="00E01349">
      <w:pPr>
        <w:pStyle w:val="Instructionaltext"/>
        <w:rPr>
          <w:color w:val="auto"/>
        </w:rPr>
      </w:pPr>
      <w:r w:rsidRPr="002A209C">
        <w:rPr>
          <w:color w:val="auto"/>
        </w:rPr>
        <w:t>All steps associated with the MRD would be performed by trained and qualified scientist</w:t>
      </w:r>
      <w:r w:rsidR="005367CB">
        <w:rPr>
          <w:color w:val="auto"/>
        </w:rPr>
        <w:t>s</w:t>
      </w:r>
      <w:r w:rsidRPr="002A209C">
        <w:rPr>
          <w:color w:val="auto"/>
        </w:rPr>
        <w:t>/</w:t>
      </w:r>
      <w:r w:rsidR="005618D0">
        <w:rPr>
          <w:color w:val="auto"/>
        </w:rPr>
        <w:t>laboratory</w:t>
      </w:r>
      <w:r w:rsidRPr="002A209C">
        <w:rPr>
          <w:color w:val="auto"/>
        </w:rPr>
        <w:t xml:space="preserve"> technician</w:t>
      </w:r>
      <w:r w:rsidR="00414746">
        <w:rPr>
          <w:color w:val="auto"/>
        </w:rPr>
        <w:t>s</w:t>
      </w:r>
      <w:r w:rsidR="00C77D25">
        <w:rPr>
          <w:color w:val="auto"/>
        </w:rPr>
        <w:t>, under the direction of a pathologist,</w:t>
      </w:r>
      <w:r w:rsidRPr="002A209C">
        <w:rPr>
          <w:color w:val="auto"/>
        </w:rPr>
        <w:t xml:space="preserve"> on the request of the treating clinician, with results provided back to the treating clinician to guide treatment selection.</w:t>
      </w:r>
    </w:p>
    <w:p w14:paraId="05A9D048" w14:textId="569CE52D" w:rsidR="002A209C" w:rsidRDefault="002A209C" w:rsidP="00E01349">
      <w:pPr>
        <w:pStyle w:val="Instructionaltext"/>
        <w:rPr>
          <w:color w:val="auto"/>
        </w:rPr>
      </w:pPr>
      <w:r>
        <w:rPr>
          <w:color w:val="auto"/>
        </w:rPr>
        <w:t xml:space="preserve">The only laboratory in Australia </w:t>
      </w:r>
      <w:r w:rsidR="005367CB">
        <w:rPr>
          <w:color w:val="auto"/>
        </w:rPr>
        <w:t xml:space="preserve">that </w:t>
      </w:r>
      <w:r>
        <w:rPr>
          <w:color w:val="auto"/>
        </w:rPr>
        <w:t xml:space="preserve">currently has the capacity and expertise to use the </w:t>
      </w:r>
      <w:proofErr w:type="spellStart"/>
      <w:r>
        <w:rPr>
          <w:color w:val="auto"/>
        </w:rPr>
        <w:t>clonoSEQ</w:t>
      </w:r>
      <w:proofErr w:type="spellEnd"/>
      <w:r>
        <w:rPr>
          <w:color w:val="auto"/>
        </w:rPr>
        <w:t xml:space="preserve">® assay is the Molecular Haematology Laboratory, Peter MacCallum Cancer Centre in Melbourne. Additional sites may be included </w:t>
      </w:r>
      <w:r w:rsidR="00FC2560">
        <w:rPr>
          <w:color w:val="auto"/>
        </w:rPr>
        <w:t>in the future to meet regional needs or as volume increases.</w:t>
      </w:r>
    </w:p>
    <w:p w14:paraId="75BC894A" w14:textId="1DF2F867" w:rsidR="00B109B7" w:rsidRDefault="00B109B7" w:rsidP="00B109B7">
      <w:pPr>
        <w:pStyle w:val="Caption"/>
      </w:pPr>
      <w:bookmarkStart w:id="22" w:name="_Ref95835243"/>
      <w:r>
        <w:lastRenderedPageBreak/>
        <w:t xml:space="preserve">Table </w:t>
      </w:r>
      <w:r>
        <w:fldChar w:fldCharType="begin"/>
      </w:r>
      <w:r>
        <w:instrText xml:space="preserve"> SEQ Table \* ARABIC </w:instrText>
      </w:r>
      <w:r>
        <w:fldChar w:fldCharType="separate"/>
      </w:r>
      <w:r w:rsidR="00996BE8">
        <w:rPr>
          <w:noProof/>
        </w:rPr>
        <w:t>5</w:t>
      </w:r>
      <w:r>
        <w:fldChar w:fldCharType="end"/>
      </w:r>
      <w:bookmarkEnd w:id="22"/>
      <w:r>
        <w:tab/>
        <w:t xml:space="preserve">MBS items proposed </w:t>
      </w:r>
      <w:r w:rsidR="003E6FF0">
        <w:t>in application 1703 for flow cytome</w:t>
      </w:r>
      <w:r w:rsidR="00414746">
        <w:t>try and molecular methods of MRD</w:t>
      </w:r>
      <w:r w:rsidR="003E6FF0">
        <w:t xml:space="preserve"> testing</w:t>
      </w:r>
      <w:r w:rsidR="003061AF">
        <w:t xml:space="preserve"> after amendments suggested by the Department of Health and PASC</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7ADC1C87" w:rsidR="002F3E40" w:rsidRPr="00DE762F" w:rsidRDefault="002F3E40" w:rsidP="00190F01">
            <w:pPr>
              <w:tabs>
                <w:tab w:val="left" w:pos="6826"/>
              </w:tabs>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F561C1" w:rsidRPr="00F561C1">
              <w:rPr>
                <w:rFonts w:ascii="Arial Narrow" w:hAnsi="Arial Narrow"/>
                <w:sz w:val="20"/>
                <w:szCs w:val="20"/>
              </w:rPr>
              <w:t>6</w:t>
            </w:r>
            <w:r w:rsidRPr="00F561C1">
              <w:rPr>
                <w:rFonts w:ascii="Arial Narrow" w:hAnsi="Arial Narrow"/>
                <w:sz w:val="20"/>
                <w:szCs w:val="20"/>
              </w:rPr>
              <w:t xml:space="preserve"> – </w:t>
            </w:r>
            <w:r w:rsidR="00F561C1">
              <w:rPr>
                <w:rFonts w:ascii="Arial Narrow" w:hAnsi="Arial Narrow"/>
                <w:sz w:val="20"/>
                <w:szCs w:val="20"/>
              </w:rPr>
              <w:t xml:space="preserve">Pathology services </w:t>
            </w:r>
            <w:r w:rsidR="007133C8">
              <w:rPr>
                <w:rFonts w:ascii="Arial Narrow" w:hAnsi="Arial Narrow"/>
                <w:sz w:val="20"/>
                <w:szCs w:val="20"/>
              </w:rPr>
              <w:tab/>
            </w:r>
            <w:r w:rsidR="00F561C1">
              <w:rPr>
                <w:rFonts w:ascii="Arial Narrow" w:hAnsi="Arial Narrow"/>
                <w:sz w:val="20"/>
                <w:szCs w:val="20"/>
              </w:rPr>
              <w:t xml:space="preserve">Group </w:t>
            </w:r>
            <w:r w:rsidR="007133C8">
              <w:rPr>
                <w:rFonts w:ascii="Arial Narrow" w:hAnsi="Arial Narrow"/>
                <w:sz w:val="20"/>
                <w:szCs w:val="20"/>
              </w:rPr>
              <w:t>P4 Immunology</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7F79F0DD"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E6FF0">
              <w:rPr>
                <w:rFonts w:ascii="Arial Narrow" w:hAnsi="Arial Narrow"/>
                <w:sz w:val="20"/>
                <w:szCs w:val="20"/>
              </w:rPr>
              <w:t>AAAA</w:t>
            </w:r>
          </w:p>
          <w:p w14:paraId="2A08B583" w14:textId="4C1D23A7" w:rsidR="00F561C1" w:rsidRPr="00F561C1" w:rsidRDefault="00CC13C5" w:rsidP="00F561C1">
            <w:pPr>
              <w:spacing w:before="120" w:after="120" w:line="240" w:lineRule="auto"/>
              <w:rPr>
                <w:rFonts w:ascii="Arial Narrow" w:hAnsi="Arial Narrow"/>
                <w:sz w:val="20"/>
                <w:szCs w:val="20"/>
              </w:rPr>
            </w:pPr>
            <w:r>
              <w:rPr>
                <w:rFonts w:ascii="Arial Narrow" w:hAnsi="Arial Narrow"/>
                <w:sz w:val="20"/>
                <w:szCs w:val="20"/>
              </w:rPr>
              <w:t>Measurable</w:t>
            </w:r>
            <w:r w:rsidR="00F561C1" w:rsidRPr="00F561C1">
              <w:rPr>
                <w:rFonts w:ascii="Arial Narrow" w:hAnsi="Arial Narrow"/>
                <w:sz w:val="20"/>
                <w:szCs w:val="20"/>
              </w:rPr>
              <w:t xml:space="preserve"> residual disease testing by flow cytometry</w:t>
            </w:r>
            <w:r w:rsidR="003061AF">
              <w:rPr>
                <w:rFonts w:ascii="Arial Narrow" w:hAnsi="Arial Narrow"/>
                <w:sz w:val="20"/>
                <w:szCs w:val="20"/>
              </w:rPr>
              <w:t xml:space="preserve"> performed on bone marrow</w:t>
            </w:r>
            <w:r w:rsidR="00260215">
              <w:rPr>
                <w:rFonts w:ascii="Arial Narrow" w:hAnsi="Arial Narrow"/>
                <w:sz w:val="20"/>
                <w:szCs w:val="20"/>
              </w:rPr>
              <w:t xml:space="preserve"> </w:t>
            </w:r>
            <w:r w:rsidR="002D7A33">
              <w:rPr>
                <w:rFonts w:ascii="Arial Narrow" w:hAnsi="Arial Narrow"/>
                <w:sz w:val="20"/>
                <w:szCs w:val="20"/>
              </w:rPr>
              <w:t>from a</w:t>
            </w:r>
            <w:r w:rsidR="00F561C1" w:rsidRPr="00F561C1">
              <w:rPr>
                <w:rFonts w:ascii="Arial Narrow" w:hAnsi="Arial Narrow"/>
                <w:sz w:val="20"/>
                <w:szCs w:val="20"/>
              </w:rPr>
              <w:t xml:space="preserve"> patient diagnosed with acute lymphoblastic leukaemia (ALL) treated with combination chemotherapy treatment or after salvage therapy</w:t>
            </w:r>
            <w:r w:rsidR="003061AF">
              <w:rPr>
                <w:rFonts w:ascii="Arial Narrow" w:hAnsi="Arial Narrow"/>
                <w:sz w:val="20"/>
                <w:szCs w:val="20"/>
              </w:rPr>
              <w:t xml:space="preserve">, requested by a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 xml:space="preserve">practising as a </w:t>
            </w:r>
            <w:r w:rsidR="003061AF">
              <w:rPr>
                <w:rFonts w:ascii="Arial Narrow" w:hAnsi="Arial Narrow"/>
                <w:sz w:val="20"/>
                <w:szCs w:val="20"/>
              </w:rPr>
              <w:t>haematologist or oncologist</w:t>
            </w:r>
            <w:r w:rsidR="00F37D77">
              <w:rPr>
                <w:rFonts w:ascii="Arial Narrow" w:hAnsi="Arial Narrow"/>
                <w:sz w:val="20"/>
                <w:szCs w:val="20"/>
              </w:rPr>
              <w:t>.</w:t>
            </w:r>
          </w:p>
          <w:p w14:paraId="37B8AA89" w14:textId="1FD83F6A" w:rsidR="002F3E40" w:rsidRDefault="00F561C1" w:rsidP="00F561C1">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027075">
              <w:rPr>
                <w:rFonts w:ascii="Arial Narrow" w:hAnsi="Arial Narrow"/>
                <w:sz w:val="20"/>
                <w:szCs w:val="20"/>
              </w:rPr>
              <w:t xml:space="preserve">course </w:t>
            </w:r>
            <w:r>
              <w:rPr>
                <w:rFonts w:ascii="Arial Narrow" w:hAnsi="Arial Narrow"/>
                <w:sz w:val="20"/>
                <w:szCs w:val="20"/>
              </w:rPr>
              <w:t xml:space="preserve">of </w:t>
            </w:r>
            <w:r w:rsidRPr="005A018C">
              <w:rPr>
                <w:rFonts w:ascii="Arial Narrow" w:hAnsi="Arial Narrow"/>
                <w:sz w:val="20"/>
                <w:szCs w:val="20"/>
              </w:rPr>
              <w:t>disease</w:t>
            </w:r>
            <w:r w:rsidR="005A018C" w:rsidRPr="005A018C">
              <w:rPr>
                <w:rFonts w:ascii="Arial Narrow" w:hAnsi="Arial Narrow"/>
                <w:sz w:val="20"/>
                <w:szCs w:val="20"/>
              </w:rPr>
              <w:t xml:space="preserve"> for </w:t>
            </w:r>
            <w:r w:rsidR="00613492" w:rsidRPr="005A018C">
              <w:rPr>
                <w:rFonts w:ascii="Arial Narrow" w:hAnsi="Arial Narrow"/>
                <w:sz w:val="20"/>
                <w:szCs w:val="20"/>
              </w:rPr>
              <w:t>AAAA</w:t>
            </w:r>
            <w:r w:rsidR="00613492">
              <w:rPr>
                <w:rFonts w:ascii="Arial Narrow" w:hAnsi="Arial Narrow"/>
                <w:sz w:val="20"/>
                <w:szCs w:val="20"/>
              </w:rPr>
              <w:t>,</w:t>
            </w:r>
            <w:r w:rsidR="00613492" w:rsidRPr="005A018C">
              <w:rPr>
                <w:rFonts w:ascii="Arial Narrow" w:hAnsi="Arial Narrow"/>
                <w:sz w:val="20"/>
                <w:szCs w:val="20"/>
              </w:rPr>
              <w:t xml:space="preserve"> BBBB</w:t>
            </w:r>
            <w:r w:rsidR="00613492">
              <w:rPr>
                <w:rFonts w:ascii="Arial Narrow" w:hAnsi="Arial Narrow"/>
                <w:sz w:val="20"/>
                <w:szCs w:val="20"/>
              </w:rPr>
              <w:t xml:space="preserve">, </w:t>
            </w:r>
            <w:r w:rsidR="00F37D77">
              <w:rPr>
                <w:rFonts w:ascii="Arial Narrow" w:hAnsi="Arial Narrow"/>
                <w:sz w:val="20"/>
                <w:szCs w:val="20"/>
              </w:rPr>
              <w:t xml:space="preserve">CCCC, </w:t>
            </w:r>
            <w:r w:rsidR="00613492">
              <w:rPr>
                <w:rFonts w:ascii="Arial Narrow" w:hAnsi="Arial Narrow"/>
                <w:sz w:val="20"/>
                <w:szCs w:val="20"/>
              </w:rPr>
              <w:t>DDDD, and EEEE</w:t>
            </w:r>
            <w:r w:rsidR="00613492" w:rsidRPr="005A018C">
              <w:rPr>
                <w:rFonts w:ascii="Arial Narrow" w:hAnsi="Arial Narrow"/>
                <w:sz w:val="20"/>
                <w:szCs w:val="20"/>
              </w:rPr>
              <w:t xml:space="preserve"> combined</w:t>
            </w:r>
          </w:p>
          <w:p w14:paraId="5379CBCB" w14:textId="7F3BCBDB" w:rsidR="00B109B7" w:rsidRPr="00DE762F" w:rsidRDefault="00B109B7" w:rsidP="00F561C1">
            <w:pPr>
              <w:spacing w:before="120" w:after="12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$550</w:t>
            </w:r>
            <w:r w:rsidR="005618D0">
              <w:rPr>
                <w:rFonts w:ascii="Arial Narrow" w:hAnsi="Arial Narrow"/>
                <w:sz w:val="20"/>
                <w:szCs w:val="20"/>
              </w:rPr>
              <w:t>.00 Benefit: 75% = $412.50 85% = $467.50</w:t>
            </w:r>
          </w:p>
        </w:tc>
      </w:tr>
      <w:tr w:rsidR="007133C8" w:rsidRPr="005771DC" w14:paraId="0C6EF91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0C935D4D" w14:textId="33F687D4" w:rsidR="007133C8" w:rsidRPr="00DE762F" w:rsidRDefault="007133C8" w:rsidP="00190F01">
            <w:pPr>
              <w:tabs>
                <w:tab w:val="left" w:pos="6826"/>
              </w:tabs>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561C1">
              <w:rPr>
                <w:rFonts w:ascii="Arial Narrow" w:hAnsi="Arial Narrow"/>
                <w:sz w:val="20"/>
                <w:szCs w:val="20"/>
              </w:rPr>
              <w:t xml:space="preserve">6 – </w:t>
            </w:r>
            <w:r>
              <w:rPr>
                <w:rFonts w:ascii="Arial Narrow" w:hAnsi="Arial Narrow"/>
                <w:sz w:val="20"/>
                <w:szCs w:val="20"/>
              </w:rPr>
              <w:t xml:space="preserve">Pathology services </w:t>
            </w:r>
            <w:r>
              <w:rPr>
                <w:rFonts w:ascii="Arial Narrow" w:hAnsi="Arial Narrow"/>
                <w:sz w:val="20"/>
                <w:szCs w:val="20"/>
              </w:rPr>
              <w:tab/>
              <w:t>Group P7 Genetics</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4451CE3" w14:textId="2088913C" w:rsidR="00B109B7" w:rsidRPr="00DE762F" w:rsidRDefault="00B109B7" w:rsidP="00B109B7">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E6FF0">
              <w:rPr>
                <w:rFonts w:ascii="Arial Narrow" w:hAnsi="Arial Narrow"/>
                <w:sz w:val="20"/>
                <w:szCs w:val="20"/>
              </w:rPr>
              <w:t>BBBB</w:t>
            </w:r>
          </w:p>
          <w:p w14:paraId="662FDABC" w14:textId="03FE9071" w:rsidR="00B109B7" w:rsidRPr="00B109B7" w:rsidRDefault="00CC13C5" w:rsidP="00B109B7">
            <w:pPr>
              <w:spacing w:before="120" w:after="120" w:line="240" w:lineRule="auto"/>
              <w:rPr>
                <w:rFonts w:ascii="Arial Narrow" w:hAnsi="Arial Narrow"/>
                <w:sz w:val="20"/>
                <w:szCs w:val="20"/>
              </w:rPr>
            </w:pPr>
            <w:r>
              <w:rPr>
                <w:rFonts w:ascii="Arial Narrow" w:hAnsi="Arial Narrow"/>
                <w:sz w:val="20"/>
                <w:szCs w:val="20"/>
              </w:rPr>
              <w:t>Measurable</w:t>
            </w:r>
            <w:r w:rsidR="00B109B7" w:rsidRPr="00B109B7">
              <w:rPr>
                <w:rFonts w:ascii="Arial Narrow" w:hAnsi="Arial Narrow"/>
                <w:sz w:val="20"/>
                <w:szCs w:val="20"/>
              </w:rPr>
              <w:t xml:space="preserve"> residual disease testing by a </w:t>
            </w:r>
            <w:r w:rsidR="00C15CC7">
              <w:rPr>
                <w:rFonts w:ascii="Arial Narrow" w:hAnsi="Arial Narrow"/>
                <w:sz w:val="20"/>
                <w:szCs w:val="20"/>
              </w:rPr>
              <w:t xml:space="preserve">quantitative </w:t>
            </w:r>
            <w:r w:rsidR="00B109B7" w:rsidRPr="00B109B7">
              <w:rPr>
                <w:rFonts w:ascii="Arial Narrow" w:hAnsi="Arial Narrow"/>
                <w:sz w:val="20"/>
                <w:szCs w:val="20"/>
              </w:rPr>
              <w:t xml:space="preserve">molecular methodology </w:t>
            </w:r>
            <w:r w:rsidR="003061AF">
              <w:rPr>
                <w:rFonts w:ascii="Arial Narrow" w:hAnsi="Arial Narrow"/>
                <w:sz w:val="20"/>
                <w:szCs w:val="20"/>
              </w:rPr>
              <w:t>on bone marrow</w:t>
            </w:r>
            <w:r w:rsidR="003061AF" w:rsidRPr="00F561C1">
              <w:rPr>
                <w:rFonts w:ascii="Arial Narrow" w:hAnsi="Arial Narrow"/>
                <w:sz w:val="20"/>
                <w:szCs w:val="20"/>
              </w:rPr>
              <w:t xml:space="preserve"> </w:t>
            </w:r>
            <w:r w:rsidR="003061AF">
              <w:rPr>
                <w:rFonts w:ascii="Arial Narrow" w:hAnsi="Arial Narrow"/>
                <w:sz w:val="20"/>
                <w:szCs w:val="20"/>
              </w:rPr>
              <w:t xml:space="preserve">from a patient </w:t>
            </w:r>
            <w:r w:rsidR="00B109B7" w:rsidRPr="00B109B7">
              <w:rPr>
                <w:rFonts w:ascii="Arial Narrow" w:hAnsi="Arial Narrow"/>
                <w:sz w:val="20"/>
                <w:szCs w:val="20"/>
              </w:rPr>
              <w:t>diagnosed with acute lymphoblastic leukaemia (ALL) treated with combination chemotherapy or after salvage therapy</w:t>
            </w:r>
            <w:r w:rsidR="003061AF">
              <w:rPr>
                <w:rFonts w:ascii="Arial Narrow" w:hAnsi="Arial Narrow"/>
                <w:sz w:val="20"/>
                <w:szCs w:val="20"/>
              </w:rPr>
              <w:t>, requested by a</w:t>
            </w:r>
            <w:r w:rsidR="00F37D77">
              <w:rPr>
                <w:rFonts w:ascii="Arial Narrow" w:hAnsi="Arial Narrow"/>
                <w:sz w:val="20"/>
                <w:szCs w:val="20"/>
              </w:rPr>
              <w:t xml:space="preserve">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practising as a</w:t>
            </w:r>
            <w:r w:rsidR="003061AF">
              <w:rPr>
                <w:rFonts w:ascii="Arial Narrow" w:hAnsi="Arial Narrow"/>
                <w:sz w:val="20"/>
                <w:szCs w:val="20"/>
              </w:rPr>
              <w:t xml:space="preserve"> haematologist or oncologist</w:t>
            </w:r>
            <w:r w:rsidR="00F37D77">
              <w:rPr>
                <w:rFonts w:ascii="Arial Narrow" w:hAnsi="Arial Narrow"/>
                <w:sz w:val="20"/>
                <w:szCs w:val="20"/>
              </w:rPr>
              <w:t xml:space="preserve"> other than a service to which item CCCC, DDDD or EEEE applies.</w:t>
            </w:r>
          </w:p>
          <w:p w14:paraId="6417769A" w14:textId="47E57C9E" w:rsidR="00375746" w:rsidRDefault="00375746" w:rsidP="00375746">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027075">
              <w:rPr>
                <w:rFonts w:ascii="Arial Narrow" w:hAnsi="Arial Narrow"/>
                <w:sz w:val="20"/>
                <w:szCs w:val="20"/>
              </w:rPr>
              <w:t>course</w:t>
            </w:r>
            <w:r>
              <w:rPr>
                <w:rFonts w:ascii="Arial Narrow" w:hAnsi="Arial Narrow"/>
                <w:sz w:val="20"/>
                <w:szCs w:val="20"/>
              </w:rPr>
              <w:t xml:space="preserve"> of </w:t>
            </w:r>
            <w:r w:rsidRPr="005A018C">
              <w:rPr>
                <w:rFonts w:ascii="Arial Narrow" w:hAnsi="Arial Narrow"/>
                <w:sz w:val="20"/>
                <w:szCs w:val="20"/>
              </w:rPr>
              <w:t xml:space="preserve">disease for </w:t>
            </w:r>
            <w:r w:rsidR="00613492" w:rsidRPr="005A018C">
              <w:rPr>
                <w:rFonts w:ascii="Arial Narrow" w:hAnsi="Arial Narrow"/>
                <w:sz w:val="20"/>
                <w:szCs w:val="20"/>
              </w:rPr>
              <w:t>AAAA</w:t>
            </w:r>
            <w:r w:rsidR="00613492">
              <w:rPr>
                <w:rFonts w:ascii="Arial Narrow" w:hAnsi="Arial Narrow"/>
                <w:sz w:val="20"/>
                <w:szCs w:val="20"/>
              </w:rPr>
              <w:t>,</w:t>
            </w:r>
            <w:r w:rsidR="00613492" w:rsidRPr="005A018C">
              <w:rPr>
                <w:rFonts w:ascii="Arial Narrow" w:hAnsi="Arial Narrow"/>
                <w:sz w:val="20"/>
                <w:szCs w:val="20"/>
              </w:rPr>
              <w:t xml:space="preserve"> BBBB</w:t>
            </w:r>
            <w:r w:rsidR="00613492">
              <w:rPr>
                <w:rFonts w:ascii="Arial Narrow" w:hAnsi="Arial Narrow"/>
                <w:sz w:val="20"/>
                <w:szCs w:val="20"/>
              </w:rPr>
              <w:t xml:space="preserve">, </w:t>
            </w:r>
            <w:r w:rsidR="00F37D77">
              <w:rPr>
                <w:rFonts w:ascii="Arial Narrow" w:hAnsi="Arial Narrow"/>
                <w:sz w:val="20"/>
                <w:szCs w:val="20"/>
              </w:rPr>
              <w:t xml:space="preserve">CCCC, </w:t>
            </w:r>
            <w:r w:rsidR="00613492">
              <w:rPr>
                <w:rFonts w:ascii="Arial Narrow" w:hAnsi="Arial Narrow"/>
                <w:sz w:val="20"/>
                <w:szCs w:val="20"/>
              </w:rPr>
              <w:t>DDDD, and EEEE</w:t>
            </w:r>
            <w:r w:rsidR="00613492" w:rsidRPr="005A018C">
              <w:rPr>
                <w:rFonts w:ascii="Arial Narrow" w:hAnsi="Arial Narrow"/>
                <w:sz w:val="20"/>
                <w:szCs w:val="20"/>
              </w:rPr>
              <w:t xml:space="preserve"> combined</w:t>
            </w:r>
          </w:p>
          <w:p w14:paraId="56A2DE20" w14:textId="5096BC7B" w:rsidR="00D2670B" w:rsidRPr="00DE762F" w:rsidRDefault="005618D0">
            <w:pPr>
              <w:spacing w:before="120" w:after="120" w:line="240" w:lineRule="auto"/>
              <w:rPr>
                <w:rFonts w:ascii="Arial Narrow" w:hAnsi="Arial Narrow"/>
                <w:sz w:val="20"/>
                <w:szCs w:val="20"/>
              </w:rPr>
            </w:pPr>
            <w:r>
              <w:rPr>
                <w:rFonts w:ascii="Arial Narrow" w:hAnsi="Arial Narrow"/>
                <w:sz w:val="20"/>
                <w:szCs w:val="20"/>
              </w:rPr>
              <w:t xml:space="preserve">Fee: </w:t>
            </w:r>
            <w:r w:rsidR="00B109B7" w:rsidRPr="00B109B7">
              <w:rPr>
                <w:rFonts w:ascii="Arial Narrow" w:hAnsi="Arial Narrow"/>
                <w:sz w:val="20"/>
                <w:szCs w:val="20"/>
              </w:rPr>
              <w:t>$1</w:t>
            </w:r>
            <w:r>
              <w:rPr>
                <w:rFonts w:ascii="Arial Narrow" w:hAnsi="Arial Narrow"/>
                <w:sz w:val="20"/>
                <w:szCs w:val="20"/>
              </w:rPr>
              <w:t>,</w:t>
            </w:r>
            <w:r w:rsidR="003061AF">
              <w:rPr>
                <w:rFonts w:ascii="Arial Narrow" w:hAnsi="Arial Narrow"/>
                <w:sz w:val="20"/>
                <w:szCs w:val="20"/>
              </w:rPr>
              <w:t>5</w:t>
            </w:r>
            <w:r w:rsidR="00671873">
              <w:rPr>
                <w:rFonts w:ascii="Arial Narrow" w:hAnsi="Arial Narrow"/>
                <w:sz w:val="20"/>
                <w:szCs w:val="20"/>
              </w:rPr>
              <w:t>5</w:t>
            </w:r>
            <w:r w:rsidR="003061AF" w:rsidRPr="00B109B7">
              <w:rPr>
                <w:rFonts w:ascii="Arial Narrow" w:hAnsi="Arial Narrow"/>
                <w:sz w:val="20"/>
                <w:szCs w:val="20"/>
              </w:rPr>
              <w:t>0</w:t>
            </w:r>
            <w:r>
              <w:rPr>
                <w:rFonts w:ascii="Arial Narrow" w:hAnsi="Arial Narrow"/>
                <w:sz w:val="20"/>
                <w:szCs w:val="20"/>
              </w:rPr>
              <w:t>.00  Benefit: 75% = $</w:t>
            </w:r>
            <w:r w:rsidR="00685472">
              <w:rPr>
                <w:rFonts w:ascii="Arial Narrow" w:hAnsi="Arial Narrow"/>
                <w:sz w:val="20"/>
                <w:szCs w:val="20"/>
              </w:rPr>
              <w:t>1,162.50  85% = $1,462.10*</w:t>
            </w:r>
          </w:p>
        </w:tc>
      </w:tr>
      <w:tr w:rsidR="003061AF" w:rsidRPr="005771DC" w14:paraId="692B1787"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6460FFD" w14:textId="77777777" w:rsidR="003061AF" w:rsidRDefault="003061AF" w:rsidP="00B109B7">
            <w:pPr>
              <w:spacing w:before="120" w:after="120" w:line="240" w:lineRule="auto"/>
              <w:rPr>
                <w:rFonts w:ascii="Arial Narrow" w:hAnsi="Arial Narrow"/>
                <w:sz w:val="20"/>
                <w:szCs w:val="20"/>
              </w:rPr>
            </w:pPr>
            <w:r>
              <w:rPr>
                <w:rFonts w:ascii="Arial Narrow" w:hAnsi="Arial Narrow"/>
                <w:sz w:val="20"/>
                <w:szCs w:val="20"/>
              </w:rPr>
              <w:t>MBS item CCCC</w:t>
            </w:r>
          </w:p>
          <w:p w14:paraId="19B25F3A" w14:textId="58EA4E4D" w:rsidR="003061AF" w:rsidRDefault="00CA67E7" w:rsidP="00B109B7">
            <w:pPr>
              <w:spacing w:before="120" w:after="120" w:line="240" w:lineRule="auto"/>
              <w:rPr>
                <w:rFonts w:ascii="Arial Narrow" w:hAnsi="Arial Narrow"/>
                <w:sz w:val="20"/>
                <w:szCs w:val="20"/>
              </w:rPr>
            </w:pPr>
            <w:r>
              <w:rPr>
                <w:rFonts w:ascii="Arial Narrow" w:hAnsi="Arial Narrow"/>
                <w:sz w:val="20"/>
                <w:szCs w:val="20"/>
              </w:rPr>
              <w:t xml:space="preserve">Development of a patient-specific </w:t>
            </w:r>
            <w:r w:rsidR="00887BAC">
              <w:rPr>
                <w:rFonts w:ascii="Arial Narrow" w:hAnsi="Arial Narrow"/>
                <w:sz w:val="20"/>
                <w:szCs w:val="20"/>
              </w:rPr>
              <w:t xml:space="preserve">quantitative </w:t>
            </w:r>
            <w:r>
              <w:rPr>
                <w:rFonts w:ascii="Arial Narrow" w:hAnsi="Arial Narrow"/>
                <w:sz w:val="20"/>
                <w:szCs w:val="20"/>
              </w:rPr>
              <w:t>assay</w:t>
            </w:r>
            <w:r w:rsidR="00887BAC">
              <w:rPr>
                <w:rFonts w:ascii="Arial Narrow" w:hAnsi="Arial Narrow"/>
                <w:sz w:val="20"/>
                <w:szCs w:val="20"/>
              </w:rPr>
              <w:t xml:space="preserve"> for measurable residual disease</w:t>
            </w:r>
            <w:r w:rsidR="00C504E0">
              <w:rPr>
                <w:rFonts w:ascii="Arial Narrow" w:hAnsi="Arial Narrow"/>
                <w:sz w:val="20"/>
                <w:szCs w:val="20"/>
              </w:rPr>
              <w:t xml:space="preserve"> (MRD)</w:t>
            </w:r>
            <w:r>
              <w:rPr>
                <w:rFonts w:ascii="Arial Narrow" w:hAnsi="Arial Narrow"/>
                <w:sz w:val="20"/>
                <w:szCs w:val="20"/>
              </w:rPr>
              <w:t xml:space="preserve"> based on </w:t>
            </w:r>
            <w:r w:rsidR="00C33836">
              <w:rPr>
                <w:rFonts w:ascii="Arial Narrow" w:hAnsi="Arial Narrow"/>
                <w:sz w:val="20"/>
                <w:szCs w:val="20"/>
              </w:rPr>
              <w:t xml:space="preserve">the </w:t>
            </w:r>
            <w:r w:rsidR="000F3364">
              <w:rPr>
                <w:rFonts w:ascii="Arial Narrow" w:hAnsi="Arial Narrow"/>
                <w:sz w:val="20"/>
                <w:szCs w:val="20"/>
              </w:rPr>
              <w:t xml:space="preserve">diagnostic </w:t>
            </w:r>
            <w:r>
              <w:rPr>
                <w:rFonts w:ascii="Arial Narrow" w:hAnsi="Arial Narrow"/>
                <w:sz w:val="20"/>
                <w:szCs w:val="20"/>
              </w:rPr>
              <w:t xml:space="preserve">bone marrow </w:t>
            </w:r>
            <w:r w:rsidR="000F3364">
              <w:rPr>
                <w:rFonts w:ascii="Arial Narrow" w:hAnsi="Arial Narrow"/>
                <w:sz w:val="20"/>
                <w:szCs w:val="20"/>
              </w:rPr>
              <w:t xml:space="preserve">specimen </w:t>
            </w:r>
            <w:r>
              <w:rPr>
                <w:rFonts w:ascii="Arial Narrow" w:hAnsi="Arial Narrow"/>
                <w:sz w:val="20"/>
                <w:szCs w:val="20"/>
              </w:rPr>
              <w:t>from a patient diagnosed with acute lymphoblastic leukaemia</w:t>
            </w:r>
            <w:r w:rsidR="00F37D77">
              <w:rPr>
                <w:rFonts w:ascii="Arial Narrow" w:hAnsi="Arial Narrow"/>
                <w:sz w:val="20"/>
                <w:szCs w:val="20"/>
              </w:rPr>
              <w:t xml:space="preserve"> (ALL) </w:t>
            </w:r>
            <w:r w:rsidR="00F37D77" w:rsidRPr="00B109B7">
              <w:rPr>
                <w:rFonts w:ascii="Arial Narrow" w:hAnsi="Arial Narrow"/>
                <w:sz w:val="20"/>
                <w:szCs w:val="20"/>
              </w:rPr>
              <w:t>treated with combination chemotherapy or after salvage therapy</w:t>
            </w:r>
            <w:r>
              <w:rPr>
                <w:rFonts w:ascii="Arial Narrow" w:hAnsi="Arial Narrow"/>
                <w:sz w:val="20"/>
                <w:szCs w:val="20"/>
              </w:rPr>
              <w:t>, req</w:t>
            </w:r>
            <w:r w:rsidR="00D702AE">
              <w:rPr>
                <w:rFonts w:ascii="Arial Narrow" w:hAnsi="Arial Narrow"/>
                <w:sz w:val="20"/>
                <w:szCs w:val="20"/>
              </w:rPr>
              <w:t xml:space="preserve">uested </w:t>
            </w:r>
            <w:r>
              <w:rPr>
                <w:rFonts w:ascii="Arial Narrow" w:hAnsi="Arial Narrow"/>
                <w:sz w:val="20"/>
                <w:szCs w:val="20"/>
              </w:rPr>
              <w:t>by a</w:t>
            </w:r>
            <w:r w:rsidR="00F37D77">
              <w:rPr>
                <w:rFonts w:ascii="Arial Narrow" w:hAnsi="Arial Narrow"/>
                <w:sz w:val="20"/>
                <w:szCs w:val="20"/>
              </w:rPr>
              <w:t xml:space="preserve">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practising as a</w:t>
            </w:r>
            <w:r>
              <w:rPr>
                <w:rFonts w:ascii="Arial Narrow" w:hAnsi="Arial Narrow"/>
                <w:sz w:val="20"/>
                <w:szCs w:val="20"/>
              </w:rPr>
              <w:t xml:space="preserve"> haematologist or oncologist</w:t>
            </w:r>
            <w:r w:rsidR="00D702AE">
              <w:rPr>
                <w:rFonts w:ascii="Arial Narrow" w:hAnsi="Arial Narrow"/>
                <w:sz w:val="20"/>
                <w:szCs w:val="20"/>
              </w:rPr>
              <w:t xml:space="preserve">, </w:t>
            </w:r>
            <w:r w:rsidR="00D62828">
              <w:rPr>
                <w:rFonts w:ascii="Arial Narrow" w:hAnsi="Arial Narrow"/>
                <w:sz w:val="20"/>
                <w:szCs w:val="20"/>
              </w:rPr>
              <w:t>a</w:t>
            </w:r>
            <w:r w:rsidR="00F37D77">
              <w:rPr>
                <w:rFonts w:ascii="Arial Narrow" w:hAnsi="Arial Narrow"/>
                <w:sz w:val="20"/>
                <w:szCs w:val="20"/>
              </w:rPr>
              <w:t>nd</w:t>
            </w:r>
            <w:r w:rsidR="000F3364">
              <w:rPr>
                <w:rFonts w:ascii="Arial Narrow" w:hAnsi="Arial Narrow"/>
                <w:sz w:val="20"/>
                <w:szCs w:val="20"/>
              </w:rPr>
              <w:t xml:space="preserve"> use on the first MRD specimen for</w:t>
            </w:r>
            <w:r w:rsidR="00F37D77">
              <w:rPr>
                <w:rFonts w:ascii="Arial Narrow" w:hAnsi="Arial Narrow"/>
                <w:sz w:val="20"/>
                <w:szCs w:val="20"/>
              </w:rPr>
              <w:t xml:space="preserve"> </w:t>
            </w:r>
            <w:r w:rsidR="000F3364">
              <w:rPr>
                <w:rFonts w:ascii="Arial Narrow" w:hAnsi="Arial Narrow"/>
                <w:sz w:val="20"/>
                <w:szCs w:val="20"/>
              </w:rPr>
              <w:t>one</w:t>
            </w:r>
            <w:r w:rsidR="00F37D77">
              <w:rPr>
                <w:rFonts w:ascii="Arial Narrow" w:hAnsi="Arial Narrow"/>
                <w:sz w:val="20"/>
                <w:szCs w:val="20"/>
              </w:rPr>
              <w:t xml:space="preserve"> test described in item DDDD.</w:t>
            </w:r>
          </w:p>
          <w:p w14:paraId="3B195B9D" w14:textId="66E497DD" w:rsidR="00CA67E7" w:rsidRDefault="00CA67E7" w:rsidP="00B109B7">
            <w:pPr>
              <w:spacing w:before="120" w:after="120" w:line="240" w:lineRule="auto"/>
              <w:rPr>
                <w:rFonts w:ascii="Arial Narrow" w:hAnsi="Arial Narrow"/>
                <w:sz w:val="20"/>
                <w:szCs w:val="20"/>
              </w:rPr>
            </w:pPr>
            <w:r>
              <w:rPr>
                <w:rFonts w:ascii="Arial Narrow" w:hAnsi="Arial Narrow"/>
                <w:sz w:val="20"/>
                <w:szCs w:val="20"/>
              </w:rPr>
              <w:t xml:space="preserve">Applicable not more than once per patient per </w:t>
            </w:r>
            <w:r w:rsidR="00027075">
              <w:rPr>
                <w:rFonts w:ascii="Arial Narrow" w:hAnsi="Arial Narrow"/>
                <w:sz w:val="20"/>
                <w:szCs w:val="20"/>
              </w:rPr>
              <w:t>course of disease</w:t>
            </w:r>
          </w:p>
          <w:p w14:paraId="7C30BD41" w14:textId="77777777" w:rsidR="00F37D77" w:rsidRDefault="00F37D77" w:rsidP="00F37D77">
            <w:pPr>
              <w:spacing w:before="120" w:after="120" w:line="240" w:lineRule="auto"/>
              <w:rPr>
                <w:rFonts w:ascii="Arial Narrow" w:hAnsi="Arial Narrow"/>
                <w:sz w:val="20"/>
                <w:szCs w:val="20"/>
              </w:rPr>
            </w:pPr>
            <w:r>
              <w:rPr>
                <w:rFonts w:ascii="Arial Narrow" w:hAnsi="Arial Narrow"/>
                <w:sz w:val="20"/>
                <w:szCs w:val="20"/>
              </w:rPr>
              <w:t xml:space="preserve">Maximum of 12 per course of </w:t>
            </w:r>
            <w:r w:rsidRPr="005A018C">
              <w:rPr>
                <w:rFonts w:ascii="Arial Narrow" w:hAnsi="Arial Narrow"/>
                <w:sz w:val="20"/>
                <w:szCs w:val="20"/>
              </w:rPr>
              <w:t>disease for AAAA</w:t>
            </w:r>
            <w:r>
              <w:rPr>
                <w:rFonts w:ascii="Arial Narrow" w:hAnsi="Arial Narrow"/>
                <w:sz w:val="20"/>
                <w:szCs w:val="20"/>
              </w:rPr>
              <w:t>,</w:t>
            </w:r>
            <w:r w:rsidRPr="005A018C">
              <w:rPr>
                <w:rFonts w:ascii="Arial Narrow" w:hAnsi="Arial Narrow"/>
                <w:sz w:val="20"/>
                <w:szCs w:val="20"/>
              </w:rPr>
              <w:t xml:space="preserve"> BBBB</w:t>
            </w:r>
            <w:r>
              <w:rPr>
                <w:rFonts w:ascii="Arial Narrow" w:hAnsi="Arial Narrow"/>
                <w:sz w:val="20"/>
                <w:szCs w:val="20"/>
              </w:rPr>
              <w:t>, CCCC, DDDD, and EEEE</w:t>
            </w:r>
            <w:r w:rsidRPr="005A018C">
              <w:rPr>
                <w:rFonts w:ascii="Arial Narrow" w:hAnsi="Arial Narrow"/>
                <w:sz w:val="20"/>
                <w:szCs w:val="20"/>
              </w:rPr>
              <w:t xml:space="preserve"> combined</w:t>
            </w:r>
          </w:p>
          <w:p w14:paraId="23E37C7A" w14:textId="7A915C76" w:rsidR="00CA67E7" w:rsidRPr="00DE762F" w:rsidRDefault="00CA67E7" w:rsidP="00364CEA">
            <w:pPr>
              <w:spacing w:before="120" w:after="120" w:line="240" w:lineRule="auto"/>
              <w:rPr>
                <w:rFonts w:ascii="Arial Narrow" w:hAnsi="Arial Narrow"/>
                <w:sz w:val="20"/>
                <w:szCs w:val="20"/>
              </w:rPr>
            </w:pPr>
            <w:r>
              <w:rPr>
                <w:rFonts w:ascii="Arial Narrow" w:hAnsi="Arial Narrow"/>
                <w:sz w:val="20"/>
                <w:szCs w:val="20"/>
              </w:rPr>
              <w:t xml:space="preserve">Fee: </w:t>
            </w:r>
            <w:r w:rsidR="00D702AE">
              <w:rPr>
                <w:rFonts w:ascii="Arial Narrow" w:hAnsi="Arial Narrow"/>
                <w:sz w:val="20"/>
                <w:szCs w:val="20"/>
              </w:rPr>
              <w:t>$</w:t>
            </w:r>
            <w:r w:rsidR="00F37D77">
              <w:rPr>
                <w:rFonts w:ascii="Arial Narrow" w:hAnsi="Arial Narrow"/>
                <w:sz w:val="20"/>
                <w:szCs w:val="20"/>
              </w:rPr>
              <w:t>3</w:t>
            </w:r>
            <w:r w:rsidR="00D702AE">
              <w:rPr>
                <w:rFonts w:ascii="Arial Narrow" w:hAnsi="Arial Narrow"/>
                <w:sz w:val="20"/>
                <w:szCs w:val="20"/>
              </w:rPr>
              <w:t>,</w:t>
            </w:r>
            <w:r w:rsidR="00F37D77">
              <w:rPr>
                <w:rFonts w:ascii="Arial Narrow" w:hAnsi="Arial Narrow"/>
                <w:sz w:val="20"/>
                <w:szCs w:val="20"/>
              </w:rPr>
              <w:t>0</w:t>
            </w:r>
            <w:r w:rsidR="00D702AE">
              <w:rPr>
                <w:rFonts w:ascii="Arial Narrow" w:hAnsi="Arial Narrow"/>
                <w:sz w:val="20"/>
                <w:szCs w:val="20"/>
              </w:rPr>
              <w:t>00.00  Benefit: 75% = $</w:t>
            </w:r>
            <w:r w:rsidR="00F37D77">
              <w:rPr>
                <w:rFonts w:ascii="Arial Narrow" w:hAnsi="Arial Narrow"/>
                <w:sz w:val="20"/>
                <w:szCs w:val="20"/>
              </w:rPr>
              <w:t>2</w:t>
            </w:r>
            <w:r w:rsidR="00D702AE">
              <w:rPr>
                <w:rFonts w:ascii="Arial Narrow" w:hAnsi="Arial Narrow"/>
                <w:sz w:val="20"/>
                <w:szCs w:val="20"/>
              </w:rPr>
              <w:t>,</w:t>
            </w:r>
            <w:r w:rsidR="00F37D77">
              <w:rPr>
                <w:rFonts w:ascii="Arial Narrow" w:hAnsi="Arial Narrow"/>
                <w:sz w:val="20"/>
                <w:szCs w:val="20"/>
              </w:rPr>
              <w:t>2</w:t>
            </w:r>
            <w:r w:rsidR="00D702AE">
              <w:rPr>
                <w:rFonts w:ascii="Arial Narrow" w:hAnsi="Arial Narrow"/>
                <w:sz w:val="20"/>
                <w:szCs w:val="20"/>
              </w:rPr>
              <w:t>50.00  85% = $</w:t>
            </w:r>
            <w:r w:rsidR="00685472">
              <w:rPr>
                <w:rFonts w:ascii="Arial Narrow" w:hAnsi="Arial Narrow"/>
                <w:sz w:val="20"/>
                <w:szCs w:val="20"/>
              </w:rPr>
              <w:t>2,</w:t>
            </w:r>
            <w:r w:rsidR="00F37D77">
              <w:rPr>
                <w:rFonts w:ascii="Arial Narrow" w:hAnsi="Arial Narrow"/>
                <w:sz w:val="20"/>
                <w:szCs w:val="20"/>
              </w:rPr>
              <w:t>912</w:t>
            </w:r>
            <w:r w:rsidR="00685472">
              <w:rPr>
                <w:rFonts w:ascii="Arial Narrow" w:hAnsi="Arial Narrow"/>
                <w:sz w:val="20"/>
                <w:szCs w:val="20"/>
              </w:rPr>
              <w:t>.10</w:t>
            </w:r>
            <w:r w:rsidR="00D702AE" w:rsidRPr="00190F01">
              <w:rPr>
                <w:rFonts w:ascii="Arial Narrow" w:hAnsi="Arial Narrow"/>
                <w:sz w:val="20"/>
                <w:szCs w:val="20"/>
              </w:rPr>
              <w:t>*</w:t>
            </w:r>
          </w:p>
        </w:tc>
      </w:tr>
      <w:tr w:rsidR="003061AF" w:rsidRPr="005771DC" w14:paraId="78FE3CBB"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6E7537A" w14:textId="7ABBF9F6" w:rsidR="00D702AE" w:rsidRDefault="00D702AE" w:rsidP="00D702AE">
            <w:pPr>
              <w:spacing w:before="120" w:after="120" w:line="240" w:lineRule="auto"/>
              <w:rPr>
                <w:rFonts w:ascii="Arial Narrow" w:hAnsi="Arial Narrow"/>
                <w:sz w:val="20"/>
                <w:szCs w:val="20"/>
              </w:rPr>
            </w:pPr>
            <w:r>
              <w:rPr>
                <w:rFonts w:ascii="Arial Narrow" w:hAnsi="Arial Narrow"/>
                <w:sz w:val="20"/>
                <w:szCs w:val="20"/>
              </w:rPr>
              <w:t>MBS item DDDD</w:t>
            </w:r>
          </w:p>
          <w:p w14:paraId="3FDB2391" w14:textId="4899EE44" w:rsidR="00D702AE" w:rsidRPr="00B109B7" w:rsidRDefault="00D702AE" w:rsidP="00D702AE">
            <w:pPr>
              <w:spacing w:before="120" w:after="120" w:line="240" w:lineRule="auto"/>
              <w:rPr>
                <w:rFonts w:ascii="Arial Narrow" w:hAnsi="Arial Narrow"/>
                <w:sz w:val="20"/>
                <w:szCs w:val="20"/>
              </w:rPr>
            </w:pPr>
            <w:r>
              <w:rPr>
                <w:rFonts w:ascii="Arial Narrow" w:hAnsi="Arial Narrow"/>
                <w:sz w:val="20"/>
                <w:szCs w:val="20"/>
              </w:rPr>
              <w:t>Measurable</w:t>
            </w:r>
            <w:r w:rsidRPr="00B109B7">
              <w:rPr>
                <w:rFonts w:ascii="Arial Narrow" w:hAnsi="Arial Narrow"/>
                <w:sz w:val="20"/>
                <w:szCs w:val="20"/>
              </w:rPr>
              <w:t xml:space="preserve"> residual disease testing by a </w:t>
            </w:r>
            <w:r w:rsidR="00887BAC">
              <w:rPr>
                <w:rFonts w:ascii="Arial Narrow" w:hAnsi="Arial Narrow"/>
                <w:sz w:val="20"/>
                <w:szCs w:val="20"/>
              </w:rPr>
              <w:t xml:space="preserve">quantitative </w:t>
            </w:r>
            <w:r>
              <w:rPr>
                <w:rFonts w:ascii="Arial Narrow" w:hAnsi="Arial Narrow"/>
                <w:sz w:val="20"/>
                <w:szCs w:val="20"/>
              </w:rPr>
              <w:t>patient-specific assay</w:t>
            </w:r>
            <w:r w:rsidRPr="00B109B7">
              <w:rPr>
                <w:rFonts w:ascii="Arial Narrow" w:hAnsi="Arial Narrow"/>
                <w:sz w:val="20"/>
                <w:szCs w:val="20"/>
              </w:rPr>
              <w:t xml:space="preserve"> </w:t>
            </w:r>
            <w:r>
              <w:rPr>
                <w:rFonts w:ascii="Arial Narrow" w:hAnsi="Arial Narrow"/>
                <w:sz w:val="20"/>
                <w:szCs w:val="20"/>
              </w:rPr>
              <w:t>on bone marrow</w:t>
            </w:r>
            <w:r w:rsidRPr="00F561C1">
              <w:rPr>
                <w:rFonts w:ascii="Arial Narrow" w:hAnsi="Arial Narrow"/>
                <w:sz w:val="20"/>
                <w:szCs w:val="20"/>
              </w:rPr>
              <w:t xml:space="preserve"> </w:t>
            </w:r>
            <w:r>
              <w:rPr>
                <w:rFonts w:ascii="Arial Narrow" w:hAnsi="Arial Narrow"/>
                <w:sz w:val="20"/>
                <w:szCs w:val="20"/>
              </w:rPr>
              <w:t xml:space="preserve">from a patient </w:t>
            </w:r>
            <w:r w:rsidRPr="00B109B7">
              <w:rPr>
                <w:rFonts w:ascii="Arial Narrow" w:hAnsi="Arial Narrow"/>
                <w:sz w:val="20"/>
                <w:szCs w:val="20"/>
              </w:rPr>
              <w:t>diagnosed with acute lymphoblastic leukaemia (ALL) treated with combination chemotherapy or after salvage therapy</w:t>
            </w:r>
            <w:r>
              <w:rPr>
                <w:rFonts w:ascii="Arial Narrow" w:hAnsi="Arial Narrow"/>
                <w:sz w:val="20"/>
                <w:szCs w:val="20"/>
              </w:rPr>
              <w:t xml:space="preserve">, requested by a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 xml:space="preserve">practising as a </w:t>
            </w:r>
            <w:r>
              <w:rPr>
                <w:rFonts w:ascii="Arial Narrow" w:hAnsi="Arial Narrow"/>
                <w:sz w:val="20"/>
                <w:szCs w:val="20"/>
              </w:rPr>
              <w:t>haematologist or oncologist</w:t>
            </w:r>
            <w:r w:rsidR="00F37D77">
              <w:rPr>
                <w:rFonts w:ascii="Arial Narrow" w:hAnsi="Arial Narrow"/>
                <w:sz w:val="20"/>
                <w:szCs w:val="20"/>
              </w:rPr>
              <w:t>.</w:t>
            </w:r>
          </w:p>
          <w:p w14:paraId="54F04871" w14:textId="16B358FB" w:rsidR="00D702AE" w:rsidRDefault="00D702AE" w:rsidP="00D702AE">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027075">
              <w:rPr>
                <w:rFonts w:ascii="Arial Narrow" w:hAnsi="Arial Narrow"/>
                <w:sz w:val="20"/>
                <w:szCs w:val="20"/>
              </w:rPr>
              <w:t>course</w:t>
            </w:r>
            <w:r>
              <w:rPr>
                <w:rFonts w:ascii="Arial Narrow" w:hAnsi="Arial Narrow"/>
                <w:sz w:val="20"/>
                <w:szCs w:val="20"/>
              </w:rPr>
              <w:t xml:space="preserve"> of </w:t>
            </w:r>
            <w:r w:rsidRPr="005A018C">
              <w:rPr>
                <w:rFonts w:ascii="Arial Narrow" w:hAnsi="Arial Narrow"/>
                <w:sz w:val="20"/>
                <w:szCs w:val="20"/>
              </w:rPr>
              <w:t>disease for AAAA</w:t>
            </w:r>
            <w:r>
              <w:rPr>
                <w:rFonts w:ascii="Arial Narrow" w:hAnsi="Arial Narrow"/>
                <w:sz w:val="20"/>
                <w:szCs w:val="20"/>
              </w:rPr>
              <w:t>,</w:t>
            </w:r>
            <w:r w:rsidRPr="005A018C">
              <w:rPr>
                <w:rFonts w:ascii="Arial Narrow" w:hAnsi="Arial Narrow"/>
                <w:sz w:val="20"/>
                <w:szCs w:val="20"/>
              </w:rPr>
              <w:t xml:space="preserve"> BBBB</w:t>
            </w:r>
            <w:r>
              <w:rPr>
                <w:rFonts w:ascii="Arial Narrow" w:hAnsi="Arial Narrow"/>
                <w:sz w:val="20"/>
                <w:szCs w:val="20"/>
              </w:rPr>
              <w:t>,</w:t>
            </w:r>
            <w:r w:rsidR="00F37D77">
              <w:rPr>
                <w:rFonts w:ascii="Arial Narrow" w:hAnsi="Arial Narrow"/>
                <w:sz w:val="20"/>
                <w:szCs w:val="20"/>
              </w:rPr>
              <w:t xml:space="preserve"> CCCC,</w:t>
            </w:r>
            <w:r>
              <w:rPr>
                <w:rFonts w:ascii="Arial Narrow" w:hAnsi="Arial Narrow"/>
                <w:sz w:val="20"/>
                <w:szCs w:val="20"/>
              </w:rPr>
              <w:t xml:space="preserve"> DDDD, </w:t>
            </w:r>
            <w:r w:rsidR="00613492">
              <w:rPr>
                <w:rFonts w:ascii="Arial Narrow" w:hAnsi="Arial Narrow"/>
                <w:sz w:val="20"/>
                <w:szCs w:val="20"/>
              </w:rPr>
              <w:t xml:space="preserve">and </w:t>
            </w:r>
            <w:r>
              <w:rPr>
                <w:rFonts w:ascii="Arial Narrow" w:hAnsi="Arial Narrow"/>
                <w:sz w:val="20"/>
                <w:szCs w:val="20"/>
              </w:rPr>
              <w:t>EEEE</w:t>
            </w:r>
            <w:r w:rsidRPr="005A018C">
              <w:rPr>
                <w:rFonts w:ascii="Arial Narrow" w:hAnsi="Arial Narrow"/>
                <w:sz w:val="20"/>
                <w:szCs w:val="20"/>
              </w:rPr>
              <w:t xml:space="preserve"> combined</w:t>
            </w:r>
          </w:p>
          <w:p w14:paraId="192D46B5" w14:textId="57434AFF" w:rsidR="003061AF" w:rsidRPr="00DE762F" w:rsidRDefault="00D702AE">
            <w:pPr>
              <w:spacing w:before="120" w:after="120" w:line="240" w:lineRule="auto"/>
              <w:rPr>
                <w:rFonts w:ascii="Arial Narrow" w:hAnsi="Arial Narrow"/>
                <w:sz w:val="20"/>
                <w:szCs w:val="20"/>
              </w:rPr>
            </w:pPr>
            <w:r>
              <w:rPr>
                <w:rFonts w:ascii="Arial Narrow" w:hAnsi="Arial Narrow"/>
                <w:sz w:val="20"/>
                <w:szCs w:val="20"/>
              </w:rPr>
              <w:t>Fee: $780.00  Benefit: 75% = $585.00  $85% = $6</w:t>
            </w:r>
            <w:r w:rsidR="00F37D77">
              <w:rPr>
                <w:rFonts w:ascii="Arial Narrow" w:hAnsi="Arial Narrow"/>
                <w:sz w:val="20"/>
                <w:szCs w:val="20"/>
              </w:rPr>
              <w:t>92</w:t>
            </w:r>
            <w:r>
              <w:rPr>
                <w:rFonts w:ascii="Arial Narrow" w:hAnsi="Arial Narrow"/>
                <w:sz w:val="20"/>
                <w:szCs w:val="20"/>
              </w:rPr>
              <w:t>.</w:t>
            </w:r>
            <w:r w:rsidR="00F37D77">
              <w:rPr>
                <w:rFonts w:ascii="Arial Narrow" w:hAnsi="Arial Narrow"/>
                <w:sz w:val="20"/>
                <w:szCs w:val="20"/>
              </w:rPr>
              <w:t>1</w:t>
            </w:r>
            <w:r>
              <w:rPr>
                <w:rFonts w:ascii="Arial Narrow" w:hAnsi="Arial Narrow"/>
                <w:sz w:val="20"/>
                <w:szCs w:val="20"/>
              </w:rPr>
              <w:t>0</w:t>
            </w:r>
            <w:r w:rsidR="00F37D77">
              <w:rPr>
                <w:rFonts w:ascii="Arial Narrow" w:hAnsi="Arial Narrow"/>
                <w:sz w:val="20"/>
                <w:szCs w:val="20"/>
              </w:rPr>
              <w:t>*</w:t>
            </w:r>
          </w:p>
        </w:tc>
      </w:tr>
    </w:tbl>
    <w:p w14:paraId="4C03E7B1" w14:textId="6E88E030" w:rsidR="00C77D25" w:rsidRPr="00A76FBB" w:rsidRDefault="00C77D25" w:rsidP="00B327D9">
      <w:pPr>
        <w:pStyle w:val="TableFooter"/>
      </w:pPr>
      <w:bookmarkStart w:id="23" w:name="_Ref95835254"/>
      <w:r w:rsidRPr="00A76FBB">
        <w:t xml:space="preserve">* </w:t>
      </w:r>
      <w:r w:rsidR="007C793D">
        <w:t>Updated to r</w:t>
      </w:r>
      <w:r w:rsidRPr="00A76FBB">
        <w:t xml:space="preserve">eflect Greatest Permissible Gap (GPG) as </w:t>
      </w:r>
      <w:proofErr w:type="gramStart"/>
      <w:r w:rsidRPr="00A76FBB">
        <w:t>at</w:t>
      </w:r>
      <w:proofErr w:type="gramEnd"/>
      <w:r w:rsidRPr="00A76FBB">
        <w:t xml:space="preserve"> 1 November 2021.</w:t>
      </w:r>
    </w:p>
    <w:p w14:paraId="48EFBEC9" w14:textId="48B1B02E" w:rsidR="003E6FF0" w:rsidRDefault="003E6FF0" w:rsidP="003E6FF0">
      <w:pPr>
        <w:pStyle w:val="Caption"/>
      </w:pPr>
      <w:bookmarkStart w:id="24" w:name="_Ref101355616"/>
      <w:r>
        <w:t xml:space="preserve">Table </w:t>
      </w:r>
      <w:r>
        <w:fldChar w:fldCharType="begin"/>
      </w:r>
      <w:r>
        <w:instrText xml:space="preserve"> SEQ Table \* ARABIC </w:instrText>
      </w:r>
      <w:r>
        <w:fldChar w:fldCharType="separate"/>
      </w:r>
      <w:r w:rsidR="00996BE8">
        <w:rPr>
          <w:noProof/>
        </w:rPr>
        <w:t>6</w:t>
      </w:r>
      <w:r>
        <w:fldChar w:fldCharType="end"/>
      </w:r>
      <w:bookmarkEnd w:id="23"/>
      <w:bookmarkEnd w:id="24"/>
      <w:r>
        <w:tab/>
        <w:t>MBS item proposed in application 1707</w:t>
      </w:r>
      <w:r w:rsidR="004408A9">
        <w:t>, reflecting</w:t>
      </w:r>
      <w:r>
        <w:t xml:space="preserve"> use of the </w:t>
      </w:r>
      <w:proofErr w:type="spellStart"/>
      <w:r>
        <w:t>clonoSEQ</w:t>
      </w:r>
      <w:proofErr w:type="spellEnd"/>
      <w:r>
        <w:t>® assay for MDR testing</w:t>
      </w:r>
      <w:r w:rsidR="00364CEA">
        <w:t>, after amendments suggested by the Department of Health and PASC</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E6FF0" w:rsidRPr="00D2670B" w14:paraId="600510A0" w14:textId="77777777" w:rsidTr="000A2B3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076FE43" w14:textId="787821C0" w:rsidR="003E6FF0" w:rsidRPr="00DE762F" w:rsidRDefault="003E6FF0" w:rsidP="00190F01">
            <w:pPr>
              <w:tabs>
                <w:tab w:val="left" w:pos="6810"/>
              </w:tabs>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561C1">
              <w:rPr>
                <w:rFonts w:ascii="Arial Narrow" w:hAnsi="Arial Narrow"/>
                <w:sz w:val="20"/>
                <w:szCs w:val="20"/>
              </w:rPr>
              <w:t xml:space="preserve">6 – </w:t>
            </w:r>
            <w:r>
              <w:rPr>
                <w:rFonts w:ascii="Arial Narrow" w:hAnsi="Arial Narrow"/>
                <w:sz w:val="20"/>
                <w:szCs w:val="20"/>
              </w:rPr>
              <w:t xml:space="preserve">Pathology services </w:t>
            </w:r>
            <w:r w:rsidR="007133C8">
              <w:rPr>
                <w:rFonts w:ascii="Arial Narrow" w:hAnsi="Arial Narrow"/>
                <w:sz w:val="20"/>
                <w:szCs w:val="20"/>
              </w:rPr>
              <w:tab/>
            </w:r>
            <w:r>
              <w:rPr>
                <w:rFonts w:ascii="Arial Narrow" w:hAnsi="Arial Narrow"/>
                <w:sz w:val="20"/>
                <w:szCs w:val="20"/>
              </w:rPr>
              <w:t>Group P7 Genetics</w:t>
            </w:r>
          </w:p>
        </w:tc>
      </w:tr>
      <w:tr w:rsidR="003E6FF0" w:rsidRPr="005771DC" w14:paraId="762AAA7E" w14:textId="77777777" w:rsidTr="000A2B36">
        <w:trPr>
          <w:cantSplit/>
          <w:tblHeader/>
        </w:trPr>
        <w:tc>
          <w:tcPr>
            <w:tcW w:w="9242" w:type="dxa"/>
            <w:tcBorders>
              <w:top w:val="single" w:sz="4" w:space="0" w:color="auto"/>
              <w:left w:val="single" w:sz="4" w:space="0" w:color="auto"/>
              <w:bottom w:val="single" w:sz="4" w:space="0" w:color="auto"/>
              <w:right w:val="single" w:sz="4" w:space="0" w:color="auto"/>
            </w:tcBorders>
          </w:tcPr>
          <w:p w14:paraId="3D5BC47C" w14:textId="33B3BCF6" w:rsidR="003E6FF0" w:rsidRPr="00DE762F" w:rsidRDefault="003E6FF0" w:rsidP="000A2B36">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613492">
              <w:rPr>
                <w:rFonts w:ascii="Arial Narrow" w:hAnsi="Arial Narrow"/>
                <w:sz w:val="20"/>
                <w:szCs w:val="20"/>
              </w:rPr>
              <w:t>EEEE</w:t>
            </w:r>
          </w:p>
          <w:p w14:paraId="37BFE960" w14:textId="3747F87F" w:rsidR="003E6FF0" w:rsidRDefault="003E6FF0" w:rsidP="000A2B36">
            <w:pPr>
              <w:spacing w:before="120" w:after="120" w:line="240" w:lineRule="auto"/>
              <w:rPr>
                <w:rFonts w:ascii="Arial Narrow" w:hAnsi="Arial Narrow"/>
                <w:sz w:val="20"/>
                <w:szCs w:val="20"/>
              </w:rPr>
            </w:pPr>
            <w:r w:rsidRPr="003E6FF0">
              <w:rPr>
                <w:rFonts w:ascii="Arial Narrow" w:hAnsi="Arial Narrow"/>
                <w:sz w:val="20"/>
                <w:szCs w:val="20"/>
              </w:rPr>
              <w:t xml:space="preserve">Identification and quantitation of rearranged B-cell receptor gene sequences (including </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[VDJ], </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[DJ], </w:t>
            </w:r>
            <w:proofErr w:type="spellStart"/>
            <w:r w:rsidRPr="003E6FF0">
              <w:rPr>
                <w:rFonts w:ascii="Arial Narrow" w:hAnsi="Arial Narrow"/>
                <w:sz w:val="20"/>
                <w:szCs w:val="20"/>
              </w:rPr>
              <w:t>IgK</w:t>
            </w:r>
            <w:proofErr w:type="spellEnd"/>
            <w:r w:rsidRPr="003E6FF0">
              <w:rPr>
                <w:rFonts w:ascii="Arial Narrow" w:hAnsi="Arial Narrow"/>
                <w:sz w:val="20"/>
                <w:szCs w:val="20"/>
              </w:rPr>
              <w:t xml:space="preserve">, </w:t>
            </w:r>
            <w:proofErr w:type="spellStart"/>
            <w:r w:rsidRPr="003E6FF0">
              <w:rPr>
                <w:rFonts w:ascii="Arial Narrow" w:hAnsi="Arial Narrow"/>
                <w:sz w:val="20"/>
                <w:szCs w:val="20"/>
              </w:rPr>
              <w:t>IgL</w:t>
            </w:r>
            <w:proofErr w:type="spellEnd"/>
            <w:r w:rsidRPr="003E6FF0">
              <w:rPr>
                <w:rFonts w:ascii="Arial Narrow" w:hAnsi="Arial Narrow"/>
                <w:sz w:val="20"/>
                <w:szCs w:val="20"/>
              </w:rPr>
              <w:t>, translocated BCL1/</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[J] and BCL2/</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[J] sequences), for the evaluation of measurable residual disease (MRD) using multiplex polymerase chain reaction (PCR) and massively parallel sequencing (also referred to as next generation sequencing) performed on DNA extracted from bone marrow from a patient diagnosed with acute lymphoblastic leukaemia, requested</w:t>
            </w:r>
            <w:r w:rsidR="009C1D3D">
              <w:rPr>
                <w:rFonts w:ascii="Arial Narrow" w:hAnsi="Arial Narrow"/>
                <w:sz w:val="20"/>
                <w:szCs w:val="20"/>
              </w:rPr>
              <w:t xml:space="preserve"> </w:t>
            </w:r>
            <w:r w:rsidR="00F37D77">
              <w:rPr>
                <w:rFonts w:ascii="Arial Narrow" w:hAnsi="Arial Narrow"/>
                <w:sz w:val="20"/>
                <w:szCs w:val="20"/>
              </w:rPr>
              <w:t xml:space="preserve">by a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 xml:space="preserve">practising as a </w:t>
            </w:r>
            <w:r w:rsidR="003061AF">
              <w:rPr>
                <w:rFonts w:ascii="Arial Narrow" w:hAnsi="Arial Narrow"/>
                <w:sz w:val="20"/>
                <w:szCs w:val="20"/>
              </w:rPr>
              <w:t>haematologist or oncologist</w:t>
            </w:r>
            <w:r w:rsidR="00F37D77">
              <w:rPr>
                <w:rFonts w:ascii="Arial Narrow" w:hAnsi="Arial Narrow"/>
                <w:sz w:val="20"/>
                <w:szCs w:val="20"/>
              </w:rPr>
              <w:t>.</w:t>
            </w:r>
          </w:p>
          <w:p w14:paraId="733BA8AA" w14:textId="7B5CCC63" w:rsidR="00BD0A82" w:rsidRDefault="00BD0A82" w:rsidP="000A2B36">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F37D77">
              <w:rPr>
                <w:rFonts w:ascii="Arial Narrow" w:hAnsi="Arial Narrow"/>
                <w:sz w:val="20"/>
                <w:szCs w:val="20"/>
              </w:rPr>
              <w:t xml:space="preserve">course </w:t>
            </w:r>
            <w:r>
              <w:rPr>
                <w:rFonts w:ascii="Arial Narrow" w:hAnsi="Arial Narrow"/>
                <w:sz w:val="20"/>
                <w:szCs w:val="20"/>
              </w:rPr>
              <w:t xml:space="preserve">of </w:t>
            </w:r>
            <w:r w:rsidRPr="005A018C">
              <w:rPr>
                <w:rFonts w:ascii="Arial Narrow" w:hAnsi="Arial Narrow"/>
                <w:sz w:val="20"/>
                <w:szCs w:val="20"/>
              </w:rPr>
              <w:t xml:space="preserve">disease </w:t>
            </w:r>
            <w:r w:rsidR="00F37D77" w:rsidRPr="005A018C">
              <w:rPr>
                <w:rFonts w:ascii="Arial Narrow" w:hAnsi="Arial Narrow"/>
                <w:sz w:val="20"/>
                <w:szCs w:val="20"/>
              </w:rPr>
              <w:t>for AAAA</w:t>
            </w:r>
            <w:r w:rsidR="00F37D77">
              <w:rPr>
                <w:rFonts w:ascii="Arial Narrow" w:hAnsi="Arial Narrow"/>
                <w:sz w:val="20"/>
                <w:szCs w:val="20"/>
              </w:rPr>
              <w:t>,</w:t>
            </w:r>
            <w:r w:rsidR="00F37D77" w:rsidRPr="005A018C">
              <w:rPr>
                <w:rFonts w:ascii="Arial Narrow" w:hAnsi="Arial Narrow"/>
                <w:sz w:val="20"/>
                <w:szCs w:val="20"/>
              </w:rPr>
              <w:t xml:space="preserve"> BBBB</w:t>
            </w:r>
            <w:r w:rsidR="00F37D77">
              <w:rPr>
                <w:rFonts w:ascii="Arial Narrow" w:hAnsi="Arial Narrow"/>
                <w:sz w:val="20"/>
                <w:szCs w:val="20"/>
              </w:rPr>
              <w:t>, CCCC, DDDD, and EEEE</w:t>
            </w:r>
            <w:r w:rsidR="00F37D77" w:rsidRPr="005A018C">
              <w:rPr>
                <w:rFonts w:ascii="Arial Narrow" w:hAnsi="Arial Narrow"/>
                <w:sz w:val="20"/>
                <w:szCs w:val="20"/>
              </w:rPr>
              <w:t xml:space="preserve"> combined</w:t>
            </w:r>
            <w:r w:rsidR="00F37D77">
              <w:rPr>
                <w:rFonts w:ascii="Arial Narrow" w:hAnsi="Arial Narrow"/>
                <w:sz w:val="20"/>
                <w:szCs w:val="20"/>
              </w:rPr>
              <w:t>.</w:t>
            </w:r>
          </w:p>
          <w:p w14:paraId="71055F6C" w14:textId="09A749B1" w:rsidR="003E6FF0" w:rsidRPr="00DE762F" w:rsidRDefault="003E6FF0" w:rsidP="000A2B36">
            <w:pPr>
              <w:spacing w:before="120" w:after="120" w:line="240" w:lineRule="auto"/>
              <w:rPr>
                <w:rFonts w:ascii="Arial Narrow" w:hAnsi="Arial Narrow"/>
                <w:sz w:val="20"/>
                <w:szCs w:val="20"/>
              </w:rPr>
            </w:pPr>
            <w:r w:rsidRPr="003E6FF0">
              <w:rPr>
                <w:rFonts w:ascii="Arial Narrow" w:hAnsi="Arial Narrow"/>
                <w:sz w:val="20"/>
                <w:szCs w:val="20"/>
              </w:rPr>
              <w:t>Fee: $2,100.00 Benefit: 75% = $1,575.00 85% = $</w:t>
            </w:r>
            <w:r w:rsidR="004408A9">
              <w:rPr>
                <w:rFonts w:ascii="Arial Narrow" w:hAnsi="Arial Narrow"/>
                <w:sz w:val="20"/>
                <w:szCs w:val="20"/>
              </w:rPr>
              <w:t>2,012.10*</w:t>
            </w:r>
          </w:p>
        </w:tc>
      </w:tr>
    </w:tbl>
    <w:p w14:paraId="35539572" w14:textId="0706CF62" w:rsidR="00B627D0" w:rsidRDefault="004408A9" w:rsidP="00B327D9">
      <w:pPr>
        <w:pStyle w:val="TableFooter"/>
      </w:pPr>
      <w:r w:rsidRPr="00A76FBB">
        <w:t xml:space="preserve">* </w:t>
      </w:r>
      <w:r w:rsidR="007C793D">
        <w:t>Updated to r</w:t>
      </w:r>
      <w:r w:rsidRPr="00A76FBB">
        <w:t>eflect G</w:t>
      </w:r>
      <w:r w:rsidR="007C793D">
        <w:t>P</w:t>
      </w:r>
      <w:r w:rsidRPr="00A76FBB">
        <w:t xml:space="preserve">G as </w:t>
      </w:r>
      <w:proofErr w:type="gramStart"/>
      <w:r w:rsidRPr="00A76FBB">
        <w:t>at</w:t>
      </w:r>
      <w:proofErr w:type="gramEnd"/>
      <w:r w:rsidRPr="00A76FBB">
        <w:t xml:space="preserve"> 1 November 2021.</w:t>
      </w:r>
    </w:p>
    <w:p w14:paraId="6E5A6C6A" w14:textId="25007D38" w:rsidR="00074667" w:rsidRDefault="00074667" w:rsidP="00074667">
      <w:pPr>
        <w:pStyle w:val="Heading3"/>
      </w:pPr>
      <w:r w:rsidRPr="00074667">
        <w:lastRenderedPageBreak/>
        <w:t>Proposed fees</w:t>
      </w:r>
    </w:p>
    <w:p w14:paraId="01CA5121" w14:textId="77777777" w:rsidR="00B23C48" w:rsidRDefault="00AF006F" w:rsidP="00B23C48">
      <w:pPr>
        <w:autoSpaceDE w:val="0"/>
        <w:autoSpaceDN w:val="0"/>
        <w:adjustRightInd w:val="0"/>
        <w:spacing w:line="23" w:lineRule="atLeast"/>
        <w:rPr>
          <w:rFonts w:asciiTheme="minorHAnsi" w:hAnsiTheme="minorHAnsi" w:cstheme="minorHAnsi"/>
          <w:i/>
          <w:iCs/>
        </w:rPr>
      </w:pPr>
      <w:r>
        <w:t xml:space="preserve">Application 1703 suggested that </w:t>
      </w:r>
      <w:proofErr w:type="spellStart"/>
      <w:r w:rsidR="008A69F5">
        <w:t>mpFC</w:t>
      </w:r>
      <w:proofErr w:type="spellEnd"/>
      <w:r w:rsidR="008A69F5">
        <w:t xml:space="preserve"> should have a fee of $550. </w:t>
      </w:r>
      <w:r w:rsidR="00B23C48">
        <w:rPr>
          <w:rFonts w:asciiTheme="minorHAnsi" w:hAnsiTheme="minorHAnsi" w:cstheme="minorHAnsi"/>
          <w:i/>
          <w:iCs/>
        </w:rPr>
        <w:t xml:space="preserve">PASC noted that Adaptive Biotechnologies were satisfied to proceed with the item and fee for flow cytology, as suggested by the RCPA, and amended by PASC. </w:t>
      </w:r>
    </w:p>
    <w:p w14:paraId="163036EE" w14:textId="77777777" w:rsidR="00B23C48" w:rsidRDefault="008A69F5" w:rsidP="00D06F99">
      <w:pPr>
        <w:autoSpaceDE w:val="0"/>
        <w:autoSpaceDN w:val="0"/>
        <w:adjustRightInd w:val="0"/>
        <w:spacing w:line="23" w:lineRule="atLeast"/>
      </w:pPr>
      <w:r>
        <w:t xml:space="preserve">Application 1703 suggested </w:t>
      </w:r>
      <w:r w:rsidR="00AF006F">
        <w:t xml:space="preserve">that molecular methods should have a fee of $1150, which </w:t>
      </w:r>
      <w:r w:rsidR="00B627D0">
        <w:t xml:space="preserve">is </w:t>
      </w:r>
      <w:r w:rsidR="00027CD4">
        <w:t xml:space="preserve">equivalent to what they suggested NGS methods would cost, lower than they suggested </w:t>
      </w:r>
      <w:r w:rsidR="00027CD4" w:rsidRPr="006B5B2E">
        <w:t>an initial</w:t>
      </w:r>
      <w:r w:rsidR="006B5B2E" w:rsidRPr="006B5B2E">
        <w:t xml:space="preserve"> allele-specific oligonucleotide</w:t>
      </w:r>
      <w:r w:rsidR="00027CD4" w:rsidRPr="006B5B2E">
        <w:t xml:space="preserve"> </w:t>
      </w:r>
      <w:r w:rsidR="006B5B2E" w:rsidRPr="006B5B2E">
        <w:t>(</w:t>
      </w:r>
      <w:r w:rsidR="00027CD4" w:rsidRPr="006B5B2E">
        <w:t>ASO</w:t>
      </w:r>
      <w:r w:rsidR="006B5B2E" w:rsidRPr="006B5B2E">
        <w:t>)</w:t>
      </w:r>
      <w:r w:rsidR="00027CD4" w:rsidRPr="006B5B2E">
        <w:t xml:space="preserve">-qPCR </w:t>
      </w:r>
      <w:r w:rsidR="00027CD4">
        <w:t>would be, and higher than subsequent ASO-qPCR testing would be (after the patient-specific assay has been developed).</w:t>
      </w:r>
      <w:r w:rsidR="00D06F99">
        <w:t xml:space="preserve"> </w:t>
      </w:r>
    </w:p>
    <w:p w14:paraId="531A321A" w14:textId="5117B965" w:rsidR="00D06F99" w:rsidRDefault="00D06F99" w:rsidP="00D06F99">
      <w:pPr>
        <w:autoSpaceDE w:val="0"/>
        <w:autoSpaceDN w:val="0"/>
        <w:adjustRightInd w:val="0"/>
        <w:spacing w:line="23" w:lineRule="atLeast"/>
      </w:pPr>
      <w:r>
        <w:rPr>
          <w:i/>
        </w:rPr>
        <w:t xml:space="preserve">The fee proposed reflected maximal batching of samples in a large state-based reference laboratory, which smaller laboratories are unlikely to achieve. The revised fee for use of NGS methods is therefore $1550. </w:t>
      </w:r>
    </w:p>
    <w:p w14:paraId="30351D43" w14:textId="610B96F6" w:rsidR="00D06F99" w:rsidRDefault="00D06F99" w:rsidP="00D06F99">
      <w:pPr>
        <w:autoSpaceDE w:val="0"/>
        <w:autoSpaceDN w:val="0"/>
        <w:adjustRightInd w:val="0"/>
        <w:spacing w:line="23" w:lineRule="atLeast"/>
        <w:rPr>
          <w:rFonts w:asciiTheme="minorHAnsi" w:hAnsiTheme="minorHAnsi" w:cstheme="minorHAnsi"/>
          <w:i/>
        </w:rPr>
      </w:pPr>
      <w:r>
        <w:rPr>
          <w:i/>
        </w:rPr>
        <w:t xml:space="preserve">The Department were concerned that the significant cost of developing the assay may be passed on to patients through out-of-pocket fees to patients, and asked PASC to consider if splitting of the item into three separate items may be more appropriate. </w:t>
      </w:r>
      <w:r w:rsidR="00A06575">
        <w:rPr>
          <w:i/>
        </w:rPr>
        <w:t xml:space="preserve">At the meeting, </w:t>
      </w:r>
      <w:r w:rsidR="00A06575">
        <w:rPr>
          <w:rFonts w:asciiTheme="minorHAnsi" w:hAnsiTheme="minorHAnsi" w:cstheme="minorHAnsi"/>
          <w:i/>
        </w:rPr>
        <w:t>t</w:t>
      </w:r>
      <w:r>
        <w:rPr>
          <w:rFonts w:asciiTheme="minorHAnsi" w:hAnsiTheme="minorHAnsi" w:cstheme="minorHAnsi"/>
          <w:i/>
        </w:rPr>
        <w:t>he RCPA were willing for the proposed item BBBB to be split into 3 separate item</w:t>
      </w:r>
      <w:r w:rsidR="00A06575">
        <w:rPr>
          <w:rFonts w:asciiTheme="minorHAnsi" w:hAnsiTheme="minorHAnsi" w:cstheme="minorHAnsi"/>
          <w:i/>
        </w:rPr>
        <w:t>s, to be further developed by the policy area of the Department</w:t>
      </w:r>
      <w:r>
        <w:rPr>
          <w:rFonts w:asciiTheme="minorHAnsi" w:hAnsiTheme="minorHAnsi" w:cstheme="minorHAnsi"/>
          <w:i/>
        </w:rPr>
        <w:t>:</w:t>
      </w:r>
    </w:p>
    <w:p w14:paraId="00B0597A" w14:textId="692FD2B9" w:rsidR="00D06F99" w:rsidRPr="00190F01" w:rsidRDefault="00D06F99" w:rsidP="00D06F99">
      <w:pPr>
        <w:pStyle w:val="ListParagraph"/>
        <w:numPr>
          <w:ilvl w:val="0"/>
          <w:numId w:val="14"/>
        </w:numPr>
        <w:spacing w:after="0" w:line="240" w:lineRule="auto"/>
        <w:rPr>
          <w:i/>
        </w:rPr>
      </w:pPr>
      <w:r w:rsidRPr="00190F01">
        <w:rPr>
          <w:i/>
        </w:rPr>
        <w:t>an item for NGS testing with a fee of $1,5</w:t>
      </w:r>
      <w:r>
        <w:rPr>
          <w:i/>
        </w:rPr>
        <w:t>5</w:t>
      </w:r>
      <w:r w:rsidRPr="00190F01">
        <w:rPr>
          <w:i/>
        </w:rPr>
        <w:t>0.00</w:t>
      </w:r>
    </w:p>
    <w:p w14:paraId="08655166" w14:textId="0003DDF2" w:rsidR="00D06F99" w:rsidRPr="00190F01" w:rsidRDefault="00D06F99" w:rsidP="00D06F99">
      <w:pPr>
        <w:pStyle w:val="ListParagraph"/>
        <w:numPr>
          <w:ilvl w:val="0"/>
          <w:numId w:val="14"/>
        </w:numPr>
        <w:spacing w:after="0" w:line="240" w:lineRule="auto"/>
        <w:rPr>
          <w:i/>
        </w:rPr>
      </w:pPr>
      <w:r w:rsidRPr="00190F01">
        <w:rPr>
          <w:i/>
        </w:rPr>
        <w:t xml:space="preserve">an item for the development of the patient specific assay </w:t>
      </w:r>
      <w:r w:rsidR="00A06575">
        <w:rPr>
          <w:i/>
        </w:rPr>
        <w:t xml:space="preserve">for qPCR and the first test using this assay </w:t>
      </w:r>
      <w:r w:rsidRPr="00190F01">
        <w:rPr>
          <w:i/>
        </w:rPr>
        <w:t>with a fee of $</w:t>
      </w:r>
      <w:r w:rsidR="00A06575">
        <w:rPr>
          <w:i/>
        </w:rPr>
        <w:t>3,000</w:t>
      </w:r>
      <w:r w:rsidRPr="00190F01">
        <w:rPr>
          <w:i/>
        </w:rPr>
        <w:t>.00</w:t>
      </w:r>
    </w:p>
    <w:p w14:paraId="31F072C0" w14:textId="2F663D9E" w:rsidR="00D06F99" w:rsidRPr="00190F01" w:rsidRDefault="00D06F99" w:rsidP="00D06F99">
      <w:pPr>
        <w:pStyle w:val="ListParagraph"/>
        <w:numPr>
          <w:ilvl w:val="0"/>
          <w:numId w:val="14"/>
        </w:numPr>
        <w:spacing w:after="0" w:line="240" w:lineRule="auto"/>
        <w:rPr>
          <w:i/>
        </w:rPr>
      </w:pPr>
      <w:r w:rsidRPr="00190F01">
        <w:rPr>
          <w:i/>
        </w:rPr>
        <w:t xml:space="preserve">an item for </w:t>
      </w:r>
      <w:r w:rsidR="00A06575">
        <w:rPr>
          <w:i/>
        </w:rPr>
        <w:t xml:space="preserve">subsequent </w:t>
      </w:r>
      <w:r w:rsidRPr="00190F01">
        <w:rPr>
          <w:i/>
        </w:rPr>
        <w:t xml:space="preserve">testing using the patient specific assay </w:t>
      </w:r>
      <w:r w:rsidR="00A06575">
        <w:rPr>
          <w:i/>
        </w:rPr>
        <w:t xml:space="preserve">for qPCR </w:t>
      </w:r>
      <w:r w:rsidRPr="00190F01">
        <w:rPr>
          <w:i/>
        </w:rPr>
        <w:t>with a fee of $780.00</w:t>
      </w:r>
      <w:r w:rsidR="005158FC">
        <w:rPr>
          <w:i/>
        </w:rPr>
        <w:t>.</w:t>
      </w:r>
    </w:p>
    <w:p w14:paraId="0848684A" w14:textId="77777777" w:rsidR="00C84791" w:rsidRDefault="00027CD4" w:rsidP="00DC1BEC">
      <w:pPr>
        <w:pStyle w:val="Instructionaltext-afterfiguretable"/>
        <w:rPr>
          <w:color w:val="auto"/>
        </w:rPr>
      </w:pPr>
      <w:r>
        <w:rPr>
          <w:color w:val="auto"/>
        </w:rPr>
        <w:t xml:space="preserve">Application 1707 </w:t>
      </w:r>
      <w:r w:rsidR="005367CB">
        <w:rPr>
          <w:color w:val="auto"/>
        </w:rPr>
        <w:t xml:space="preserve">proposed </w:t>
      </w:r>
      <w:r>
        <w:rPr>
          <w:color w:val="auto"/>
        </w:rPr>
        <w:t xml:space="preserve">that testing using the </w:t>
      </w:r>
      <w:proofErr w:type="spellStart"/>
      <w:r>
        <w:rPr>
          <w:color w:val="auto"/>
        </w:rPr>
        <w:t>clonoSEQ</w:t>
      </w:r>
      <w:proofErr w:type="spellEnd"/>
      <w:r>
        <w:rPr>
          <w:color w:val="auto"/>
        </w:rPr>
        <w:t>® assay should have a fee of $2100.</w:t>
      </w:r>
      <w:r w:rsidR="00926455">
        <w:rPr>
          <w:color w:val="auto"/>
        </w:rPr>
        <w:t xml:space="preserve"> </w:t>
      </w:r>
    </w:p>
    <w:p w14:paraId="70E32E0A" w14:textId="6DAC3565" w:rsidR="00FF1DB0" w:rsidRPr="00190F01" w:rsidRDefault="00C84791" w:rsidP="00190F01">
      <w:r>
        <w:rPr>
          <w:rFonts w:asciiTheme="minorHAnsi" w:hAnsiTheme="minorHAnsi" w:cstheme="minorHAnsi"/>
          <w:i/>
        </w:rPr>
        <w:t>Both the RCPA and Adaptive Biotechnologies expect that if the proposed MBS items are listed with the suggested fees, there will be no out-of-pocket costs for patients.</w:t>
      </w:r>
    </w:p>
    <w:p w14:paraId="4F83DA7C" w14:textId="6A536624" w:rsidR="00AF006F" w:rsidRDefault="00AF006F" w:rsidP="00AF006F">
      <w:pPr>
        <w:pStyle w:val="Caption"/>
      </w:pPr>
      <w:r>
        <w:t xml:space="preserve">Table </w:t>
      </w:r>
      <w:r>
        <w:fldChar w:fldCharType="begin"/>
      </w:r>
      <w:r>
        <w:instrText xml:space="preserve"> SEQ Table \* ARABIC </w:instrText>
      </w:r>
      <w:r>
        <w:fldChar w:fldCharType="separate"/>
      </w:r>
      <w:r w:rsidR="00633D54">
        <w:rPr>
          <w:noProof/>
        </w:rPr>
        <w:t>7</w:t>
      </w:r>
      <w:r>
        <w:fldChar w:fldCharType="end"/>
      </w:r>
      <w:r>
        <w:tab/>
        <w:t xml:space="preserve">Breakdown and overall cost of MDR methods </w:t>
      </w:r>
    </w:p>
    <w:tbl>
      <w:tblPr>
        <w:tblpPr w:leftFromText="180" w:rightFromText="180" w:vertAnchor="text" w:tblpY="1"/>
        <w:tblOverlap w:val="never"/>
        <w:tblW w:w="5000" w:type="pct"/>
        <w:tblCellMar>
          <w:left w:w="115" w:type="dxa"/>
          <w:right w:w="115" w:type="dxa"/>
        </w:tblCellMar>
        <w:tblLook w:val="01E0" w:firstRow="1" w:lastRow="1" w:firstColumn="1" w:lastColumn="1" w:noHBand="0" w:noVBand="0"/>
      </w:tblPr>
      <w:tblGrid>
        <w:gridCol w:w="2195"/>
        <w:gridCol w:w="918"/>
        <w:gridCol w:w="1702"/>
        <w:gridCol w:w="1930"/>
        <w:gridCol w:w="1417"/>
        <w:gridCol w:w="1409"/>
      </w:tblGrid>
      <w:tr w:rsidR="00D96FD7" w:rsidRPr="00490FBB" w14:paraId="46D6AE9B" w14:textId="26B68B89" w:rsidTr="00190F01">
        <w:trPr>
          <w:cantSplit/>
          <w:tblHeader/>
        </w:trPr>
        <w:tc>
          <w:tcPr>
            <w:tcW w:w="1147" w:type="pct"/>
            <w:tcBorders>
              <w:top w:val="single" w:sz="4" w:space="0" w:color="auto"/>
              <w:left w:val="single" w:sz="4" w:space="0" w:color="auto"/>
              <w:bottom w:val="single" w:sz="4" w:space="0" w:color="auto"/>
              <w:right w:val="single" w:sz="4" w:space="0" w:color="auto"/>
            </w:tcBorders>
          </w:tcPr>
          <w:p w14:paraId="0CB0250B" w14:textId="439231A5" w:rsidR="00D96FD7" w:rsidRPr="00490FBB" w:rsidRDefault="00D96FD7" w:rsidP="00D96FD7">
            <w:pPr>
              <w:pStyle w:val="TableHeading"/>
              <w:jc w:val="center"/>
            </w:pPr>
            <w:r>
              <w:t>Cost component</w:t>
            </w:r>
          </w:p>
        </w:tc>
        <w:tc>
          <w:tcPr>
            <w:tcW w:w="480" w:type="pct"/>
            <w:tcBorders>
              <w:top w:val="single" w:sz="4" w:space="0" w:color="auto"/>
              <w:left w:val="single" w:sz="4" w:space="0" w:color="auto"/>
              <w:bottom w:val="single" w:sz="4" w:space="0" w:color="auto"/>
              <w:right w:val="single" w:sz="4" w:space="0" w:color="auto"/>
            </w:tcBorders>
          </w:tcPr>
          <w:p w14:paraId="5C89DB1B" w14:textId="6CD76F2E" w:rsidR="00D96FD7" w:rsidRPr="00490FBB" w:rsidRDefault="00D96FD7" w:rsidP="00D96FD7">
            <w:pPr>
              <w:pStyle w:val="TableHeading"/>
              <w:jc w:val="center"/>
            </w:pPr>
            <w:proofErr w:type="spellStart"/>
            <w:r>
              <w:t>mpFC</w:t>
            </w:r>
            <w:proofErr w:type="spellEnd"/>
          </w:p>
        </w:tc>
        <w:tc>
          <w:tcPr>
            <w:tcW w:w="889" w:type="pct"/>
            <w:tcBorders>
              <w:top w:val="single" w:sz="4" w:space="0" w:color="auto"/>
              <w:left w:val="single" w:sz="4" w:space="0" w:color="auto"/>
              <w:bottom w:val="single" w:sz="4" w:space="0" w:color="auto"/>
              <w:right w:val="single" w:sz="4" w:space="0" w:color="auto"/>
            </w:tcBorders>
          </w:tcPr>
          <w:p w14:paraId="5F85D0FE" w14:textId="02895B0E" w:rsidR="00D96FD7" w:rsidRDefault="00AF006F" w:rsidP="00364CEA">
            <w:pPr>
              <w:pStyle w:val="TableHeading"/>
              <w:jc w:val="center"/>
            </w:pPr>
            <w:r>
              <w:t xml:space="preserve">ASO-qPCR </w:t>
            </w:r>
            <w:r w:rsidR="00027B73">
              <w:t xml:space="preserve">development of </w:t>
            </w:r>
            <w:r>
              <w:t xml:space="preserve">patient-specific assay </w:t>
            </w:r>
          </w:p>
        </w:tc>
        <w:tc>
          <w:tcPr>
            <w:tcW w:w="1008" w:type="pct"/>
            <w:tcBorders>
              <w:top w:val="single" w:sz="4" w:space="0" w:color="auto"/>
              <w:left w:val="single" w:sz="4" w:space="0" w:color="auto"/>
              <w:bottom w:val="single" w:sz="4" w:space="0" w:color="auto"/>
              <w:right w:val="single" w:sz="4" w:space="0" w:color="auto"/>
            </w:tcBorders>
          </w:tcPr>
          <w:p w14:paraId="2FA778EB" w14:textId="182AA5B3" w:rsidR="00D96FD7" w:rsidRPr="00490FBB" w:rsidRDefault="00AF006F" w:rsidP="00AF006F">
            <w:pPr>
              <w:pStyle w:val="TableHeading"/>
              <w:jc w:val="center"/>
            </w:pPr>
            <w:r>
              <w:t>ASO-qPCR Testing once patient-specific assay developed</w:t>
            </w:r>
            <w:r w:rsidR="00D96FD7">
              <w:t xml:space="preserve"> </w:t>
            </w:r>
          </w:p>
        </w:tc>
        <w:tc>
          <w:tcPr>
            <w:tcW w:w="740" w:type="pct"/>
            <w:tcBorders>
              <w:top w:val="single" w:sz="4" w:space="0" w:color="auto"/>
              <w:left w:val="single" w:sz="4" w:space="0" w:color="auto"/>
              <w:bottom w:val="single" w:sz="4" w:space="0" w:color="auto"/>
              <w:right w:val="single" w:sz="4" w:space="0" w:color="auto"/>
            </w:tcBorders>
          </w:tcPr>
          <w:p w14:paraId="2CD7D463" w14:textId="4C2C4C46" w:rsidR="00D96FD7" w:rsidRDefault="00D96FD7" w:rsidP="00D96FD7">
            <w:pPr>
              <w:pStyle w:val="TableHeading"/>
              <w:jc w:val="center"/>
            </w:pPr>
            <w:r>
              <w:t>NGS</w:t>
            </w:r>
          </w:p>
        </w:tc>
        <w:tc>
          <w:tcPr>
            <w:tcW w:w="736" w:type="pct"/>
            <w:tcBorders>
              <w:top w:val="single" w:sz="4" w:space="0" w:color="auto"/>
              <w:left w:val="single" w:sz="4" w:space="0" w:color="auto"/>
              <w:bottom w:val="single" w:sz="4" w:space="0" w:color="auto"/>
              <w:right w:val="single" w:sz="4" w:space="0" w:color="auto"/>
            </w:tcBorders>
          </w:tcPr>
          <w:p w14:paraId="4413D645" w14:textId="22605E91" w:rsidR="00D96FD7" w:rsidRDefault="00D96FD7" w:rsidP="00D96FD7">
            <w:pPr>
              <w:pStyle w:val="TableHeading"/>
              <w:jc w:val="center"/>
            </w:pPr>
            <w:proofErr w:type="spellStart"/>
            <w:r>
              <w:t>clonoSEQ</w:t>
            </w:r>
            <w:proofErr w:type="spellEnd"/>
            <w:r>
              <w:t>®</w:t>
            </w:r>
            <w:r w:rsidR="003B4AF2">
              <w:t xml:space="preserve"> </w:t>
            </w:r>
          </w:p>
        </w:tc>
      </w:tr>
      <w:tr w:rsidR="003B4AF2" w:rsidRPr="00490FBB" w14:paraId="2BD11543" w14:textId="480FE431" w:rsidTr="00190F01">
        <w:tc>
          <w:tcPr>
            <w:tcW w:w="1147" w:type="pct"/>
            <w:tcBorders>
              <w:top w:val="single" w:sz="4" w:space="0" w:color="auto"/>
              <w:left w:val="single" w:sz="4" w:space="0" w:color="auto"/>
              <w:bottom w:val="single" w:sz="4" w:space="0" w:color="auto"/>
              <w:right w:val="single" w:sz="4" w:space="0" w:color="auto"/>
            </w:tcBorders>
            <w:vAlign w:val="center"/>
          </w:tcPr>
          <w:p w14:paraId="40640E66" w14:textId="5FEF7142" w:rsidR="003B4AF2" w:rsidRPr="00490FBB" w:rsidRDefault="003B4AF2" w:rsidP="003B4AF2">
            <w:pPr>
              <w:pStyle w:val="Tabletext"/>
              <w:keepNext/>
            </w:pPr>
            <w:r>
              <w:t>Cell Processing and data capture / sample processing</w:t>
            </w:r>
          </w:p>
        </w:tc>
        <w:tc>
          <w:tcPr>
            <w:tcW w:w="480" w:type="pct"/>
            <w:tcBorders>
              <w:top w:val="single" w:sz="4" w:space="0" w:color="auto"/>
              <w:left w:val="single" w:sz="4" w:space="0" w:color="auto"/>
              <w:bottom w:val="single" w:sz="4" w:space="0" w:color="auto"/>
              <w:right w:val="single" w:sz="4" w:space="0" w:color="auto"/>
            </w:tcBorders>
            <w:vAlign w:val="center"/>
          </w:tcPr>
          <w:p w14:paraId="59894841" w14:textId="0E059272" w:rsidR="003B4AF2" w:rsidRPr="00490FBB" w:rsidRDefault="003B4AF2" w:rsidP="00F37D77">
            <w:pPr>
              <w:pStyle w:val="Tabletext"/>
              <w:keepNext/>
              <w:jc w:val="right"/>
            </w:pPr>
            <w:r>
              <w:t>$160</w:t>
            </w:r>
          </w:p>
        </w:tc>
        <w:tc>
          <w:tcPr>
            <w:tcW w:w="889" w:type="pct"/>
            <w:vMerge w:val="restart"/>
            <w:tcBorders>
              <w:top w:val="single" w:sz="4" w:space="0" w:color="auto"/>
              <w:left w:val="single" w:sz="4" w:space="0" w:color="auto"/>
              <w:right w:val="single" w:sz="4" w:space="0" w:color="auto"/>
            </w:tcBorders>
            <w:vAlign w:val="center"/>
          </w:tcPr>
          <w:p w14:paraId="08C69B5D" w14:textId="7A858150" w:rsidR="003B4AF2" w:rsidRDefault="003B4AF2" w:rsidP="00E35027">
            <w:pPr>
              <w:pStyle w:val="Tabletext"/>
              <w:keepNext/>
              <w:jc w:val="right"/>
            </w:pPr>
            <w:r>
              <w:t>$620</w:t>
            </w:r>
          </w:p>
        </w:tc>
        <w:tc>
          <w:tcPr>
            <w:tcW w:w="1008" w:type="pct"/>
            <w:vMerge w:val="restart"/>
            <w:tcBorders>
              <w:top w:val="single" w:sz="4" w:space="0" w:color="auto"/>
              <w:left w:val="single" w:sz="4" w:space="0" w:color="auto"/>
              <w:right w:val="single" w:sz="4" w:space="0" w:color="auto"/>
            </w:tcBorders>
            <w:vAlign w:val="center"/>
          </w:tcPr>
          <w:p w14:paraId="02A5C05B" w14:textId="7EEB30F3" w:rsidR="003B4AF2" w:rsidRPr="00490FBB" w:rsidRDefault="003B4AF2" w:rsidP="00E35027">
            <w:pPr>
              <w:pStyle w:val="Tabletext"/>
              <w:keepNext/>
              <w:jc w:val="right"/>
            </w:pPr>
            <w:r>
              <w:t>$220</w:t>
            </w:r>
          </w:p>
        </w:tc>
        <w:tc>
          <w:tcPr>
            <w:tcW w:w="740" w:type="pct"/>
            <w:tcBorders>
              <w:top w:val="single" w:sz="4" w:space="0" w:color="auto"/>
              <w:left w:val="single" w:sz="4" w:space="0" w:color="auto"/>
              <w:bottom w:val="single" w:sz="4" w:space="0" w:color="auto"/>
              <w:right w:val="single" w:sz="4" w:space="0" w:color="auto"/>
            </w:tcBorders>
            <w:vAlign w:val="center"/>
          </w:tcPr>
          <w:p w14:paraId="4989B35E" w14:textId="6E27C192" w:rsidR="003B4AF2" w:rsidRDefault="003B4AF2" w:rsidP="002B23E8">
            <w:pPr>
              <w:pStyle w:val="Tabletext"/>
              <w:keepNext/>
              <w:jc w:val="right"/>
            </w:pPr>
            <w:r>
              <w:t>$100</w:t>
            </w:r>
          </w:p>
        </w:tc>
        <w:tc>
          <w:tcPr>
            <w:tcW w:w="736" w:type="pct"/>
            <w:tcBorders>
              <w:top w:val="single" w:sz="4" w:space="0" w:color="auto"/>
              <w:left w:val="single" w:sz="4" w:space="0" w:color="auto"/>
              <w:bottom w:val="single" w:sz="4" w:space="0" w:color="auto"/>
              <w:right w:val="single" w:sz="4" w:space="0" w:color="auto"/>
            </w:tcBorders>
            <w:vAlign w:val="center"/>
          </w:tcPr>
          <w:p w14:paraId="24B1FE73" w14:textId="1022FC76" w:rsidR="003B4AF2" w:rsidRPr="00490FBB" w:rsidRDefault="003B4AF2" w:rsidP="001E3392">
            <w:pPr>
              <w:pStyle w:val="Tabletext"/>
              <w:keepNext/>
              <w:jc w:val="right"/>
            </w:pPr>
            <w:r>
              <w:t>-</w:t>
            </w:r>
          </w:p>
        </w:tc>
      </w:tr>
      <w:tr w:rsidR="003B4AF2" w:rsidRPr="00490FBB" w14:paraId="445C9D98" w14:textId="77777777" w:rsidTr="0038351C">
        <w:tc>
          <w:tcPr>
            <w:tcW w:w="1147" w:type="pct"/>
            <w:tcBorders>
              <w:top w:val="single" w:sz="4" w:space="0" w:color="auto"/>
              <w:left w:val="single" w:sz="4" w:space="0" w:color="auto"/>
              <w:bottom w:val="single" w:sz="4" w:space="0" w:color="auto"/>
              <w:right w:val="single" w:sz="4" w:space="0" w:color="auto"/>
            </w:tcBorders>
            <w:vAlign w:val="center"/>
          </w:tcPr>
          <w:p w14:paraId="2E4FF17A" w14:textId="042518CC" w:rsidR="003B4AF2" w:rsidRPr="00490FBB" w:rsidRDefault="003B4AF2" w:rsidP="003B4AF2">
            <w:pPr>
              <w:pStyle w:val="Tabletext"/>
              <w:keepNext/>
            </w:pPr>
            <w:r>
              <w:t xml:space="preserve">Reagents including Fluorochrome-labelled antibodies / other </w:t>
            </w:r>
            <w:proofErr w:type="spellStart"/>
            <w:r>
              <w:t>comsumables</w:t>
            </w:r>
            <w:proofErr w:type="spellEnd"/>
          </w:p>
        </w:tc>
        <w:tc>
          <w:tcPr>
            <w:tcW w:w="480" w:type="pct"/>
            <w:tcBorders>
              <w:top w:val="single" w:sz="4" w:space="0" w:color="auto"/>
              <w:left w:val="single" w:sz="4" w:space="0" w:color="auto"/>
              <w:bottom w:val="single" w:sz="4" w:space="0" w:color="auto"/>
              <w:right w:val="single" w:sz="4" w:space="0" w:color="auto"/>
            </w:tcBorders>
            <w:vAlign w:val="center"/>
          </w:tcPr>
          <w:p w14:paraId="4BEFB467" w14:textId="40E7662F" w:rsidR="003B4AF2" w:rsidRPr="00490FBB" w:rsidRDefault="003B4AF2" w:rsidP="00F37D77">
            <w:pPr>
              <w:pStyle w:val="Tabletext"/>
              <w:keepNext/>
              <w:jc w:val="right"/>
            </w:pPr>
            <w:r>
              <w:t>$110</w:t>
            </w:r>
          </w:p>
        </w:tc>
        <w:tc>
          <w:tcPr>
            <w:tcW w:w="889" w:type="pct"/>
            <w:vMerge/>
            <w:tcBorders>
              <w:left w:val="single" w:sz="4" w:space="0" w:color="auto"/>
              <w:bottom w:val="single" w:sz="4" w:space="0" w:color="auto"/>
              <w:right w:val="single" w:sz="4" w:space="0" w:color="auto"/>
            </w:tcBorders>
            <w:vAlign w:val="center"/>
          </w:tcPr>
          <w:p w14:paraId="0F9FD9AC" w14:textId="77777777" w:rsidR="003B4AF2" w:rsidRPr="00490FBB" w:rsidRDefault="003B4AF2" w:rsidP="00EC5849">
            <w:pPr>
              <w:pStyle w:val="Tabletext"/>
              <w:keepNext/>
              <w:jc w:val="right"/>
            </w:pPr>
          </w:p>
        </w:tc>
        <w:tc>
          <w:tcPr>
            <w:tcW w:w="1008" w:type="pct"/>
            <w:vMerge/>
            <w:tcBorders>
              <w:left w:val="single" w:sz="4" w:space="0" w:color="auto"/>
              <w:bottom w:val="single" w:sz="4" w:space="0" w:color="auto"/>
              <w:right w:val="single" w:sz="4" w:space="0" w:color="auto"/>
            </w:tcBorders>
            <w:vAlign w:val="center"/>
          </w:tcPr>
          <w:p w14:paraId="45E8C083" w14:textId="4642E6DF" w:rsidR="003B4AF2" w:rsidRPr="00490FBB" w:rsidRDefault="003B4AF2" w:rsidP="00EC5849">
            <w:pPr>
              <w:pStyle w:val="Tabletext"/>
              <w:keepNext/>
              <w:jc w:val="right"/>
            </w:pPr>
          </w:p>
        </w:tc>
        <w:tc>
          <w:tcPr>
            <w:tcW w:w="740" w:type="pct"/>
            <w:tcBorders>
              <w:top w:val="single" w:sz="4" w:space="0" w:color="auto"/>
              <w:left w:val="single" w:sz="4" w:space="0" w:color="auto"/>
              <w:bottom w:val="single" w:sz="4" w:space="0" w:color="auto"/>
              <w:right w:val="single" w:sz="4" w:space="0" w:color="auto"/>
            </w:tcBorders>
            <w:vAlign w:val="center"/>
          </w:tcPr>
          <w:p w14:paraId="69EA74DA" w14:textId="6A76E932" w:rsidR="003B4AF2" w:rsidRDefault="003B4AF2" w:rsidP="00EC5849">
            <w:pPr>
              <w:pStyle w:val="Tabletext"/>
              <w:keepNext/>
              <w:jc w:val="right"/>
            </w:pPr>
            <w:r>
              <w:t>$</w:t>
            </w:r>
            <w:r w:rsidR="00763E02">
              <w:t>1</w:t>
            </w:r>
            <w:r w:rsidR="00F37D77">
              <w:t>,</w:t>
            </w:r>
            <w:r w:rsidR="00763E02">
              <w:t>300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D2E4D6A" w14:textId="478A79C4" w:rsidR="003B4AF2" w:rsidRPr="00490FBB" w:rsidRDefault="003B4AF2" w:rsidP="00EC5849">
            <w:pPr>
              <w:pStyle w:val="Tabletext"/>
              <w:keepNext/>
              <w:jc w:val="right"/>
            </w:pPr>
            <w:r>
              <w:t>$</w:t>
            </w:r>
            <w:r w:rsidR="0038351C">
              <w:t>REDACTED</w:t>
            </w:r>
          </w:p>
        </w:tc>
      </w:tr>
      <w:tr w:rsidR="003B4AF2" w:rsidRPr="00490FBB" w14:paraId="726B6267" w14:textId="77777777" w:rsidTr="0038351C">
        <w:tc>
          <w:tcPr>
            <w:tcW w:w="1147" w:type="pct"/>
            <w:tcBorders>
              <w:top w:val="single" w:sz="4" w:space="0" w:color="auto"/>
              <w:left w:val="single" w:sz="4" w:space="0" w:color="auto"/>
              <w:bottom w:val="single" w:sz="4" w:space="0" w:color="auto"/>
              <w:right w:val="single" w:sz="4" w:space="0" w:color="auto"/>
            </w:tcBorders>
            <w:vAlign w:val="center"/>
          </w:tcPr>
          <w:p w14:paraId="663C6B21" w14:textId="23E18C51" w:rsidR="003B4AF2" w:rsidRPr="00490FBB" w:rsidRDefault="003B4AF2" w:rsidP="003B4AF2">
            <w:pPr>
              <w:pStyle w:val="Tabletext"/>
              <w:keepNext/>
            </w:pPr>
            <w:r>
              <w:t>Scientific Labour cost</w:t>
            </w:r>
          </w:p>
        </w:tc>
        <w:tc>
          <w:tcPr>
            <w:tcW w:w="480" w:type="pct"/>
            <w:tcBorders>
              <w:top w:val="single" w:sz="4" w:space="0" w:color="auto"/>
              <w:left w:val="single" w:sz="4" w:space="0" w:color="auto"/>
              <w:bottom w:val="single" w:sz="4" w:space="0" w:color="auto"/>
              <w:right w:val="single" w:sz="4" w:space="0" w:color="auto"/>
            </w:tcBorders>
            <w:vAlign w:val="center"/>
          </w:tcPr>
          <w:p w14:paraId="36E6BCD0" w14:textId="1A73C9E1" w:rsidR="003B4AF2" w:rsidRPr="00490FBB" w:rsidRDefault="003B4AF2" w:rsidP="00F37D77">
            <w:pPr>
              <w:pStyle w:val="Tabletext"/>
              <w:keepNext/>
              <w:jc w:val="right"/>
            </w:pPr>
            <w:r>
              <w:t>$280</w:t>
            </w:r>
          </w:p>
        </w:tc>
        <w:tc>
          <w:tcPr>
            <w:tcW w:w="889" w:type="pct"/>
            <w:tcBorders>
              <w:top w:val="single" w:sz="4" w:space="0" w:color="auto"/>
              <w:left w:val="single" w:sz="4" w:space="0" w:color="auto"/>
              <w:bottom w:val="single" w:sz="4" w:space="0" w:color="auto"/>
              <w:right w:val="single" w:sz="4" w:space="0" w:color="auto"/>
            </w:tcBorders>
            <w:vAlign w:val="center"/>
          </w:tcPr>
          <w:p w14:paraId="5EA9B016" w14:textId="0769A93F" w:rsidR="003B4AF2" w:rsidRDefault="003B4AF2" w:rsidP="00F37D77">
            <w:pPr>
              <w:pStyle w:val="Tabletext"/>
              <w:keepNext/>
              <w:jc w:val="right"/>
            </w:pPr>
            <w:r>
              <w:t>$1</w:t>
            </w:r>
            <w:r w:rsidR="00F37D77">
              <w:t>,</w:t>
            </w:r>
            <w:r>
              <w:t>600</w:t>
            </w:r>
          </w:p>
        </w:tc>
        <w:tc>
          <w:tcPr>
            <w:tcW w:w="1008" w:type="pct"/>
            <w:tcBorders>
              <w:top w:val="single" w:sz="4" w:space="0" w:color="auto"/>
              <w:left w:val="single" w:sz="4" w:space="0" w:color="auto"/>
              <w:bottom w:val="single" w:sz="4" w:space="0" w:color="auto"/>
              <w:right w:val="single" w:sz="4" w:space="0" w:color="auto"/>
            </w:tcBorders>
            <w:vAlign w:val="center"/>
          </w:tcPr>
          <w:p w14:paraId="4CE639A6" w14:textId="2A186816" w:rsidR="003B4AF2" w:rsidRPr="00490FBB" w:rsidRDefault="003B4AF2" w:rsidP="00E35027">
            <w:pPr>
              <w:pStyle w:val="Tabletext"/>
              <w:keepNext/>
              <w:jc w:val="right"/>
            </w:pPr>
            <w:r>
              <w:t>$560</w:t>
            </w:r>
          </w:p>
        </w:tc>
        <w:tc>
          <w:tcPr>
            <w:tcW w:w="740" w:type="pct"/>
            <w:tcBorders>
              <w:top w:val="single" w:sz="4" w:space="0" w:color="auto"/>
              <w:left w:val="single" w:sz="4" w:space="0" w:color="auto"/>
              <w:bottom w:val="single" w:sz="4" w:space="0" w:color="auto"/>
              <w:right w:val="single" w:sz="4" w:space="0" w:color="auto"/>
            </w:tcBorders>
            <w:vAlign w:val="center"/>
          </w:tcPr>
          <w:p w14:paraId="0BD1B021" w14:textId="7900EC19" w:rsidR="003B4AF2" w:rsidRDefault="003B4AF2" w:rsidP="00E35027">
            <w:pPr>
              <w:pStyle w:val="Tabletext"/>
              <w:keepNext/>
              <w:jc w:val="right"/>
            </w:pPr>
            <w:r>
              <w:t>$150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73E7716" w14:textId="77649FFB" w:rsidR="003B4AF2" w:rsidRPr="00490FBB" w:rsidRDefault="003B4AF2" w:rsidP="002B23E8">
            <w:pPr>
              <w:pStyle w:val="Tabletext"/>
              <w:keepNext/>
              <w:jc w:val="right"/>
            </w:pPr>
            <w:r>
              <w:t>$</w:t>
            </w:r>
            <w:r w:rsidR="0038351C">
              <w:t>REDACTED</w:t>
            </w:r>
          </w:p>
        </w:tc>
      </w:tr>
      <w:tr w:rsidR="003B4AF2" w:rsidRPr="00490FBB" w14:paraId="32ECB6A1" w14:textId="77777777" w:rsidTr="0038351C">
        <w:tc>
          <w:tcPr>
            <w:tcW w:w="1147" w:type="pct"/>
            <w:tcBorders>
              <w:top w:val="single" w:sz="4" w:space="0" w:color="auto"/>
              <w:left w:val="single" w:sz="4" w:space="0" w:color="auto"/>
              <w:bottom w:val="single" w:sz="4" w:space="0" w:color="auto"/>
              <w:right w:val="single" w:sz="4" w:space="0" w:color="auto"/>
            </w:tcBorders>
            <w:vAlign w:val="center"/>
          </w:tcPr>
          <w:p w14:paraId="2C67D487" w14:textId="4AA3B3AC" w:rsidR="003B4AF2" w:rsidRDefault="003B4AF2" w:rsidP="003B4AF2">
            <w:pPr>
              <w:pStyle w:val="Tabletext"/>
              <w:keepNext/>
            </w:pPr>
            <w:r>
              <w:t>Instrument amortization</w:t>
            </w:r>
          </w:p>
        </w:tc>
        <w:tc>
          <w:tcPr>
            <w:tcW w:w="480" w:type="pct"/>
            <w:tcBorders>
              <w:top w:val="single" w:sz="4" w:space="0" w:color="auto"/>
              <w:left w:val="single" w:sz="4" w:space="0" w:color="auto"/>
              <w:bottom w:val="single" w:sz="4" w:space="0" w:color="auto"/>
              <w:right w:val="single" w:sz="4" w:space="0" w:color="auto"/>
            </w:tcBorders>
            <w:vAlign w:val="center"/>
          </w:tcPr>
          <w:p w14:paraId="2651076E" w14:textId="585104DA" w:rsidR="003B4AF2" w:rsidRDefault="003B4AF2" w:rsidP="00F37D77">
            <w:pPr>
              <w:pStyle w:val="Tabletext"/>
              <w:keepNext/>
              <w:jc w:val="right"/>
            </w:pPr>
            <w:r>
              <w:t>-</w:t>
            </w:r>
          </w:p>
        </w:tc>
        <w:tc>
          <w:tcPr>
            <w:tcW w:w="889" w:type="pct"/>
            <w:tcBorders>
              <w:top w:val="single" w:sz="4" w:space="0" w:color="auto"/>
              <w:left w:val="single" w:sz="4" w:space="0" w:color="auto"/>
              <w:bottom w:val="single" w:sz="4" w:space="0" w:color="auto"/>
              <w:right w:val="single" w:sz="4" w:space="0" w:color="auto"/>
            </w:tcBorders>
            <w:vAlign w:val="center"/>
          </w:tcPr>
          <w:p w14:paraId="0D96BCEA" w14:textId="11DBC8CC" w:rsidR="003B4AF2" w:rsidRDefault="003B4AF2" w:rsidP="00E35027">
            <w:pPr>
              <w:pStyle w:val="Tabletext"/>
              <w:keepNext/>
              <w:jc w:val="right"/>
            </w:pPr>
            <w:r>
              <w:t>-</w:t>
            </w:r>
          </w:p>
        </w:tc>
        <w:tc>
          <w:tcPr>
            <w:tcW w:w="1008" w:type="pct"/>
            <w:tcBorders>
              <w:top w:val="single" w:sz="4" w:space="0" w:color="auto"/>
              <w:left w:val="single" w:sz="4" w:space="0" w:color="auto"/>
              <w:bottom w:val="single" w:sz="4" w:space="0" w:color="auto"/>
              <w:right w:val="single" w:sz="4" w:space="0" w:color="auto"/>
            </w:tcBorders>
            <w:vAlign w:val="center"/>
          </w:tcPr>
          <w:p w14:paraId="6ADA0817" w14:textId="01DAD2DA" w:rsidR="003B4AF2" w:rsidRDefault="003B4AF2" w:rsidP="00E35027">
            <w:pPr>
              <w:pStyle w:val="Tabletext"/>
              <w:keepNext/>
              <w:jc w:val="right"/>
            </w:pPr>
            <w:r>
              <w:t>-</w:t>
            </w:r>
          </w:p>
        </w:tc>
        <w:tc>
          <w:tcPr>
            <w:tcW w:w="740" w:type="pct"/>
            <w:tcBorders>
              <w:top w:val="single" w:sz="4" w:space="0" w:color="auto"/>
              <w:left w:val="single" w:sz="4" w:space="0" w:color="auto"/>
              <w:bottom w:val="single" w:sz="4" w:space="0" w:color="auto"/>
              <w:right w:val="single" w:sz="4" w:space="0" w:color="auto"/>
            </w:tcBorders>
            <w:vAlign w:val="center"/>
          </w:tcPr>
          <w:p w14:paraId="78D4A2A7" w14:textId="3A8184AC" w:rsidR="003B4AF2" w:rsidRDefault="003B4AF2" w:rsidP="002B23E8">
            <w:pPr>
              <w:pStyle w:val="Tabletext"/>
              <w:keepNext/>
              <w:jc w:val="right"/>
            </w:pPr>
            <w:r>
              <w:t>-</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49754534" w14:textId="70619360" w:rsidR="003B4AF2" w:rsidRDefault="003B4AF2" w:rsidP="001E3392">
            <w:pPr>
              <w:pStyle w:val="Tabletext"/>
              <w:keepNext/>
              <w:jc w:val="right"/>
            </w:pPr>
            <w:r>
              <w:t>$</w:t>
            </w:r>
            <w:r w:rsidR="0038351C">
              <w:t>REDACTED</w:t>
            </w:r>
          </w:p>
        </w:tc>
      </w:tr>
      <w:tr w:rsidR="00F37D77" w:rsidRPr="00490FBB" w14:paraId="3707A076"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54B0DEFE" w14:textId="7F36A474" w:rsidR="00F37D77" w:rsidDel="00671873" w:rsidRDefault="00F37D77" w:rsidP="003B4AF2">
            <w:pPr>
              <w:pStyle w:val="Tabletext"/>
              <w:keepNext/>
            </w:pPr>
            <w:r>
              <w:t>Total cost</w:t>
            </w:r>
          </w:p>
        </w:tc>
        <w:tc>
          <w:tcPr>
            <w:tcW w:w="480" w:type="pct"/>
            <w:tcBorders>
              <w:top w:val="single" w:sz="4" w:space="0" w:color="auto"/>
              <w:left w:val="single" w:sz="4" w:space="0" w:color="auto"/>
              <w:bottom w:val="single" w:sz="4" w:space="0" w:color="auto"/>
              <w:right w:val="single" w:sz="4" w:space="0" w:color="auto"/>
            </w:tcBorders>
            <w:vAlign w:val="center"/>
          </w:tcPr>
          <w:p w14:paraId="20678939" w14:textId="0B1AF7B2" w:rsidR="00F37D77" w:rsidRDefault="00F37D77" w:rsidP="00F37D77">
            <w:pPr>
              <w:pStyle w:val="Tabletext"/>
              <w:keepNext/>
              <w:jc w:val="right"/>
            </w:pPr>
            <w:r>
              <w:t>$550</w:t>
            </w:r>
          </w:p>
        </w:tc>
        <w:tc>
          <w:tcPr>
            <w:tcW w:w="889" w:type="pct"/>
            <w:tcBorders>
              <w:top w:val="single" w:sz="4" w:space="0" w:color="auto"/>
              <w:left w:val="single" w:sz="4" w:space="0" w:color="auto"/>
              <w:bottom w:val="single" w:sz="4" w:space="0" w:color="auto"/>
              <w:right w:val="single" w:sz="4" w:space="0" w:color="auto"/>
            </w:tcBorders>
            <w:vAlign w:val="center"/>
          </w:tcPr>
          <w:p w14:paraId="3F08061B" w14:textId="7B8E7CB2" w:rsidR="00F37D77" w:rsidRDefault="00F37D77" w:rsidP="00F37D77">
            <w:pPr>
              <w:pStyle w:val="Tabletext"/>
              <w:keepNext/>
              <w:jc w:val="right"/>
            </w:pPr>
            <w:r>
              <w:t>$2,220</w:t>
            </w:r>
          </w:p>
        </w:tc>
        <w:tc>
          <w:tcPr>
            <w:tcW w:w="1008" w:type="pct"/>
            <w:tcBorders>
              <w:top w:val="single" w:sz="4" w:space="0" w:color="auto"/>
              <w:left w:val="single" w:sz="4" w:space="0" w:color="auto"/>
              <w:bottom w:val="single" w:sz="4" w:space="0" w:color="auto"/>
              <w:right w:val="single" w:sz="4" w:space="0" w:color="auto"/>
            </w:tcBorders>
            <w:vAlign w:val="center"/>
          </w:tcPr>
          <w:p w14:paraId="31DF0EB4" w14:textId="34852B95" w:rsidR="00F37D77" w:rsidRDefault="00F37D77" w:rsidP="00E35027">
            <w:pPr>
              <w:pStyle w:val="Tabletext"/>
              <w:keepNext/>
              <w:jc w:val="right"/>
            </w:pPr>
            <w:r>
              <w:t>$780</w:t>
            </w:r>
          </w:p>
        </w:tc>
        <w:tc>
          <w:tcPr>
            <w:tcW w:w="740" w:type="pct"/>
            <w:tcBorders>
              <w:top w:val="single" w:sz="4" w:space="0" w:color="auto"/>
              <w:left w:val="single" w:sz="4" w:space="0" w:color="auto"/>
              <w:bottom w:val="single" w:sz="4" w:space="0" w:color="auto"/>
              <w:right w:val="single" w:sz="4" w:space="0" w:color="auto"/>
            </w:tcBorders>
            <w:vAlign w:val="center"/>
          </w:tcPr>
          <w:p w14:paraId="5543E183" w14:textId="150F2873" w:rsidR="00F37D77" w:rsidRDefault="00F37D77" w:rsidP="00E35027">
            <w:pPr>
              <w:pStyle w:val="Tabletext"/>
              <w:keepNext/>
              <w:jc w:val="right"/>
            </w:pPr>
            <w:r>
              <w:t>$1,550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82F3B6E" w14:textId="018F8006" w:rsidR="00F37D77" w:rsidRDefault="00F37D77" w:rsidP="002B23E8">
            <w:pPr>
              <w:pStyle w:val="Tabletext"/>
              <w:keepNext/>
              <w:jc w:val="right"/>
            </w:pPr>
            <w:r>
              <w:t>$2,100</w:t>
            </w:r>
          </w:p>
        </w:tc>
      </w:tr>
      <w:tr w:rsidR="003B4AF2" w:rsidRPr="00490FBB" w14:paraId="7511CF21"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4A0E567F" w14:textId="33BFA00B" w:rsidR="003B4AF2" w:rsidRDefault="006A68F3" w:rsidP="003B4AF2">
            <w:pPr>
              <w:pStyle w:val="Tabletext"/>
              <w:keepNext/>
            </w:pPr>
            <w:r>
              <w:t>MBS fee</w:t>
            </w:r>
          </w:p>
        </w:tc>
        <w:tc>
          <w:tcPr>
            <w:tcW w:w="480" w:type="pct"/>
            <w:tcBorders>
              <w:top w:val="single" w:sz="4" w:space="0" w:color="auto"/>
              <w:left w:val="single" w:sz="4" w:space="0" w:color="auto"/>
              <w:bottom w:val="single" w:sz="4" w:space="0" w:color="auto"/>
              <w:right w:val="single" w:sz="4" w:space="0" w:color="auto"/>
            </w:tcBorders>
            <w:vAlign w:val="center"/>
          </w:tcPr>
          <w:p w14:paraId="23192154" w14:textId="6846DB6E" w:rsidR="003B4AF2" w:rsidRDefault="003B4AF2" w:rsidP="00F37D77">
            <w:pPr>
              <w:pStyle w:val="Tabletext"/>
              <w:keepNext/>
              <w:jc w:val="right"/>
            </w:pPr>
            <w:r>
              <w:t>$550</w:t>
            </w:r>
          </w:p>
        </w:tc>
        <w:tc>
          <w:tcPr>
            <w:tcW w:w="889" w:type="pct"/>
            <w:tcBorders>
              <w:top w:val="single" w:sz="4" w:space="0" w:color="auto"/>
              <w:left w:val="single" w:sz="4" w:space="0" w:color="auto"/>
              <w:bottom w:val="single" w:sz="4" w:space="0" w:color="auto"/>
              <w:right w:val="single" w:sz="4" w:space="0" w:color="auto"/>
            </w:tcBorders>
            <w:vAlign w:val="center"/>
          </w:tcPr>
          <w:p w14:paraId="4311CE42" w14:textId="596B82C3" w:rsidR="003B4AF2" w:rsidRPr="00490FBB" w:rsidRDefault="003B4AF2" w:rsidP="00E35027">
            <w:pPr>
              <w:pStyle w:val="Tabletext"/>
              <w:keepNext/>
              <w:jc w:val="right"/>
            </w:pPr>
            <w:r>
              <w:t>$</w:t>
            </w:r>
            <w:r w:rsidR="00F37D77">
              <w:t>3,000*</w:t>
            </w:r>
          </w:p>
        </w:tc>
        <w:tc>
          <w:tcPr>
            <w:tcW w:w="1008" w:type="pct"/>
            <w:tcBorders>
              <w:top w:val="single" w:sz="4" w:space="0" w:color="auto"/>
              <w:left w:val="single" w:sz="4" w:space="0" w:color="auto"/>
              <w:bottom w:val="single" w:sz="4" w:space="0" w:color="auto"/>
              <w:right w:val="single" w:sz="4" w:space="0" w:color="auto"/>
            </w:tcBorders>
            <w:vAlign w:val="center"/>
          </w:tcPr>
          <w:p w14:paraId="1620492B" w14:textId="509A6F88" w:rsidR="003B4AF2" w:rsidRPr="00490FBB" w:rsidRDefault="003B4AF2" w:rsidP="00E35027">
            <w:pPr>
              <w:pStyle w:val="Tabletext"/>
              <w:keepNext/>
              <w:jc w:val="right"/>
            </w:pPr>
            <w:r>
              <w:t>$780</w:t>
            </w:r>
          </w:p>
        </w:tc>
        <w:tc>
          <w:tcPr>
            <w:tcW w:w="740" w:type="pct"/>
            <w:tcBorders>
              <w:top w:val="single" w:sz="4" w:space="0" w:color="auto"/>
              <w:left w:val="single" w:sz="4" w:space="0" w:color="auto"/>
              <w:bottom w:val="single" w:sz="4" w:space="0" w:color="auto"/>
              <w:right w:val="single" w:sz="4" w:space="0" w:color="auto"/>
            </w:tcBorders>
            <w:vAlign w:val="center"/>
          </w:tcPr>
          <w:p w14:paraId="55BA5965" w14:textId="0C845899" w:rsidR="003B4AF2" w:rsidRPr="00490FBB" w:rsidRDefault="00AF006F" w:rsidP="002B23E8">
            <w:pPr>
              <w:pStyle w:val="Tabletext"/>
              <w:keepNext/>
              <w:jc w:val="right"/>
            </w:pPr>
            <w:r>
              <w:t>$</w:t>
            </w:r>
            <w:r w:rsidR="00763E02">
              <w:t>1</w:t>
            </w:r>
            <w:r w:rsidR="00F37D77">
              <w:t>,</w:t>
            </w:r>
            <w:r w:rsidR="00763E02">
              <w:t>550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FA3AC31" w14:textId="1F31911F" w:rsidR="003B4AF2" w:rsidRPr="00490FBB" w:rsidRDefault="00AF006F" w:rsidP="001E3392">
            <w:pPr>
              <w:pStyle w:val="Tabletext"/>
              <w:keepNext/>
              <w:jc w:val="right"/>
            </w:pPr>
            <w:r>
              <w:t>$2</w:t>
            </w:r>
            <w:r w:rsidR="00F37D77">
              <w:t>,</w:t>
            </w:r>
            <w:r>
              <w:t>100</w:t>
            </w:r>
          </w:p>
        </w:tc>
      </w:tr>
      <w:tr w:rsidR="00671873" w:rsidRPr="00490FBB" w14:paraId="1752C4B8"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21A5F4C5" w14:textId="313A3A61" w:rsidR="00671873" w:rsidRDefault="00671873" w:rsidP="003B4AF2">
            <w:pPr>
              <w:pStyle w:val="Tabletext"/>
              <w:keepNext/>
            </w:pPr>
            <w:r>
              <w:t>85% Benefit</w:t>
            </w:r>
          </w:p>
        </w:tc>
        <w:tc>
          <w:tcPr>
            <w:tcW w:w="480" w:type="pct"/>
            <w:tcBorders>
              <w:top w:val="single" w:sz="4" w:space="0" w:color="auto"/>
              <w:left w:val="single" w:sz="4" w:space="0" w:color="auto"/>
              <w:bottom w:val="single" w:sz="4" w:space="0" w:color="auto"/>
              <w:right w:val="single" w:sz="4" w:space="0" w:color="auto"/>
            </w:tcBorders>
            <w:vAlign w:val="center"/>
          </w:tcPr>
          <w:p w14:paraId="76ABE38F" w14:textId="78DCDAE5" w:rsidR="00671873" w:rsidRDefault="00671873" w:rsidP="00F37D77">
            <w:pPr>
              <w:pStyle w:val="Tabletext"/>
              <w:keepNext/>
              <w:jc w:val="right"/>
            </w:pPr>
            <w:r>
              <w:t>$467.50</w:t>
            </w:r>
          </w:p>
        </w:tc>
        <w:tc>
          <w:tcPr>
            <w:tcW w:w="889" w:type="pct"/>
            <w:tcBorders>
              <w:top w:val="single" w:sz="4" w:space="0" w:color="auto"/>
              <w:left w:val="single" w:sz="4" w:space="0" w:color="auto"/>
              <w:bottom w:val="single" w:sz="4" w:space="0" w:color="auto"/>
              <w:right w:val="single" w:sz="4" w:space="0" w:color="auto"/>
            </w:tcBorders>
            <w:vAlign w:val="center"/>
          </w:tcPr>
          <w:p w14:paraId="3B45D56B" w14:textId="4C478C52" w:rsidR="00671873" w:rsidRDefault="00671873" w:rsidP="00E35027">
            <w:pPr>
              <w:pStyle w:val="Tabletext"/>
              <w:keepNext/>
              <w:jc w:val="right"/>
            </w:pPr>
            <w:r>
              <w:t>$</w:t>
            </w:r>
            <w:r w:rsidR="00F37D77">
              <w:t>2,912.10</w:t>
            </w:r>
            <w:r>
              <w:t>*</w:t>
            </w:r>
            <w:r w:rsidR="00F37D77">
              <w:t>*</w:t>
            </w:r>
          </w:p>
        </w:tc>
        <w:tc>
          <w:tcPr>
            <w:tcW w:w="1008" w:type="pct"/>
            <w:tcBorders>
              <w:top w:val="single" w:sz="4" w:space="0" w:color="auto"/>
              <w:left w:val="single" w:sz="4" w:space="0" w:color="auto"/>
              <w:bottom w:val="single" w:sz="4" w:space="0" w:color="auto"/>
              <w:right w:val="single" w:sz="4" w:space="0" w:color="auto"/>
            </w:tcBorders>
            <w:vAlign w:val="center"/>
          </w:tcPr>
          <w:p w14:paraId="01193614" w14:textId="7C28672C" w:rsidR="00671873" w:rsidRDefault="00671873" w:rsidP="00E35027">
            <w:pPr>
              <w:pStyle w:val="Tabletext"/>
              <w:keepNext/>
              <w:jc w:val="right"/>
            </w:pPr>
            <w:r>
              <w:t>$692.10*</w:t>
            </w:r>
            <w:r w:rsidR="00F37D77">
              <w:t>*</w:t>
            </w:r>
          </w:p>
        </w:tc>
        <w:tc>
          <w:tcPr>
            <w:tcW w:w="740" w:type="pct"/>
            <w:tcBorders>
              <w:top w:val="single" w:sz="4" w:space="0" w:color="auto"/>
              <w:left w:val="single" w:sz="4" w:space="0" w:color="auto"/>
              <w:bottom w:val="single" w:sz="4" w:space="0" w:color="auto"/>
              <w:right w:val="single" w:sz="4" w:space="0" w:color="auto"/>
            </w:tcBorders>
            <w:vAlign w:val="center"/>
          </w:tcPr>
          <w:p w14:paraId="3F3C4654" w14:textId="350AEB5C" w:rsidR="00671873" w:rsidRDefault="00671873" w:rsidP="002B23E8">
            <w:pPr>
              <w:pStyle w:val="Tabletext"/>
              <w:keepNext/>
              <w:jc w:val="right"/>
            </w:pPr>
            <w:r>
              <w:t>$1462.10*</w:t>
            </w:r>
            <w:r w:rsidR="00F37D77">
              <w:t>*</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662CCAD" w14:textId="7EF4034E" w:rsidR="00671873" w:rsidRDefault="00671873" w:rsidP="001E3392">
            <w:pPr>
              <w:pStyle w:val="Tabletext"/>
              <w:keepNext/>
              <w:jc w:val="right"/>
            </w:pPr>
            <w:r>
              <w:t>$2,012.10*</w:t>
            </w:r>
            <w:r w:rsidR="00F37D77">
              <w:t>*</w:t>
            </w:r>
          </w:p>
        </w:tc>
      </w:tr>
      <w:tr w:rsidR="00671873" w:rsidRPr="00490FBB" w14:paraId="4DDADD9A"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71737371" w14:textId="49C8F902" w:rsidR="00671873" w:rsidRDefault="00671873" w:rsidP="003B4AF2">
            <w:pPr>
              <w:pStyle w:val="Tabletext"/>
              <w:keepNext/>
            </w:pPr>
            <w:r>
              <w:t>Difference between proposed MBS fee and 85% benefit</w:t>
            </w:r>
          </w:p>
        </w:tc>
        <w:tc>
          <w:tcPr>
            <w:tcW w:w="480" w:type="pct"/>
            <w:tcBorders>
              <w:top w:val="single" w:sz="4" w:space="0" w:color="auto"/>
              <w:left w:val="single" w:sz="4" w:space="0" w:color="auto"/>
              <w:bottom w:val="single" w:sz="4" w:space="0" w:color="auto"/>
              <w:right w:val="single" w:sz="4" w:space="0" w:color="auto"/>
            </w:tcBorders>
            <w:vAlign w:val="center"/>
          </w:tcPr>
          <w:p w14:paraId="7520985B" w14:textId="58363FAD" w:rsidR="00671873" w:rsidRDefault="00671873" w:rsidP="00F37D77">
            <w:pPr>
              <w:pStyle w:val="Tabletext"/>
              <w:keepNext/>
              <w:jc w:val="right"/>
            </w:pPr>
            <w:r>
              <w:t>$82.50</w:t>
            </w:r>
          </w:p>
        </w:tc>
        <w:tc>
          <w:tcPr>
            <w:tcW w:w="889" w:type="pct"/>
            <w:tcBorders>
              <w:top w:val="single" w:sz="4" w:space="0" w:color="auto"/>
              <w:left w:val="single" w:sz="4" w:space="0" w:color="auto"/>
              <w:bottom w:val="single" w:sz="4" w:space="0" w:color="auto"/>
              <w:right w:val="single" w:sz="4" w:space="0" w:color="auto"/>
            </w:tcBorders>
            <w:vAlign w:val="center"/>
          </w:tcPr>
          <w:p w14:paraId="7E81C0E2" w14:textId="5A855CFB" w:rsidR="00671873" w:rsidRDefault="00671873" w:rsidP="00E35027">
            <w:pPr>
              <w:pStyle w:val="Tabletext"/>
              <w:keepNext/>
              <w:jc w:val="right"/>
            </w:pPr>
            <w:r>
              <w:t>$87.90</w:t>
            </w:r>
          </w:p>
        </w:tc>
        <w:tc>
          <w:tcPr>
            <w:tcW w:w="1008" w:type="pct"/>
            <w:tcBorders>
              <w:top w:val="single" w:sz="4" w:space="0" w:color="auto"/>
              <w:left w:val="single" w:sz="4" w:space="0" w:color="auto"/>
              <w:bottom w:val="single" w:sz="4" w:space="0" w:color="auto"/>
              <w:right w:val="single" w:sz="4" w:space="0" w:color="auto"/>
            </w:tcBorders>
            <w:vAlign w:val="center"/>
          </w:tcPr>
          <w:p w14:paraId="52D1989C" w14:textId="2AAC67E9" w:rsidR="00671873" w:rsidRDefault="00671873" w:rsidP="00E35027">
            <w:pPr>
              <w:pStyle w:val="Tabletext"/>
              <w:keepNext/>
              <w:jc w:val="right"/>
            </w:pPr>
            <w:r>
              <w:t>$87.90</w:t>
            </w:r>
          </w:p>
        </w:tc>
        <w:tc>
          <w:tcPr>
            <w:tcW w:w="740" w:type="pct"/>
            <w:tcBorders>
              <w:top w:val="single" w:sz="4" w:space="0" w:color="auto"/>
              <w:left w:val="single" w:sz="4" w:space="0" w:color="auto"/>
              <w:bottom w:val="single" w:sz="4" w:space="0" w:color="auto"/>
              <w:right w:val="single" w:sz="4" w:space="0" w:color="auto"/>
            </w:tcBorders>
            <w:vAlign w:val="center"/>
          </w:tcPr>
          <w:p w14:paraId="4DD871E9" w14:textId="6EB0AD53" w:rsidR="00671873" w:rsidRDefault="00EC7A7B" w:rsidP="002B23E8">
            <w:pPr>
              <w:pStyle w:val="Tabletext"/>
              <w:keepNext/>
              <w:jc w:val="right"/>
            </w:pPr>
            <w:r>
              <w:t>$87.90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396DE4D" w14:textId="347D82A6" w:rsidR="00671873" w:rsidRPr="00EC7A7B" w:rsidRDefault="00671873" w:rsidP="001E3392">
            <w:pPr>
              <w:pStyle w:val="Tabletext"/>
              <w:keepNext/>
              <w:jc w:val="right"/>
            </w:pPr>
            <w:r>
              <w:t>$87.90</w:t>
            </w:r>
          </w:p>
        </w:tc>
      </w:tr>
    </w:tbl>
    <w:p w14:paraId="2D74AA41" w14:textId="73C67373" w:rsidR="00087875" w:rsidRDefault="00087875" w:rsidP="00087875">
      <w:pPr>
        <w:pStyle w:val="TableFooter"/>
        <w:shd w:val="clear" w:color="auto" w:fill="FFFFFF" w:themeFill="background1"/>
      </w:pPr>
      <w:r>
        <w:t xml:space="preserve">ASO-qPCR = </w:t>
      </w:r>
      <w:r w:rsidR="00FA6987">
        <w:t>allele-specific oligonucleotide quantitative polymerase chain reaction</w:t>
      </w:r>
      <w:r>
        <w:t xml:space="preserve">; MBS = Medicare Benefits Schedule; </w:t>
      </w:r>
      <w:proofErr w:type="spellStart"/>
      <w:r>
        <w:t>mpFC</w:t>
      </w:r>
      <w:proofErr w:type="spellEnd"/>
      <w:r>
        <w:t xml:space="preserve"> = multi-parametric flow cytometry; NGS = next generation sequencing</w:t>
      </w:r>
    </w:p>
    <w:p w14:paraId="1F47EB61" w14:textId="0760A7E4" w:rsidR="00F37D77" w:rsidRDefault="00F37D77" w:rsidP="00087875">
      <w:pPr>
        <w:pStyle w:val="TableFooter"/>
        <w:shd w:val="clear" w:color="auto" w:fill="FFFFFF" w:themeFill="background1"/>
      </w:pPr>
      <w:r>
        <w:t>* Reflects combined cost of development of patient-specific assay ($2,220) and an initial test using patient specific assay ($780)</w:t>
      </w:r>
    </w:p>
    <w:p w14:paraId="0CB86BED" w14:textId="61C5DA86" w:rsidR="009D36DE" w:rsidRDefault="00F37D77" w:rsidP="00D75F82">
      <w:pPr>
        <w:pStyle w:val="TableFooter"/>
        <w:shd w:val="clear" w:color="auto" w:fill="FFFFFF" w:themeFill="background1"/>
      </w:pPr>
      <w:r>
        <w:t>*</w:t>
      </w:r>
      <w:r w:rsidR="00671873" w:rsidRPr="00EC7A7B">
        <w:t>*</w:t>
      </w:r>
      <w:r w:rsidR="00671873">
        <w:t xml:space="preserve"> Reflects Greatest </w:t>
      </w:r>
      <w:proofErr w:type="spellStart"/>
      <w:r w:rsidR="00671873">
        <w:t>Permissable</w:t>
      </w:r>
      <w:proofErr w:type="spellEnd"/>
      <w:r w:rsidR="00671873">
        <w:t xml:space="preserve"> Gap as </w:t>
      </w:r>
      <w:proofErr w:type="gramStart"/>
      <w:r w:rsidR="00671873">
        <w:t>at</w:t>
      </w:r>
      <w:proofErr w:type="gramEnd"/>
      <w:r w:rsidR="00671873">
        <w:t xml:space="preserve"> 1 November 2021.</w:t>
      </w:r>
    </w:p>
    <w:p w14:paraId="730CE6CF" w14:textId="6D012E4C" w:rsidR="00043D7C" w:rsidRDefault="00043D7C" w:rsidP="00074667">
      <w:pPr>
        <w:pStyle w:val="Heading3"/>
      </w:pPr>
      <w:r>
        <w:lastRenderedPageBreak/>
        <w:t>The expected utilisation of the MBS items</w:t>
      </w:r>
    </w:p>
    <w:p w14:paraId="7A8282EA" w14:textId="7592130A" w:rsidR="00A041A4" w:rsidRPr="004A1220" w:rsidRDefault="00A041A4" w:rsidP="00A041A4">
      <w:pPr>
        <w:pStyle w:val="Instructionaltext"/>
        <w:rPr>
          <w:iCs/>
          <w:color w:val="auto"/>
        </w:rPr>
      </w:pPr>
      <w:r w:rsidRPr="00454151">
        <w:rPr>
          <w:color w:val="auto"/>
        </w:rPr>
        <w:t xml:space="preserve">The RCPA estimated that </w:t>
      </w:r>
      <w:r w:rsidR="007B15EB">
        <w:rPr>
          <w:color w:val="auto"/>
        </w:rPr>
        <w:t>patients would have</w:t>
      </w:r>
      <w:r w:rsidR="003D120A">
        <w:rPr>
          <w:color w:val="auto"/>
        </w:rPr>
        <w:t xml:space="preserve"> a median of</w:t>
      </w:r>
      <w:r w:rsidR="007B15EB">
        <w:rPr>
          <w:color w:val="auto"/>
        </w:rPr>
        <w:t xml:space="preserve"> 4 to 6 MRD tests per course of disease. Those wi</w:t>
      </w:r>
      <w:r w:rsidR="00133EFB">
        <w:rPr>
          <w:color w:val="auto"/>
        </w:rPr>
        <w:t xml:space="preserve">th standard or medium risk are expected to undergo </w:t>
      </w:r>
      <w:r w:rsidR="006B5B2E">
        <w:rPr>
          <w:color w:val="auto"/>
        </w:rPr>
        <w:t>3</w:t>
      </w:r>
      <w:r w:rsidR="00133EFB">
        <w:rPr>
          <w:color w:val="auto"/>
        </w:rPr>
        <w:t xml:space="preserve"> tests</w:t>
      </w:r>
      <w:r w:rsidR="006B5B2E">
        <w:rPr>
          <w:color w:val="auto"/>
        </w:rPr>
        <w:t xml:space="preserve"> during the Protocol I induction and consolidation phase of treatment</w:t>
      </w:r>
      <w:r w:rsidR="00133EFB">
        <w:rPr>
          <w:color w:val="auto"/>
        </w:rPr>
        <w:t xml:space="preserve">, while those considered to be at high risk are expected to have up to </w:t>
      </w:r>
      <w:r w:rsidR="006B5B2E">
        <w:rPr>
          <w:color w:val="auto"/>
        </w:rPr>
        <w:t>8</w:t>
      </w:r>
      <w:r w:rsidR="00133EFB">
        <w:rPr>
          <w:color w:val="auto"/>
        </w:rPr>
        <w:t xml:space="preserve"> tests per episode of disease (</w:t>
      </w:r>
      <w:r w:rsidR="00133EFB" w:rsidRPr="00133EFB">
        <w:rPr>
          <w:color w:val="auto"/>
        </w:rPr>
        <w:t xml:space="preserve">see </w:t>
      </w:r>
      <w:r w:rsidR="00133EFB" w:rsidRPr="00133EFB">
        <w:rPr>
          <w:color w:val="auto"/>
        </w:rPr>
        <w:fldChar w:fldCharType="begin"/>
      </w:r>
      <w:r w:rsidR="00133EFB" w:rsidRPr="00133EFB">
        <w:rPr>
          <w:color w:val="auto"/>
        </w:rPr>
        <w:instrText xml:space="preserve"> REF _Ref97193438 \h </w:instrText>
      </w:r>
      <w:r w:rsidR="00133EFB" w:rsidRPr="00133EFB">
        <w:rPr>
          <w:color w:val="auto"/>
        </w:rPr>
      </w:r>
      <w:r w:rsidR="00133EFB" w:rsidRPr="00133EFB">
        <w:rPr>
          <w:color w:val="auto"/>
        </w:rPr>
        <w:fldChar w:fldCharType="separate"/>
      </w:r>
      <w:r w:rsidR="00133EFB" w:rsidRPr="00133EFB">
        <w:rPr>
          <w:color w:val="auto"/>
        </w:rPr>
        <w:t xml:space="preserve">Figure </w:t>
      </w:r>
      <w:r w:rsidR="00133EFB" w:rsidRPr="00133EFB">
        <w:rPr>
          <w:noProof/>
          <w:color w:val="auto"/>
        </w:rPr>
        <w:t>4</w:t>
      </w:r>
      <w:r w:rsidR="00133EFB" w:rsidRPr="00133EFB">
        <w:rPr>
          <w:color w:val="auto"/>
        </w:rPr>
        <w:fldChar w:fldCharType="end"/>
      </w:r>
      <w:r w:rsidR="00133EFB" w:rsidRPr="00133EFB">
        <w:rPr>
          <w:color w:val="auto"/>
        </w:rPr>
        <w:t>).</w:t>
      </w:r>
    </w:p>
    <w:p w14:paraId="31ADB65D" w14:textId="7FF14AA9" w:rsidR="000F4197" w:rsidRDefault="000F264E" w:rsidP="006B5B2E">
      <w:r>
        <w:t>Application 1707 estimate</w:t>
      </w:r>
      <w:r w:rsidR="00133EFB">
        <w:t>d</w:t>
      </w:r>
      <w:r>
        <w:t xml:space="preserve"> that each new patient is expected to receive up to three (possibly four in a minority of cases who undergo HSCT or CAR-T therapy) MRD tests in tota</w:t>
      </w:r>
      <w:r w:rsidR="006B5B2E">
        <w:t>l.</w:t>
      </w:r>
    </w:p>
    <w:p w14:paraId="507E9833" w14:textId="66CA221D" w:rsidR="00B67D71" w:rsidRPr="00C41FF2" w:rsidRDefault="00B67D71" w:rsidP="006B5B2E">
      <w:r>
        <w:t xml:space="preserve">The approximate number of MRD tests to be </w:t>
      </w:r>
      <w:proofErr w:type="spellStart"/>
      <w:r>
        <w:t>perfomed</w:t>
      </w:r>
      <w:proofErr w:type="spellEnd"/>
      <w:r>
        <w:t xml:space="preserve"> each year is shown in </w:t>
      </w:r>
      <w:fldSimple w:instr=" REF _Ref97297019 ">
        <w:r w:rsidR="00633D54">
          <w:t xml:space="preserve">Table </w:t>
        </w:r>
        <w:r w:rsidR="00633D54">
          <w:rPr>
            <w:noProof/>
          </w:rPr>
          <w:t>8</w:t>
        </w:r>
      </w:fldSimple>
      <w:r>
        <w:t>.</w:t>
      </w:r>
      <w:r w:rsidR="00964DD4">
        <w:t xml:space="preserve"> Each assessment should include the number of tests performed per person as a sensitivity analysis to incorporate the alternative estimate.</w:t>
      </w:r>
    </w:p>
    <w:p w14:paraId="7039C96D" w14:textId="183185DD" w:rsidR="000F4197" w:rsidRDefault="000F4197" w:rsidP="000F4197">
      <w:pPr>
        <w:pStyle w:val="Caption"/>
      </w:pPr>
      <w:bookmarkStart w:id="25" w:name="_Ref97297019"/>
      <w:r>
        <w:t xml:space="preserve">Table </w:t>
      </w:r>
      <w:r>
        <w:fldChar w:fldCharType="begin"/>
      </w:r>
      <w:r>
        <w:instrText xml:space="preserve"> SEQ Table \* ARABIC </w:instrText>
      </w:r>
      <w:r>
        <w:fldChar w:fldCharType="separate"/>
      </w:r>
      <w:r w:rsidR="00996BE8">
        <w:rPr>
          <w:noProof/>
        </w:rPr>
        <w:t>8</w:t>
      </w:r>
      <w:r>
        <w:fldChar w:fldCharType="end"/>
      </w:r>
      <w:bookmarkEnd w:id="25"/>
      <w:r>
        <w:tab/>
        <w:t>Projected number of MRD tests performed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1082"/>
        <w:gridCol w:w="1082"/>
        <w:gridCol w:w="1082"/>
        <w:gridCol w:w="1082"/>
        <w:gridCol w:w="1082"/>
        <w:gridCol w:w="1082"/>
      </w:tblGrid>
      <w:tr w:rsidR="00FF5A89" w:rsidRPr="005446D5" w14:paraId="5F114393" w14:textId="4D32753F" w:rsidTr="00190F01">
        <w:trPr>
          <w:trHeight w:val="611"/>
        </w:trPr>
        <w:tc>
          <w:tcPr>
            <w:tcW w:w="1609" w:type="pct"/>
            <w:shd w:val="clear" w:color="auto" w:fill="auto"/>
          </w:tcPr>
          <w:p w14:paraId="73F14AEA" w14:textId="77777777" w:rsidR="006576CD" w:rsidRPr="00454151" w:rsidRDefault="006576CD" w:rsidP="00B41834">
            <w:pPr>
              <w:pStyle w:val="TableHeading"/>
              <w:rPr>
                <w:rFonts w:eastAsiaTheme="minorHAnsi"/>
              </w:rPr>
            </w:pPr>
          </w:p>
        </w:tc>
        <w:tc>
          <w:tcPr>
            <w:tcW w:w="565" w:type="pct"/>
            <w:tcBorders>
              <w:left w:val="single" w:sz="4" w:space="0" w:color="auto"/>
              <w:bottom w:val="single" w:sz="4" w:space="0" w:color="auto"/>
              <w:right w:val="single" w:sz="4" w:space="0" w:color="auto"/>
            </w:tcBorders>
            <w:shd w:val="clear" w:color="auto" w:fill="auto"/>
            <w:vAlign w:val="center"/>
          </w:tcPr>
          <w:p w14:paraId="0AD3D7A4" w14:textId="688F7358" w:rsidR="006576CD" w:rsidRPr="00454151" w:rsidRDefault="006576CD" w:rsidP="00190F01">
            <w:pPr>
              <w:pStyle w:val="TableHeading"/>
              <w:jc w:val="right"/>
              <w:rPr>
                <w:rFonts w:eastAsiaTheme="minorHAnsi"/>
              </w:rPr>
            </w:pPr>
            <w:r>
              <w:rPr>
                <w:rFonts w:eastAsiaTheme="minorHAnsi"/>
              </w:rPr>
              <w:t>2022</w:t>
            </w:r>
          </w:p>
        </w:tc>
        <w:tc>
          <w:tcPr>
            <w:tcW w:w="565" w:type="pct"/>
            <w:tcBorders>
              <w:left w:val="single" w:sz="4" w:space="0" w:color="auto"/>
              <w:bottom w:val="single" w:sz="4" w:space="0" w:color="auto"/>
              <w:right w:val="single" w:sz="4" w:space="0" w:color="auto"/>
            </w:tcBorders>
            <w:shd w:val="clear" w:color="auto" w:fill="auto"/>
            <w:vAlign w:val="center"/>
          </w:tcPr>
          <w:p w14:paraId="7C045FF4" w14:textId="77777777" w:rsidR="006576CD" w:rsidRPr="00454151" w:rsidRDefault="006576CD" w:rsidP="00190F01">
            <w:pPr>
              <w:pStyle w:val="TableHeading"/>
              <w:jc w:val="right"/>
              <w:rPr>
                <w:rFonts w:eastAsiaTheme="minorHAnsi"/>
              </w:rPr>
            </w:pPr>
            <w:r>
              <w:rPr>
                <w:rFonts w:eastAsiaTheme="minorHAnsi"/>
              </w:rPr>
              <w:t>2023</w:t>
            </w:r>
          </w:p>
        </w:tc>
        <w:tc>
          <w:tcPr>
            <w:tcW w:w="565" w:type="pct"/>
            <w:tcBorders>
              <w:left w:val="single" w:sz="4" w:space="0" w:color="auto"/>
              <w:bottom w:val="single" w:sz="4" w:space="0" w:color="auto"/>
            </w:tcBorders>
            <w:vAlign w:val="center"/>
          </w:tcPr>
          <w:p w14:paraId="4EE20861" w14:textId="77777777" w:rsidR="006576CD" w:rsidRPr="005446D5" w:rsidRDefault="006576CD" w:rsidP="00190F01">
            <w:pPr>
              <w:pStyle w:val="Tabletext"/>
              <w:jc w:val="right"/>
              <w:rPr>
                <w:rFonts w:eastAsiaTheme="minorHAnsi"/>
                <w:b/>
              </w:rPr>
            </w:pPr>
            <w:r>
              <w:rPr>
                <w:rFonts w:eastAsiaTheme="minorHAnsi"/>
                <w:b/>
              </w:rPr>
              <w:t>2024</w:t>
            </w:r>
          </w:p>
        </w:tc>
        <w:tc>
          <w:tcPr>
            <w:tcW w:w="565" w:type="pct"/>
            <w:tcBorders>
              <w:left w:val="nil"/>
              <w:bottom w:val="single" w:sz="4" w:space="0" w:color="auto"/>
            </w:tcBorders>
            <w:vAlign w:val="center"/>
          </w:tcPr>
          <w:p w14:paraId="50684B14" w14:textId="77777777" w:rsidR="006576CD" w:rsidRPr="005446D5" w:rsidRDefault="006576CD" w:rsidP="00190F01">
            <w:pPr>
              <w:pStyle w:val="Tabletext"/>
              <w:jc w:val="right"/>
              <w:rPr>
                <w:rFonts w:eastAsiaTheme="minorHAnsi"/>
                <w:b/>
              </w:rPr>
            </w:pPr>
            <w:r>
              <w:rPr>
                <w:rFonts w:eastAsiaTheme="minorHAnsi"/>
                <w:b/>
              </w:rPr>
              <w:t>2025</w:t>
            </w:r>
          </w:p>
        </w:tc>
        <w:tc>
          <w:tcPr>
            <w:tcW w:w="565" w:type="pct"/>
            <w:tcBorders>
              <w:left w:val="nil"/>
              <w:bottom w:val="single" w:sz="4" w:space="0" w:color="auto"/>
            </w:tcBorders>
            <w:vAlign w:val="center"/>
          </w:tcPr>
          <w:p w14:paraId="4C150FF0" w14:textId="77777777" w:rsidR="006576CD" w:rsidRDefault="006576CD" w:rsidP="00190F01">
            <w:pPr>
              <w:pStyle w:val="Tabletext"/>
              <w:jc w:val="right"/>
              <w:rPr>
                <w:rFonts w:eastAsiaTheme="minorHAnsi"/>
                <w:b/>
              </w:rPr>
            </w:pPr>
            <w:r>
              <w:rPr>
                <w:rFonts w:eastAsiaTheme="minorHAnsi"/>
                <w:b/>
              </w:rPr>
              <w:t>2026</w:t>
            </w:r>
          </w:p>
        </w:tc>
        <w:tc>
          <w:tcPr>
            <w:tcW w:w="565" w:type="pct"/>
            <w:tcBorders>
              <w:left w:val="nil"/>
              <w:bottom w:val="single" w:sz="4" w:space="0" w:color="auto"/>
            </w:tcBorders>
            <w:vAlign w:val="center"/>
          </w:tcPr>
          <w:p w14:paraId="23C8C882" w14:textId="00C91545" w:rsidR="006576CD" w:rsidRDefault="006576CD" w:rsidP="00190F01">
            <w:pPr>
              <w:pStyle w:val="Tabletext"/>
              <w:jc w:val="right"/>
              <w:rPr>
                <w:rFonts w:eastAsiaTheme="minorHAnsi"/>
                <w:b/>
              </w:rPr>
            </w:pPr>
            <w:r>
              <w:rPr>
                <w:rFonts w:eastAsiaTheme="minorHAnsi"/>
                <w:b/>
              </w:rPr>
              <w:t>2027</w:t>
            </w:r>
          </w:p>
        </w:tc>
      </w:tr>
      <w:tr w:rsidR="00FF5A89" w:rsidRPr="00454151" w14:paraId="7A92EF1F" w14:textId="68C0D5CD" w:rsidTr="00190F01">
        <w:trPr>
          <w:trHeight w:val="540"/>
        </w:trPr>
        <w:tc>
          <w:tcPr>
            <w:tcW w:w="1609" w:type="pct"/>
            <w:tcBorders>
              <w:top w:val="single" w:sz="4" w:space="0" w:color="auto"/>
              <w:bottom w:val="single" w:sz="4" w:space="0" w:color="auto"/>
            </w:tcBorders>
            <w:shd w:val="clear" w:color="auto" w:fill="FFFFFF" w:themeFill="background1"/>
            <w:vAlign w:val="center"/>
          </w:tcPr>
          <w:p w14:paraId="55C80031" w14:textId="14B2067B" w:rsidR="00FF5A89" w:rsidRPr="002C2AA8" w:rsidRDefault="00FF5A89" w:rsidP="00FF5A89">
            <w:pPr>
              <w:pStyle w:val="Tabletext"/>
              <w:rPr>
                <w:rFonts w:eastAsiaTheme="minorHAnsi"/>
              </w:rPr>
            </w:pPr>
            <w:r w:rsidRPr="002C2AA8">
              <w:rPr>
                <w:rFonts w:eastAsiaTheme="minorHAnsi"/>
              </w:rPr>
              <w:t xml:space="preserve">De novo and relapsed cases potentially </w:t>
            </w:r>
            <w:proofErr w:type="spellStart"/>
            <w:r w:rsidRPr="002C2AA8">
              <w:rPr>
                <w:rFonts w:eastAsiaTheme="minorHAnsi"/>
              </w:rPr>
              <w:t>uptaking</w:t>
            </w:r>
            <w:proofErr w:type="spellEnd"/>
            <w:r w:rsidRPr="002C2AA8">
              <w:rPr>
                <w:rFonts w:eastAsiaTheme="minorHAnsi"/>
              </w:rPr>
              <w:t xml:space="preserve"> MRD testing (from </w:t>
            </w:r>
            <w:r w:rsidRPr="002C2AA8">
              <w:rPr>
                <w:rFonts w:eastAsiaTheme="minorHAnsi"/>
              </w:rPr>
              <w:fldChar w:fldCharType="begin"/>
            </w:r>
            <w:r w:rsidRPr="002C2AA8">
              <w:rPr>
                <w:rFonts w:eastAsiaTheme="minorHAnsi"/>
              </w:rPr>
              <w:instrText xml:space="preserve"> REF _Ref97293961 </w:instrText>
            </w:r>
            <w:r>
              <w:rPr>
                <w:rFonts w:eastAsiaTheme="minorHAnsi"/>
              </w:rPr>
              <w:instrText xml:space="preserve"> \* MERGEFORMAT </w:instrText>
            </w:r>
            <w:r w:rsidRPr="002C2AA8">
              <w:rPr>
                <w:rFonts w:eastAsiaTheme="minorHAnsi"/>
              </w:rPr>
              <w:fldChar w:fldCharType="separate"/>
            </w:r>
            <w:r w:rsidRPr="002C2AA8">
              <w:t xml:space="preserve">Table </w:t>
            </w:r>
            <w:r w:rsidRPr="002C2AA8">
              <w:rPr>
                <w:noProof/>
              </w:rPr>
              <w:t>2</w:t>
            </w:r>
            <w:r w:rsidRPr="002C2AA8">
              <w:rPr>
                <w:rFonts w:eastAsiaTheme="minorHAnsi"/>
              </w:rPr>
              <w:fldChar w:fldCharType="end"/>
            </w:r>
            <w:r w:rsidRPr="002C2AA8">
              <w:rPr>
                <w:rFonts w:eastAsiaTheme="minorHAnsi"/>
              </w:rPr>
              <w:t>)</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60BE9" w14:textId="0056B2CA" w:rsidR="00FF5A89" w:rsidRPr="002C2AA8" w:rsidRDefault="00695E94" w:rsidP="00190F01">
            <w:pPr>
              <w:pStyle w:val="Tabletext"/>
              <w:jc w:val="right"/>
              <w:rPr>
                <w:rFonts w:eastAsiaTheme="minorHAnsi"/>
              </w:rPr>
            </w:pPr>
            <w:r>
              <w:rPr>
                <w:rFonts w:eastAsiaTheme="minorHAnsi"/>
              </w:rPr>
              <w:t>560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C8DAF" w14:textId="1915AF43" w:rsidR="00FF5A89" w:rsidRPr="002C2AA8" w:rsidRDefault="00695E94" w:rsidP="00190F01">
            <w:pPr>
              <w:pStyle w:val="Tabletext"/>
              <w:jc w:val="right"/>
              <w:rPr>
                <w:rFonts w:eastAsiaTheme="minorHAnsi"/>
              </w:rPr>
            </w:pPr>
            <w:r>
              <w:rPr>
                <w:rFonts w:eastAsiaTheme="minorHAnsi"/>
              </w:rPr>
              <w:t>576</w:t>
            </w:r>
          </w:p>
        </w:tc>
        <w:tc>
          <w:tcPr>
            <w:tcW w:w="565" w:type="pct"/>
            <w:tcBorders>
              <w:top w:val="single" w:sz="4" w:space="0" w:color="auto"/>
              <w:left w:val="single" w:sz="4" w:space="0" w:color="auto"/>
              <w:bottom w:val="single" w:sz="4" w:space="0" w:color="auto"/>
            </w:tcBorders>
            <w:shd w:val="clear" w:color="auto" w:fill="FFFFFF" w:themeFill="background1"/>
            <w:vAlign w:val="center"/>
          </w:tcPr>
          <w:p w14:paraId="52A7E257" w14:textId="6FF15E30" w:rsidR="00FF5A89" w:rsidRPr="002C2AA8" w:rsidRDefault="00695E94" w:rsidP="00190F01">
            <w:pPr>
              <w:pStyle w:val="Tabletext"/>
              <w:jc w:val="right"/>
              <w:rPr>
                <w:rFonts w:eastAsiaTheme="minorHAnsi"/>
              </w:rPr>
            </w:pPr>
            <w:r>
              <w:rPr>
                <w:rFonts w:eastAsiaTheme="minorHAnsi"/>
              </w:rPr>
              <w:t>596</w:t>
            </w:r>
          </w:p>
        </w:tc>
        <w:tc>
          <w:tcPr>
            <w:tcW w:w="565" w:type="pct"/>
            <w:tcBorders>
              <w:top w:val="single" w:sz="4" w:space="0" w:color="auto"/>
              <w:left w:val="nil"/>
              <w:bottom w:val="single" w:sz="4" w:space="0" w:color="auto"/>
            </w:tcBorders>
            <w:shd w:val="clear" w:color="auto" w:fill="FFFFFF" w:themeFill="background1"/>
            <w:vAlign w:val="center"/>
          </w:tcPr>
          <w:p w14:paraId="43B90F5E" w14:textId="19B75AE2" w:rsidR="00FF5A89" w:rsidRPr="002C2AA8" w:rsidRDefault="00695E94" w:rsidP="00190F01">
            <w:pPr>
              <w:pStyle w:val="Tabletext"/>
              <w:jc w:val="right"/>
              <w:rPr>
                <w:rFonts w:eastAsiaTheme="minorHAnsi"/>
              </w:rPr>
            </w:pPr>
            <w:r>
              <w:rPr>
                <w:rFonts w:eastAsiaTheme="minorHAnsi"/>
              </w:rPr>
              <w:t>615</w:t>
            </w:r>
          </w:p>
        </w:tc>
        <w:tc>
          <w:tcPr>
            <w:tcW w:w="565" w:type="pct"/>
            <w:tcBorders>
              <w:top w:val="single" w:sz="4" w:space="0" w:color="auto"/>
              <w:left w:val="nil"/>
              <w:bottom w:val="single" w:sz="4" w:space="0" w:color="auto"/>
            </w:tcBorders>
            <w:shd w:val="clear" w:color="auto" w:fill="FFFFFF" w:themeFill="background1"/>
            <w:vAlign w:val="center"/>
          </w:tcPr>
          <w:p w14:paraId="6FBE8220" w14:textId="2A2652B7" w:rsidR="00FF5A89" w:rsidRPr="002C2AA8" w:rsidRDefault="00695E94" w:rsidP="00190F01">
            <w:pPr>
              <w:pStyle w:val="Tabletext"/>
              <w:jc w:val="right"/>
              <w:rPr>
                <w:rFonts w:eastAsiaTheme="minorHAnsi"/>
              </w:rPr>
            </w:pPr>
            <w:r>
              <w:rPr>
                <w:rFonts w:eastAsiaTheme="minorHAnsi"/>
              </w:rPr>
              <w:t>634</w:t>
            </w:r>
          </w:p>
        </w:tc>
        <w:tc>
          <w:tcPr>
            <w:tcW w:w="565" w:type="pct"/>
            <w:tcBorders>
              <w:top w:val="single" w:sz="4" w:space="0" w:color="auto"/>
              <w:left w:val="nil"/>
              <w:bottom w:val="single" w:sz="4" w:space="0" w:color="auto"/>
            </w:tcBorders>
            <w:shd w:val="clear" w:color="auto" w:fill="FFFFFF" w:themeFill="background1"/>
            <w:vAlign w:val="center"/>
          </w:tcPr>
          <w:p w14:paraId="48D70A9D" w14:textId="1B3FFC51" w:rsidR="00FF5A89" w:rsidRPr="002C2AA8" w:rsidRDefault="00695E94" w:rsidP="00190F01">
            <w:pPr>
              <w:pStyle w:val="Tabletext"/>
              <w:jc w:val="right"/>
              <w:rPr>
                <w:rFonts w:eastAsiaTheme="minorHAnsi"/>
              </w:rPr>
            </w:pPr>
            <w:r>
              <w:rPr>
                <w:rFonts w:eastAsiaTheme="minorHAnsi"/>
              </w:rPr>
              <w:t>681</w:t>
            </w:r>
          </w:p>
        </w:tc>
      </w:tr>
      <w:tr w:rsidR="00FF5A89" w:rsidRPr="00454151" w14:paraId="7A9CA7A4" w14:textId="7CBF0D83" w:rsidTr="00190F01">
        <w:trPr>
          <w:trHeight w:val="540"/>
        </w:trPr>
        <w:tc>
          <w:tcPr>
            <w:tcW w:w="1609" w:type="pct"/>
            <w:tcBorders>
              <w:top w:val="single" w:sz="4" w:space="0" w:color="auto"/>
              <w:bottom w:val="single" w:sz="4" w:space="0" w:color="auto"/>
            </w:tcBorders>
            <w:shd w:val="clear" w:color="auto" w:fill="FFFFFF" w:themeFill="background1"/>
            <w:vAlign w:val="center"/>
          </w:tcPr>
          <w:p w14:paraId="71EC6EDF" w14:textId="619B950F" w:rsidR="00FF5A89" w:rsidRPr="002C2AA8" w:rsidRDefault="00FF5A89" w:rsidP="00FF5A89">
            <w:pPr>
              <w:pStyle w:val="Tabletext"/>
              <w:rPr>
                <w:rFonts w:eastAsiaTheme="minorHAnsi"/>
              </w:rPr>
            </w:pPr>
            <w:r w:rsidRPr="002C2AA8">
              <w:rPr>
                <w:rFonts w:eastAsiaTheme="minorHAnsi"/>
              </w:rPr>
              <w:t xml:space="preserve">Projected number of tests performed </w:t>
            </w:r>
            <w:r>
              <w:rPr>
                <w:rFonts w:eastAsiaTheme="minorHAnsi"/>
              </w:rPr>
              <w:t>assuming mean of 5 tests per course of disease (as per 1703)</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64F89" w14:textId="462BF710" w:rsidR="00FF5A89" w:rsidRPr="002C2AA8" w:rsidRDefault="00695E94" w:rsidP="00190F01">
            <w:pPr>
              <w:pStyle w:val="Tabletext"/>
              <w:jc w:val="right"/>
              <w:rPr>
                <w:rFonts w:eastAsiaTheme="minorHAnsi"/>
              </w:rPr>
            </w:pPr>
            <w:r>
              <w:rPr>
                <w:rFonts w:eastAsiaTheme="minorHAnsi"/>
              </w:rPr>
              <w:t>2,800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EBDBB" w14:textId="3E622049" w:rsidR="00FF5A89" w:rsidRPr="002C2AA8" w:rsidRDefault="00695E94" w:rsidP="00190F01">
            <w:pPr>
              <w:pStyle w:val="Tabletext"/>
              <w:jc w:val="right"/>
              <w:rPr>
                <w:rFonts w:eastAsiaTheme="minorHAnsi"/>
              </w:rPr>
            </w:pPr>
            <w:r>
              <w:rPr>
                <w:rFonts w:eastAsiaTheme="minorHAnsi"/>
              </w:rPr>
              <w:t>2,881</w:t>
            </w:r>
          </w:p>
        </w:tc>
        <w:tc>
          <w:tcPr>
            <w:tcW w:w="565" w:type="pct"/>
            <w:tcBorders>
              <w:top w:val="single" w:sz="4" w:space="0" w:color="auto"/>
              <w:left w:val="single" w:sz="4" w:space="0" w:color="auto"/>
              <w:bottom w:val="single" w:sz="4" w:space="0" w:color="auto"/>
            </w:tcBorders>
            <w:shd w:val="clear" w:color="auto" w:fill="FFFFFF" w:themeFill="background1"/>
            <w:vAlign w:val="center"/>
          </w:tcPr>
          <w:p w14:paraId="6C725289" w14:textId="17FCB678" w:rsidR="00FF5A89" w:rsidRPr="002C2AA8" w:rsidRDefault="00695E94" w:rsidP="00190F01">
            <w:pPr>
              <w:pStyle w:val="Tabletext"/>
              <w:jc w:val="right"/>
              <w:rPr>
                <w:rFonts w:eastAsiaTheme="minorHAnsi"/>
              </w:rPr>
            </w:pPr>
            <w:r>
              <w:rPr>
                <w:rFonts w:eastAsiaTheme="minorHAnsi"/>
              </w:rPr>
              <w:t>2,982</w:t>
            </w:r>
          </w:p>
        </w:tc>
        <w:tc>
          <w:tcPr>
            <w:tcW w:w="565" w:type="pct"/>
            <w:tcBorders>
              <w:top w:val="single" w:sz="4" w:space="0" w:color="auto"/>
              <w:left w:val="nil"/>
              <w:bottom w:val="single" w:sz="4" w:space="0" w:color="auto"/>
            </w:tcBorders>
            <w:shd w:val="clear" w:color="auto" w:fill="FFFFFF" w:themeFill="background1"/>
            <w:vAlign w:val="center"/>
          </w:tcPr>
          <w:p w14:paraId="26865F85" w14:textId="67882DC2" w:rsidR="00FF5A89" w:rsidRPr="002C2AA8" w:rsidRDefault="00695E94" w:rsidP="00190F01">
            <w:pPr>
              <w:pStyle w:val="Tabletext"/>
              <w:jc w:val="right"/>
              <w:rPr>
                <w:rFonts w:eastAsiaTheme="minorHAnsi"/>
              </w:rPr>
            </w:pPr>
            <w:r>
              <w:rPr>
                <w:rFonts w:eastAsiaTheme="minorHAnsi"/>
              </w:rPr>
              <w:t>3,075</w:t>
            </w:r>
          </w:p>
        </w:tc>
        <w:tc>
          <w:tcPr>
            <w:tcW w:w="565" w:type="pct"/>
            <w:tcBorders>
              <w:top w:val="single" w:sz="4" w:space="0" w:color="auto"/>
              <w:left w:val="nil"/>
              <w:bottom w:val="single" w:sz="4" w:space="0" w:color="auto"/>
            </w:tcBorders>
            <w:shd w:val="clear" w:color="auto" w:fill="FFFFFF" w:themeFill="background1"/>
            <w:vAlign w:val="center"/>
          </w:tcPr>
          <w:p w14:paraId="24FC357C" w14:textId="77DC4C43" w:rsidR="00FF5A89" w:rsidRPr="002C2AA8" w:rsidRDefault="00695E94" w:rsidP="00190F01">
            <w:pPr>
              <w:pStyle w:val="Tabletext"/>
              <w:jc w:val="right"/>
              <w:rPr>
                <w:rFonts w:eastAsiaTheme="minorHAnsi"/>
              </w:rPr>
            </w:pPr>
            <w:r>
              <w:rPr>
                <w:rFonts w:eastAsiaTheme="minorHAnsi"/>
              </w:rPr>
              <w:t>3,170</w:t>
            </w:r>
          </w:p>
        </w:tc>
        <w:tc>
          <w:tcPr>
            <w:tcW w:w="565" w:type="pct"/>
            <w:tcBorders>
              <w:top w:val="single" w:sz="4" w:space="0" w:color="auto"/>
              <w:left w:val="nil"/>
              <w:bottom w:val="single" w:sz="4" w:space="0" w:color="auto"/>
            </w:tcBorders>
            <w:shd w:val="clear" w:color="auto" w:fill="FFFFFF" w:themeFill="background1"/>
            <w:vAlign w:val="center"/>
          </w:tcPr>
          <w:p w14:paraId="48764AAF" w14:textId="2BBB860C" w:rsidR="00FF5A89" w:rsidRDefault="00695E94" w:rsidP="00190F01">
            <w:pPr>
              <w:pStyle w:val="Tabletext"/>
              <w:jc w:val="right"/>
              <w:rPr>
                <w:rFonts w:eastAsiaTheme="minorHAnsi"/>
              </w:rPr>
            </w:pPr>
            <w:r>
              <w:rPr>
                <w:rFonts w:eastAsiaTheme="minorHAnsi"/>
              </w:rPr>
              <w:t>3,405</w:t>
            </w:r>
          </w:p>
        </w:tc>
      </w:tr>
      <w:tr w:rsidR="00FF5A89" w:rsidRPr="00454151" w14:paraId="167E2401" w14:textId="7D1BEB38" w:rsidTr="00190F01">
        <w:trPr>
          <w:trHeight w:val="540"/>
        </w:trPr>
        <w:tc>
          <w:tcPr>
            <w:tcW w:w="1609" w:type="pct"/>
            <w:tcBorders>
              <w:top w:val="single" w:sz="4" w:space="0" w:color="auto"/>
              <w:bottom w:val="single" w:sz="4" w:space="0" w:color="auto"/>
            </w:tcBorders>
            <w:shd w:val="clear" w:color="auto" w:fill="FFFFFF" w:themeFill="background1"/>
            <w:vAlign w:val="center"/>
          </w:tcPr>
          <w:p w14:paraId="4468D87B" w14:textId="41947802" w:rsidR="00FF5A89" w:rsidRPr="002C2AA8" w:rsidRDefault="00FF5A89" w:rsidP="00FF5A89">
            <w:pPr>
              <w:pStyle w:val="Tabletext"/>
              <w:rPr>
                <w:rFonts w:eastAsiaTheme="minorHAnsi"/>
              </w:rPr>
            </w:pPr>
            <w:r>
              <w:rPr>
                <w:rFonts w:eastAsiaTheme="minorHAnsi"/>
              </w:rPr>
              <w:t>Projected number of tests performed assuming mean of 3 tests per course of disease (as per 1707)</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5D07C" w14:textId="541246DC" w:rsidR="00FF5A89" w:rsidRPr="002C2AA8" w:rsidRDefault="00695E94" w:rsidP="00190F01">
            <w:pPr>
              <w:pStyle w:val="Tabletext"/>
              <w:jc w:val="right"/>
              <w:rPr>
                <w:rFonts w:eastAsiaTheme="minorHAnsi"/>
              </w:rPr>
            </w:pPr>
            <w:r>
              <w:rPr>
                <w:rFonts w:eastAsiaTheme="minorHAnsi"/>
              </w:rPr>
              <w:t>1,680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BEACE" w14:textId="5C355138" w:rsidR="00FF5A89" w:rsidRPr="002C2AA8" w:rsidRDefault="00695E94" w:rsidP="00190F01">
            <w:pPr>
              <w:pStyle w:val="Tabletext"/>
              <w:jc w:val="right"/>
              <w:rPr>
                <w:rFonts w:eastAsiaTheme="minorHAnsi"/>
              </w:rPr>
            </w:pPr>
            <w:r>
              <w:rPr>
                <w:rFonts w:eastAsiaTheme="minorHAnsi"/>
              </w:rPr>
              <w:t>1,729</w:t>
            </w:r>
          </w:p>
        </w:tc>
        <w:tc>
          <w:tcPr>
            <w:tcW w:w="565" w:type="pct"/>
            <w:tcBorders>
              <w:top w:val="single" w:sz="4" w:space="0" w:color="auto"/>
              <w:left w:val="single" w:sz="4" w:space="0" w:color="auto"/>
              <w:bottom w:val="single" w:sz="4" w:space="0" w:color="auto"/>
            </w:tcBorders>
            <w:shd w:val="clear" w:color="auto" w:fill="FFFFFF" w:themeFill="background1"/>
            <w:vAlign w:val="center"/>
          </w:tcPr>
          <w:p w14:paraId="7B4BBECB" w14:textId="0479AF62" w:rsidR="00FF5A89" w:rsidRPr="002C2AA8" w:rsidRDefault="00695E94" w:rsidP="00190F01">
            <w:pPr>
              <w:pStyle w:val="Tabletext"/>
              <w:jc w:val="right"/>
              <w:rPr>
                <w:rFonts w:eastAsiaTheme="minorHAnsi"/>
              </w:rPr>
            </w:pPr>
            <w:r>
              <w:rPr>
                <w:rFonts w:eastAsiaTheme="minorHAnsi"/>
              </w:rPr>
              <w:t>1,789</w:t>
            </w:r>
          </w:p>
        </w:tc>
        <w:tc>
          <w:tcPr>
            <w:tcW w:w="565" w:type="pct"/>
            <w:tcBorders>
              <w:top w:val="single" w:sz="4" w:space="0" w:color="auto"/>
              <w:left w:val="nil"/>
              <w:bottom w:val="single" w:sz="4" w:space="0" w:color="auto"/>
            </w:tcBorders>
            <w:shd w:val="clear" w:color="auto" w:fill="FFFFFF" w:themeFill="background1"/>
            <w:vAlign w:val="center"/>
          </w:tcPr>
          <w:p w14:paraId="23E36969" w14:textId="4B49F481" w:rsidR="00FF5A89" w:rsidRPr="002C2AA8" w:rsidRDefault="00695E94" w:rsidP="00190F01">
            <w:pPr>
              <w:pStyle w:val="Tabletext"/>
              <w:jc w:val="right"/>
              <w:rPr>
                <w:rFonts w:eastAsiaTheme="minorHAnsi"/>
              </w:rPr>
            </w:pPr>
            <w:r>
              <w:rPr>
                <w:rFonts w:eastAsiaTheme="minorHAnsi"/>
              </w:rPr>
              <w:t>1,845</w:t>
            </w:r>
          </w:p>
        </w:tc>
        <w:tc>
          <w:tcPr>
            <w:tcW w:w="565" w:type="pct"/>
            <w:tcBorders>
              <w:top w:val="single" w:sz="4" w:space="0" w:color="auto"/>
              <w:left w:val="nil"/>
              <w:bottom w:val="single" w:sz="4" w:space="0" w:color="auto"/>
            </w:tcBorders>
            <w:shd w:val="clear" w:color="auto" w:fill="FFFFFF" w:themeFill="background1"/>
            <w:vAlign w:val="center"/>
          </w:tcPr>
          <w:p w14:paraId="664F97C4" w14:textId="6F35D1A7" w:rsidR="00FF5A89" w:rsidRPr="002C2AA8" w:rsidRDefault="00695E94" w:rsidP="00190F01">
            <w:pPr>
              <w:pStyle w:val="Tabletext"/>
              <w:jc w:val="right"/>
              <w:rPr>
                <w:rFonts w:eastAsiaTheme="minorHAnsi"/>
              </w:rPr>
            </w:pPr>
            <w:r>
              <w:rPr>
                <w:rFonts w:eastAsiaTheme="minorHAnsi"/>
              </w:rPr>
              <w:t>1,902</w:t>
            </w:r>
          </w:p>
        </w:tc>
        <w:tc>
          <w:tcPr>
            <w:tcW w:w="565" w:type="pct"/>
            <w:tcBorders>
              <w:top w:val="single" w:sz="4" w:space="0" w:color="auto"/>
              <w:left w:val="nil"/>
              <w:bottom w:val="single" w:sz="4" w:space="0" w:color="auto"/>
            </w:tcBorders>
            <w:shd w:val="clear" w:color="auto" w:fill="FFFFFF" w:themeFill="background1"/>
            <w:vAlign w:val="center"/>
          </w:tcPr>
          <w:p w14:paraId="331BC6C5" w14:textId="7EB8D6DF" w:rsidR="00FF5A89" w:rsidRDefault="00695E94" w:rsidP="00190F01">
            <w:pPr>
              <w:pStyle w:val="Tabletext"/>
              <w:jc w:val="right"/>
              <w:rPr>
                <w:rFonts w:eastAsiaTheme="minorHAnsi"/>
              </w:rPr>
            </w:pPr>
            <w:r>
              <w:rPr>
                <w:rFonts w:eastAsiaTheme="minorHAnsi"/>
              </w:rPr>
              <w:t>2,043</w:t>
            </w:r>
          </w:p>
        </w:tc>
      </w:tr>
    </w:tbl>
    <w:p w14:paraId="3CEE2351" w14:textId="153F616D" w:rsidR="000F4197" w:rsidRDefault="000F4197" w:rsidP="009D36DE"/>
    <w:p w14:paraId="62338695" w14:textId="09EBA47A" w:rsidR="00D37A3F" w:rsidRDefault="003F0A39" w:rsidP="00713728">
      <w:pPr>
        <w:pStyle w:val="Heading2"/>
      </w:pPr>
      <w:r>
        <w:t>Summary of public consultation</w:t>
      </w:r>
      <w:r w:rsidRPr="00D37A3F">
        <w:t xml:space="preserve"> </w:t>
      </w:r>
      <w:r w:rsidR="00E470B0">
        <w:t>input</w:t>
      </w:r>
    </w:p>
    <w:p w14:paraId="385C5BA6" w14:textId="4E37F711" w:rsidR="002B23E8" w:rsidRDefault="00E35027" w:rsidP="007D361F">
      <w:pPr>
        <w:spacing w:before="120" w:after="120"/>
      </w:pPr>
      <w:r w:rsidRPr="002B23E8">
        <w:rPr>
          <w:i/>
          <w:iCs/>
        </w:rPr>
        <w:t>PASC noted and welcomed consultation input from two (2) professional organisations and one (1) individual.</w:t>
      </w:r>
    </w:p>
    <w:p w14:paraId="107E0008" w14:textId="58DE3126" w:rsidR="00E35027" w:rsidRPr="009028ED" w:rsidRDefault="00E35027" w:rsidP="00E35027">
      <w:pPr>
        <w:spacing w:after="120"/>
      </w:pPr>
      <w:r w:rsidRPr="009028ED">
        <w:t xml:space="preserve">The </w:t>
      </w:r>
      <w:r>
        <w:t xml:space="preserve">following </w:t>
      </w:r>
      <w:r w:rsidRPr="009028ED">
        <w:t>organisations submitted input</w:t>
      </w:r>
      <w:r w:rsidR="00887BAC">
        <w:t xml:space="preserve"> on application 1707</w:t>
      </w:r>
      <w:r w:rsidRPr="009028ED">
        <w:t xml:space="preserve">: </w:t>
      </w:r>
    </w:p>
    <w:p w14:paraId="4CD3EA34" w14:textId="77777777" w:rsidR="00E35027" w:rsidRPr="009028ED" w:rsidRDefault="00E35027" w:rsidP="00E35027">
      <w:pPr>
        <w:pStyle w:val="ListParagraph"/>
        <w:numPr>
          <w:ilvl w:val="0"/>
          <w:numId w:val="21"/>
        </w:numPr>
        <w:spacing w:after="120" w:line="259" w:lineRule="auto"/>
      </w:pPr>
      <w:proofErr w:type="spellStart"/>
      <w:r w:rsidRPr="009028ED">
        <w:t>PathWest</w:t>
      </w:r>
      <w:proofErr w:type="spellEnd"/>
      <w:r w:rsidRPr="009028ED">
        <w:t xml:space="preserve"> laboratory medicine WA (</w:t>
      </w:r>
      <w:proofErr w:type="spellStart"/>
      <w:r w:rsidRPr="009028ED">
        <w:t>PathWest</w:t>
      </w:r>
      <w:proofErr w:type="spellEnd"/>
      <w:r w:rsidRPr="009028ED">
        <w:t>)</w:t>
      </w:r>
    </w:p>
    <w:p w14:paraId="78CCA8AD" w14:textId="77777777" w:rsidR="00E35027" w:rsidRPr="009028ED" w:rsidRDefault="00E35027" w:rsidP="00E35027">
      <w:pPr>
        <w:pStyle w:val="ListParagraph"/>
        <w:numPr>
          <w:ilvl w:val="0"/>
          <w:numId w:val="21"/>
        </w:numPr>
        <w:spacing w:after="120" w:line="259" w:lineRule="auto"/>
      </w:pPr>
      <w:r w:rsidRPr="009028ED">
        <w:t>Australian Pathology (AP)</w:t>
      </w:r>
      <w:r>
        <w:t>.</w:t>
      </w:r>
    </w:p>
    <w:p w14:paraId="5E6FE23E" w14:textId="2D63086F" w:rsidR="00E35027" w:rsidRPr="00750999" w:rsidRDefault="00E35027" w:rsidP="00E35027">
      <w:r>
        <w:t xml:space="preserve">The consultation feedback received was </w:t>
      </w:r>
      <w:r w:rsidR="004A1390">
        <w:t>broadly</w:t>
      </w:r>
      <w:r>
        <w:t xml:space="preserve"> supportive of </w:t>
      </w:r>
      <w:r w:rsidR="004A1390">
        <w:t>public funding for MRD testing, though disagreed with aspects of the intervention</w:t>
      </w:r>
      <w:r w:rsidR="0061309B">
        <w:t xml:space="preserve"> and comparator as proposed in the 1707 application form</w:t>
      </w:r>
      <w:r w:rsidRPr="00750999">
        <w:t>.</w:t>
      </w:r>
    </w:p>
    <w:p w14:paraId="5918B8D1" w14:textId="77777777" w:rsidR="001120C0" w:rsidRDefault="001120C0" w:rsidP="001120C0">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both applicants were explicit that the proposed populations were patients with ALL, and not acute myeloid leukaemia (AML). </w:t>
      </w:r>
    </w:p>
    <w:p w14:paraId="054745DC" w14:textId="77777777" w:rsidR="00E35027" w:rsidRPr="00750999" w:rsidRDefault="00E35027" w:rsidP="00A93164">
      <w:pPr>
        <w:keepNext/>
        <w:spacing w:after="0"/>
        <w:rPr>
          <w:b/>
          <w:bCs/>
        </w:rPr>
      </w:pPr>
      <w:r w:rsidRPr="00750999">
        <w:rPr>
          <w:b/>
          <w:bCs/>
        </w:rPr>
        <w:t>Clinical need and public health significance</w:t>
      </w:r>
    </w:p>
    <w:p w14:paraId="1A4FBA87" w14:textId="77777777" w:rsidR="00E35027" w:rsidRDefault="00E35027" w:rsidP="00E35027">
      <w:r>
        <w:t xml:space="preserve">The main benefits of public funding received in the consultation feedback included: </w:t>
      </w:r>
    </w:p>
    <w:p w14:paraId="7FB389F5" w14:textId="77777777" w:rsidR="00E35027" w:rsidRDefault="00E35027" w:rsidP="00E35027">
      <w:pPr>
        <w:pStyle w:val="ListParagraph"/>
        <w:numPr>
          <w:ilvl w:val="0"/>
          <w:numId w:val="19"/>
        </w:numPr>
        <w:spacing w:after="160" w:line="259" w:lineRule="auto"/>
      </w:pPr>
      <w:r>
        <w:t>more accurate prognostication regarding risk of relapse in ALL</w:t>
      </w:r>
    </w:p>
    <w:p w14:paraId="25C06FB2" w14:textId="77777777" w:rsidR="00E35027" w:rsidRDefault="00E35027" w:rsidP="00E35027">
      <w:pPr>
        <w:pStyle w:val="ListParagraph"/>
        <w:numPr>
          <w:ilvl w:val="0"/>
          <w:numId w:val="19"/>
        </w:numPr>
        <w:spacing w:after="160" w:line="259" w:lineRule="auto"/>
      </w:pPr>
      <w:r>
        <w:t>allows for tailored treatment, avoiding treatment toxicity for those that do not require treatment and limiting risk of relapse in treated patients</w:t>
      </w:r>
    </w:p>
    <w:p w14:paraId="6289C485" w14:textId="77777777" w:rsidR="00E35027" w:rsidRDefault="00E35027" w:rsidP="00E35027">
      <w:pPr>
        <w:pStyle w:val="ListParagraph"/>
        <w:numPr>
          <w:ilvl w:val="0"/>
          <w:numId w:val="19"/>
        </w:numPr>
        <w:spacing w:after="160" w:line="259" w:lineRule="auto"/>
      </w:pPr>
      <w:r>
        <w:t>increased equity of access.</w:t>
      </w:r>
    </w:p>
    <w:p w14:paraId="5A451FBF" w14:textId="77777777" w:rsidR="00E35027" w:rsidRDefault="00E35027" w:rsidP="00882DA0">
      <w:pPr>
        <w:spacing w:after="0"/>
      </w:pPr>
      <w:r>
        <w:t>The main disadvantages of public funding received in the consultation feedback included:</w:t>
      </w:r>
    </w:p>
    <w:p w14:paraId="28DFBEC6" w14:textId="77777777" w:rsidR="00E35027" w:rsidRDefault="00E35027" w:rsidP="00E35027">
      <w:pPr>
        <w:pStyle w:val="ListParagraph"/>
        <w:numPr>
          <w:ilvl w:val="0"/>
          <w:numId w:val="19"/>
        </w:numPr>
        <w:spacing w:after="160" w:line="259" w:lineRule="auto"/>
      </w:pPr>
      <w:r>
        <w:lastRenderedPageBreak/>
        <w:t>Uncommonly, additional bone marrow sampling may be required for</w:t>
      </w:r>
      <w:r w:rsidRPr="00A04381">
        <w:t xml:space="preserve"> </w:t>
      </w:r>
      <w:r>
        <w:t>MRD testing, with discomfort/inconvenience to the patient.</w:t>
      </w:r>
    </w:p>
    <w:p w14:paraId="3FDFCF6C" w14:textId="77777777" w:rsidR="0061309B" w:rsidRPr="0061309B" w:rsidRDefault="00E35027" w:rsidP="00E35027">
      <w:pPr>
        <w:pStyle w:val="ListParagraph"/>
        <w:numPr>
          <w:ilvl w:val="0"/>
          <w:numId w:val="19"/>
        </w:numPr>
        <w:spacing w:after="160" w:line="259" w:lineRule="auto"/>
      </w:pPr>
      <w:r>
        <w:t>Specifying particular proprietary technologies for publicly funded testing would come at the expense of the development or use of other cheaper alternatives.</w:t>
      </w:r>
    </w:p>
    <w:p w14:paraId="28D03812" w14:textId="77777777" w:rsidR="006F6D59" w:rsidRPr="006F6D59" w:rsidRDefault="0061309B" w:rsidP="00E35027">
      <w:pPr>
        <w:pStyle w:val="ListParagraph"/>
        <w:numPr>
          <w:ilvl w:val="0"/>
          <w:numId w:val="19"/>
        </w:numPr>
        <w:spacing w:after="160" w:line="259" w:lineRule="auto"/>
      </w:pPr>
      <w:r>
        <w:rPr>
          <w:bCs/>
        </w:rPr>
        <w:t xml:space="preserve">It is uncertain that equity of access would be achieved as </w:t>
      </w:r>
      <w:proofErr w:type="spellStart"/>
      <w:r>
        <w:rPr>
          <w:bCs/>
        </w:rPr>
        <w:t>clonoSEQ</w:t>
      </w:r>
      <w:proofErr w:type="spellEnd"/>
      <w:r>
        <w:rPr>
          <w:bCs/>
        </w:rPr>
        <w:t xml:space="preserve"> testing </w:t>
      </w:r>
      <w:r w:rsidR="006F6D59">
        <w:rPr>
          <w:bCs/>
        </w:rPr>
        <w:t xml:space="preserve">and the associated expertise </w:t>
      </w:r>
      <w:r>
        <w:rPr>
          <w:bCs/>
        </w:rPr>
        <w:t>may not be widely accessible across Australia</w:t>
      </w:r>
      <w:r w:rsidR="006F6D59">
        <w:rPr>
          <w:bCs/>
        </w:rPr>
        <w:t>.</w:t>
      </w:r>
    </w:p>
    <w:p w14:paraId="2AA68A59" w14:textId="47A5B9B8" w:rsidR="00E35027" w:rsidRDefault="006F6D59" w:rsidP="00E35027">
      <w:pPr>
        <w:pStyle w:val="ListParagraph"/>
        <w:numPr>
          <w:ilvl w:val="0"/>
          <w:numId w:val="19"/>
        </w:numPr>
        <w:spacing w:after="160" w:line="259" w:lineRule="auto"/>
      </w:pPr>
      <w:r>
        <w:rPr>
          <w:bCs/>
        </w:rPr>
        <w:t>T</w:t>
      </w:r>
      <w:r w:rsidR="0061309B">
        <w:rPr>
          <w:bCs/>
        </w:rPr>
        <w:t xml:space="preserve">he </w:t>
      </w:r>
      <w:proofErr w:type="spellStart"/>
      <w:r w:rsidR="0061309B">
        <w:rPr>
          <w:bCs/>
        </w:rPr>
        <w:t>clonoSEQ</w:t>
      </w:r>
      <w:proofErr w:type="spellEnd"/>
      <w:r w:rsidR="0061309B">
        <w:rPr>
          <w:bCs/>
        </w:rPr>
        <w:t xml:space="preserve"> may not provide an MRD assay suitable for most patients as it appears to be limited to B cell receptor rearrangements.</w:t>
      </w:r>
    </w:p>
    <w:p w14:paraId="521638B2" w14:textId="77777777" w:rsidR="00E35027" w:rsidRDefault="00E35027" w:rsidP="00A93164">
      <w:pPr>
        <w:spacing w:after="0"/>
        <w:rPr>
          <w:b/>
          <w:bCs/>
        </w:rPr>
      </w:pPr>
      <w:r w:rsidRPr="00C50417">
        <w:rPr>
          <w:b/>
          <w:bCs/>
        </w:rPr>
        <w:t>Indication(s) for the proposed medical service and clinical claim</w:t>
      </w:r>
    </w:p>
    <w:p w14:paraId="3989DFA1" w14:textId="09A7414B" w:rsidR="00E35027" w:rsidRDefault="00E35027" w:rsidP="00E35027">
      <w:r>
        <w:t>The consultation feedback agree</w:t>
      </w:r>
      <w:r w:rsidR="00E53548">
        <w:t>d</w:t>
      </w:r>
      <w:r>
        <w:t xml:space="preserve"> with the </w:t>
      </w:r>
      <w:r w:rsidR="00E53548">
        <w:t xml:space="preserve">proposed </w:t>
      </w:r>
      <w:r>
        <w:t xml:space="preserve">population and </w:t>
      </w:r>
      <w:r w:rsidR="00E57259">
        <w:t xml:space="preserve">was mixed with respect to </w:t>
      </w:r>
      <w:r>
        <w:t>the proposed comparator.</w:t>
      </w:r>
    </w:p>
    <w:p w14:paraId="7954EA98" w14:textId="70D3E35D" w:rsidR="00E35027" w:rsidRDefault="00E35027" w:rsidP="0061309B">
      <w:pPr>
        <w:spacing w:after="0" w:line="240" w:lineRule="auto"/>
      </w:pPr>
      <w:proofErr w:type="spellStart"/>
      <w:r>
        <w:t>PathWest</w:t>
      </w:r>
      <w:proofErr w:type="spellEnd"/>
      <w:r>
        <w:t xml:space="preserve"> </w:t>
      </w:r>
      <w:r w:rsidR="00E53548">
        <w:t>noted</w:t>
      </w:r>
      <w:r>
        <w:t xml:space="preserve"> that multi-parameter flow cytometry, the nominated comparator</w:t>
      </w:r>
      <w:r w:rsidR="00E53548">
        <w:t xml:space="preserve"> for 1707</w:t>
      </w:r>
      <w:r>
        <w:t>, is not the only method for MRD testing</w:t>
      </w:r>
      <w:r w:rsidR="00E53548">
        <w:t>,</w:t>
      </w:r>
      <w:r>
        <w:t xml:space="preserve"> and uses a fundamentally different technology</w:t>
      </w:r>
      <w:r w:rsidR="00E53548">
        <w:t xml:space="preserve"> to molecular testing</w:t>
      </w:r>
      <w:r>
        <w:t xml:space="preserve">. </w:t>
      </w:r>
      <w:proofErr w:type="spellStart"/>
      <w:r>
        <w:t>PathWest</w:t>
      </w:r>
      <w:proofErr w:type="spellEnd"/>
      <w:r>
        <w:t xml:space="preserve"> </w:t>
      </w:r>
      <w:r w:rsidR="00E53548">
        <w:t>considered</w:t>
      </w:r>
      <w:r>
        <w:t xml:space="preserve"> that allele-specific qPCR</w:t>
      </w:r>
      <w:r w:rsidR="00E53548">
        <w:t xml:space="preserve"> is also a relevant technology and</w:t>
      </w:r>
      <w:r>
        <w:t xml:space="preserve"> </w:t>
      </w:r>
      <w:r w:rsidR="00E53548">
        <w:t>should also be included in the comparison</w:t>
      </w:r>
      <w:r>
        <w:t>.</w:t>
      </w:r>
      <w:r w:rsidR="0061309B" w:rsidRPr="0061309B">
        <w:rPr>
          <w:bCs/>
        </w:rPr>
        <w:t xml:space="preserve"> </w:t>
      </w:r>
      <w:r w:rsidR="0021346F" w:rsidRPr="0061309B">
        <w:rPr>
          <w:bCs/>
        </w:rPr>
        <w:t>The researcher disagreed with the proposed comparator</w:t>
      </w:r>
      <w:r w:rsidR="0021346F" w:rsidRPr="00FC6544">
        <w:t xml:space="preserve"> </w:t>
      </w:r>
      <w:r w:rsidR="0021346F">
        <w:t>as it is not currently publicly funded and not routinely done.</w:t>
      </w:r>
    </w:p>
    <w:p w14:paraId="49B8B185" w14:textId="549A869B" w:rsidR="00E35027" w:rsidRPr="00B64952" w:rsidRDefault="00E35027" w:rsidP="00E35027">
      <w:r>
        <w:t>The consultation feedback agree</w:t>
      </w:r>
      <w:r w:rsidR="00E53548">
        <w:t>d</w:t>
      </w:r>
      <w:r>
        <w:t xml:space="preserve"> with the clinical claim. The following key points were raised:</w:t>
      </w:r>
    </w:p>
    <w:p w14:paraId="4D7F0F29" w14:textId="4DD743F1" w:rsidR="00E35027" w:rsidRDefault="00E35027" w:rsidP="00E35027">
      <w:pPr>
        <w:pStyle w:val="ListParagraph"/>
        <w:numPr>
          <w:ilvl w:val="0"/>
          <w:numId w:val="22"/>
        </w:numPr>
        <w:spacing w:after="160" w:line="259" w:lineRule="auto"/>
      </w:pPr>
      <w:r>
        <w:t xml:space="preserve">AP considered that </w:t>
      </w:r>
      <w:r w:rsidR="00E53548">
        <w:t xml:space="preserve">molecular </w:t>
      </w:r>
      <w:r>
        <w:t xml:space="preserve">genetic testing would be more accurate than flow cytometry, but noted the value of flow cytometry based methods, which </w:t>
      </w:r>
      <w:r w:rsidR="00E53548">
        <w:t xml:space="preserve">it commented </w:t>
      </w:r>
      <w:r>
        <w:t xml:space="preserve">should </w:t>
      </w:r>
      <w:proofErr w:type="spellStart"/>
      <w:r>
        <w:t>continued</w:t>
      </w:r>
      <w:proofErr w:type="spellEnd"/>
      <w:r>
        <w:t xml:space="preserve"> to be publicly funded and not be replaced by genetic testing. </w:t>
      </w:r>
    </w:p>
    <w:p w14:paraId="1E757B8D" w14:textId="0BC6668B" w:rsidR="00E35027" w:rsidRDefault="00E35027" w:rsidP="00E35027">
      <w:pPr>
        <w:pStyle w:val="ListParagraph"/>
        <w:numPr>
          <w:ilvl w:val="0"/>
          <w:numId w:val="22"/>
        </w:numPr>
        <w:spacing w:after="160" w:line="259" w:lineRule="auto"/>
      </w:pPr>
      <w:proofErr w:type="spellStart"/>
      <w:r>
        <w:t>PathWest</w:t>
      </w:r>
      <w:proofErr w:type="spellEnd"/>
      <w:r>
        <w:t xml:space="preserve"> </w:t>
      </w:r>
      <w:r w:rsidR="00E53548">
        <w:t>agreed</w:t>
      </w:r>
      <w:r>
        <w:t xml:space="preserve"> that there is significant clinical benefit in identif</w:t>
      </w:r>
      <w:r w:rsidR="00E53548">
        <w:t>ying</w:t>
      </w:r>
      <w:r>
        <w:t xml:space="preserve"> patients with ALL who are MRD-positive after treatment, and that this would inform treatment decisions, such as intensive chemotherapy, </w:t>
      </w:r>
      <w:r w:rsidR="00E53548">
        <w:t>treatment with</w:t>
      </w:r>
      <w:r>
        <w:t xml:space="preserve"> blinatumomab</w:t>
      </w:r>
      <w:r w:rsidR="00E53548">
        <w:t>,</w:t>
      </w:r>
      <w:r>
        <w:t xml:space="preserve"> or allogeneic stem cell transplant. Patients who are MRD-negative may successfully avoid higher-intensity treatment/stem cell transplant</w:t>
      </w:r>
      <w:r w:rsidR="00E53548">
        <w:t>s</w:t>
      </w:r>
      <w:r>
        <w:t>.</w:t>
      </w:r>
    </w:p>
    <w:p w14:paraId="6E5A378C" w14:textId="1611DB3E" w:rsidR="0061309B" w:rsidRDefault="0061309B" w:rsidP="0061309B">
      <w:pPr>
        <w:pStyle w:val="ListParagraph"/>
        <w:numPr>
          <w:ilvl w:val="0"/>
          <w:numId w:val="22"/>
        </w:numPr>
        <w:spacing w:after="0" w:line="240" w:lineRule="auto"/>
        <w:rPr>
          <w:bCs/>
        </w:rPr>
      </w:pPr>
      <w:r>
        <w:rPr>
          <w:bCs/>
        </w:rPr>
        <w:t>The researcher disagreed with the claim of s</w:t>
      </w:r>
      <w:r w:rsidRPr="00272C54">
        <w:rPr>
          <w:bCs/>
        </w:rPr>
        <w:t xml:space="preserve">uperiority </w:t>
      </w:r>
      <w:r>
        <w:rPr>
          <w:bCs/>
        </w:rPr>
        <w:t xml:space="preserve">of the proposed service </w:t>
      </w:r>
      <w:r w:rsidRPr="00272C54">
        <w:rPr>
          <w:bCs/>
        </w:rPr>
        <w:t xml:space="preserve">over </w:t>
      </w:r>
      <w:proofErr w:type="spellStart"/>
      <w:r w:rsidRPr="00272C54">
        <w:rPr>
          <w:bCs/>
        </w:rPr>
        <w:t>mpFC</w:t>
      </w:r>
      <w:proofErr w:type="spellEnd"/>
      <w:r>
        <w:rPr>
          <w:bCs/>
        </w:rPr>
        <w:t xml:space="preserve"> and considered that there was</w:t>
      </w:r>
      <w:r w:rsidRPr="00272C54">
        <w:rPr>
          <w:bCs/>
        </w:rPr>
        <w:t xml:space="preserve"> no substantiation of the </w:t>
      </w:r>
      <w:proofErr w:type="spellStart"/>
      <w:r>
        <w:rPr>
          <w:bCs/>
        </w:rPr>
        <w:t>c</w:t>
      </w:r>
      <w:r w:rsidRPr="00272C54">
        <w:rPr>
          <w:bCs/>
        </w:rPr>
        <w:t>lonoSeq</w:t>
      </w:r>
      <w:proofErr w:type="spellEnd"/>
      <w:r w:rsidRPr="00272C54">
        <w:rPr>
          <w:bCs/>
        </w:rPr>
        <w:t xml:space="preserve"> determined NGS-MRD results specifically benefit</w:t>
      </w:r>
      <w:r>
        <w:rPr>
          <w:bCs/>
        </w:rPr>
        <w:t>ing</w:t>
      </w:r>
      <w:r w:rsidRPr="00272C54">
        <w:rPr>
          <w:bCs/>
        </w:rPr>
        <w:t xml:space="preserve"> patient outcome</w:t>
      </w:r>
      <w:r>
        <w:rPr>
          <w:bCs/>
        </w:rPr>
        <w:t>s</w:t>
      </w:r>
      <w:r w:rsidRPr="00272C54">
        <w:rPr>
          <w:bCs/>
        </w:rPr>
        <w:t xml:space="preserve"> or being of greater benefit than other available approaches.</w:t>
      </w:r>
    </w:p>
    <w:p w14:paraId="461483DC" w14:textId="77777777" w:rsidR="0061309B" w:rsidRPr="0061309B" w:rsidRDefault="0061309B" w:rsidP="00190F01">
      <w:pPr>
        <w:spacing w:after="0" w:line="240" w:lineRule="auto"/>
        <w:rPr>
          <w:bCs/>
        </w:rPr>
      </w:pPr>
    </w:p>
    <w:p w14:paraId="1C119A08" w14:textId="77777777" w:rsidR="00E35027" w:rsidRDefault="00E35027" w:rsidP="0021346F">
      <w:pPr>
        <w:keepNext/>
        <w:spacing w:after="0"/>
        <w:rPr>
          <w:b/>
          <w:bCs/>
        </w:rPr>
      </w:pPr>
      <w:r w:rsidRPr="00E76884">
        <w:rPr>
          <w:b/>
          <w:bCs/>
        </w:rPr>
        <w:t>Cost information for the proposed medical service</w:t>
      </w:r>
    </w:p>
    <w:p w14:paraId="6A4ED528" w14:textId="5E014C13" w:rsidR="00E35027" w:rsidRDefault="0061309B" w:rsidP="00E35027">
      <w:r>
        <w:t>C</w:t>
      </w:r>
      <w:r w:rsidR="00E35027">
        <w:t xml:space="preserve">onsultation feedback </w:t>
      </w:r>
      <w:r>
        <w:t>on</w:t>
      </w:r>
      <w:r w:rsidR="00E35027">
        <w:t xml:space="preserve"> the proposed service </w:t>
      </w:r>
      <w:r>
        <w:t xml:space="preserve">widely supported broadening the intervention to encompass testing methods beyond the </w:t>
      </w:r>
      <w:proofErr w:type="spellStart"/>
      <w:r>
        <w:t>clonoSEQ</w:t>
      </w:r>
      <w:proofErr w:type="spellEnd"/>
      <w:r>
        <w:t xml:space="preserve">, </w:t>
      </w:r>
      <w:r w:rsidR="00E35027">
        <w:t>and raised the following points:</w:t>
      </w:r>
    </w:p>
    <w:p w14:paraId="6D545ED5" w14:textId="2A21641A" w:rsidR="00E35027" w:rsidRDefault="00E35027" w:rsidP="00E35027">
      <w:pPr>
        <w:pStyle w:val="ListParagraph"/>
        <w:numPr>
          <w:ilvl w:val="0"/>
          <w:numId w:val="18"/>
        </w:numPr>
        <w:spacing w:after="160" w:line="259" w:lineRule="auto"/>
      </w:pPr>
      <w:proofErr w:type="spellStart"/>
      <w:r>
        <w:t>PathWest</w:t>
      </w:r>
      <w:proofErr w:type="spellEnd"/>
      <w:r>
        <w:t xml:space="preserve"> considered that publicly funding any multiplex PCR/next generation sequencing test for MRD would allow or encourage other centres to implement similar methodologies, which would </w:t>
      </w:r>
      <w:r w:rsidR="004A1390">
        <w:t>mitigate</w:t>
      </w:r>
      <w:r>
        <w:t xml:space="preserve"> existing geographic and logistical </w:t>
      </w:r>
      <w:r w:rsidR="004A1390">
        <w:t xml:space="preserve">access </w:t>
      </w:r>
      <w:r>
        <w:t>issues.</w:t>
      </w:r>
    </w:p>
    <w:p w14:paraId="20B824FF" w14:textId="3C2DE569" w:rsidR="00580450" w:rsidRPr="00916F29" w:rsidRDefault="00580450" w:rsidP="00EF01B8">
      <w:pPr>
        <w:pStyle w:val="ListParagraph"/>
        <w:numPr>
          <w:ilvl w:val="0"/>
          <w:numId w:val="18"/>
        </w:numPr>
        <w:spacing w:after="160" w:line="259" w:lineRule="auto"/>
      </w:pPr>
      <w:r w:rsidRPr="00EF01B8">
        <w:rPr>
          <w:bCs/>
        </w:rPr>
        <w:t xml:space="preserve">The </w:t>
      </w:r>
      <w:proofErr w:type="spellStart"/>
      <w:r w:rsidRPr="00EF01B8">
        <w:rPr>
          <w:bCs/>
        </w:rPr>
        <w:t>resesarcher</w:t>
      </w:r>
      <w:proofErr w:type="spellEnd"/>
      <w:r w:rsidRPr="00EF01B8">
        <w:rPr>
          <w:bCs/>
        </w:rPr>
        <w:t xml:space="preserve"> noted that the </w:t>
      </w:r>
      <w:proofErr w:type="spellStart"/>
      <w:r w:rsidRPr="00EF01B8">
        <w:rPr>
          <w:bCs/>
        </w:rPr>
        <w:t>ClonoSeq</w:t>
      </w:r>
      <w:proofErr w:type="spellEnd"/>
      <w:r w:rsidRPr="00EF01B8">
        <w:rPr>
          <w:bCs/>
        </w:rPr>
        <w:t xml:space="preserve"> approach for MRD testing appeared to be limited to B cell receptor rearrangements, which would mean that a significant number of patients would not be able to have their MRD measured. </w:t>
      </w:r>
      <w:r w:rsidR="00EF01B8">
        <w:rPr>
          <w:bCs/>
        </w:rPr>
        <w:t>O</w:t>
      </w:r>
      <w:r w:rsidRPr="00EF01B8">
        <w:rPr>
          <w:bCs/>
        </w:rPr>
        <w:t>ther test types should be added to capture other MRD markers, such as T cell receptor rearrangements and microdeletions, to broaden the scope of patients who would benefit from testing and to increase equity for patients.</w:t>
      </w:r>
    </w:p>
    <w:p w14:paraId="65B88CF1" w14:textId="0BB71724" w:rsidR="00E35027" w:rsidRDefault="00580450" w:rsidP="00E35027">
      <w:pPr>
        <w:pStyle w:val="ListParagraph"/>
        <w:numPr>
          <w:ilvl w:val="0"/>
          <w:numId w:val="18"/>
        </w:numPr>
        <w:spacing w:after="160" w:line="259" w:lineRule="auto"/>
      </w:pPr>
      <w:r>
        <w:t xml:space="preserve">The </w:t>
      </w:r>
      <w:r w:rsidR="00E35027">
        <w:t xml:space="preserve">AP considered </w:t>
      </w:r>
      <w:r w:rsidR="004A1390">
        <w:t xml:space="preserve">that while </w:t>
      </w:r>
      <w:r w:rsidR="00E35027">
        <w:t xml:space="preserve">it </w:t>
      </w:r>
      <w:r w:rsidR="004A1390">
        <w:t xml:space="preserve">may be </w:t>
      </w:r>
      <w:r w:rsidR="00E35027">
        <w:t xml:space="preserve">useful to specify the use of a particular method, </w:t>
      </w:r>
      <w:r w:rsidR="004A1390">
        <w:t>on balance it</w:t>
      </w:r>
      <w:r w:rsidR="00E35027">
        <w:t xml:space="preserve"> preferred </w:t>
      </w:r>
      <w:r w:rsidR="004A1390">
        <w:t>a method-agnostic item descriptor</w:t>
      </w:r>
      <w:r w:rsidR="00E35027">
        <w:t xml:space="preserve">, </w:t>
      </w:r>
      <w:r w:rsidR="004A1390">
        <w:t>adding that this would aid in</w:t>
      </w:r>
      <w:r w:rsidR="00E35027">
        <w:t xml:space="preserve"> future proof</w:t>
      </w:r>
      <w:r w:rsidR="004A1390">
        <w:t>ing</w:t>
      </w:r>
      <w:r w:rsidR="00E35027">
        <w:t xml:space="preserve"> the </w:t>
      </w:r>
      <w:r w:rsidR="004A1390">
        <w:t xml:space="preserve">item </w:t>
      </w:r>
      <w:r w:rsidR="00E35027">
        <w:t xml:space="preserve">descriptor. </w:t>
      </w:r>
    </w:p>
    <w:p w14:paraId="4BBE3D5D" w14:textId="77777777" w:rsidR="0061309B" w:rsidRDefault="0061309B" w:rsidP="0061309B">
      <w:pPr>
        <w:pStyle w:val="ListParagraph"/>
        <w:numPr>
          <w:ilvl w:val="0"/>
          <w:numId w:val="18"/>
        </w:numPr>
        <w:spacing w:after="160" w:line="259" w:lineRule="auto"/>
      </w:pPr>
      <w:proofErr w:type="spellStart"/>
      <w:r>
        <w:t>PathWest</w:t>
      </w:r>
      <w:proofErr w:type="spellEnd"/>
      <w:r>
        <w:t xml:space="preserve"> considered that there may be value in restricting the number of episodes under which this item may be billed, to restrict unnecessary/inappropriate serial testing.</w:t>
      </w:r>
    </w:p>
    <w:p w14:paraId="7403F794" w14:textId="77777777" w:rsidR="00E35027" w:rsidRDefault="00E35027" w:rsidP="00E35027">
      <w:r>
        <w:lastRenderedPageBreak/>
        <w:t>The consultation feedback ranged from ‘disagreeing’ to ‘strongly agreeing’ with the proposed service fee, and raised the following points:</w:t>
      </w:r>
    </w:p>
    <w:p w14:paraId="573DD689" w14:textId="3137E062" w:rsidR="00E35027" w:rsidRDefault="00E35027" w:rsidP="00E35027">
      <w:pPr>
        <w:pStyle w:val="ListParagraph"/>
        <w:numPr>
          <w:ilvl w:val="0"/>
          <w:numId w:val="18"/>
        </w:numPr>
        <w:spacing w:after="160" w:line="259" w:lineRule="auto"/>
      </w:pPr>
      <w:proofErr w:type="spellStart"/>
      <w:r>
        <w:t>PathWest</w:t>
      </w:r>
      <w:proofErr w:type="spellEnd"/>
      <w:r>
        <w:t xml:space="preserve"> noted the difference in fees between MSAC application 1707 and 1703, </w:t>
      </w:r>
      <w:r w:rsidR="004A1390">
        <w:t>with the applicant for 1707 proposing a much higher fee.</w:t>
      </w:r>
    </w:p>
    <w:p w14:paraId="3BD0AE5C" w14:textId="04877674" w:rsidR="00E35027" w:rsidRPr="00E35027" w:rsidRDefault="00E35027" w:rsidP="00E35027">
      <w:pPr>
        <w:pStyle w:val="ListParagraph"/>
        <w:numPr>
          <w:ilvl w:val="0"/>
          <w:numId w:val="18"/>
        </w:numPr>
        <w:spacing w:after="160" w:line="259" w:lineRule="auto"/>
      </w:pPr>
      <w:r>
        <w:t>The AP considered that the descriptor as drafted would require a higher fee.</w:t>
      </w:r>
    </w:p>
    <w:p w14:paraId="4E68667F" w14:textId="4928314A" w:rsidR="00D37A3F" w:rsidRDefault="00D37A3F" w:rsidP="00713728">
      <w:pPr>
        <w:pStyle w:val="Heading2"/>
      </w:pPr>
      <w:r w:rsidRPr="00D37A3F">
        <w:t>Next steps</w:t>
      </w:r>
    </w:p>
    <w:p w14:paraId="6FF631E7" w14:textId="1D0BDB3E" w:rsidR="005158FC" w:rsidRPr="005158FC" w:rsidRDefault="005158FC" w:rsidP="005158FC">
      <w:pPr>
        <w:pStyle w:val="Instructionaltext"/>
        <w:rPr>
          <w:i/>
          <w:iCs/>
          <w:color w:val="auto"/>
        </w:rPr>
      </w:pPr>
      <w:r w:rsidRPr="005158FC">
        <w:rPr>
          <w:i/>
          <w:iCs/>
          <w:color w:val="auto"/>
        </w:rPr>
        <w:t>The applicant for application 1703 intend to proceed with a Department Contracted Assessment Report (DCAR).</w:t>
      </w:r>
    </w:p>
    <w:p w14:paraId="52E56F9D" w14:textId="6AE69923" w:rsidR="005158FC" w:rsidRPr="005158FC" w:rsidRDefault="005158FC" w:rsidP="005158FC">
      <w:pPr>
        <w:pStyle w:val="Instructionaltext"/>
        <w:rPr>
          <w:i/>
          <w:iCs/>
          <w:color w:val="auto"/>
        </w:rPr>
      </w:pPr>
      <w:r w:rsidRPr="005158FC">
        <w:rPr>
          <w:i/>
          <w:iCs/>
          <w:color w:val="auto"/>
        </w:rPr>
        <w:t>The applicant for application 1707 intend to proceed with an Applicant Developed Assessment Report (ADAR).</w:t>
      </w:r>
    </w:p>
    <w:p w14:paraId="23C01590" w14:textId="08CC5C68" w:rsidR="00A800A3" w:rsidRDefault="00A800A3" w:rsidP="00A800A3">
      <w:pPr>
        <w:pStyle w:val="Heading2"/>
      </w:pPr>
      <w:r>
        <w:t>Applicant Comment on Ratified PICO Confirmation</w:t>
      </w:r>
    </w:p>
    <w:p w14:paraId="2301BEC6" w14:textId="27B1AF72" w:rsidR="00A800A3" w:rsidRPr="00A800A3" w:rsidRDefault="00A800A3" w:rsidP="00A800A3">
      <w:pPr>
        <w:rPr>
          <w:i/>
          <w:iCs/>
        </w:rPr>
      </w:pPr>
      <w:r w:rsidRPr="00A800A3">
        <w:rPr>
          <w:i/>
          <w:iCs/>
        </w:rPr>
        <w:t>Nil.</w:t>
      </w:r>
    </w:p>
    <w:p w14:paraId="381EDE5F" w14:textId="77777777" w:rsidR="005825DE" w:rsidRDefault="005825DE">
      <w:pPr>
        <w:spacing w:after="160" w:line="259" w:lineRule="auto"/>
        <w:rPr>
          <w:rFonts w:eastAsiaTheme="minorHAnsi" w:cstheme="minorBidi"/>
        </w:rPr>
      </w:pPr>
      <w:r>
        <w:br w:type="page"/>
      </w:r>
    </w:p>
    <w:p w14:paraId="3FFD6BD2" w14:textId="77777777" w:rsidR="00087875" w:rsidRPr="00087875" w:rsidRDefault="00087875" w:rsidP="00E01349">
      <w:pPr>
        <w:pStyle w:val="Instructionaltext"/>
        <w:rPr>
          <w:color w:val="auto"/>
        </w:rPr>
      </w:pPr>
    </w:p>
    <w:p w14:paraId="73A2A9C9" w14:textId="75713C2D" w:rsidR="006478E7" w:rsidRDefault="00A33126" w:rsidP="00713728">
      <w:pPr>
        <w:pStyle w:val="Heading2"/>
      </w:pPr>
      <w:r w:rsidRPr="00A33126">
        <w:t>References</w:t>
      </w:r>
    </w:p>
    <w:p w14:paraId="621D9B96" w14:textId="147F8671" w:rsidR="005825DE" w:rsidRPr="005825DE" w:rsidRDefault="005825DE" w:rsidP="005825DE">
      <w:pPr>
        <w:pStyle w:val="EndNoteBibliography"/>
      </w:pPr>
      <w:r>
        <w:fldChar w:fldCharType="begin"/>
      </w:r>
      <w:r>
        <w:instrText xml:space="preserve"> ADDIN EN.REFLIST </w:instrText>
      </w:r>
      <w:r>
        <w:fldChar w:fldCharType="separate"/>
      </w:r>
      <w:r w:rsidRPr="005825DE">
        <w:t xml:space="preserve">AIHW 2021, </w:t>
      </w:r>
      <w:r w:rsidRPr="005825DE">
        <w:rPr>
          <w:i/>
        </w:rPr>
        <w:t>Cancer in Australia 2021</w:t>
      </w:r>
      <w:r w:rsidRPr="005825DE">
        <w:t>, Australian Institute of Health Welfare, Canberra.</w:t>
      </w:r>
    </w:p>
    <w:p w14:paraId="428A1DB8" w14:textId="7D4B5011" w:rsidR="005825DE" w:rsidRPr="005825DE" w:rsidRDefault="005825DE" w:rsidP="005825DE">
      <w:pPr>
        <w:pStyle w:val="EndNoteBibliography"/>
      </w:pPr>
      <w:r w:rsidRPr="005825DE">
        <w:t xml:space="preserve">Brown, P, Inaba, H, Annesley, C, Beck, J, Colace, S, Dallas, M, DeSantes, K, Kelly, K, Kitko, C, Lacayo, N, Larrier, N, Maese, L, Mahadeo, K, Nanda, R, Nardi, V, Rodriguez, V, Rossoff, J, Schuettpelz, L, Silverman, L, Sun, J, Sun, W, Teachey, D, Wong, V, Yanik, G, Johnson-Chilla, A &amp; Ogba, N 2020, 'Pediatric Acute Lymphoblastic Leukemia, Version 2.2020, NCCN Clinical Practice Guidelines in Oncology', </w:t>
      </w:r>
      <w:r w:rsidRPr="005825DE">
        <w:rPr>
          <w:i/>
        </w:rPr>
        <w:t>J Natl Compr Canc Netw</w:t>
      </w:r>
      <w:r w:rsidRPr="005825DE">
        <w:t>, v</w:t>
      </w:r>
      <w:r>
        <w:t>ol. 18, no. 1, Jan, pp. 81-112.</w:t>
      </w:r>
    </w:p>
    <w:p w14:paraId="512852B6" w14:textId="689504D3" w:rsidR="005825DE" w:rsidRPr="005825DE" w:rsidRDefault="005825DE" w:rsidP="005825DE">
      <w:pPr>
        <w:pStyle w:val="EndNoteBibliography"/>
      </w:pPr>
      <w:r w:rsidRPr="005825DE">
        <w:t xml:space="preserve">Brown, PA, Ji, L, Xu, X, Devidas, M, Hogan, LE, Borowitz, MJ, Raetz, EA, Zugmaier, G, Sharon, E, Bernhardt, MB, Terezakis, SA, Gore, L, Whitlock, JA, Pulsipher, MA, Hunger, SP &amp; Loh, ML 2021, 'Effect of Postreinduction Therapy Consolidation With Blinatumomab vs Chemotherapy on Disease-Free Survival in Children, Adolescents, and Young Adults With First Relapse of B-Cell Acute Lymphoblastic Leukemia: A Randomized Clinical Trial', </w:t>
      </w:r>
      <w:r w:rsidRPr="005825DE">
        <w:rPr>
          <w:i/>
        </w:rPr>
        <w:t>JAMA</w:t>
      </w:r>
      <w:r w:rsidRPr="005825DE">
        <w:t>, vol. 325,</w:t>
      </w:r>
      <w:r>
        <w:t xml:space="preserve"> no. 9, Mar 2, pp. 833-842.</w:t>
      </w:r>
    </w:p>
    <w:p w14:paraId="1AA215E2" w14:textId="481C61FA" w:rsidR="005825DE" w:rsidRPr="005825DE" w:rsidRDefault="005825DE" w:rsidP="005825DE">
      <w:pPr>
        <w:pStyle w:val="EndNoteBibliography"/>
      </w:pPr>
      <w:r w:rsidRPr="005825DE">
        <w:t xml:space="preserve">Brown, PA, Shah, B, Advani, A, Aoun, P, Boyer, MW, Burke, PW, DeAngelo, DJ, Dinner, S, Fathi, AT, Gauthier, J, Jain, N, Kirby, S, Liedtke, M, Litzow, M, Logan, A, Luger, S, Maness, LJ, Massaro, S, Mattison, RJ, May, W, Oluwole, O, Park, J, Przespolewski, A, Rangaraju, S, Rubnitz, JE, Uy, GL, Vusirikala, M, Wieduwilt, M, Lynn, B, Berardi, RA, Freedman-Cass, DA &amp; Campbell, M 2021, 'Acute Lymphoblastic Leukemia, Version 2.2021, NCCN Clinical Practice Guidelines in Oncology', </w:t>
      </w:r>
      <w:r w:rsidRPr="005825DE">
        <w:rPr>
          <w:i/>
        </w:rPr>
        <w:t>J Natl Compr Canc Netw</w:t>
      </w:r>
      <w:r w:rsidRPr="005825DE">
        <w:t>, vol. 19, no</w:t>
      </w:r>
      <w:r>
        <w:t>. 9, Sep 20, pp. 1079-1109.</w:t>
      </w:r>
    </w:p>
    <w:p w14:paraId="239EDAB2" w14:textId="464E6A8B" w:rsidR="005825DE" w:rsidRPr="005825DE" w:rsidRDefault="005825DE" w:rsidP="005825DE">
      <w:pPr>
        <w:pStyle w:val="EndNoteBibliography"/>
      </w:pPr>
      <w:r w:rsidRPr="005825DE">
        <w:t xml:space="preserve">Cancer Council NSW 2020, </w:t>
      </w:r>
      <w:r w:rsidRPr="005825DE">
        <w:rPr>
          <w:i/>
        </w:rPr>
        <w:t>Acute lymphoblastic leukaemia (ALL)</w:t>
      </w:r>
      <w:r w:rsidRPr="005825DE">
        <w:t>, viewed 11th February 2022, &lt;https://www.cancercouncil.com.au/a</w:t>
      </w:r>
      <w:r>
        <w:t>cute-lymphoblastic-leukaemia/&gt;.</w:t>
      </w:r>
    </w:p>
    <w:p w14:paraId="398F8F9B" w14:textId="1BC5F619" w:rsidR="005825DE" w:rsidRPr="005825DE" w:rsidRDefault="005825DE" w:rsidP="005825DE">
      <w:pPr>
        <w:pStyle w:val="EndNoteBibliography"/>
      </w:pPr>
      <w:r w:rsidRPr="005825DE">
        <w:t xml:space="preserve">Della Starza, I, Chiaretti, S, De Propris, MS, Elia, L, Cavalli, M, De Novi, LA, Soscia, R, Messina, M, Vitale, A, Guarini, A &amp; Foa, R 2019, 'Minimal Residual Disease in Acute Lymphoblastic Leukemia: Technical and Clinical Advances', </w:t>
      </w:r>
      <w:r w:rsidRPr="005825DE">
        <w:rPr>
          <w:i/>
        </w:rPr>
        <w:t>Front Oncol</w:t>
      </w:r>
      <w:r>
        <w:t>, vol. 9, p. 726.</w:t>
      </w:r>
    </w:p>
    <w:p w14:paraId="3267435B" w14:textId="62DDFAA3" w:rsidR="005825DE" w:rsidRPr="005825DE" w:rsidRDefault="005825DE" w:rsidP="005825DE">
      <w:pPr>
        <w:pStyle w:val="EndNoteBibliography"/>
      </w:pPr>
      <w:r w:rsidRPr="005825DE">
        <w:t xml:space="preserve">Health Quality Ontario &amp; Toronto Health Econonomics and Technology Assessment Collaborative 2016, </w:t>
      </w:r>
      <w:r w:rsidRPr="005825DE">
        <w:rPr>
          <w:i/>
        </w:rPr>
        <w:t>Minimal Residual Disease Evaluation in Childhood Acute Lymphoblastic Leukemia: An Economic Analysis</w:t>
      </w:r>
      <w:r w:rsidRPr="005825DE">
        <w:t>, Ont Health Technol Assess Ser, &lt;http://www.hqontario.ca/evidence/publications-and-ohtacrecommendations/ontario-health-technolo</w:t>
      </w:r>
      <w:r>
        <w:t>gy-assessment-series/econ-mrd&gt;.</w:t>
      </w:r>
    </w:p>
    <w:p w14:paraId="3E8FCA4F" w14:textId="77777777" w:rsidR="005825DE" w:rsidRPr="005825DE" w:rsidRDefault="005825DE" w:rsidP="005825DE">
      <w:pPr>
        <w:pStyle w:val="EndNoteBibliography"/>
      </w:pPr>
      <w:r w:rsidRPr="005825DE">
        <w:t xml:space="preserve">RCPA 2022, 'Detection of minimal residual disease in patients with acute lymphoblastic leukaemia', </w:t>
      </w:r>
      <w:r w:rsidRPr="005825DE">
        <w:rPr>
          <w:i/>
        </w:rPr>
        <w:t>Application to the MSAC</w:t>
      </w:r>
      <w:r w:rsidRPr="005825DE">
        <w:t>.</w:t>
      </w:r>
    </w:p>
    <w:p w14:paraId="2D5100C8" w14:textId="77777777" w:rsidR="005825DE" w:rsidRPr="005825DE" w:rsidRDefault="005825DE" w:rsidP="005825DE">
      <w:pPr>
        <w:pStyle w:val="EndNoteBibliography"/>
      </w:pPr>
    </w:p>
    <w:p w14:paraId="0C560D2C" w14:textId="7C4257DC" w:rsidR="005825DE" w:rsidRDefault="005825DE" w:rsidP="00547907">
      <w:r>
        <w:fldChar w:fldCharType="end"/>
      </w:r>
      <w:r>
        <w:br w:type="page"/>
      </w:r>
    </w:p>
    <w:p w14:paraId="25D145E1" w14:textId="77777777" w:rsidR="00E01349" w:rsidRPr="00E01349" w:rsidRDefault="00E01349" w:rsidP="005825DE"/>
    <w:p w14:paraId="7BB116D2" w14:textId="4E06E663" w:rsidR="000E6890" w:rsidRDefault="00AB4300" w:rsidP="00AB4300">
      <w:pPr>
        <w:pStyle w:val="Heading2"/>
      </w:pPr>
      <w:bookmarkStart w:id="26" w:name="_Ref97193128"/>
      <w:r>
        <w:t xml:space="preserve">Appendix </w:t>
      </w:r>
      <w:fldSimple w:instr=" SEQ Appendix \* ALPHABETIC ">
        <w:r w:rsidR="00613492">
          <w:rPr>
            <w:noProof/>
          </w:rPr>
          <w:t>A</w:t>
        </w:r>
      </w:fldSimple>
      <w:bookmarkEnd w:id="26"/>
      <w:r>
        <w:tab/>
        <w:t>ALL06 treatment protocol</w:t>
      </w:r>
    </w:p>
    <w:p w14:paraId="41DC1FC4" w14:textId="77777777" w:rsidR="00AB4300" w:rsidRDefault="00AB4300" w:rsidP="00AB4300">
      <w:pPr>
        <w:pStyle w:val="Caption"/>
      </w:pPr>
      <w:r>
        <w:t xml:space="preserve">Table </w:t>
      </w:r>
      <w:r>
        <w:fldChar w:fldCharType="begin"/>
      </w:r>
      <w:r>
        <w:instrText xml:space="preserve"> SEQ Table \* ARABIC </w:instrText>
      </w:r>
      <w:r>
        <w:fldChar w:fldCharType="separate"/>
      </w:r>
      <w:r>
        <w:rPr>
          <w:noProof/>
        </w:rPr>
        <w:t>4</w:t>
      </w:r>
      <w:r>
        <w:fldChar w:fldCharType="end"/>
      </w:r>
      <w:r>
        <w:tab/>
        <w:t>ALL06 Schema for treating ALL</w:t>
      </w:r>
    </w:p>
    <w:tbl>
      <w:tblPr>
        <w:tblStyle w:val="TableGrid"/>
        <w:tblW w:w="0" w:type="auto"/>
        <w:tblInd w:w="0" w:type="dxa"/>
        <w:tblLook w:val="04A0" w:firstRow="1" w:lastRow="0" w:firstColumn="1" w:lastColumn="0" w:noHBand="0" w:noVBand="1"/>
        <w:tblCaption w:val="ALL06 Schema for treating ALL"/>
        <w:tblDescription w:val="Complex list of different drugs, dosing regimen and timing"/>
      </w:tblPr>
      <w:tblGrid>
        <w:gridCol w:w="1980"/>
        <w:gridCol w:w="567"/>
        <w:gridCol w:w="3118"/>
        <w:gridCol w:w="3906"/>
      </w:tblGrid>
      <w:tr w:rsidR="00AB4300" w14:paraId="15D217D8" w14:textId="77777777" w:rsidTr="00702852">
        <w:trPr>
          <w:tblHeader/>
        </w:trPr>
        <w:tc>
          <w:tcPr>
            <w:tcW w:w="9571" w:type="dxa"/>
            <w:gridSpan w:val="4"/>
          </w:tcPr>
          <w:p w14:paraId="34BB705B" w14:textId="77777777" w:rsidR="00AB4300" w:rsidRDefault="00AB4300" w:rsidP="00457EEF">
            <w:pPr>
              <w:pStyle w:val="TableHeading"/>
            </w:pPr>
            <w:r>
              <w:t xml:space="preserve">Protocol I induction (course duration:35 days); initial 7 days of </w:t>
            </w:r>
            <w:proofErr w:type="spellStart"/>
            <w:r>
              <w:t>prephase</w:t>
            </w:r>
            <w:proofErr w:type="spellEnd"/>
            <w:r>
              <w:t xml:space="preserve"> with prednisolone and intrathecal methotrexate included. Patients to receive: all risk groups</w:t>
            </w:r>
          </w:p>
        </w:tc>
      </w:tr>
      <w:tr w:rsidR="00AB4300" w14:paraId="5BFCFD39" w14:textId="77777777" w:rsidTr="00457EEF">
        <w:tc>
          <w:tcPr>
            <w:tcW w:w="1980" w:type="dxa"/>
          </w:tcPr>
          <w:p w14:paraId="37E98991" w14:textId="77777777" w:rsidR="00AB4300" w:rsidRDefault="00AB4300" w:rsidP="00457EEF">
            <w:pPr>
              <w:pStyle w:val="TableText0"/>
            </w:pPr>
            <w:proofErr w:type="spellStart"/>
            <w:r>
              <w:t>Predisolone</w:t>
            </w:r>
            <w:proofErr w:type="spellEnd"/>
          </w:p>
        </w:tc>
        <w:tc>
          <w:tcPr>
            <w:tcW w:w="567" w:type="dxa"/>
          </w:tcPr>
          <w:p w14:paraId="154F6030" w14:textId="77777777" w:rsidR="00AB4300" w:rsidRDefault="00AB4300" w:rsidP="00457EEF">
            <w:pPr>
              <w:pStyle w:val="TableText0"/>
            </w:pPr>
            <w:r>
              <w:t>PO</w:t>
            </w:r>
          </w:p>
        </w:tc>
        <w:tc>
          <w:tcPr>
            <w:tcW w:w="3118" w:type="dxa"/>
          </w:tcPr>
          <w:p w14:paraId="2129C31E" w14:textId="77777777" w:rsidR="00AB4300" w:rsidRPr="00A60B50" w:rsidRDefault="00AB4300" w:rsidP="00457EEF">
            <w:pPr>
              <w:pStyle w:val="TableText0"/>
            </w:pPr>
            <w:r>
              <w:t>60 mg/m</w:t>
            </w:r>
            <w:r>
              <w:rPr>
                <w:vertAlign w:val="superscript"/>
              </w:rPr>
              <w:t>2</w:t>
            </w:r>
            <w:r>
              <w:t>/day</w:t>
            </w:r>
          </w:p>
        </w:tc>
        <w:tc>
          <w:tcPr>
            <w:tcW w:w="3906" w:type="dxa"/>
          </w:tcPr>
          <w:p w14:paraId="5A2F19C8" w14:textId="77777777" w:rsidR="00AB4300" w:rsidRDefault="00AB4300" w:rsidP="00457EEF">
            <w:pPr>
              <w:pStyle w:val="TableText0"/>
            </w:pPr>
            <w:r>
              <w:t>Day 1 to 28 then taper over 10 days and cease</w:t>
            </w:r>
          </w:p>
        </w:tc>
      </w:tr>
      <w:tr w:rsidR="00AB4300" w14:paraId="5BA95472" w14:textId="77777777" w:rsidTr="00457EEF">
        <w:tc>
          <w:tcPr>
            <w:tcW w:w="1980" w:type="dxa"/>
          </w:tcPr>
          <w:p w14:paraId="138B5F4F" w14:textId="77777777" w:rsidR="00AB4300" w:rsidRPr="00EE3321" w:rsidRDefault="00AB4300" w:rsidP="00457EEF">
            <w:pPr>
              <w:pStyle w:val="TableText0"/>
              <w:rPr>
                <w:vertAlign w:val="superscript"/>
              </w:rPr>
            </w:pPr>
            <w:proofErr w:type="spellStart"/>
            <w:r>
              <w:t>Methotrexate</w:t>
            </w:r>
            <w:r>
              <w:rPr>
                <w:vertAlign w:val="superscript"/>
              </w:rPr>
              <w:t>a</w:t>
            </w:r>
            <w:proofErr w:type="spellEnd"/>
          </w:p>
        </w:tc>
        <w:tc>
          <w:tcPr>
            <w:tcW w:w="567" w:type="dxa"/>
          </w:tcPr>
          <w:p w14:paraId="64D406E1" w14:textId="77777777" w:rsidR="00AB4300" w:rsidRDefault="00AB4300" w:rsidP="00457EEF">
            <w:pPr>
              <w:pStyle w:val="TableText0"/>
            </w:pPr>
            <w:r>
              <w:t>IT</w:t>
            </w:r>
          </w:p>
        </w:tc>
        <w:tc>
          <w:tcPr>
            <w:tcW w:w="3118" w:type="dxa"/>
          </w:tcPr>
          <w:p w14:paraId="3518D3E2" w14:textId="77777777" w:rsidR="00AB4300" w:rsidRDefault="00AB4300" w:rsidP="00457EEF">
            <w:pPr>
              <w:pStyle w:val="TableText0"/>
            </w:pPr>
            <w:r>
              <w:t>12 mg</w:t>
            </w:r>
          </w:p>
        </w:tc>
        <w:tc>
          <w:tcPr>
            <w:tcW w:w="3906" w:type="dxa"/>
          </w:tcPr>
          <w:p w14:paraId="14855F65" w14:textId="77777777" w:rsidR="00AB4300" w:rsidRDefault="00AB4300" w:rsidP="00457EEF">
            <w:pPr>
              <w:pStyle w:val="TableText0"/>
            </w:pPr>
            <w:r>
              <w:t>Days 1, 15, 33</w:t>
            </w:r>
          </w:p>
        </w:tc>
      </w:tr>
      <w:tr w:rsidR="00AB4300" w14:paraId="4BAE9EB5" w14:textId="77777777" w:rsidTr="00457EEF">
        <w:tc>
          <w:tcPr>
            <w:tcW w:w="1980" w:type="dxa"/>
          </w:tcPr>
          <w:p w14:paraId="0A198072" w14:textId="77777777" w:rsidR="00AB4300" w:rsidRDefault="00AB4300" w:rsidP="00457EEF">
            <w:pPr>
              <w:pStyle w:val="TableText0"/>
            </w:pPr>
            <w:proofErr w:type="spellStart"/>
            <w:r>
              <w:t>DAUNOrubicin</w:t>
            </w:r>
            <w:proofErr w:type="spellEnd"/>
          </w:p>
        </w:tc>
        <w:tc>
          <w:tcPr>
            <w:tcW w:w="567" w:type="dxa"/>
          </w:tcPr>
          <w:p w14:paraId="0F613F87" w14:textId="77777777" w:rsidR="00AB4300" w:rsidRDefault="00AB4300" w:rsidP="00457EEF">
            <w:pPr>
              <w:pStyle w:val="TableText0"/>
            </w:pPr>
            <w:r>
              <w:t>IV</w:t>
            </w:r>
          </w:p>
        </w:tc>
        <w:tc>
          <w:tcPr>
            <w:tcW w:w="3118" w:type="dxa"/>
          </w:tcPr>
          <w:p w14:paraId="20CED4AB" w14:textId="77777777" w:rsidR="00AB4300" w:rsidRPr="00A60B50" w:rsidRDefault="00AB4300" w:rsidP="00457EEF">
            <w:pPr>
              <w:pStyle w:val="TableText0"/>
            </w:pPr>
            <w:r>
              <w:t>30 mg/m</w:t>
            </w:r>
            <w:r>
              <w:rPr>
                <w:vertAlign w:val="superscript"/>
              </w:rPr>
              <w:t>2</w:t>
            </w:r>
          </w:p>
        </w:tc>
        <w:tc>
          <w:tcPr>
            <w:tcW w:w="3906" w:type="dxa"/>
          </w:tcPr>
          <w:p w14:paraId="39C1678F" w14:textId="77777777" w:rsidR="00AB4300" w:rsidRDefault="00AB4300" w:rsidP="00457EEF">
            <w:pPr>
              <w:pStyle w:val="TableText0"/>
            </w:pPr>
            <w:r>
              <w:t>Days 8, 16, 22, 29</w:t>
            </w:r>
          </w:p>
        </w:tc>
      </w:tr>
      <w:tr w:rsidR="00AB4300" w14:paraId="3DA1C716" w14:textId="77777777" w:rsidTr="00457EEF">
        <w:tc>
          <w:tcPr>
            <w:tcW w:w="1980" w:type="dxa"/>
          </w:tcPr>
          <w:p w14:paraId="050B63B8" w14:textId="77777777" w:rsidR="00AB4300" w:rsidRDefault="00AB4300" w:rsidP="00457EEF">
            <w:pPr>
              <w:pStyle w:val="TableText0"/>
            </w:pPr>
            <w:proofErr w:type="spellStart"/>
            <w:r>
              <w:t>vinCRISTine</w:t>
            </w:r>
            <w:proofErr w:type="spellEnd"/>
          </w:p>
        </w:tc>
        <w:tc>
          <w:tcPr>
            <w:tcW w:w="567" w:type="dxa"/>
          </w:tcPr>
          <w:p w14:paraId="20FD34C8" w14:textId="77777777" w:rsidR="00AB4300" w:rsidRDefault="00AB4300" w:rsidP="00457EEF">
            <w:pPr>
              <w:pStyle w:val="TableText0"/>
            </w:pPr>
            <w:r>
              <w:t>IV</w:t>
            </w:r>
          </w:p>
        </w:tc>
        <w:tc>
          <w:tcPr>
            <w:tcW w:w="3118" w:type="dxa"/>
          </w:tcPr>
          <w:p w14:paraId="2CDE9335" w14:textId="77777777" w:rsidR="00AB4300" w:rsidRPr="00A60B50" w:rsidRDefault="00AB4300" w:rsidP="00457EEF">
            <w:pPr>
              <w:pStyle w:val="TableText0"/>
            </w:pPr>
            <w:r>
              <w:t>1.5 mg/m</w:t>
            </w:r>
            <w:r>
              <w:rPr>
                <w:vertAlign w:val="superscript"/>
              </w:rPr>
              <w:t>2</w:t>
            </w:r>
            <w:r>
              <w:t xml:space="preserve"> (cap at 2 mg)</w:t>
            </w:r>
          </w:p>
        </w:tc>
        <w:tc>
          <w:tcPr>
            <w:tcW w:w="3906" w:type="dxa"/>
          </w:tcPr>
          <w:p w14:paraId="71C214B8" w14:textId="77777777" w:rsidR="00AB4300" w:rsidRDefault="00AB4300" w:rsidP="00457EEF">
            <w:pPr>
              <w:pStyle w:val="TableText0"/>
            </w:pPr>
            <w:r>
              <w:t>Days 8, 16, 22, 29</w:t>
            </w:r>
          </w:p>
        </w:tc>
      </w:tr>
      <w:tr w:rsidR="00AB4300" w14:paraId="4FE35714" w14:textId="77777777" w:rsidTr="00457EEF">
        <w:tc>
          <w:tcPr>
            <w:tcW w:w="1980" w:type="dxa"/>
          </w:tcPr>
          <w:p w14:paraId="025F74BB" w14:textId="77777777" w:rsidR="00AB4300" w:rsidRDefault="00AB4300" w:rsidP="00457EEF">
            <w:pPr>
              <w:pStyle w:val="TableText0"/>
            </w:pPr>
            <w:proofErr w:type="spellStart"/>
            <w:r>
              <w:t>Pegaspargase</w:t>
            </w:r>
            <w:proofErr w:type="spellEnd"/>
          </w:p>
        </w:tc>
        <w:tc>
          <w:tcPr>
            <w:tcW w:w="567" w:type="dxa"/>
          </w:tcPr>
          <w:p w14:paraId="230DE654" w14:textId="77777777" w:rsidR="00AB4300" w:rsidRDefault="00AB4300" w:rsidP="00457EEF">
            <w:pPr>
              <w:pStyle w:val="TableText0"/>
            </w:pPr>
            <w:r>
              <w:t>IM</w:t>
            </w:r>
          </w:p>
        </w:tc>
        <w:tc>
          <w:tcPr>
            <w:tcW w:w="3118" w:type="dxa"/>
          </w:tcPr>
          <w:p w14:paraId="6749E76D" w14:textId="77777777" w:rsidR="00AB4300" w:rsidRPr="00A60B50" w:rsidRDefault="00AB4300" w:rsidP="00457EEF">
            <w:pPr>
              <w:pStyle w:val="TableText0"/>
              <w:rPr>
                <w:vertAlign w:val="superscript"/>
              </w:rPr>
            </w:pPr>
            <w:r>
              <w:t>1000 U/m</w:t>
            </w:r>
            <w:r>
              <w:rPr>
                <w:vertAlign w:val="superscript"/>
              </w:rPr>
              <w:t>2</w:t>
            </w:r>
          </w:p>
        </w:tc>
        <w:tc>
          <w:tcPr>
            <w:tcW w:w="3906" w:type="dxa"/>
          </w:tcPr>
          <w:p w14:paraId="1940394F" w14:textId="77777777" w:rsidR="00AB4300" w:rsidRDefault="00AB4300" w:rsidP="00457EEF">
            <w:pPr>
              <w:pStyle w:val="TableText0"/>
            </w:pPr>
            <w:r>
              <w:t>Days 8, 22</w:t>
            </w:r>
          </w:p>
        </w:tc>
      </w:tr>
      <w:tr w:rsidR="00AB4300" w14:paraId="42365354" w14:textId="77777777" w:rsidTr="00457EEF">
        <w:tc>
          <w:tcPr>
            <w:tcW w:w="9571" w:type="dxa"/>
            <w:gridSpan w:val="4"/>
          </w:tcPr>
          <w:p w14:paraId="5F9069C3" w14:textId="77777777" w:rsidR="00AB4300" w:rsidRPr="00EE3321" w:rsidRDefault="00AB4300" w:rsidP="00457EEF">
            <w:pPr>
              <w:pStyle w:val="TableText0"/>
              <w:rPr>
                <w:b/>
              </w:rPr>
            </w:pPr>
            <w:r w:rsidRPr="00EE3321">
              <w:rPr>
                <w:b/>
              </w:rPr>
              <w:t>Protocol I consolidation: (course duration: 29 days); ideally day 1 of Protocol I consolidation commences on day 36 from the start of Protocol I induction). Patients to receive: all risk groups</w:t>
            </w:r>
          </w:p>
        </w:tc>
      </w:tr>
      <w:tr w:rsidR="00AB4300" w14:paraId="5C1BB991" w14:textId="77777777" w:rsidTr="00457EEF">
        <w:tc>
          <w:tcPr>
            <w:tcW w:w="1980" w:type="dxa"/>
          </w:tcPr>
          <w:p w14:paraId="3927902A" w14:textId="77777777" w:rsidR="00AB4300" w:rsidRDefault="00AB4300" w:rsidP="00457EEF">
            <w:pPr>
              <w:pStyle w:val="TableText0"/>
            </w:pPr>
            <w:proofErr w:type="spellStart"/>
            <w:r>
              <w:t>CYCLOPHOSPHamide</w:t>
            </w:r>
            <w:proofErr w:type="spellEnd"/>
          </w:p>
        </w:tc>
        <w:tc>
          <w:tcPr>
            <w:tcW w:w="567" w:type="dxa"/>
          </w:tcPr>
          <w:p w14:paraId="3DD25C25" w14:textId="77777777" w:rsidR="00AB4300" w:rsidRDefault="00AB4300" w:rsidP="00457EEF">
            <w:pPr>
              <w:pStyle w:val="TableText0"/>
            </w:pPr>
            <w:r>
              <w:t>IV</w:t>
            </w:r>
          </w:p>
        </w:tc>
        <w:tc>
          <w:tcPr>
            <w:tcW w:w="3118" w:type="dxa"/>
          </w:tcPr>
          <w:p w14:paraId="4A25DCD2" w14:textId="77777777" w:rsidR="00AB4300" w:rsidRPr="00EE3321" w:rsidRDefault="00AB4300" w:rsidP="00457EEF">
            <w:pPr>
              <w:pStyle w:val="TableText0"/>
              <w:rPr>
                <w:vertAlign w:val="superscript"/>
              </w:rPr>
            </w:pPr>
            <w:r>
              <w:t>1000 mg/m</w:t>
            </w:r>
            <w:r>
              <w:rPr>
                <w:vertAlign w:val="superscript"/>
              </w:rPr>
              <w:t>2</w:t>
            </w:r>
          </w:p>
        </w:tc>
        <w:tc>
          <w:tcPr>
            <w:tcW w:w="3906" w:type="dxa"/>
          </w:tcPr>
          <w:p w14:paraId="299534EA" w14:textId="77777777" w:rsidR="00AB4300" w:rsidRDefault="00AB4300" w:rsidP="00457EEF">
            <w:pPr>
              <w:pStyle w:val="TableText0"/>
            </w:pPr>
            <w:r>
              <w:t>Days 1 and 29</w:t>
            </w:r>
          </w:p>
        </w:tc>
      </w:tr>
      <w:tr w:rsidR="00AB4300" w14:paraId="6E0D9678" w14:textId="77777777" w:rsidTr="00457EEF">
        <w:tc>
          <w:tcPr>
            <w:tcW w:w="1980" w:type="dxa"/>
          </w:tcPr>
          <w:p w14:paraId="2EAAD13C" w14:textId="77777777" w:rsidR="00AB4300" w:rsidRDefault="00AB4300" w:rsidP="00457EEF">
            <w:pPr>
              <w:pStyle w:val="TableText0"/>
            </w:pPr>
            <w:proofErr w:type="spellStart"/>
            <w:r>
              <w:t>Mesna</w:t>
            </w:r>
            <w:proofErr w:type="spellEnd"/>
          </w:p>
        </w:tc>
        <w:tc>
          <w:tcPr>
            <w:tcW w:w="567" w:type="dxa"/>
          </w:tcPr>
          <w:p w14:paraId="6A29B14D" w14:textId="77777777" w:rsidR="00AB4300" w:rsidRDefault="00AB4300" w:rsidP="00457EEF">
            <w:pPr>
              <w:pStyle w:val="TableText0"/>
            </w:pPr>
            <w:r>
              <w:t>IV</w:t>
            </w:r>
          </w:p>
        </w:tc>
        <w:tc>
          <w:tcPr>
            <w:tcW w:w="3118" w:type="dxa"/>
          </w:tcPr>
          <w:p w14:paraId="5C83D440" w14:textId="77777777" w:rsidR="00AB4300" w:rsidRPr="00EE3321" w:rsidRDefault="00AB4300" w:rsidP="00457EEF">
            <w:pPr>
              <w:pStyle w:val="TableText0"/>
            </w:pPr>
            <w:r>
              <w:t>400 mg/m</w:t>
            </w:r>
            <w:r>
              <w:rPr>
                <w:vertAlign w:val="superscript"/>
              </w:rPr>
              <w:t>2</w:t>
            </w:r>
            <w:r>
              <w:t xml:space="preserve"> at 0, 4 and 8 hours after cyclophosphamide dose</w:t>
            </w:r>
          </w:p>
        </w:tc>
        <w:tc>
          <w:tcPr>
            <w:tcW w:w="3906" w:type="dxa"/>
          </w:tcPr>
          <w:p w14:paraId="48729010" w14:textId="77777777" w:rsidR="00AB4300" w:rsidRDefault="00AB4300" w:rsidP="00457EEF">
            <w:pPr>
              <w:pStyle w:val="TableText0"/>
            </w:pPr>
            <w:r>
              <w:t>Days 1 and 29</w:t>
            </w:r>
          </w:p>
        </w:tc>
      </w:tr>
      <w:tr w:rsidR="00AB4300" w14:paraId="7F90AF5F" w14:textId="77777777" w:rsidTr="00457EEF">
        <w:tc>
          <w:tcPr>
            <w:tcW w:w="1980" w:type="dxa"/>
          </w:tcPr>
          <w:p w14:paraId="1A525F93" w14:textId="77777777" w:rsidR="00AB4300" w:rsidRDefault="00AB4300" w:rsidP="00457EEF">
            <w:pPr>
              <w:pStyle w:val="TableText0"/>
            </w:pPr>
            <w:r>
              <w:t>Mercaptopurine</w:t>
            </w:r>
          </w:p>
        </w:tc>
        <w:tc>
          <w:tcPr>
            <w:tcW w:w="567" w:type="dxa"/>
          </w:tcPr>
          <w:p w14:paraId="6529461E" w14:textId="77777777" w:rsidR="00AB4300" w:rsidRDefault="00AB4300" w:rsidP="00457EEF">
            <w:pPr>
              <w:pStyle w:val="TableText0"/>
            </w:pPr>
            <w:r>
              <w:t>PO</w:t>
            </w:r>
          </w:p>
        </w:tc>
        <w:tc>
          <w:tcPr>
            <w:tcW w:w="3118" w:type="dxa"/>
          </w:tcPr>
          <w:p w14:paraId="7B73E42E" w14:textId="77777777" w:rsidR="00AB4300" w:rsidRPr="00EE3321" w:rsidRDefault="00AB4300" w:rsidP="00457EEF">
            <w:pPr>
              <w:pStyle w:val="TableText0"/>
            </w:pPr>
            <w:r>
              <w:t>60 mg/m</w:t>
            </w:r>
            <w:r>
              <w:rPr>
                <w:vertAlign w:val="superscript"/>
              </w:rPr>
              <w:t>2</w:t>
            </w:r>
            <w:r>
              <w:t>/day</w:t>
            </w:r>
          </w:p>
        </w:tc>
        <w:tc>
          <w:tcPr>
            <w:tcW w:w="3906" w:type="dxa"/>
          </w:tcPr>
          <w:p w14:paraId="2805BF82" w14:textId="77777777" w:rsidR="00AB4300" w:rsidRDefault="00AB4300" w:rsidP="00457EEF">
            <w:pPr>
              <w:pStyle w:val="TableText0"/>
            </w:pPr>
            <w:r>
              <w:t>Days 1 to 28</w:t>
            </w:r>
          </w:p>
        </w:tc>
      </w:tr>
      <w:tr w:rsidR="00AB4300" w14:paraId="509991E4" w14:textId="77777777" w:rsidTr="00457EEF">
        <w:tc>
          <w:tcPr>
            <w:tcW w:w="1980" w:type="dxa"/>
          </w:tcPr>
          <w:p w14:paraId="6CA4C4D9" w14:textId="77777777" w:rsidR="00AB4300" w:rsidRDefault="00AB4300" w:rsidP="00457EEF">
            <w:pPr>
              <w:pStyle w:val="TableText0"/>
            </w:pPr>
            <w:r>
              <w:t>Cytarabine</w:t>
            </w:r>
          </w:p>
        </w:tc>
        <w:tc>
          <w:tcPr>
            <w:tcW w:w="567" w:type="dxa"/>
          </w:tcPr>
          <w:p w14:paraId="0820A40F" w14:textId="77777777" w:rsidR="00AB4300" w:rsidRDefault="00AB4300" w:rsidP="00457EEF">
            <w:pPr>
              <w:pStyle w:val="TableText0"/>
            </w:pPr>
            <w:r>
              <w:t>SC</w:t>
            </w:r>
          </w:p>
        </w:tc>
        <w:tc>
          <w:tcPr>
            <w:tcW w:w="3118" w:type="dxa"/>
          </w:tcPr>
          <w:p w14:paraId="6742843A" w14:textId="77777777" w:rsidR="00AB4300" w:rsidRPr="00EE3321" w:rsidRDefault="00AB4300" w:rsidP="00457EEF">
            <w:pPr>
              <w:pStyle w:val="TableText0"/>
              <w:rPr>
                <w:vertAlign w:val="superscript"/>
              </w:rPr>
            </w:pPr>
            <w:r>
              <w:t>75 mg/m</w:t>
            </w:r>
            <w:r>
              <w:rPr>
                <w:vertAlign w:val="superscript"/>
              </w:rPr>
              <w:t>2</w:t>
            </w:r>
          </w:p>
        </w:tc>
        <w:tc>
          <w:tcPr>
            <w:tcW w:w="3906" w:type="dxa"/>
          </w:tcPr>
          <w:p w14:paraId="7DD7886C" w14:textId="77777777" w:rsidR="00AB4300" w:rsidRDefault="00AB4300" w:rsidP="00457EEF">
            <w:pPr>
              <w:pStyle w:val="TableText0"/>
            </w:pPr>
            <w:r>
              <w:t>Days 1 to 4, 8 to 11, 15 to 18 and 22 to 25</w:t>
            </w:r>
          </w:p>
        </w:tc>
      </w:tr>
      <w:tr w:rsidR="00AB4300" w14:paraId="3DF4E823" w14:textId="77777777" w:rsidTr="00457EEF">
        <w:tc>
          <w:tcPr>
            <w:tcW w:w="1980" w:type="dxa"/>
          </w:tcPr>
          <w:p w14:paraId="2E7EBF01" w14:textId="77777777" w:rsidR="00AB4300" w:rsidRDefault="00AB4300" w:rsidP="00457EEF">
            <w:pPr>
              <w:pStyle w:val="TableText0"/>
            </w:pPr>
            <w:r>
              <w:t>Intrathecal methotrexate</w:t>
            </w:r>
          </w:p>
        </w:tc>
        <w:tc>
          <w:tcPr>
            <w:tcW w:w="567" w:type="dxa"/>
          </w:tcPr>
          <w:p w14:paraId="4F7267C6" w14:textId="77777777" w:rsidR="00AB4300" w:rsidRDefault="00AB4300" w:rsidP="00457EEF">
            <w:pPr>
              <w:pStyle w:val="TableText0"/>
            </w:pPr>
            <w:r>
              <w:t>IT</w:t>
            </w:r>
          </w:p>
        </w:tc>
        <w:tc>
          <w:tcPr>
            <w:tcW w:w="3118" w:type="dxa"/>
          </w:tcPr>
          <w:p w14:paraId="7303EBAC" w14:textId="77777777" w:rsidR="00AB4300" w:rsidRDefault="00AB4300" w:rsidP="00457EEF">
            <w:pPr>
              <w:pStyle w:val="TableText0"/>
            </w:pPr>
            <w:r>
              <w:t>12 mg</w:t>
            </w:r>
          </w:p>
        </w:tc>
        <w:tc>
          <w:tcPr>
            <w:tcW w:w="3906" w:type="dxa"/>
          </w:tcPr>
          <w:p w14:paraId="78751008" w14:textId="77777777" w:rsidR="00AB4300" w:rsidRDefault="00AB4300" w:rsidP="00457EEF">
            <w:pPr>
              <w:pStyle w:val="TableText0"/>
            </w:pPr>
            <w:r>
              <w:t>Days 8 and 22</w:t>
            </w:r>
          </w:p>
        </w:tc>
      </w:tr>
      <w:tr w:rsidR="00AB4300" w14:paraId="2961A118" w14:textId="77777777" w:rsidTr="00457EEF">
        <w:tc>
          <w:tcPr>
            <w:tcW w:w="9571" w:type="dxa"/>
            <w:gridSpan w:val="4"/>
          </w:tcPr>
          <w:p w14:paraId="777A4979" w14:textId="77777777" w:rsidR="00AB4300" w:rsidRPr="00EE3321" w:rsidRDefault="00AB4300" w:rsidP="00457EEF">
            <w:pPr>
              <w:pStyle w:val="TableText0"/>
              <w:rPr>
                <w:b/>
              </w:rPr>
            </w:pPr>
            <w:r w:rsidRPr="00EE3321">
              <w:rPr>
                <w:b/>
              </w:rPr>
              <w:t xml:space="preserve">Protocol maintenance (M): (course duration: 56 days); ideally day 1 of Protocol M commences on day 79 after the start of Protocol I induction (2 weeks after the last dose of cyclophosphamide in Protocol I consolidation). Patients to receive: standard risk and medium risk groups. </w:t>
            </w:r>
          </w:p>
        </w:tc>
      </w:tr>
      <w:tr w:rsidR="00AB4300" w14:paraId="0F4A5548" w14:textId="77777777" w:rsidTr="00457EEF">
        <w:tc>
          <w:tcPr>
            <w:tcW w:w="1980" w:type="dxa"/>
          </w:tcPr>
          <w:p w14:paraId="216DCC32" w14:textId="77777777" w:rsidR="00AB4300" w:rsidRDefault="00AB4300" w:rsidP="00457EEF">
            <w:pPr>
              <w:pStyle w:val="TableText0"/>
            </w:pPr>
            <w:r>
              <w:t>Mercaptopurine</w:t>
            </w:r>
          </w:p>
        </w:tc>
        <w:tc>
          <w:tcPr>
            <w:tcW w:w="567" w:type="dxa"/>
          </w:tcPr>
          <w:p w14:paraId="0C3F4FAB" w14:textId="77777777" w:rsidR="00AB4300" w:rsidRDefault="00AB4300" w:rsidP="00457EEF">
            <w:pPr>
              <w:pStyle w:val="TableText0"/>
            </w:pPr>
            <w:r>
              <w:t>PO</w:t>
            </w:r>
          </w:p>
        </w:tc>
        <w:tc>
          <w:tcPr>
            <w:tcW w:w="3118" w:type="dxa"/>
          </w:tcPr>
          <w:p w14:paraId="73DFFAC1" w14:textId="77777777" w:rsidR="00AB4300" w:rsidRPr="00EE3321" w:rsidRDefault="00AB4300" w:rsidP="00457EEF">
            <w:pPr>
              <w:pStyle w:val="TableText0"/>
            </w:pPr>
            <w:r>
              <w:t>25 mg/m</w:t>
            </w:r>
            <w:r>
              <w:rPr>
                <w:vertAlign w:val="superscript"/>
              </w:rPr>
              <w:t>2</w:t>
            </w:r>
            <w:r>
              <w:t>/day</w:t>
            </w:r>
          </w:p>
        </w:tc>
        <w:tc>
          <w:tcPr>
            <w:tcW w:w="3906" w:type="dxa"/>
          </w:tcPr>
          <w:p w14:paraId="72A3C1AF" w14:textId="77777777" w:rsidR="00AB4300" w:rsidRDefault="00AB4300" w:rsidP="00457EEF">
            <w:pPr>
              <w:pStyle w:val="TableText0"/>
            </w:pPr>
            <w:r>
              <w:t>Days 1 to 56</w:t>
            </w:r>
          </w:p>
        </w:tc>
      </w:tr>
      <w:tr w:rsidR="00AB4300" w14:paraId="7DCE0C79" w14:textId="77777777" w:rsidTr="00457EEF">
        <w:tc>
          <w:tcPr>
            <w:tcW w:w="1980" w:type="dxa"/>
          </w:tcPr>
          <w:p w14:paraId="31B664A1" w14:textId="77777777" w:rsidR="00AB4300" w:rsidRDefault="00AB4300" w:rsidP="00457EEF">
            <w:pPr>
              <w:pStyle w:val="TableText0"/>
            </w:pPr>
            <w:r>
              <w:t>Methotrexate</w:t>
            </w:r>
          </w:p>
        </w:tc>
        <w:tc>
          <w:tcPr>
            <w:tcW w:w="567" w:type="dxa"/>
          </w:tcPr>
          <w:p w14:paraId="3D3F342E" w14:textId="77777777" w:rsidR="00AB4300" w:rsidRDefault="00AB4300" w:rsidP="00457EEF">
            <w:pPr>
              <w:pStyle w:val="TableText0"/>
            </w:pPr>
            <w:r>
              <w:t>IV</w:t>
            </w:r>
          </w:p>
        </w:tc>
        <w:tc>
          <w:tcPr>
            <w:tcW w:w="3118" w:type="dxa"/>
          </w:tcPr>
          <w:p w14:paraId="3CC18B53" w14:textId="77777777" w:rsidR="00AB4300" w:rsidRPr="00EE3321" w:rsidRDefault="00AB4300" w:rsidP="00457EEF">
            <w:pPr>
              <w:pStyle w:val="TableText0"/>
            </w:pPr>
            <w:r>
              <w:t>500 mg/m</w:t>
            </w:r>
            <w:r>
              <w:rPr>
                <w:vertAlign w:val="superscript"/>
              </w:rPr>
              <w:t>2</w:t>
            </w:r>
          </w:p>
        </w:tc>
        <w:tc>
          <w:tcPr>
            <w:tcW w:w="3906" w:type="dxa"/>
          </w:tcPr>
          <w:p w14:paraId="680AB4FC" w14:textId="77777777" w:rsidR="00AB4300" w:rsidRDefault="00AB4300" w:rsidP="00457EEF">
            <w:pPr>
              <w:pStyle w:val="TableText0"/>
            </w:pPr>
            <w:r>
              <w:t>Days 8, 22, 36, 50</w:t>
            </w:r>
          </w:p>
        </w:tc>
      </w:tr>
      <w:tr w:rsidR="00AB4300" w14:paraId="141F0009" w14:textId="77777777" w:rsidTr="00457EEF">
        <w:tc>
          <w:tcPr>
            <w:tcW w:w="1980" w:type="dxa"/>
          </w:tcPr>
          <w:p w14:paraId="64C1717F" w14:textId="77777777" w:rsidR="00AB4300" w:rsidRDefault="00AB4300" w:rsidP="00457EEF">
            <w:pPr>
              <w:pStyle w:val="TableText0"/>
            </w:pPr>
            <w:r>
              <w:t>Methotrexate</w:t>
            </w:r>
          </w:p>
        </w:tc>
        <w:tc>
          <w:tcPr>
            <w:tcW w:w="567" w:type="dxa"/>
          </w:tcPr>
          <w:p w14:paraId="6C2BF292" w14:textId="77777777" w:rsidR="00AB4300" w:rsidRDefault="00AB4300" w:rsidP="00457EEF">
            <w:pPr>
              <w:pStyle w:val="TableText0"/>
            </w:pPr>
            <w:r>
              <w:t>IV</w:t>
            </w:r>
          </w:p>
        </w:tc>
        <w:tc>
          <w:tcPr>
            <w:tcW w:w="3118" w:type="dxa"/>
          </w:tcPr>
          <w:p w14:paraId="6D05B848" w14:textId="77777777" w:rsidR="00AB4300" w:rsidRDefault="00AB4300" w:rsidP="00457EEF">
            <w:pPr>
              <w:pStyle w:val="TableText0"/>
            </w:pPr>
            <w:r>
              <w:t>4500 mg/m</w:t>
            </w:r>
            <w:r>
              <w:rPr>
                <w:vertAlign w:val="superscript"/>
              </w:rPr>
              <w:t>2</w:t>
            </w:r>
          </w:p>
        </w:tc>
        <w:tc>
          <w:tcPr>
            <w:tcW w:w="3906" w:type="dxa"/>
          </w:tcPr>
          <w:p w14:paraId="0F7B9C11" w14:textId="77777777" w:rsidR="00AB4300" w:rsidRDefault="00AB4300" w:rsidP="00457EEF">
            <w:pPr>
              <w:pStyle w:val="TableText0"/>
            </w:pPr>
            <w:r>
              <w:t>Days 8, 22, 36, 50</w:t>
            </w:r>
          </w:p>
        </w:tc>
      </w:tr>
      <w:tr w:rsidR="00AB4300" w14:paraId="3233D93D" w14:textId="77777777" w:rsidTr="00457EEF">
        <w:tc>
          <w:tcPr>
            <w:tcW w:w="1980" w:type="dxa"/>
          </w:tcPr>
          <w:p w14:paraId="0451142B" w14:textId="77777777" w:rsidR="00AB4300" w:rsidRDefault="00AB4300" w:rsidP="00457EEF">
            <w:pPr>
              <w:pStyle w:val="TableText0"/>
            </w:pPr>
            <w:r>
              <w:t>Methotrexate</w:t>
            </w:r>
          </w:p>
        </w:tc>
        <w:tc>
          <w:tcPr>
            <w:tcW w:w="567" w:type="dxa"/>
          </w:tcPr>
          <w:p w14:paraId="357F6042" w14:textId="77777777" w:rsidR="00AB4300" w:rsidRDefault="00AB4300" w:rsidP="00457EEF">
            <w:pPr>
              <w:pStyle w:val="TableText0"/>
            </w:pPr>
            <w:r>
              <w:t>IT</w:t>
            </w:r>
          </w:p>
        </w:tc>
        <w:tc>
          <w:tcPr>
            <w:tcW w:w="3118" w:type="dxa"/>
          </w:tcPr>
          <w:p w14:paraId="729C8503" w14:textId="77777777" w:rsidR="00AB4300" w:rsidRDefault="00AB4300" w:rsidP="00457EEF">
            <w:pPr>
              <w:pStyle w:val="TableText0"/>
            </w:pPr>
            <w:r>
              <w:t>12 mg</w:t>
            </w:r>
          </w:p>
        </w:tc>
        <w:tc>
          <w:tcPr>
            <w:tcW w:w="3906" w:type="dxa"/>
          </w:tcPr>
          <w:p w14:paraId="79A7B767" w14:textId="77777777" w:rsidR="00AB4300" w:rsidRDefault="00AB4300" w:rsidP="00457EEF">
            <w:pPr>
              <w:pStyle w:val="TableText0"/>
            </w:pPr>
            <w:r>
              <w:t>Days 8, 22, 36, 50</w:t>
            </w:r>
          </w:p>
        </w:tc>
      </w:tr>
      <w:tr w:rsidR="00AB4300" w14:paraId="38BF2348" w14:textId="77777777" w:rsidTr="00457EEF">
        <w:tc>
          <w:tcPr>
            <w:tcW w:w="1980" w:type="dxa"/>
          </w:tcPr>
          <w:p w14:paraId="0A21C584" w14:textId="77777777" w:rsidR="00AB4300" w:rsidRPr="00094A2F" w:rsidRDefault="00AB4300" w:rsidP="00457EEF">
            <w:pPr>
              <w:pStyle w:val="TableText0"/>
              <w:rPr>
                <w:vertAlign w:val="superscript"/>
              </w:rPr>
            </w:pPr>
            <w:r>
              <w:t xml:space="preserve">Calcium </w:t>
            </w:r>
            <w:proofErr w:type="spellStart"/>
            <w:r>
              <w:t>folinate</w:t>
            </w:r>
            <w:r>
              <w:rPr>
                <w:vertAlign w:val="superscript"/>
              </w:rPr>
              <w:t>b</w:t>
            </w:r>
            <w:proofErr w:type="spellEnd"/>
          </w:p>
        </w:tc>
        <w:tc>
          <w:tcPr>
            <w:tcW w:w="567" w:type="dxa"/>
          </w:tcPr>
          <w:p w14:paraId="4CA30FF3" w14:textId="77777777" w:rsidR="00AB4300" w:rsidRDefault="00AB4300" w:rsidP="00457EEF">
            <w:pPr>
              <w:pStyle w:val="TableText0"/>
            </w:pPr>
            <w:r>
              <w:t>IV</w:t>
            </w:r>
          </w:p>
        </w:tc>
        <w:tc>
          <w:tcPr>
            <w:tcW w:w="3118" w:type="dxa"/>
          </w:tcPr>
          <w:p w14:paraId="26A7C38E" w14:textId="77777777" w:rsidR="00AB4300" w:rsidRPr="00094A2F" w:rsidRDefault="00AB4300" w:rsidP="00457EEF">
            <w:pPr>
              <w:pStyle w:val="TableText0"/>
            </w:pPr>
            <w:r>
              <w:t>15 mg/m</w:t>
            </w:r>
            <w:r>
              <w:rPr>
                <w:vertAlign w:val="superscript"/>
              </w:rPr>
              <w:t xml:space="preserve">2 </w:t>
            </w:r>
            <w:r>
              <w:t>every 6 hours</w:t>
            </w:r>
          </w:p>
        </w:tc>
        <w:tc>
          <w:tcPr>
            <w:tcW w:w="3906" w:type="dxa"/>
          </w:tcPr>
          <w:p w14:paraId="0D05F61B" w14:textId="77777777" w:rsidR="00AB4300" w:rsidRDefault="00AB4300" w:rsidP="00457EEF">
            <w:pPr>
              <w:pStyle w:val="TableText0"/>
            </w:pPr>
            <w:r>
              <w:t>Days 9, 23, 37, 51</w:t>
            </w:r>
          </w:p>
        </w:tc>
      </w:tr>
      <w:tr w:rsidR="00AB4300" w14:paraId="1106E3D1" w14:textId="77777777" w:rsidTr="00457EEF">
        <w:tc>
          <w:tcPr>
            <w:tcW w:w="9571" w:type="dxa"/>
            <w:gridSpan w:val="4"/>
          </w:tcPr>
          <w:p w14:paraId="17B940D9" w14:textId="77777777" w:rsidR="00AB4300" w:rsidRPr="00094A2F" w:rsidRDefault="00AB4300" w:rsidP="00457EEF">
            <w:pPr>
              <w:pStyle w:val="TableText0"/>
              <w:rPr>
                <w:b/>
              </w:rPr>
            </w:pPr>
            <w:r w:rsidRPr="00094A2F">
              <w:rPr>
                <w:b/>
              </w:rPr>
              <w:t>Protocol II: (course duration: 50 days), ideally day 1 of Protocol II commences 2 weeks after the end of Protocol M for standard risk and medium risk patients i.e. on day 70 after the start of Protocol M.</w:t>
            </w:r>
          </w:p>
          <w:p w14:paraId="38F98772" w14:textId="77777777" w:rsidR="00AB4300" w:rsidRPr="00094A2F" w:rsidRDefault="00AB4300" w:rsidP="00457EEF">
            <w:pPr>
              <w:pStyle w:val="TableText0"/>
              <w:rPr>
                <w:b/>
              </w:rPr>
            </w:pPr>
            <w:r w:rsidRPr="00094A2F">
              <w:rPr>
                <w:b/>
              </w:rPr>
              <w:t xml:space="preserve">For </w:t>
            </w:r>
            <w:proofErr w:type="gramStart"/>
            <w:r w:rsidRPr="00094A2F">
              <w:rPr>
                <w:b/>
              </w:rPr>
              <w:t>high risk</w:t>
            </w:r>
            <w:proofErr w:type="gramEnd"/>
            <w:r w:rsidRPr="00094A2F">
              <w:rPr>
                <w:b/>
              </w:rPr>
              <w:t xml:space="preserve"> patients (and </w:t>
            </w:r>
            <w:r>
              <w:rPr>
                <w:b/>
              </w:rPr>
              <w:t>very high risk</w:t>
            </w:r>
            <w:r w:rsidRPr="00094A2F">
              <w:rPr>
                <w:b/>
              </w:rPr>
              <w:t xml:space="preserve"> not proceeding to transplantation) Protocol II begins 3 weeks after the end of the 6</w:t>
            </w:r>
            <w:r w:rsidRPr="00094A2F">
              <w:rPr>
                <w:b/>
                <w:vertAlign w:val="superscript"/>
              </w:rPr>
              <w:t>th</w:t>
            </w:r>
            <w:r w:rsidRPr="00094A2F">
              <w:rPr>
                <w:b/>
              </w:rPr>
              <w:t xml:space="preserve"> high-risk block (i.e. Protocol II begins on day 57 after the start of HR block 6). </w:t>
            </w:r>
          </w:p>
          <w:p w14:paraId="57CDE63F" w14:textId="77777777" w:rsidR="00AB4300" w:rsidRPr="00094A2F" w:rsidRDefault="00AB4300" w:rsidP="00457EEF">
            <w:pPr>
              <w:pStyle w:val="TableText0"/>
            </w:pPr>
            <w:r>
              <w:rPr>
                <w:b/>
              </w:rPr>
              <w:t>Patients to receive</w:t>
            </w:r>
            <w:r w:rsidRPr="00094A2F">
              <w:rPr>
                <w:b/>
              </w:rPr>
              <w:t>: all risk groups.</w:t>
            </w:r>
            <w:r w:rsidRPr="00094A2F">
              <w:t xml:space="preserve"> </w:t>
            </w:r>
          </w:p>
        </w:tc>
      </w:tr>
      <w:tr w:rsidR="00AB4300" w14:paraId="0B65DF5B" w14:textId="77777777" w:rsidTr="00457EEF">
        <w:tc>
          <w:tcPr>
            <w:tcW w:w="1980" w:type="dxa"/>
          </w:tcPr>
          <w:p w14:paraId="505E961A" w14:textId="77777777" w:rsidR="00AB4300" w:rsidRDefault="00AB4300" w:rsidP="00457EEF">
            <w:pPr>
              <w:pStyle w:val="TableText0"/>
            </w:pPr>
            <w:r>
              <w:t>Dexamethasone</w:t>
            </w:r>
          </w:p>
        </w:tc>
        <w:tc>
          <w:tcPr>
            <w:tcW w:w="567" w:type="dxa"/>
          </w:tcPr>
          <w:p w14:paraId="57B140BB" w14:textId="77777777" w:rsidR="00AB4300" w:rsidRDefault="00AB4300" w:rsidP="00457EEF">
            <w:pPr>
              <w:pStyle w:val="TableText0"/>
            </w:pPr>
            <w:r>
              <w:t>PO</w:t>
            </w:r>
          </w:p>
        </w:tc>
        <w:tc>
          <w:tcPr>
            <w:tcW w:w="3118" w:type="dxa"/>
          </w:tcPr>
          <w:p w14:paraId="460D253E" w14:textId="77777777" w:rsidR="00AB4300" w:rsidRPr="002A1A30" w:rsidRDefault="00AB4300" w:rsidP="00457EEF">
            <w:pPr>
              <w:pStyle w:val="TableText0"/>
            </w:pPr>
            <w:r>
              <w:t>10 mg/m</w:t>
            </w:r>
            <w:r>
              <w:rPr>
                <w:vertAlign w:val="superscript"/>
              </w:rPr>
              <w:t>2</w:t>
            </w:r>
            <w:r>
              <w:t>/day</w:t>
            </w:r>
          </w:p>
        </w:tc>
        <w:tc>
          <w:tcPr>
            <w:tcW w:w="3906" w:type="dxa"/>
          </w:tcPr>
          <w:p w14:paraId="015A972A" w14:textId="77777777" w:rsidR="00AB4300" w:rsidRDefault="00AB4300" w:rsidP="00457EEF">
            <w:pPr>
              <w:pStyle w:val="TableText0"/>
            </w:pPr>
            <w:r>
              <w:t>Days 1 to 21 then taper and cease</w:t>
            </w:r>
          </w:p>
        </w:tc>
      </w:tr>
      <w:tr w:rsidR="00AB4300" w14:paraId="29691437" w14:textId="77777777" w:rsidTr="00457EEF">
        <w:tc>
          <w:tcPr>
            <w:tcW w:w="1980" w:type="dxa"/>
          </w:tcPr>
          <w:p w14:paraId="5E366945" w14:textId="77777777" w:rsidR="00AB4300" w:rsidRDefault="00AB4300" w:rsidP="00457EEF">
            <w:pPr>
              <w:pStyle w:val="TableText0"/>
            </w:pPr>
            <w:proofErr w:type="spellStart"/>
            <w:r>
              <w:t>Pegaspargase</w:t>
            </w:r>
            <w:proofErr w:type="spellEnd"/>
          </w:p>
        </w:tc>
        <w:tc>
          <w:tcPr>
            <w:tcW w:w="567" w:type="dxa"/>
          </w:tcPr>
          <w:p w14:paraId="68715EC8" w14:textId="77777777" w:rsidR="00AB4300" w:rsidRDefault="00AB4300" w:rsidP="00457EEF">
            <w:pPr>
              <w:pStyle w:val="TableText0"/>
            </w:pPr>
            <w:r>
              <w:t>IM</w:t>
            </w:r>
          </w:p>
        </w:tc>
        <w:tc>
          <w:tcPr>
            <w:tcW w:w="3118" w:type="dxa"/>
          </w:tcPr>
          <w:p w14:paraId="604E1797" w14:textId="77777777" w:rsidR="00AB4300" w:rsidRPr="002A1A30" w:rsidRDefault="00AB4300" w:rsidP="00457EEF">
            <w:pPr>
              <w:pStyle w:val="TableText0"/>
              <w:rPr>
                <w:vertAlign w:val="superscript"/>
              </w:rPr>
            </w:pPr>
            <w:r>
              <w:t>1000 U/m</w:t>
            </w:r>
            <w:r>
              <w:rPr>
                <w:vertAlign w:val="superscript"/>
              </w:rPr>
              <w:t>2</w:t>
            </w:r>
          </w:p>
        </w:tc>
        <w:tc>
          <w:tcPr>
            <w:tcW w:w="3906" w:type="dxa"/>
          </w:tcPr>
          <w:p w14:paraId="2EEBDC24" w14:textId="77777777" w:rsidR="00AB4300" w:rsidRDefault="00AB4300" w:rsidP="00457EEF">
            <w:pPr>
              <w:pStyle w:val="TableText0"/>
            </w:pPr>
            <w:r>
              <w:t>Day 1</w:t>
            </w:r>
          </w:p>
        </w:tc>
      </w:tr>
      <w:tr w:rsidR="00AB4300" w14:paraId="14EE13EA" w14:textId="77777777" w:rsidTr="00457EEF">
        <w:tc>
          <w:tcPr>
            <w:tcW w:w="1980" w:type="dxa"/>
          </w:tcPr>
          <w:p w14:paraId="3F39523B" w14:textId="77777777" w:rsidR="00AB4300" w:rsidRDefault="00AB4300" w:rsidP="00457EEF">
            <w:pPr>
              <w:pStyle w:val="TableText0"/>
            </w:pPr>
            <w:proofErr w:type="spellStart"/>
            <w:r>
              <w:t>DOXOrubicin</w:t>
            </w:r>
            <w:proofErr w:type="spellEnd"/>
          </w:p>
        </w:tc>
        <w:tc>
          <w:tcPr>
            <w:tcW w:w="567" w:type="dxa"/>
          </w:tcPr>
          <w:p w14:paraId="15146984" w14:textId="77777777" w:rsidR="00AB4300" w:rsidRDefault="00AB4300" w:rsidP="00457EEF">
            <w:pPr>
              <w:pStyle w:val="TableText0"/>
            </w:pPr>
            <w:r>
              <w:t>IV</w:t>
            </w:r>
          </w:p>
        </w:tc>
        <w:tc>
          <w:tcPr>
            <w:tcW w:w="3118" w:type="dxa"/>
          </w:tcPr>
          <w:p w14:paraId="4B20BCC0" w14:textId="77777777" w:rsidR="00AB4300" w:rsidRPr="002A1A30" w:rsidRDefault="00AB4300" w:rsidP="00457EEF">
            <w:pPr>
              <w:pStyle w:val="TableText0"/>
              <w:rPr>
                <w:vertAlign w:val="superscript"/>
              </w:rPr>
            </w:pPr>
            <w:r>
              <w:t>30 mg/m</w:t>
            </w:r>
            <w:r>
              <w:rPr>
                <w:vertAlign w:val="superscript"/>
              </w:rPr>
              <w:t>2</w:t>
            </w:r>
          </w:p>
        </w:tc>
        <w:tc>
          <w:tcPr>
            <w:tcW w:w="3906" w:type="dxa"/>
          </w:tcPr>
          <w:p w14:paraId="41F5FCBF" w14:textId="77777777" w:rsidR="00AB4300" w:rsidRDefault="00AB4300" w:rsidP="00457EEF">
            <w:pPr>
              <w:pStyle w:val="TableText0"/>
            </w:pPr>
            <w:r>
              <w:t>Days 3, 15, 22, 29</w:t>
            </w:r>
          </w:p>
        </w:tc>
      </w:tr>
      <w:tr w:rsidR="00AB4300" w14:paraId="3F449D5D" w14:textId="77777777" w:rsidTr="00457EEF">
        <w:tc>
          <w:tcPr>
            <w:tcW w:w="1980" w:type="dxa"/>
          </w:tcPr>
          <w:p w14:paraId="0C7EBA66" w14:textId="77777777" w:rsidR="00AB4300" w:rsidRDefault="00AB4300" w:rsidP="00457EEF">
            <w:pPr>
              <w:pStyle w:val="TableText0"/>
            </w:pPr>
            <w:proofErr w:type="spellStart"/>
            <w:r>
              <w:t>vinCRISTine</w:t>
            </w:r>
            <w:proofErr w:type="spellEnd"/>
          </w:p>
        </w:tc>
        <w:tc>
          <w:tcPr>
            <w:tcW w:w="567" w:type="dxa"/>
          </w:tcPr>
          <w:p w14:paraId="74C18BFB" w14:textId="77777777" w:rsidR="00AB4300" w:rsidRDefault="00AB4300" w:rsidP="00457EEF">
            <w:pPr>
              <w:pStyle w:val="TableText0"/>
            </w:pPr>
            <w:r>
              <w:t>IV</w:t>
            </w:r>
          </w:p>
        </w:tc>
        <w:tc>
          <w:tcPr>
            <w:tcW w:w="3118" w:type="dxa"/>
          </w:tcPr>
          <w:p w14:paraId="40240D7A" w14:textId="77777777" w:rsidR="00AB4300" w:rsidRPr="002A1A30" w:rsidRDefault="00AB4300" w:rsidP="00457EEF">
            <w:pPr>
              <w:pStyle w:val="TableText0"/>
            </w:pPr>
            <w:r>
              <w:t>1.5 mg/m</w:t>
            </w:r>
            <w:r>
              <w:rPr>
                <w:vertAlign w:val="superscript"/>
              </w:rPr>
              <w:t>2</w:t>
            </w:r>
            <w:r>
              <w:t xml:space="preserve"> (cap at 2 mg)</w:t>
            </w:r>
          </w:p>
        </w:tc>
        <w:tc>
          <w:tcPr>
            <w:tcW w:w="3906" w:type="dxa"/>
          </w:tcPr>
          <w:p w14:paraId="4225CD5F" w14:textId="77777777" w:rsidR="00AB4300" w:rsidRDefault="00AB4300" w:rsidP="00457EEF">
            <w:pPr>
              <w:pStyle w:val="TableText0"/>
            </w:pPr>
            <w:r>
              <w:t>Days 8, 15, 22, 29</w:t>
            </w:r>
          </w:p>
        </w:tc>
      </w:tr>
      <w:tr w:rsidR="00AB4300" w14:paraId="74F9A2D4" w14:textId="77777777" w:rsidTr="00457EEF">
        <w:tc>
          <w:tcPr>
            <w:tcW w:w="1980" w:type="dxa"/>
          </w:tcPr>
          <w:p w14:paraId="4655C92F" w14:textId="77777777" w:rsidR="00AB4300" w:rsidRDefault="00AB4300" w:rsidP="00457EEF">
            <w:pPr>
              <w:pStyle w:val="TableText0"/>
            </w:pPr>
            <w:r>
              <w:t>Thioguanine</w:t>
            </w:r>
          </w:p>
        </w:tc>
        <w:tc>
          <w:tcPr>
            <w:tcW w:w="567" w:type="dxa"/>
          </w:tcPr>
          <w:p w14:paraId="6413E617" w14:textId="77777777" w:rsidR="00AB4300" w:rsidRDefault="00AB4300" w:rsidP="00457EEF">
            <w:pPr>
              <w:pStyle w:val="TableText0"/>
            </w:pPr>
            <w:r>
              <w:t>PO</w:t>
            </w:r>
          </w:p>
        </w:tc>
        <w:tc>
          <w:tcPr>
            <w:tcW w:w="3118" w:type="dxa"/>
          </w:tcPr>
          <w:p w14:paraId="6A6EEE46" w14:textId="77777777" w:rsidR="00AB4300" w:rsidRPr="002A1A30" w:rsidRDefault="00AB4300" w:rsidP="00457EEF">
            <w:pPr>
              <w:pStyle w:val="TableText0"/>
            </w:pPr>
            <w:r>
              <w:t>60 mg/m</w:t>
            </w:r>
            <w:r>
              <w:rPr>
                <w:vertAlign w:val="superscript"/>
              </w:rPr>
              <w:t>2</w:t>
            </w:r>
            <w:r>
              <w:t>/day</w:t>
            </w:r>
          </w:p>
        </w:tc>
        <w:tc>
          <w:tcPr>
            <w:tcW w:w="3906" w:type="dxa"/>
          </w:tcPr>
          <w:p w14:paraId="3CB7DF2D" w14:textId="77777777" w:rsidR="00AB4300" w:rsidRDefault="00AB4300" w:rsidP="00457EEF">
            <w:pPr>
              <w:pStyle w:val="TableText0"/>
            </w:pPr>
            <w:r>
              <w:t>Days 36 to 49</w:t>
            </w:r>
          </w:p>
        </w:tc>
      </w:tr>
      <w:tr w:rsidR="00AB4300" w14:paraId="79C688E5" w14:textId="77777777" w:rsidTr="00457EEF">
        <w:tc>
          <w:tcPr>
            <w:tcW w:w="1980" w:type="dxa"/>
          </w:tcPr>
          <w:p w14:paraId="27E884EB" w14:textId="77777777" w:rsidR="00AB4300" w:rsidRDefault="00AB4300" w:rsidP="00457EEF">
            <w:pPr>
              <w:pStyle w:val="TableText0"/>
            </w:pPr>
            <w:proofErr w:type="spellStart"/>
            <w:r>
              <w:t>CYCLOPHOSPHamide</w:t>
            </w:r>
            <w:proofErr w:type="spellEnd"/>
          </w:p>
        </w:tc>
        <w:tc>
          <w:tcPr>
            <w:tcW w:w="567" w:type="dxa"/>
          </w:tcPr>
          <w:p w14:paraId="1E400669" w14:textId="77777777" w:rsidR="00AB4300" w:rsidRDefault="00AB4300" w:rsidP="00457EEF">
            <w:pPr>
              <w:pStyle w:val="TableText0"/>
            </w:pPr>
            <w:r>
              <w:t>IV</w:t>
            </w:r>
          </w:p>
        </w:tc>
        <w:tc>
          <w:tcPr>
            <w:tcW w:w="3118" w:type="dxa"/>
          </w:tcPr>
          <w:p w14:paraId="1942B839" w14:textId="77777777" w:rsidR="00AB4300" w:rsidRDefault="00AB4300" w:rsidP="00457EEF">
            <w:pPr>
              <w:pStyle w:val="TableText0"/>
            </w:pPr>
            <w:r>
              <w:t>1000 mg/m</w:t>
            </w:r>
            <w:r>
              <w:rPr>
                <w:vertAlign w:val="superscript"/>
              </w:rPr>
              <w:t>2</w:t>
            </w:r>
          </w:p>
        </w:tc>
        <w:tc>
          <w:tcPr>
            <w:tcW w:w="3906" w:type="dxa"/>
          </w:tcPr>
          <w:p w14:paraId="2FA22086" w14:textId="77777777" w:rsidR="00AB4300" w:rsidRDefault="00AB4300" w:rsidP="00457EEF">
            <w:pPr>
              <w:pStyle w:val="TableText0"/>
            </w:pPr>
            <w:r>
              <w:t>Day 36</w:t>
            </w:r>
          </w:p>
        </w:tc>
      </w:tr>
      <w:tr w:rsidR="00AB4300" w14:paraId="5B94485A" w14:textId="77777777" w:rsidTr="00457EEF">
        <w:tc>
          <w:tcPr>
            <w:tcW w:w="1980" w:type="dxa"/>
          </w:tcPr>
          <w:p w14:paraId="507EBFB0" w14:textId="77777777" w:rsidR="00AB4300" w:rsidRDefault="00AB4300" w:rsidP="00457EEF">
            <w:pPr>
              <w:pStyle w:val="TableText0"/>
            </w:pPr>
            <w:proofErr w:type="spellStart"/>
            <w:r>
              <w:t>Mesna</w:t>
            </w:r>
            <w:proofErr w:type="spellEnd"/>
          </w:p>
        </w:tc>
        <w:tc>
          <w:tcPr>
            <w:tcW w:w="567" w:type="dxa"/>
          </w:tcPr>
          <w:p w14:paraId="298C9E94" w14:textId="77777777" w:rsidR="00AB4300" w:rsidRDefault="00AB4300" w:rsidP="00457EEF">
            <w:pPr>
              <w:pStyle w:val="TableText0"/>
            </w:pPr>
            <w:r>
              <w:t>IV</w:t>
            </w:r>
          </w:p>
        </w:tc>
        <w:tc>
          <w:tcPr>
            <w:tcW w:w="3118" w:type="dxa"/>
          </w:tcPr>
          <w:p w14:paraId="12AC4CDD" w14:textId="77777777" w:rsidR="00AB4300" w:rsidRDefault="00AB4300" w:rsidP="00457EEF">
            <w:pPr>
              <w:pStyle w:val="TableText0"/>
            </w:pPr>
            <w:r>
              <w:t>400 mg/m</w:t>
            </w:r>
            <w:r>
              <w:rPr>
                <w:vertAlign w:val="superscript"/>
              </w:rPr>
              <w:t>2</w:t>
            </w:r>
            <w:r>
              <w:t xml:space="preserve"> at 0, 4 and 8 hours after cyclophosphamide dose</w:t>
            </w:r>
          </w:p>
        </w:tc>
        <w:tc>
          <w:tcPr>
            <w:tcW w:w="3906" w:type="dxa"/>
          </w:tcPr>
          <w:p w14:paraId="770D7D7E" w14:textId="77777777" w:rsidR="00AB4300" w:rsidRDefault="00AB4300" w:rsidP="00457EEF">
            <w:pPr>
              <w:pStyle w:val="TableText0"/>
            </w:pPr>
            <w:r>
              <w:t>Day 36</w:t>
            </w:r>
          </w:p>
        </w:tc>
      </w:tr>
      <w:tr w:rsidR="00AB4300" w14:paraId="16A8B099" w14:textId="77777777" w:rsidTr="00457EEF">
        <w:tc>
          <w:tcPr>
            <w:tcW w:w="1980" w:type="dxa"/>
          </w:tcPr>
          <w:p w14:paraId="62A88F04" w14:textId="77777777" w:rsidR="00AB4300" w:rsidRDefault="00AB4300" w:rsidP="00457EEF">
            <w:pPr>
              <w:pStyle w:val="TableText0"/>
            </w:pPr>
            <w:r>
              <w:t>Cytarabine</w:t>
            </w:r>
          </w:p>
        </w:tc>
        <w:tc>
          <w:tcPr>
            <w:tcW w:w="567" w:type="dxa"/>
          </w:tcPr>
          <w:p w14:paraId="778382FD" w14:textId="77777777" w:rsidR="00AB4300" w:rsidRDefault="00AB4300" w:rsidP="00457EEF">
            <w:pPr>
              <w:pStyle w:val="TableText0"/>
            </w:pPr>
            <w:r>
              <w:t>SC</w:t>
            </w:r>
          </w:p>
        </w:tc>
        <w:tc>
          <w:tcPr>
            <w:tcW w:w="3118" w:type="dxa"/>
          </w:tcPr>
          <w:p w14:paraId="0B450B64" w14:textId="77777777" w:rsidR="00AB4300" w:rsidRDefault="00AB4300" w:rsidP="00457EEF">
            <w:pPr>
              <w:pStyle w:val="TableText0"/>
            </w:pPr>
            <w:r>
              <w:t>75 mg/m</w:t>
            </w:r>
            <w:r>
              <w:rPr>
                <w:vertAlign w:val="superscript"/>
              </w:rPr>
              <w:t>2</w:t>
            </w:r>
          </w:p>
        </w:tc>
        <w:tc>
          <w:tcPr>
            <w:tcW w:w="3906" w:type="dxa"/>
          </w:tcPr>
          <w:p w14:paraId="72D2A8F5" w14:textId="77777777" w:rsidR="00AB4300" w:rsidRDefault="00AB4300" w:rsidP="00457EEF">
            <w:pPr>
              <w:pStyle w:val="TableText0"/>
            </w:pPr>
            <w:r>
              <w:t>Days 36 to 39 and 43 to 46</w:t>
            </w:r>
          </w:p>
        </w:tc>
      </w:tr>
      <w:tr w:rsidR="00AB4300" w14:paraId="0920EE52" w14:textId="77777777" w:rsidTr="00457EEF">
        <w:tc>
          <w:tcPr>
            <w:tcW w:w="1980" w:type="dxa"/>
          </w:tcPr>
          <w:p w14:paraId="608B9F25" w14:textId="77777777" w:rsidR="00AB4300" w:rsidRPr="002A1A30" w:rsidRDefault="00AB4300" w:rsidP="00457EEF">
            <w:pPr>
              <w:pStyle w:val="TableText0"/>
            </w:pPr>
            <w:proofErr w:type="spellStart"/>
            <w:r>
              <w:t>Methotrexate</w:t>
            </w:r>
            <w:r>
              <w:rPr>
                <w:vertAlign w:val="superscript"/>
              </w:rPr>
              <w:t>c</w:t>
            </w:r>
            <w:proofErr w:type="spellEnd"/>
          </w:p>
        </w:tc>
        <w:tc>
          <w:tcPr>
            <w:tcW w:w="567" w:type="dxa"/>
          </w:tcPr>
          <w:p w14:paraId="676525CE" w14:textId="77777777" w:rsidR="00AB4300" w:rsidRDefault="00AB4300" w:rsidP="00457EEF">
            <w:pPr>
              <w:pStyle w:val="TableText0"/>
            </w:pPr>
            <w:r>
              <w:t>IT</w:t>
            </w:r>
          </w:p>
        </w:tc>
        <w:tc>
          <w:tcPr>
            <w:tcW w:w="3118" w:type="dxa"/>
          </w:tcPr>
          <w:p w14:paraId="2E684819" w14:textId="77777777" w:rsidR="00AB4300" w:rsidRDefault="00AB4300" w:rsidP="00457EEF">
            <w:pPr>
              <w:pStyle w:val="TableText0"/>
            </w:pPr>
            <w:r>
              <w:t>12 mg</w:t>
            </w:r>
          </w:p>
        </w:tc>
        <w:tc>
          <w:tcPr>
            <w:tcW w:w="3906" w:type="dxa"/>
          </w:tcPr>
          <w:p w14:paraId="71A2AF03" w14:textId="77777777" w:rsidR="00AB4300" w:rsidRDefault="00AB4300" w:rsidP="00457EEF">
            <w:pPr>
              <w:pStyle w:val="TableText0"/>
            </w:pPr>
            <w:r>
              <w:t>Days 36 and 43</w:t>
            </w:r>
          </w:p>
        </w:tc>
      </w:tr>
    </w:tbl>
    <w:p w14:paraId="4F636660" w14:textId="77777777" w:rsidR="00AB4300" w:rsidRDefault="00AB4300" w:rsidP="00AB4300">
      <w:pPr>
        <w:pStyle w:val="TableFooter"/>
      </w:pPr>
      <w:proofErr w:type="spellStart"/>
      <w:r>
        <w:rPr>
          <w:vertAlign w:val="superscript"/>
        </w:rPr>
        <w:t>a</w:t>
      </w:r>
      <w:r>
        <w:t>Patients</w:t>
      </w:r>
      <w:proofErr w:type="spellEnd"/>
      <w:r>
        <w:t xml:space="preserve"> with CNS involvement receive additional methotrexate therapy on day 18 and 27 i.e. total of 5 intrathecal doses; </w:t>
      </w:r>
      <w:proofErr w:type="spellStart"/>
      <w:r>
        <w:rPr>
          <w:vertAlign w:val="superscript"/>
        </w:rPr>
        <w:t>b</w:t>
      </w:r>
      <w:r>
        <w:t>Commence</w:t>
      </w:r>
      <w:proofErr w:type="spellEnd"/>
      <w:r>
        <w:t xml:space="preserve"> 36 hours after start of methotrexate infusion, continue until methotrexate level is less than 0.05 </w:t>
      </w:r>
      <w:proofErr w:type="spellStart"/>
      <w:r>
        <w:t>micromol</w:t>
      </w:r>
      <w:proofErr w:type="spellEnd"/>
      <w:r>
        <w:t xml:space="preserve">/L; </w:t>
      </w:r>
      <w:proofErr w:type="spellStart"/>
      <w:r>
        <w:rPr>
          <w:vertAlign w:val="superscript"/>
        </w:rPr>
        <w:t>c</w:t>
      </w:r>
      <w:r>
        <w:t>Paitents</w:t>
      </w:r>
      <w:proofErr w:type="spellEnd"/>
      <w:r>
        <w:t xml:space="preserve"> with CNS involvement at diagnosis receive additional </w:t>
      </w:r>
      <w:proofErr w:type="spellStart"/>
      <w:r>
        <w:t>intracathal</w:t>
      </w:r>
      <w:proofErr w:type="spellEnd"/>
      <w:r>
        <w:t xml:space="preserve"> therapy on day 1 and 18 i.e. total of 4 </w:t>
      </w:r>
      <w:proofErr w:type="spellStart"/>
      <w:r>
        <w:t>intracathal</w:t>
      </w:r>
      <w:proofErr w:type="spellEnd"/>
      <w:r>
        <w:t xml:space="preserve"> doses. NOTE: Cranial irradiation should be considered for patients with initial CNS involvement; as prophylaxis treatment for all high risk and very-high risk patients not undergoing allogeneic stem cell transplant; and </w:t>
      </w:r>
      <w:r>
        <w:lastRenderedPageBreak/>
        <w:t>in T-ALL patients (other than low risk patients) especially those with initial WCC &gt; 100 x 10</w:t>
      </w:r>
      <w:r>
        <w:rPr>
          <w:vertAlign w:val="superscript"/>
        </w:rPr>
        <w:t>9</w:t>
      </w:r>
      <w:r>
        <w:t xml:space="preserve">/L. Cranial irradiation is usually administered on day 38 of Protocol II depending on patient’s clinical condition. </w:t>
      </w:r>
    </w:p>
    <w:p w14:paraId="335B5F9F" w14:textId="77777777" w:rsidR="00AB4300" w:rsidRDefault="00AB4300" w:rsidP="00AB4300">
      <w:pPr>
        <w:pStyle w:val="TableFooter"/>
      </w:pPr>
      <w:r>
        <w:t xml:space="preserve">IT = PO = per oral; </w:t>
      </w:r>
    </w:p>
    <w:p w14:paraId="53701C12" w14:textId="77777777" w:rsidR="00AB4300" w:rsidRPr="00984D19" w:rsidRDefault="00AB4300" w:rsidP="00AB4300">
      <w:pPr>
        <w:pStyle w:val="TableFooter"/>
      </w:pPr>
    </w:p>
    <w:tbl>
      <w:tblPr>
        <w:tblStyle w:val="TableGrid"/>
        <w:tblW w:w="0" w:type="auto"/>
        <w:tblInd w:w="0" w:type="dxa"/>
        <w:tblLook w:val="04A0" w:firstRow="1" w:lastRow="0" w:firstColumn="1" w:lastColumn="0" w:noHBand="0" w:noVBand="1"/>
        <w:tblCaption w:val="ALL06 schema "/>
        <w:tblDescription w:val="The treatment blocks for people with high risk ALL"/>
      </w:tblPr>
      <w:tblGrid>
        <w:gridCol w:w="1980"/>
        <w:gridCol w:w="567"/>
        <w:gridCol w:w="3402"/>
        <w:gridCol w:w="3622"/>
      </w:tblGrid>
      <w:tr w:rsidR="00AB4300" w14:paraId="5C96A70C" w14:textId="77777777" w:rsidTr="00702852">
        <w:trPr>
          <w:tblHeader/>
        </w:trPr>
        <w:tc>
          <w:tcPr>
            <w:tcW w:w="9571" w:type="dxa"/>
            <w:gridSpan w:val="4"/>
          </w:tcPr>
          <w:p w14:paraId="0EF1B90E" w14:textId="77777777" w:rsidR="00AB4300" w:rsidRDefault="00AB4300" w:rsidP="00457EEF">
            <w:pPr>
              <w:pStyle w:val="TableHeading"/>
            </w:pPr>
            <w:r>
              <w:t>High risk blocks 1 to 3 are administered to medium high risk, high risk and very high risk groups only. Commence high risk block 1 after completion of Protocol I consolidation.</w:t>
            </w:r>
          </w:p>
          <w:p w14:paraId="6A5511BE" w14:textId="77777777" w:rsidR="00AB4300" w:rsidRDefault="00AB4300" w:rsidP="00457EEF">
            <w:pPr>
              <w:pStyle w:val="TableHeading"/>
            </w:pPr>
            <w:r>
              <w:t xml:space="preserve">Patients receive the sequence of HR1, HR2, HR3, HR1, HR2, HR3, except in patients who proceed to allogeneic stem cell transplantation after the first HR2 or HR3. Patients who are transplanted complete all of the high risk blocks and then commence Protocol II followed by cranial irradiation. Each high risk block should be given at 4 – 5 week intervals, not less. </w:t>
            </w:r>
          </w:p>
        </w:tc>
      </w:tr>
      <w:tr w:rsidR="00AB4300" w14:paraId="25226F36" w14:textId="77777777" w:rsidTr="00702852">
        <w:tc>
          <w:tcPr>
            <w:tcW w:w="9571" w:type="dxa"/>
            <w:gridSpan w:val="4"/>
          </w:tcPr>
          <w:p w14:paraId="1A936F52" w14:textId="77777777" w:rsidR="00AB4300" w:rsidRDefault="00AB4300" w:rsidP="00457EEF">
            <w:pPr>
              <w:pStyle w:val="TableHeading"/>
            </w:pPr>
            <w:r>
              <w:t>High risk block 1 (HR1)</w:t>
            </w:r>
          </w:p>
        </w:tc>
      </w:tr>
      <w:tr w:rsidR="00AB4300" w14:paraId="10470431" w14:textId="77777777" w:rsidTr="00702852">
        <w:tc>
          <w:tcPr>
            <w:tcW w:w="1980" w:type="dxa"/>
          </w:tcPr>
          <w:p w14:paraId="35113CF7" w14:textId="77777777" w:rsidR="00AB4300" w:rsidRDefault="00AB4300" w:rsidP="00457EEF">
            <w:pPr>
              <w:pStyle w:val="TableText0"/>
            </w:pPr>
            <w:r>
              <w:t>Dexamethasone</w:t>
            </w:r>
          </w:p>
        </w:tc>
        <w:tc>
          <w:tcPr>
            <w:tcW w:w="567" w:type="dxa"/>
          </w:tcPr>
          <w:p w14:paraId="715C9B1B" w14:textId="77777777" w:rsidR="00AB4300" w:rsidRDefault="00AB4300" w:rsidP="00457EEF">
            <w:pPr>
              <w:pStyle w:val="TableText0"/>
            </w:pPr>
            <w:r>
              <w:t>PO</w:t>
            </w:r>
          </w:p>
        </w:tc>
        <w:tc>
          <w:tcPr>
            <w:tcW w:w="3402" w:type="dxa"/>
          </w:tcPr>
          <w:p w14:paraId="08B750AD" w14:textId="77777777" w:rsidR="00AB4300" w:rsidRPr="00A60B50" w:rsidRDefault="00AB4300" w:rsidP="00457EEF">
            <w:pPr>
              <w:pStyle w:val="TableText0"/>
            </w:pPr>
            <w:r>
              <w:t>20 mg/m</w:t>
            </w:r>
            <w:r>
              <w:rPr>
                <w:vertAlign w:val="superscript"/>
              </w:rPr>
              <w:t>2</w:t>
            </w:r>
            <w:r>
              <w:t>/day</w:t>
            </w:r>
          </w:p>
        </w:tc>
        <w:tc>
          <w:tcPr>
            <w:tcW w:w="3622" w:type="dxa"/>
          </w:tcPr>
          <w:p w14:paraId="7B9EA5AE" w14:textId="77777777" w:rsidR="00AB4300" w:rsidRDefault="00AB4300" w:rsidP="00457EEF">
            <w:pPr>
              <w:pStyle w:val="TableText0"/>
            </w:pPr>
            <w:r>
              <w:t>Days 1 to 5</w:t>
            </w:r>
          </w:p>
        </w:tc>
      </w:tr>
      <w:tr w:rsidR="00AB4300" w14:paraId="27321A6C" w14:textId="77777777" w:rsidTr="00702852">
        <w:tc>
          <w:tcPr>
            <w:tcW w:w="1980" w:type="dxa"/>
          </w:tcPr>
          <w:p w14:paraId="0F788892" w14:textId="77777777" w:rsidR="00AB4300" w:rsidRPr="00EE3321" w:rsidRDefault="00AB4300" w:rsidP="00457EEF">
            <w:pPr>
              <w:pStyle w:val="TableText0"/>
              <w:rPr>
                <w:vertAlign w:val="superscript"/>
              </w:rPr>
            </w:pPr>
            <w:proofErr w:type="spellStart"/>
            <w:r>
              <w:t>vinCRISTine</w:t>
            </w:r>
            <w:proofErr w:type="spellEnd"/>
          </w:p>
        </w:tc>
        <w:tc>
          <w:tcPr>
            <w:tcW w:w="567" w:type="dxa"/>
          </w:tcPr>
          <w:p w14:paraId="1E1C086E" w14:textId="77777777" w:rsidR="00AB4300" w:rsidRDefault="00AB4300" w:rsidP="00457EEF">
            <w:pPr>
              <w:pStyle w:val="TableText0"/>
            </w:pPr>
            <w:r>
              <w:t>IV</w:t>
            </w:r>
          </w:p>
        </w:tc>
        <w:tc>
          <w:tcPr>
            <w:tcW w:w="3402" w:type="dxa"/>
          </w:tcPr>
          <w:p w14:paraId="347C3110" w14:textId="77777777" w:rsidR="00AB4300" w:rsidRDefault="00AB4300" w:rsidP="00457EEF">
            <w:pPr>
              <w:pStyle w:val="TableText0"/>
            </w:pPr>
            <w:r>
              <w:t>1.5 mg/m</w:t>
            </w:r>
            <w:r>
              <w:rPr>
                <w:vertAlign w:val="superscript"/>
              </w:rPr>
              <w:t>2</w:t>
            </w:r>
            <w:r>
              <w:t xml:space="preserve"> (cap at 2 mg)</w:t>
            </w:r>
          </w:p>
        </w:tc>
        <w:tc>
          <w:tcPr>
            <w:tcW w:w="3622" w:type="dxa"/>
          </w:tcPr>
          <w:p w14:paraId="1B730922" w14:textId="77777777" w:rsidR="00AB4300" w:rsidRDefault="00AB4300" w:rsidP="00457EEF">
            <w:pPr>
              <w:pStyle w:val="TableText0"/>
            </w:pPr>
            <w:r>
              <w:t>Days 1 and 6</w:t>
            </w:r>
          </w:p>
        </w:tc>
      </w:tr>
      <w:tr w:rsidR="00AB4300" w14:paraId="624AAD4B" w14:textId="77777777" w:rsidTr="00702852">
        <w:tc>
          <w:tcPr>
            <w:tcW w:w="1980" w:type="dxa"/>
          </w:tcPr>
          <w:p w14:paraId="482C5622" w14:textId="77777777" w:rsidR="00AB4300" w:rsidRDefault="00AB4300" w:rsidP="00457EEF">
            <w:pPr>
              <w:pStyle w:val="TableText0"/>
            </w:pPr>
            <w:r>
              <w:t>Methotrexate</w:t>
            </w:r>
          </w:p>
        </w:tc>
        <w:tc>
          <w:tcPr>
            <w:tcW w:w="567" w:type="dxa"/>
          </w:tcPr>
          <w:p w14:paraId="67F13954" w14:textId="77777777" w:rsidR="00AB4300" w:rsidRDefault="00AB4300" w:rsidP="00457EEF">
            <w:pPr>
              <w:pStyle w:val="TableText0"/>
            </w:pPr>
            <w:r>
              <w:t>IV</w:t>
            </w:r>
          </w:p>
        </w:tc>
        <w:tc>
          <w:tcPr>
            <w:tcW w:w="3402" w:type="dxa"/>
          </w:tcPr>
          <w:p w14:paraId="2C3149B2" w14:textId="77777777" w:rsidR="00AB4300" w:rsidRPr="00A60B50" w:rsidRDefault="00AB4300" w:rsidP="00457EEF">
            <w:pPr>
              <w:pStyle w:val="TableText0"/>
            </w:pPr>
            <w:r>
              <w:t>500 mg/m</w:t>
            </w:r>
            <w:r>
              <w:rPr>
                <w:vertAlign w:val="superscript"/>
              </w:rPr>
              <w:t>2</w:t>
            </w:r>
          </w:p>
        </w:tc>
        <w:tc>
          <w:tcPr>
            <w:tcW w:w="3622" w:type="dxa"/>
          </w:tcPr>
          <w:p w14:paraId="79E50701" w14:textId="77777777" w:rsidR="00AB4300" w:rsidRDefault="00AB4300" w:rsidP="00457EEF">
            <w:pPr>
              <w:pStyle w:val="TableText0"/>
            </w:pPr>
            <w:r>
              <w:t>Day 1</w:t>
            </w:r>
          </w:p>
        </w:tc>
      </w:tr>
      <w:tr w:rsidR="00AB4300" w14:paraId="26F39D51" w14:textId="77777777" w:rsidTr="00702852">
        <w:tc>
          <w:tcPr>
            <w:tcW w:w="1980" w:type="dxa"/>
          </w:tcPr>
          <w:p w14:paraId="65E700DE" w14:textId="77777777" w:rsidR="00AB4300" w:rsidRDefault="00AB4300" w:rsidP="00457EEF">
            <w:pPr>
              <w:pStyle w:val="TableText0"/>
            </w:pPr>
            <w:r>
              <w:t>Methotrexate</w:t>
            </w:r>
          </w:p>
        </w:tc>
        <w:tc>
          <w:tcPr>
            <w:tcW w:w="567" w:type="dxa"/>
          </w:tcPr>
          <w:p w14:paraId="6A1930B1" w14:textId="77777777" w:rsidR="00AB4300" w:rsidRDefault="00AB4300" w:rsidP="00457EEF">
            <w:pPr>
              <w:pStyle w:val="TableText0"/>
            </w:pPr>
            <w:r>
              <w:t>IV</w:t>
            </w:r>
          </w:p>
        </w:tc>
        <w:tc>
          <w:tcPr>
            <w:tcW w:w="3402" w:type="dxa"/>
          </w:tcPr>
          <w:p w14:paraId="636DF3A7" w14:textId="77777777" w:rsidR="00AB4300" w:rsidRPr="00A60B50" w:rsidRDefault="00AB4300" w:rsidP="00457EEF">
            <w:pPr>
              <w:pStyle w:val="TableText0"/>
            </w:pPr>
            <w:r>
              <w:t>4500 mg/m</w:t>
            </w:r>
            <w:r>
              <w:rPr>
                <w:vertAlign w:val="superscript"/>
              </w:rPr>
              <w:t>2</w:t>
            </w:r>
          </w:p>
        </w:tc>
        <w:tc>
          <w:tcPr>
            <w:tcW w:w="3622" w:type="dxa"/>
          </w:tcPr>
          <w:p w14:paraId="0C294974" w14:textId="77777777" w:rsidR="00AB4300" w:rsidRDefault="00AB4300" w:rsidP="00457EEF">
            <w:pPr>
              <w:pStyle w:val="TableText0"/>
            </w:pPr>
            <w:r>
              <w:t>Day 1</w:t>
            </w:r>
          </w:p>
        </w:tc>
      </w:tr>
      <w:tr w:rsidR="00AB4300" w14:paraId="2479F3CD" w14:textId="77777777" w:rsidTr="00702852">
        <w:tc>
          <w:tcPr>
            <w:tcW w:w="1980" w:type="dxa"/>
          </w:tcPr>
          <w:p w14:paraId="6AE6EC6A" w14:textId="77777777" w:rsidR="00AB4300" w:rsidRDefault="00AB4300" w:rsidP="00457EEF">
            <w:pPr>
              <w:pStyle w:val="TableText0"/>
            </w:pPr>
            <w:r>
              <w:t>Methotrexate</w:t>
            </w:r>
          </w:p>
        </w:tc>
        <w:tc>
          <w:tcPr>
            <w:tcW w:w="567" w:type="dxa"/>
          </w:tcPr>
          <w:p w14:paraId="38087CFE" w14:textId="77777777" w:rsidR="00AB4300" w:rsidRDefault="00AB4300" w:rsidP="00457EEF">
            <w:pPr>
              <w:pStyle w:val="TableText0"/>
            </w:pPr>
            <w:r>
              <w:t>IT</w:t>
            </w:r>
          </w:p>
        </w:tc>
        <w:tc>
          <w:tcPr>
            <w:tcW w:w="3402" w:type="dxa"/>
          </w:tcPr>
          <w:p w14:paraId="38AFF810" w14:textId="77777777" w:rsidR="00AB4300" w:rsidRDefault="00AB4300" w:rsidP="00457EEF">
            <w:pPr>
              <w:pStyle w:val="TableText0"/>
            </w:pPr>
            <w:r>
              <w:t>12 mg</w:t>
            </w:r>
          </w:p>
        </w:tc>
        <w:tc>
          <w:tcPr>
            <w:tcW w:w="3622" w:type="dxa"/>
          </w:tcPr>
          <w:p w14:paraId="51CC44D8" w14:textId="77777777" w:rsidR="00AB4300" w:rsidRDefault="00AB4300" w:rsidP="00457EEF">
            <w:pPr>
              <w:pStyle w:val="TableText0"/>
            </w:pPr>
            <w:r>
              <w:t>Day 1</w:t>
            </w:r>
          </w:p>
        </w:tc>
      </w:tr>
      <w:tr w:rsidR="00AB4300" w14:paraId="0EB04AAE" w14:textId="77777777" w:rsidTr="00702852">
        <w:tc>
          <w:tcPr>
            <w:tcW w:w="1980" w:type="dxa"/>
          </w:tcPr>
          <w:p w14:paraId="758AD76F" w14:textId="77777777" w:rsidR="00AB4300" w:rsidRDefault="00AB4300" w:rsidP="00457EEF">
            <w:pPr>
              <w:pStyle w:val="TableText0"/>
            </w:pPr>
            <w:r>
              <w:t>Cytarabine</w:t>
            </w:r>
          </w:p>
        </w:tc>
        <w:tc>
          <w:tcPr>
            <w:tcW w:w="567" w:type="dxa"/>
          </w:tcPr>
          <w:p w14:paraId="6A77C6F7" w14:textId="77777777" w:rsidR="00AB4300" w:rsidRDefault="00AB4300" w:rsidP="00457EEF">
            <w:pPr>
              <w:pStyle w:val="TableText0"/>
            </w:pPr>
            <w:r>
              <w:t>IT</w:t>
            </w:r>
          </w:p>
        </w:tc>
        <w:tc>
          <w:tcPr>
            <w:tcW w:w="3402" w:type="dxa"/>
          </w:tcPr>
          <w:p w14:paraId="1018E57F" w14:textId="77777777" w:rsidR="00AB4300" w:rsidRPr="007D305D" w:rsidRDefault="00AB4300" w:rsidP="00457EEF">
            <w:pPr>
              <w:pStyle w:val="TableText0"/>
            </w:pPr>
            <w:r w:rsidRPr="007D305D">
              <w:t>30 mg</w:t>
            </w:r>
          </w:p>
        </w:tc>
        <w:tc>
          <w:tcPr>
            <w:tcW w:w="3622" w:type="dxa"/>
          </w:tcPr>
          <w:p w14:paraId="262904F7" w14:textId="77777777" w:rsidR="00AB4300" w:rsidRDefault="00AB4300" w:rsidP="00457EEF">
            <w:pPr>
              <w:pStyle w:val="TableText0"/>
            </w:pPr>
            <w:r>
              <w:t>Day 1</w:t>
            </w:r>
          </w:p>
        </w:tc>
      </w:tr>
      <w:tr w:rsidR="00AB4300" w14:paraId="70FAA5C6" w14:textId="77777777" w:rsidTr="00702852">
        <w:tc>
          <w:tcPr>
            <w:tcW w:w="1980" w:type="dxa"/>
          </w:tcPr>
          <w:p w14:paraId="1C2DAB9D" w14:textId="77777777" w:rsidR="00AB4300" w:rsidRDefault="00AB4300" w:rsidP="00457EEF">
            <w:pPr>
              <w:pStyle w:val="TableText0"/>
            </w:pPr>
            <w:r>
              <w:t>Hydrocortisone</w:t>
            </w:r>
          </w:p>
        </w:tc>
        <w:tc>
          <w:tcPr>
            <w:tcW w:w="567" w:type="dxa"/>
          </w:tcPr>
          <w:p w14:paraId="1F1D5491" w14:textId="77777777" w:rsidR="00AB4300" w:rsidRDefault="00AB4300" w:rsidP="00457EEF">
            <w:pPr>
              <w:pStyle w:val="TableText0"/>
            </w:pPr>
            <w:r>
              <w:t>IT</w:t>
            </w:r>
          </w:p>
        </w:tc>
        <w:tc>
          <w:tcPr>
            <w:tcW w:w="3402" w:type="dxa"/>
          </w:tcPr>
          <w:p w14:paraId="434210CC" w14:textId="77777777" w:rsidR="00AB4300" w:rsidRPr="007D305D" w:rsidRDefault="00AB4300" w:rsidP="00457EEF">
            <w:pPr>
              <w:pStyle w:val="TableText0"/>
            </w:pPr>
            <w:r>
              <w:t>50 mg</w:t>
            </w:r>
          </w:p>
        </w:tc>
        <w:tc>
          <w:tcPr>
            <w:tcW w:w="3622" w:type="dxa"/>
          </w:tcPr>
          <w:p w14:paraId="588B3EF2" w14:textId="77777777" w:rsidR="00AB4300" w:rsidRDefault="00AB4300" w:rsidP="00457EEF">
            <w:pPr>
              <w:pStyle w:val="TableText0"/>
            </w:pPr>
            <w:r>
              <w:t>Day 1</w:t>
            </w:r>
          </w:p>
        </w:tc>
      </w:tr>
      <w:tr w:rsidR="00AB4300" w14:paraId="79EAA95B" w14:textId="77777777" w:rsidTr="00702852">
        <w:tc>
          <w:tcPr>
            <w:tcW w:w="1980" w:type="dxa"/>
          </w:tcPr>
          <w:p w14:paraId="5AB6914B" w14:textId="77777777" w:rsidR="00AB4300" w:rsidRDefault="00AB4300" w:rsidP="00457EEF">
            <w:pPr>
              <w:pStyle w:val="TableText0"/>
            </w:pPr>
            <w:r>
              <w:t xml:space="preserve">Calcium </w:t>
            </w:r>
            <w:proofErr w:type="spellStart"/>
            <w:r>
              <w:t>folinate</w:t>
            </w:r>
            <w:r>
              <w:rPr>
                <w:vertAlign w:val="superscript"/>
              </w:rPr>
              <w:t>d</w:t>
            </w:r>
            <w:proofErr w:type="spellEnd"/>
          </w:p>
        </w:tc>
        <w:tc>
          <w:tcPr>
            <w:tcW w:w="567" w:type="dxa"/>
          </w:tcPr>
          <w:p w14:paraId="28F0C789" w14:textId="77777777" w:rsidR="00AB4300" w:rsidRDefault="00AB4300" w:rsidP="00457EEF">
            <w:pPr>
              <w:pStyle w:val="TableText0"/>
            </w:pPr>
            <w:r>
              <w:t>IV</w:t>
            </w:r>
          </w:p>
        </w:tc>
        <w:tc>
          <w:tcPr>
            <w:tcW w:w="3402" w:type="dxa"/>
          </w:tcPr>
          <w:p w14:paraId="38238BB7" w14:textId="77777777" w:rsidR="00AB4300" w:rsidRDefault="00AB4300" w:rsidP="00457EEF">
            <w:pPr>
              <w:pStyle w:val="TableText0"/>
            </w:pPr>
            <w:r>
              <w:t>15 mg/m</w:t>
            </w:r>
            <w:r>
              <w:rPr>
                <w:vertAlign w:val="superscript"/>
              </w:rPr>
              <w:t xml:space="preserve">2 </w:t>
            </w:r>
            <w:r>
              <w:t>every 6 hours</w:t>
            </w:r>
          </w:p>
        </w:tc>
        <w:tc>
          <w:tcPr>
            <w:tcW w:w="3622" w:type="dxa"/>
          </w:tcPr>
          <w:p w14:paraId="46B3C71E" w14:textId="77777777" w:rsidR="00AB4300" w:rsidRDefault="00AB4300" w:rsidP="00457EEF">
            <w:pPr>
              <w:pStyle w:val="TableText0"/>
            </w:pPr>
            <w:r>
              <w:t>Day 2</w:t>
            </w:r>
          </w:p>
        </w:tc>
      </w:tr>
      <w:tr w:rsidR="00AB4300" w14:paraId="0C8C412B" w14:textId="77777777" w:rsidTr="00702852">
        <w:tc>
          <w:tcPr>
            <w:tcW w:w="1980" w:type="dxa"/>
          </w:tcPr>
          <w:p w14:paraId="3A6FF1A2" w14:textId="77777777" w:rsidR="00AB4300" w:rsidRDefault="00AB4300" w:rsidP="00457EEF">
            <w:pPr>
              <w:pStyle w:val="TableText0"/>
            </w:pPr>
            <w:proofErr w:type="spellStart"/>
            <w:r>
              <w:t>CYCLOPHOSPHamide</w:t>
            </w:r>
            <w:proofErr w:type="spellEnd"/>
          </w:p>
        </w:tc>
        <w:tc>
          <w:tcPr>
            <w:tcW w:w="567" w:type="dxa"/>
          </w:tcPr>
          <w:p w14:paraId="7395AB24" w14:textId="77777777" w:rsidR="00AB4300" w:rsidRDefault="00AB4300" w:rsidP="00457EEF">
            <w:pPr>
              <w:pStyle w:val="TableText0"/>
            </w:pPr>
            <w:r>
              <w:t>IV</w:t>
            </w:r>
          </w:p>
        </w:tc>
        <w:tc>
          <w:tcPr>
            <w:tcW w:w="3402" w:type="dxa"/>
          </w:tcPr>
          <w:p w14:paraId="4FD3755E" w14:textId="77777777" w:rsidR="00AB4300" w:rsidRPr="007D305D" w:rsidRDefault="00AB4300" w:rsidP="00457EEF">
            <w:pPr>
              <w:pStyle w:val="TableText0"/>
            </w:pPr>
            <w:r>
              <w:t>200 mg/m</w:t>
            </w:r>
            <w:r>
              <w:rPr>
                <w:vertAlign w:val="superscript"/>
              </w:rPr>
              <w:t>2</w:t>
            </w:r>
            <w:r>
              <w:t xml:space="preserve"> every 12 hours (total 5 doses)</w:t>
            </w:r>
          </w:p>
        </w:tc>
        <w:tc>
          <w:tcPr>
            <w:tcW w:w="3622" w:type="dxa"/>
          </w:tcPr>
          <w:p w14:paraId="7E4A898F" w14:textId="77777777" w:rsidR="00AB4300" w:rsidRDefault="00AB4300" w:rsidP="00457EEF">
            <w:pPr>
              <w:pStyle w:val="TableText0"/>
            </w:pPr>
            <w:r>
              <w:t>Days 2 to 4</w:t>
            </w:r>
          </w:p>
        </w:tc>
      </w:tr>
      <w:tr w:rsidR="00AB4300" w14:paraId="68BB5622" w14:textId="77777777" w:rsidTr="00702852">
        <w:tc>
          <w:tcPr>
            <w:tcW w:w="1980" w:type="dxa"/>
          </w:tcPr>
          <w:p w14:paraId="7BACB8CD" w14:textId="77777777" w:rsidR="00AB4300" w:rsidRDefault="00AB4300" w:rsidP="00457EEF">
            <w:pPr>
              <w:pStyle w:val="TableText0"/>
            </w:pPr>
            <w:proofErr w:type="spellStart"/>
            <w:r>
              <w:t>Mesna</w:t>
            </w:r>
            <w:proofErr w:type="spellEnd"/>
          </w:p>
        </w:tc>
        <w:tc>
          <w:tcPr>
            <w:tcW w:w="567" w:type="dxa"/>
          </w:tcPr>
          <w:p w14:paraId="2C3A9ACB" w14:textId="77777777" w:rsidR="00AB4300" w:rsidRDefault="00AB4300" w:rsidP="00457EEF">
            <w:pPr>
              <w:pStyle w:val="TableText0"/>
            </w:pPr>
            <w:r>
              <w:t>IV</w:t>
            </w:r>
          </w:p>
        </w:tc>
        <w:tc>
          <w:tcPr>
            <w:tcW w:w="3402" w:type="dxa"/>
          </w:tcPr>
          <w:p w14:paraId="5F511D35" w14:textId="77777777" w:rsidR="00AB4300" w:rsidRPr="00EE3321" w:rsidRDefault="00AB4300" w:rsidP="00457EEF">
            <w:pPr>
              <w:pStyle w:val="TableText0"/>
            </w:pPr>
            <w:r>
              <w:t>70 mg/m</w:t>
            </w:r>
            <w:r>
              <w:rPr>
                <w:vertAlign w:val="superscript"/>
              </w:rPr>
              <w:t>2</w:t>
            </w:r>
            <w:r>
              <w:t xml:space="preserve"> at 0, 4 and 8 hours after cyclophosphamide dose</w:t>
            </w:r>
          </w:p>
        </w:tc>
        <w:tc>
          <w:tcPr>
            <w:tcW w:w="3622" w:type="dxa"/>
          </w:tcPr>
          <w:p w14:paraId="45DA74B0" w14:textId="77777777" w:rsidR="00AB4300" w:rsidRDefault="00AB4300" w:rsidP="00457EEF">
            <w:pPr>
              <w:pStyle w:val="TableText0"/>
            </w:pPr>
            <w:r>
              <w:t>Days 2 to 4</w:t>
            </w:r>
          </w:p>
        </w:tc>
      </w:tr>
      <w:tr w:rsidR="00AB4300" w14:paraId="4579ABAB" w14:textId="77777777" w:rsidTr="00702852">
        <w:tc>
          <w:tcPr>
            <w:tcW w:w="1980" w:type="dxa"/>
          </w:tcPr>
          <w:p w14:paraId="75E43A27" w14:textId="77777777" w:rsidR="00AB4300" w:rsidRDefault="00AB4300" w:rsidP="00457EEF">
            <w:pPr>
              <w:pStyle w:val="TableText0"/>
            </w:pPr>
            <w:r>
              <w:t>Cytarabine</w:t>
            </w:r>
          </w:p>
        </w:tc>
        <w:tc>
          <w:tcPr>
            <w:tcW w:w="567" w:type="dxa"/>
          </w:tcPr>
          <w:p w14:paraId="4F97E846" w14:textId="77777777" w:rsidR="00AB4300" w:rsidRDefault="00AB4300" w:rsidP="00457EEF">
            <w:pPr>
              <w:pStyle w:val="TableText0"/>
            </w:pPr>
            <w:r>
              <w:t>IV</w:t>
            </w:r>
          </w:p>
        </w:tc>
        <w:tc>
          <w:tcPr>
            <w:tcW w:w="3402" w:type="dxa"/>
          </w:tcPr>
          <w:p w14:paraId="11B693E2" w14:textId="77777777" w:rsidR="00AB4300" w:rsidRPr="006C1A5D" w:rsidRDefault="00AB4300" w:rsidP="00457EEF">
            <w:pPr>
              <w:pStyle w:val="TableText0"/>
            </w:pPr>
            <w:r>
              <w:t>2000 mg/m</w:t>
            </w:r>
            <w:r>
              <w:rPr>
                <w:vertAlign w:val="superscript"/>
              </w:rPr>
              <w:t>2</w:t>
            </w:r>
            <w:r>
              <w:t xml:space="preserve"> every 12 hours (total of 2 doses) </w:t>
            </w:r>
          </w:p>
        </w:tc>
        <w:tc>
          <w:tcPr>
            <w:tcW w:w="3622" w:type="dxa"/>
          </w:tcPr>
          <w:p w14:paraId="2453FF66" w14:textId="77777777" w:rsidR="00AB4300" w:rsidRDefault="00AB4300" w:rsidP="00457EEF">
            <w:pPr>
              <w:pStyle w:val="TableText0"/>
            </w:pPr>
            <w:r>
              <w:t>Day 5</w:t>
            </w:r>
          </w:p>
        </w:tc>
      </w:tr>
      <w:tr w:rsidR="00AB4300" w14:paraId="4742DCC1" w14:textId="77777777" w:rsidTr="00702852">
        <w:tc>
          <w:tcPr>
            <w:tcW w:w="1980" w:type="dxa"/>
          </w:tcPr>
          <w:p w14:paraId="67BBA120" w14:textId="77777777" w:rsidR="00AB4300" w:rsidRDefault="00AB4300" w:rsidP="00457EEF">
            <w:pPr>
              <w:pStyle w:val="TableText0"/>
            </w:pPr>
            <w:proofErr w:type="spellStart"/>
            <w:r>
              <w:t>Pegaspargase</w:t>
            </w:r>
            <w:proofErr w:type="spellEnd"/>
          </w:p>
        </w:tc>
        <w:tc>
          <w:tcPr>
            <w:tcW w:w="567" w:type="dxa"/>
          </w:tcPr>
          <w:p w14:paraId="242138F2" w14:textId="77777777" w:rsidR="00AB4300" w:rsidRDefault="00AB4300" w:rsidP="00457EEF">
            <w:pPr>
              <w:pStyle w:val="TableText0"/>
            </w:pPr>
            <w:r>
              <w:t>IM</w:t>
            </w:r>
          </w:p>
        </w:tc>
        <w:tc>
          <w:tcPr>
            <w:tcW w:w="3402" w:type="dxa"/>
          </w:tcPr>
          <w:p w14:paraId="29925A1B" w14:textId="77777777" w:rsidR="00AB4300" w:rsidRPr="006C1A5D" w:rsidRDefault="00AB4300" w:rsidP="00457EEF">
            <w:pPr>
              <w:pStyle w:val="TableText0"/>
              <w:rPr>
                <w:vertAlign w:val="superscript"/>
              </w:rPr>
            </w:pPr>
            <w:r>
              <w:t>1000 U/m</w:t>
            </w:r>
            <w:r>
              <w:rPr>
                <w:vertAlign w:val="superscript"/>
              </w:rPr>
              <w:t>2</w:t>
            </w:r>
          </w:p>
        </w:tc>
        <w:tc>
          <w:tcPr>
            <w:tcW w:w="3622" w:type="dxa"/>
          </w:tcPr>
          <w:p w14:paraId="6E978E81" w14:textId="77777777" w:rsidR="00AB4300" w:rsidRDefault="00AB4300" w:rsidP="00457EEF">
            <w:pPr>
              <w:pStyle w:val="TableText0"/>
            </w:pPr>
            <w:r>
              <w:t>Day 6</w:t>
            </w:r>
          </w:p>
        </w:tc>
      </w:tr>
      <w:tr w:rsidR="00AB4300" w14:paraId="69BEF864" w14:textId="77777777" w:rsidTr="00702852">
        <w:tc>
          <w:tcPr>
            <w:tcW w:w="1980" w:type="dxa"/>
          </w:tcPr>
          <w:p w14:paraId="6B1BB58C" w14:textId="77777777" w:rsidR="00AB4300" w:rsidRDefault="00AB4300" w:rsidP="00457EEF">
            <w:pPr>
              <w:pStyle w:val="TableText0"/>
            </w:pPr>
            <w:r>
              <w:t>Filgrastim</w:t>
            </w:r>
          </w:p>
        </w:tc>
        <w:tc>
          <w:tcPr>
            <w:tcW w:w="567" w:type="dxa"/>
          </w:tcPr>
          <w:p w14:paraId="2110A91B" w14:textId="77777777" w:rsidR="00AB4300" w:rsidRDefault="00AB4300" w:rsidP="00457EEF">
            <w:pPr>
              <w:pStyle w:val="TableText0"/>
            </w:pPr>
            <w:r>
              <w:t>SC</w:t>
            </w:r>
          </w:p>
        </w:tc>
        <w:tc>
          <w:tcPr>
            <w:tcW w:w="3402" w:type="dxa"/>
          </w:tcPr>
          <w:p w14:paraId="1734445B" w14:textId="77777777" w:rsidR="00AB4300" w:rsidRDefault="00AB4300" w:rsidP="00457EEF">
            <w:pPr>
              <w:pStyle w:val="TableText0"/>
            </w:pPr>
            <w:r>
              <w:t>5 microg/kg</w:t>
            </w:r>
          </w:p>
        </w:tc>
        <w:tc>
          <w:tcPr>
            <w:tcW w:w="3622" w:type="dxa"/>
          </w:tcPr>
          <w:p w14:paraId="4B2F1ED7" w14:textId="77777777" w:rsidR="00AB4300" w:rsidRDefault="00AB4300" w:rsidP="00457EEF">
            <w:pPr>
              <w:pStyle w:val="TableText0"/>
            </w:pPr>
            <w:r>
              <w:t>Day 7 until neutrophil recovery</w:t>
            </w:r>
          </w:p>
        </w:tc>
      </w:tr>
      <w:tr w:rsidR="00AB4300" w14:paraId="27075F3A" w14:textId="77777777" w:rsidTr="00702852">
        <w:tc>
          <w:tcPr>
            <w:tcW w:w="9571" w:type="dxa"/>
            <w:gridSpan w:val="4"/>
          </w:tcPr>
          <w:p w14:paraId="5E4C0FCF" w14:textId="77777777" w:rsidR="00AB4300" w:rsidRPr="00EE3321" w:rsidRDefault="00AB4300" w:rsidP="00457EEF">
            <w:pPr>
              <w:pStyle w:val="TableText0"/>
              <w:rPr>
                <w:b/>
              </w:rPr>
            </w:pPr>
            <w:r>
              <w:rPr>
                <w:b/>
              </w:rPr>
              <w:t>High risk block 2 (HR2)</w:t>
            </w:r>
            <w:r w:rsidRPr="00EE3321">
              <w:rPr>
                <w:b/>
              </w:rPr>
              <w:t xml:space="preserve"> </w:t>
            </w:r>
          </w:p>
        </w:tc>
      </w:tr>
      <w:tr w:rsidR="00AB4300" w14:paraId="727C3FCB" w14:textId="77777777" w:rsidTr="00702852">
        <w:tc>
          <w:tcPr>
            <w:tcW w:w="1980" w:type="dxa"/>
          </w:tcPr>
          <w:p w14:paraId="60DD048B" w14:textId="77777777" w:rsidR="00AB4300" w:rsidRDefault="00AB4300" w:rsidP="00457EEF">
            <w:pPr>
              <w:pStyle w:val="TableText0"/>
            </w:pPr>
            <w:r>
              <w:t>Dexamethasone</w:t>
            </w:r>
          </w:p>
        </w:tc>
        <w:tc>
          <w:tcPr>
            <w:tcW w:w="567" w:type="dxa"/>
          </w:tcPr>
          <w:p w14:paraId="1A04257C" w14:textId="77777777" w:rsidR="00AB4300" w:rsidRDefault="00AB4300" w:rsidP="00457EEF">
            <w:pPr>
              <w:pStyle w:val="TableText0"/>
            </w:pPr>
            <w:r>
              <w:t>PO</w:t>
            </w:r>
          </w:p>
        </w:tc>
        <w:tc>
          <w:tcPr>
            <w:tcW w:w="3402" w:type="dxa"/>
          </w:tcPr>
          <w:p w14:paraId="2C1EC97C" w14:textId="77777777" w:rsidR="00AB4300" w:rsidRPr="00EE3321" w:rsidRDefault="00AB4300" w:rsidP="00457EEF">
            <w:pPr>
              <w:pStyle w:val="TableText0"/>
            </w:pPr>
            <w:r>
              <w:t>20 mg/m</w:t>
            </w:r>
            <w:r>
              <w:rPr>
                <w:vertAlign w:val="superscript"/>
              </w:rPr>
              <w:t>2</w:t>
            </w:r>
            <w:r>
              <w:t>/day</w:t>
            </w:r>
          </w:p>
        </w:tc>
        <w:tc>
          <w:tcPr>
            <w:tcW w:w="3622" w:type="dxa"/>
          </w:tcPr>
          <w:p w14:paraId="34245FCE" w14:textId="77777777" w:rsidR="00AB4300" w:rsidRDefault="00AB4300" w:rsidP="00457EEF">
            <w:pPr>
              <w:pStyle w:val="TableText0"/>
            </w:pPr>
            <w:r>
              <w:t>Days 1 to 5</w:t>
            </w:r>
          </w:p>
        </w:tc>
      </w:tr>
      <w:tr w:rsidR="00AB4300" w14:paraId="240CF039" w14:textId="77777777" w:rsidTr="00702852">
        <w:tc>
          <w:tcPr>
            <w:tcW w:w="1980" w:type="dxa"/>
          </w:tcPr>
          <w:p w14:paraId="23A84669" w14:textId="77777777" w:rsidR="00AB4300" w:rsidRDefault="00AB4300" w:rsidP="00457EEF">
            <w:pPr>
              <w:pStyle w:val="TableText0"/>
            </w:pPr>
            <w:proofErr w:type="spellStart"/>
            <w:r>
              <w:t>vinCRISTine</w:t>
            </w:r>
            <w:proofErr w:type="spellEnd"/>
          </w:p>
        </w:tc>
        <w:tc>
          <w:tcPr>
            <w:tcW w:w="567" w:type="dxa"/>
          </w:tcPr>
          <w:p w14:paraId="09A1E0C5" w14:textId="77777777" w:rsidR="00AB4300" w:rsidRDefault="00AB4300" w:rsidP="00457EEF">
            <w:pPr>
              <w:pStyle w:val="TableText0"/>
            </w:pPr>
            <w:r>
              <w:t>IV</w:t>
            </w:r>
          </w:p>
        </w:tc>
        <w:tc>
          <w:tcPr>
            <w:tcW w:w="3402" w:type="dxa"/>
          </w:tcPr>
          <w:p w14:paraId="2238A901" w14:textId="77777777" w:rsidR="00AB4300" w:rsidRPr="00EE3321" w:rsidRDefault="00AB4300" w:rsidP="00457EEF">
            <w:pPr>
              <w:pStyle w:val="TableText0"/>
            </w:pPr>
            <w:r>
              <w:t>1.5 mg/m</w:t>
            </w:r>
            <w:r>
              <w:rPr>
                <w:vertAlign w:val="superscript"/>
              </w:rPr>
              <w:t>2</w:t>
            </w:r>
            <w:r>
              <w:t xml:space="preserve"> (cap at 2 mg)</w:t>
            </w:r>
          </w:p>
        </w:tc>
        <w:tc>
          <w:tcPr>
            <w:tcW w:w="3622" w:type="dxa"/>
          </w:tcPr>
          <w:p w14:paraId="72B8511E" w14:textId="77777777" w:rsidR="00AB4300" w:rsidRDefault="00AB4300" w:rsidP="00457EEF">
            <w:pPr>
              <w:pStyle w:val="TableText0"/>
            </w:pPr>
            <w:r>
              <w:t>Days 1 and 6</w:t>
            </w:r>
          </w:p>
        </w:tc>
      </w:tr>
      <w:tr w:rsidR="00AB4300" w14:paraId="699BAFAA" w14:textId="77777777" w:rsidTr="00702852">
        <w:tc>
          <w:tcPr>
            <w:tcW w:w="1980" w:type="dxa"/>
          </w:tcPr>
          <w:p w14:paraId="1F688C28" w14:textId="77777777" w:rsidR="00AB4300" w:rsidRDefault="00AB4300" w:rsidP="00457EEF">
            <w:pPr>
              <w:pStyle w:val="TableText0"/>
            </w:pPr>
            <w:r>
              <w:t>Methotrexate</w:t>
            </w:r>
          </w:p>
        </w:tc>
        <w:tc>
          <w:tcPr>
            <w:tcW w:w="567" w:type="dxa"/>
          </w:tcPr>
          <w:p w14:paraId="08D59F05" w14:textId="77777777" w:rsidR="00AB4300" w:rsidRDefault="00AB4300" w:rsidP="00457EEF">
            <w:pPr>
              <w:pStyle w:val="TableText0"/>
            </w:pPr>
            <w:r>
              <w:t>IV</w:t>
            </w:r>
          </w:p>
        </w:tc>
        <w:tc>
          <w:tcPr>
            <w:tcW w:w="3402" w:type="dxa"/>
          </w:tcPr>
          <w:p w14:paraId="0642370C" w14:textId="77777777" w:rsidR="00AB4300" w:rsidRDefault="00AB4300" w:rsidP="00457EEF">
            <w:pPr>
              <w:pStyle w:val="TableText0"/>
            </w:pPr>
            <w:r>
              <w:t>500 mg/m</w:t>
            </w:r>
            <w:r>
              <w:rPr>
                <w:vertAlign w:val="superscript"/>
              </w:rPr>
              <w:t>2</w:t>
            </w:r>
          </w:p>
        </w:tc>
        <w:tc>
          <w:tcPr>
            <w:tcW w:w="3622" w:type="dxa"/>
          </w:tcPr>
          <w:p w14:paraId="35466BA0" w14:textId="77777777" w:rsidR="00AB4300" w:rsidRDefault="00AB4300" w:rsidP="00457EEF">
            <w:pPr>
              <w:pStyle w:val="TableText0"/>
            </w:pPr>
            <w:r>
              <w:t>Day 1</w:t>
            </w:r>
          </w:p>
        </w:tc>
      </w:tr>
      <w:tr w:rsidR="00AB4300" w14:paraId="633C87CA" w14:textId="77777777" w:rsidTr="00702852">
        <w:tc>
          <w:tcPr>
            <w:tcW w:w="1980" w:type="dxa"/>
          </w:tcPr>
          <w:p w14:paraId="14AF0518" w14:textId="77777777" w:rsidR="00AB4300" w:rsidRDefault="00AB4300" w:rsidP="00457EEF">
            <w:pPr>
              <w:pStyle w:val="TableText0"/>
            </w:pPr>
            <w:r>
              <w:t>Methotrexate</w:t>
            </w:r>
          </w:p>
        </w:tc>
        <w:tc>
          <w:tcPr>
            <w:tcW w:w="567" w:type="dxa"/>
          </w:tcPr>
          <w:p w14:paraId="1963389F" w14:textId="77777777" w:rsidR="00AB4300" w:rsidRDefault="00AB4300" w:rsidP="00457EEF">
            <w:pPr>
              <w:pStyle w:val="TableText0"/>
            </w:pPr>
            <w:r>
              <w:t>IV</w:t>
            </w:r>
          </w:p>
        </w:tc>
        <w:tc>
          <w:tcPr>
            <w:tcW w:w="3402" w:type="dxa"/>
          </w:tcPr>
          <w:p w14:paraId="0E7FE982" w14:textId="77777777" w:rsidR="00AB4300" w:rsidRDefault="00AB4300" w:rsidP="00457EEF">
            <w:pPr>
              <w:pStyle w:val="TableText0"/>
            </w:pPr>
            <w:r>
              <w:t>4500 mg/m</w:t>
            </w:r>
            <w:r>
              <w:rPr>
                <w:vertAlign w:val="superscript"/>
              </w:rPr>
              <w:t>2</w:t>
            </w:r>
          </w:p>
        </w:tc>
        <w:tc>
          <w:tcPr>
            <w:tcW w:w="3622" w:type="dxa"/>
          </w:tcPr>
          <w:p w14:paraId="5C2DC71D" w14:textId="77777777" w:rsidR="00AB4300" w:rsidRDefault="00AB4300" w:rsidP="00457EEF">
            <w:pPr>
              <w:pStyle w:val="TableText0"/>
            </w:pPr>
            <w:r>
              <w:t>Day 1</w:t>
            </w:r>
          </w:p>
        </w:tc>
      </w:tr>
      <w:tr w:rsidR="00AB4300" w14:paraId="0F34DAE1" w14:textId="77777777" w:rsidTr="00702852">
        <w:tc>
          <w:tcPr>
            <w:tcW w:w="1980" w:type="dxa"/>
          </w:tcPr>
          <w:p w14:paraId="24322B93" w14:textId="77777777" w:rsidR="00AB4300" w:rsidRPr="00094A2F" w:rsidRDefault="00AB4300" w:rsidP="00457EEF">
            <w:pPr>
              <w:pStyle w:val="TableText0"/>
              <w:rPr>
                <w:vertAlign w:val="superscript"/>
              </w:rPr>
            </w:pPr>
            <w:r>
              <w:t>Methotrexate</w:t>
            </w:r>
          </w:p>
        </w:tc>
        <w:tc>
          <w:tcPr>
            <w:tcW w:w="567" w:type="dxa"/>
          </w:tcPr>
          <w:p w14:paraId="33BE5C0D" w14:textId="77777777" w:rsidR="00AB4300" w:rsidRDefault="00AB4300" w:rsidP="00457EEF">
            <w:pPr>
              <w:pStyle w:val="TableText0"/>
            </w:pPr>
            <w:r>
              <w:t>IT</w:t>
            </w:r>
          </w:p>
        </w:tc>
        <w:tc>
          <w:tcPr>
            <w:tcW w:w="3402" w:type="dxa"/>
          </w:tcPr>
          <w:p w14:paraId="28DE3AA9" w14:textId="77777777" w:rsidR="00AB4300" w:rsidRPr="00094A2F" w:rsidRDefault="00AB4300" w:rsidP="00457EEF">
            <w:pPr>
              <w:pStyle w:val="TableText0"/>
            </w:pPr>
            <w:r>
              <w:t>12 mg</w:t>
            </w:r>
          </w:p>
        </w:tc>
        <w:tc>
          <w:tcPr>
            <w:tcW w:w="3622" w:type="dxa"/>
          </w:tcPr>
          <w:p w14:paraId="707D3A5C" w14:textId="77777777" w:rsidR="00AB4300" w:rsidRDefault="00AB4300" w:rsidP="00457EEF">
            <w:pPr>
              <w:pStyle w:val="TableText0"/>
            </w:pPr>
            <w:r>
              <w:t>Day 1</w:t>
            </w:r>
          </w:p>
        </w:tc>
      </w:tr>
      <w:tr w:rsidR="00AB4300" w14:paraId="5BF9E24E" w14:textId="77777777" w:rsidTr="00702852">
        <w:tc>
          <w:tcPr>
            <w:tcW w:w="1980" w:type="dxa"/>
          </w:tcPr>
          <w:p w14:paraId="79BD9C29" w14:textId="77777777" w:rsidR="00AB4300" w:rsidRDefault="00AB4300" w:rsidP="00457EEF">
            <w:pPr>
              <w:pStyle w:val="TableText0"/>
            </w:pPr>
            <w:r>
              <w:t>Cytarabine</w:t>
            </w:r>
          </w:p>
        </w:tc>
        <w:tc>
          <w:tcPr>
            <w:tcW w:w="567" w:type="dxa"/>
          </w:tcPr>
          <w:p w14:paraId="7A1CDA76" w14:textId="77777777" w:rsidR="00AB4300" w:rsidRDefault="00AB4300" w:rsidP="00457EEF">
            <w:pPr>
              <w:pStyle w:val="TableText0"/>
            </w:pPr>
            <w:r>
              <w:t>IT</w:t>
            </w:r>
          </w:p>
        </w:tc>
        <w:tc>
          <w:tcPr>
            <w:tcW w:w="3402" w:type="dxa"/>
          </w:tcPr>
          <w:p w14:paraId="3FF5CD97" w14:textId="77777777" w:rsidR="00AB4300" w:rsidRDefault="00AB4300" w:rsidP="00457EEF">
            <w:pPr>
              <w:pStyle w:val="TableText0"/>
            </w:pPr>
            <w:r w:rsidRPr="007D305D">
              <w:t>30 mg</w:t>
            </w:r>
          </w:p>
        </w:tc>
        <w:tc>
          <w:tcPr>
            <w:tcW w:w="3622" w:type="dxa"/>
          </w:tcPr>
          <w:p w14:paraId="53DCE2E9" w14:textId="77777777" w:rsidR="00AB4300" w:rsidRDefault="00AB4300" w:rsidP="00457EEF">
            <w:pPr>
              <w:pStyle w:val="TableText0"/>
            </w:pPr>
            <w:r>
              <w:t>Day 1</w:t>
            </w:r>
          </w:p>
        </w:tc>
      </w:tr>
      <w:tr w:rsidR="00AB4300" w14:paraId="23B95208" w14:textId="77777777" w:rsidTr="00702852">
        <w:tc>
          <w:tcPr>
            <w:tcW w:w="1980" w:type="dxa"/>
          </w:tcPr>
          <w:p w14:paraId="1C6BA620" w14:textId="77777777" w:rsidR="00AB4300" w:rsidRDefault="00AB4300" w:rsidP="00457EEF">
            <w:pPr>
              <w:pStyle w:val="TableText0"/>
            </w:pPr>
            <w:r>
              <w:t>Hydrocortisone</w:t>
            </w:r>
          </w:p>
        </w:tc>
        <w:tc>
          <w:tcPr>
            <w:tcW w:w="567" w:type="dxa"/>
          </w:tcPr>
          <w:p w14:paraId="68D0E0A8" w14:textId="77777777" w:rsidR="00AB4300" w:rsidRDefault="00AB4300" w:rsidP="00457EEF">
            <w:pPr>
              <w:pStyle w:val="TableText0"/>
            </w:pPr>
            <w:r>
              <w:t>IT</w:t>
            </w:r>
          </w:p>
        </w:tc>
        <w:tc>
          <w:tcPr>
            <w:tcW w:w="3402" w:type="dxa"/>
          </w:tcPr>
          <w:p w14:paraId="30476E5D" w14:textId="77777777" w:rsidR="00AB4300" w:rsidRDefault="00AB4300" w:rsidP="00457EEF">
            <w:pPr>
              <w:pStyle w:val="TableText0"/>
            </w:pPr>
            <w:r>
              <w:t>50 mg</w:t>
            </w:r>
          </w:p>
        </w:tc>
        <w:tc>
          <w:tcPr>
            <w:tcW w:w="3622" w:type="dxa"/>
          </w:tcPr>
          <w:p w14:paraId="3F61BDC0" w14:textId="77777777" w:rsidR="00AB4300" w:rsidRDefault="00AB4300" w:rsidP="00457EEF">
            <w:pPr>
              <w:pStyle w:val="TableText0"/>
            </w:pPr>
            <w:r>
              <w:t>Day 1</w:t>
            </w:r>
          </w:p>
        </w:tc>
      </w:tr>
      <w:tr w:rsidR="00AB4300" w14:paraId="5129FB02" w14:textId="77777777" w:rsidTr="00702852">
        <w:tc>
          <w:tcPr>
            <w:tcW w:w="1980" w:type="dxa"/>
          </w:tcPr>
          <w:p w14:paraId="178CCA3C" w14:textId="77777777" w:rsidR="00AB4300" w:rsidRDefault="00AB4300" w:rsidP="00457EEF">
            <w:pPr>
              <w:pStyle w:val="TableText0"/>
            </w:pPr>
            <w:r>
              <w:t xml:space="preserve">Calcium </w:t>
            </w:r>
            <w:proofErr w:type="spellStart"/>
            <w:r>
              <w:t>folinate</w:t>
            </w:r>
            <w:r>
              <w:rPr>
                <w:vertAlign w:val="superscript"/>
              </w:rPr>
              <w:t>d</w:t>
            </w:r>
            <w:proofErr w:type="spellEnd"/>
          </w:p>
        </w:tc>
        <w:tc>
          <w:tcPr>
            <w:tcW w:w="567" w:type="dxa"/>
          </w:tcPr>
          <w:p w14:paraId="0F3724A9" w14:textId="77777777" w:rsidR="00AB4300" w:rsidRDefault="00AB4300" w:rsidP="00457EEF">
            <w:pPr>
              <w:pStyle w:val="TableText0"/>
            </w:pPr>
            <w:r>
              <w:t>IV</w:t>
            </w:r>
          </w:p>
        </w:tc>
        <w:tc>
          <w:tcPr>
            <w:tcW w:w="3402" w:type="dxa"/>
          </w:tcPr>
          <w:p w14:paraId="51861819" w14:textId="77777777" w:rsidR="00AB4300" w:rsidRDefault="00AB4300" w:rsidP="00457EEF">
            <w:pPr>
              <w:pStyle w:val="TableText0"/>
            </w:pPr>
            <w:r>
              <w:t>15 mg/m</w:t>
            </w:r>
            <w:r>
              <w:rPr>
                <w:vertAlign w:val="superscript"/>
              </w:rPr>
              <w:t xml:space="preserve">2 </w:t>
            </w:r>
            <w:r>
              <w:t>every 6 hours</w:t>
            </w:r>
          </w:p>
        </w:tc>
        <w:tc>
          <w:tcPr>
            <w:tcW w:w="3622" w:type="dxa"/>
          </w:tcPr>
          <w:p w14:paraId="20575379" w14:textId="77777777" w:rsidR="00AB4300" w:rsidRDefault="00AB4300" w:rsidP="00457EEF">
            <w:pPr>
              <w:pStyle w:val="TableText0"/>
            </w:pPr>
            <w:r>
              <w:t>Day 2</w:t>
            </w:r>
          </w:p>
        </w:tc>
      </w:tr>
      <w:tr w:rsidR="00AB4300" w14:paraId="3977348B" w14:textId="77777777" w:rsidTr="00702852">
        <w:tc>
          <w:tcPr>
            <w:tcW w:w="1980" w:type="dxa"/>
          </w:tcPr>
          <w:p w14:paraId="528F6274" w14:textId="77777777" w:rsidR="00AB4300" w:rsidRDefault="00AB4300" w:rsidP="00457EEF">
            <w:pPr>
              <w:pStyle w:val="TableText0"/>
            </w:pPr>
            <w:proofErr w:type="spellStart"/>
            <w:r>
              <w:t>IFOSFamide</w:t>
            </w:r>
            <w:proofErr w:type="spellEnd"/>
          </w:p>
        </w:tc>
        <w:tc>
          <w:tcPr>
            <w:tcW w:w="567" w:type="dxa"/>
          </w:tcPr>
          <w:p w14:paraId="61C0D71A" w14:textId="77777777" w:rsidR="00AB4300" w:rsidRDefault="00AB4300" w:rsidP="00457EEF">
            <w:pPr>
              <w:pStyle w:val="TableText0"/>
            </w:pPr>
            <w:r>
              <w:t>IV</w:t>
            </w:r>
          </w:p>
        </w:tc>
        <w:tc>
          <w:tcPr>
            <w:tcW w:w="3402" w:type="dxa"/>
          </w:tcPr>
          <w:p w14:paraId="3E08EDEA" w14:textId="77777777" w:rsidR="00AB4300" w:rsidRDefault="00AB4300" w:rsidP="00457EEF">
            <w:pPr>
              <w:pStyle w:val="TableText0"/>
            </w:pPr>
            <w:r>
              <w:t>800 mg/m</w:t>
            </w:r>
            <w:r>
              <w:rPr>
                <w:vertAlign w:val="superscript"/>
              </w:rPr>
              <w:t>2</w:t>
            </w:r>
            <w:r>
              <w:t xml:space="preserve"> every 12 hours (total 5 doses)</w:t>
            </w:r>
          </w:p>
        </w:tc>
        <w:tc>
          <w:tcPr>
            <w:tcW w:w="3622" w:type="dxa"/>
          </w:tcPr>
          <w:p w14:paraId="779C124E" w14:textId="77777777" w:rsidR="00AB4300" w:rsidRDefault="00AB4300" w:rsidP="00457EEF">
            <w:pPr>
              <w:pStyle w:val="TableText0"/>
            </w:pPr>
            <w:r>
              <w:t>Days 2 to 4</w:t>
            </w:r>
          </w:p>
        </w:tc>
      </w:tr>
      <w:tr w:rsidR="00AB4300" w14:paraId="5A326D9D" w14:textId="77777777" w:rsidTr="00702852">
        <w:tc>
          <w:tcPr>
            <w:tcW w:w="1980" w:type="dxa"/>
          </w:tcPr>
          <w:p w14:paraId="2D279C3A" w14:textId="77777777" w:rsidR="00AB4300" w:rsidRDefault="00AB4300" w:rsidP="00457EEF">
            <w:pPr>
              <w:pStyle w:val="TableText0"/>
            </w:pPr>
            <w:proofErr w:type="spellStart"/>
            <w:r>
              <w:t>Mesna</w:t>
            </w:r>
            <w:proofErr w:type="spellEnd"/>
          </w:p>
        </w:tc>
        <w:tc>
          <w:tcPr>
            <w:tcW w:w="567" w:type="dxa"/>
          </w:tcPr>
          <w:p w14:paraId="63A12DD7" w14:textId="77777777" w:rsidR="00AB4300" w:rsidRDefault="00AB4300" w:rsidP="00457EEF">
            <w:pPr>
              <w:pStyle w:val="TableText0"/>
            </w:pPr>
            <w:r>
              <w:t>IV</w:t>
            </w:r>
          </w:p>
        </w:tc>
        <w:tc>
          <w:tcPr>
            <w:tcW w:w="3402" w:type="dxa"/>
          </w:tcPr>
          <w:p w14:paraId="396889F7" w14:textId="77777777" w:rsidR="00AB4300" w:rsidRDefault="00AB4300" w:rsidP="00457EEF">
            <w:pPr>
              <w:pStyle w:val="TableText0"/>
            </w:pPr>
            <w:r>
              <w:t>300 mg/m</w:t>
            </w:r>
            <w:r>
              <w:rPr>
                <w:vertAlign w:val="superscript"/>
              </w:rPr>
              <w:t>2</w:t>
            </w:r>
            <w:r>
              <w:t xml:space="preserve"> at 0, 4 and 8 hours after cyclophosphamide dose</w:t>
            </w:r>
          </w:p>
        </w:tc>
        <w:tc>
          <w:tcPr>
            <w:tcW w:w="3622" w:type="dxa"/>
          </w:tcPr>
          <w:p w14:paraId="7A81A20B" w14:textId="77777777" w:rsidR="00AB4300" w:rsidRDefault="00AB4300" w:rsidP="00457EEF">
            <w:pPr>
              <w:pStyle w:val="TableText0"/>
            </w:pPr>
            <w:r>
              <w:t>Days 2 to 4</w:t>
            </w:r>
          </w:p>
        </w:tc>
      </w:tr>
      <w:tr w:rsidR="00AB4300" w14:paraId="6D7C1ECA" w14:textId="77777777" w:rsidTr="00702852">
        <w:tc>
          <w:tcPr>
            <w:tcW w:w="1980" w:type="dxa"/>
          </w:tcPr>
          <w:p w14:paraId="5BA41658" w14:textId="77777777" w:rsidR="00AB4300" w:rsidRDefault="00AB4300" w:rsidP="00457EEF">
            <w:pPr>
              <w:pStyle w:val="TableText0"/>
            </w:pPr>
            <w:proofErr w:type="spellStart"/>
            <w:r>
              <w:t>DAUNOrubicin</w:t>
            </w:r>
            <w:proofErr w:type="spellEnd"/>
          </w:p>
        </w:tc>
        <w:tc>
          <w:tcPr>
            <w:tcW w:w="567" w:type="dxa"/>
          </w:tcPr>
          <w:p w14:paraId="40FA26E7" w14:textId="77777777" w:rsidR="00AB4300" w:rsidRDefault="00AB4300" w:rsidP="00457EEF">
            <w:pPr>
              <w:pStyle w:val="TableText0"/>
            </w:pPr>
            <w:r>
              <w:t>IV</w:t>
            </w:r>
          </w:p>
        </w:tc>
        <w:tc>
          <w:tcPr>
            <w:tcW w:w="3402" w:type="dxa"/>
          </w:tcPr>
          <w:p w14:paraId="57B34C33" w14:textId="77777777" w:rsidR="00AB4300" w:rsidRPr="00D3000A" w:rsidRDefault="00AB4300" w:rsidP="00457EEF">
            <w:pPr>
              <w:pStyle w:val="TableText0"/>
              <w:rPr>
                <w:vertAlign w:val="superscript"/>
              </w:rPr>
            </w:pPr>
            <w:r>
              <w:t>30 mg/m</w:t>
            </w:r>
            <w:r>
              <w:rPr>
                <w:vertAlign w:val="superscript"/>
              </w:rPr>
              <w:t>2</w:t>
            </w:r>
          </w:p>
        </w:tc>
        <w:tc>
          <w:tcPr>
            <w:tcW w:w="3622" w:type="dxa"/>
          </w:tcPr>
          <w:p w14:paraId="147F2A08" w14:textId="77777777" w:rsidR="00AB4300" w:rsidRDefault="00AB4300" w:rsidP="00457EEF">
            <w:pPr>
              <w:pStyle w:val="TableText0"/>
            </w:pPr>
            <w:r>
              <w:t>Day 5</w:t>
            </w:r>
          </w:p>
        </w:tc>
      </w:tr>
      <w:tr w:rsidR="00AB4300" w14:paraId="0F087C1E" w14:textId="77777777" w:rsidTr="00702852">
        <w:tc>
          <w:tcPr>
            <w:tcW w:w="1980" w:type="dxa"/>
          </w:tcPr>
          <w:p w14:paraId="4DB619D4" w14:textId="77777777" w:rsidR="00AB4300" w:rsidRDefault="00AB4300" w:rsidP="00457EEF">
            <w:pPr>
              <w:pStyle w:val="TableText0"/>
            </w:pPr>
            <w:proofErr w:type="spellStart"/>
            <w:r>
              <w:t>Pegaspargase</w:t>
            </w:r>
            <w:proofErr w:type="spellEnd"/>
          </w:p>
        </w:tc>
        <w:tc>
          <w:tcPr>
            <w:tcW w:w="567" w:type="dxa"/>
          </w:tcPr>
          <w:p w14:paraId="5E09A9F6" w14:textId="77777777" w:rsidR="00AB4300" w:rsidRDefault="00AB4300" w:rsidP="00457EEF">
            <w:pPr>
              <w:pStyle w:val="TableText0"/>
            </w:pPr>
            <w:r>
              <w:t>IM</w:t>
            </w:r>
          </w:p>
        </w:tc>
        <w:tc>
          <w:tcPr>
            <w:tcW w:w="3402" w:type="dxa"/>
          </w:tcPr>
          <w:p w14:paraId="33CA3B4D" w14:textId="77777777" w:rsidR="00AB4300" w:rsidRDefault="00AB4300" w:rsidP="00457EEF">
            <w:pPr>
              <w:pStyle w:val="TableText0"/>
            </w:pPr>
            <w:r>
              <w:t>1000 U/m</w:t>
            </w:r>
            <w:r>
              <w:rPr>
                <w:vertAlign w:val="superscript"/>
              </w:rPr>
              <w:t>2</w:t>
            </w:r>
          </w:p>
        </w:tc>
        <w:tc>
          <w:tcPr>
            <w:tcW w:w="3622" w:type="dxa"/>
          </w:tcPr>
          <w:p w14:paraId="7051D941" w14:textId="77777777" w:rsidR="00AB4300" w:rsidRDefault="00AB4300" w:rsidP="00457EEF">
            <w:pPr>
              <w:pStyle w:val="TableText0"/>
            </w:pPr>
            <w:r>
              <w:t>Day 6</w:t>
            </w:r>
          </w:p>
        </w:tc>
      </w:tr>
      <w:tr w:rsidR="00AB4300" w14:paraId="3E222BD8" w14:textId="77777777" w:rsidTr="00702852">
        <w:tc>
          <w:tcPr>
            <w:tcW w:w="1980" w:type="dxa"/>
          </w:tcPr>
          <w:p w14:paraId="538E34C8" w14:textId="77777777" w:rsidR="00AB4300" w:rsidRDefault="00AB4300" w:rsidP="00457EEF">
            <w:pPr>
              <w:pStyle w:val="TableText0"/>
            </w:pPr>
            <w:r>
              <w:t>Filgrastim</w:t>
            </w:r>
          </w:p>
        </w:tc>
        <w:tc>
          <w:tcPr>
            <w:tcW w:w="567" w:type="dxa"/>
          </w:tcPr>
          <w:p w14:paraId="118BCB1B" w14:textId="77777777" w:rsidR="00AB4300" w:rsidRDefault="00AB4300" w:rsidP="00457EEF">
            <w:pPr>
              <w:pStyle w:val="TableText0"/>
            </w:pPr>
            <w:r>
              <w:t>SC</w:t>
            </w:r>
          </w:p>
        </w:tc>
        <w:tc>
          <w:tcPr>
            <w:tcW w:w="3402" w:type="dxa"/>
          </w:tcPr>
          <w:p w14:paraId="3AFB743F" w14:textId="77777777" w:rsidR="00AB4300" w:rsidRDefault="00AB4300" w:rsidP="00457EEF">
            <w:pPr>
              <w:pStyle w:val="TableText0"/>
            </w:pPr>
            <w:r>
              <w:t>5 microg/kg</w:t>
            </w:r>
          </w:p>
        </w:tc>
        <w:tc>
          <w:tcPr>
            <w:tcW w:w="3622" w:type="dxa"/>
          </w:tcPr>
          <w:p w14:paraId="5BA75985" w14:textId="77777777" w:rsidR="00AB4300" w:rsidRDefault="00AB4300" w:rsidP="00457EEF">
            <w:pPr>
              <w:pStyle w:val="TableText0"/>
            </w:pPr>
            <w:r>
              <w:t>Day 7 until neutrophil recovery</w:t>
            </w:r>
          </w:p>
        </w:tc>
      </w:tr>
      <w:tr w:rsidR="00AB4300" w14:paraId="44E50BDA" w14:textId="77777777" w:rsidTr="00702852">
        <w:tc>
          <w:tcPr>
            <w:tcW w:w="9571" w:type="dxa"/>
            <w:gridSpan w:val="4"/>
          </w:tcPr>
          <w:p w14:paraId="3FF8BFDB" w14:textId="77777777" w:rsidR="00AB4300" w:rsidRPr="00094A2F" w:rsidRDefault="00AB4300" w:rsidP="00457EEF">
            <w:pPr>
              <w:pStyle w:val="TableText0"/>
            </w:pPr>
            <w:r>
              <w:rPr>
                <w:b/>
              </w:rPr>
              <w:t>High risk block 3 (HR3)</w:t>
            </w:r>
            <w:r w:rsidRPr="00094A2F">
              <w:t xml:space="preserve"> </w:t>
            </w:r>
          </w:p>
        </w:tc>
      </w:tr>
      <w:tr w:rsidR="00AB4300" w14:paraId="6DBC4E9D" w14:textId="77777777" w:rsidTr="00702852">
        <w:tc>
          <w:tcPr>
            <w:tcW w:w="1980" w:type="dxa"/>
          </w:tcPr>
          <w:p w14:paraId="22047520" w14:textId="77777777" w:rsidR="00AB4300" w:rsidRDefault="00AB4300" w:rsidP="00457EEF">
            <w:pPr>
              <w:pStyle w:val="TableText0"/>
            </w:pPr>
            <w:r>
              <w:t>Dexamethasone</w:t>
            </w:r>
          </w:p>
        </w:tc>
        <w:tc>
          <w:tcPr>
            <w:tcW w:w="567" w:type="dxa"/>
          </w:tcPr>
          <w:p w14:paraId="200E18AE" w14:textId="77777777" w:rsidR="00AB4300" w:rsidRDefault="00AB4300" w:rsidP="00457EEF">
            <w:pPr>
              <w:pStyle w:val="TableText0"/>
            </w:pPr>
            <w:r>
              <w:t>PO</w:t>
            </w:r>
          </w:p>
        </w:tc>
        <w:tc>
          <w:tcPr>
            <w:tcW w:w="3402" w:type="dxa"/>
          </w:tcPr>
          <w:p w14:paraId="57D58CB2" w14:textId="77777777" w:rsidR="00AB4300" w:rsidRPr="002A1A30" w:rsidRDefault="00AB4300" w:rsidP="00457EEF">
            <w:pPr>
              <w:pStyle w:val="TableText0"/>
            </w:pPr>
            <w:r>
              <w:t>20 mg/m</w:t>
            </w:r>
            <w:r>
              <w:rPr>
                <w:vertAlign w:val="superscript"/>
              </w:rPr>
              <w:t>2</w:t>
            </w:r>
            <w:r>
              <w:t>/day</w:t>
            </w:r>
          </w:p>
        </w:tc>
        <w:tc>
          <w:tcPr>
            <w:tcW w:w="3622" w:type="dxa"/>
          </w:tcPr>
          <w:p w14:paraId="36837F6D" w14:textId="77777777" w:rsidR="00AB4300" w:rsidRDefault="00AB4300" w:rsidP="00457EEF">
            <w:pPr>
              <w:pStyle w:val="TableText0"/>
            </w:pPr>
            <w:r>
              <w:t>Days 1 to 5</w:t>
            </w:r>
          </w:p>
        </w:tc>
      </w:tr>
      <w:tr w:rsidR="00AB4300" w14:paraId="3E91EC8F" w14:textId="77777777" w:rsidTr="00702852">
        <w:tc>
          <w:tcPr>
            <w:tcW w:w="1980" w:type="dxa"/>
          </w:tcPr>
          <w:p w14:paraId="6C20CAF4" w14:textId="77777777" w:rsidR="00AB4300" w:rsidRDefault="00AB4300" w:rsidP="00457EEF">
            <w:pPr>
              <w:pStyle w:val="TableText0"/>
            </w:pPr>
            <w:r>
              <w:t>Cytarabine</w:t>
            </w:r>
          </w:p>
        </w:tc>
        <w:tc>
          <w:tcPr>
            <w:tcW w:w="567" w:type="dxa"/>
          </w:tcPr>
          <w:p w14:paraId="4116DE76" w14:textId="77777777" w:rsidR="00AB4300" w:rsidRDefault="00AB4300" w:rsidP="00457EEF">
            <w:pPr>
              <w:pStyle w:val="TableText0"/>
            </w:pPr>
            <w:r>
              <w:t>IT</w:t>
            </w:r>
          </w:p>
        </w:tc>
        <w:tc>
          <w:tcPr>
            <w:tcW w:w="3402" w:type="dxa"/>
          </w:tcPr>
          <w:p w14:paraId="25613D65" w14:textId="77777777" w:rsidR="00AB4300" w:rsidRPr="00D3000A" w:rsidRDefault="00AB4300" w:rsidP="00457EEF">
            <w:pPr>
              <w:pStyle w:val="TableText0"/>
            </w:pPr>
            <w:r>
              <w:t>2000 mg/m</w:t>
            </w:r>
            <w:r>
              <w:rPr>
                <w:vertAlign w:val="superscript"/>
              </w:rPr>
              <w:t>2</w:t>
            </w:r>
            <w:r>
              <w:t xml:space="preserve"> every 12 hours (total 4 doses)</w:t>
            </w:r>
          </w:p>
        </w:tc>
        <w:tc>
          <w:tcPr>
            <w:tcW w:w="3622" w:type="dxa"/>
          </w:tcPr>
          <w:p w14:paraId="1E7D0E15" w14:textId="77777777" w:rsidR="00AB4300" w:rsidRDefault="00AB4300" w:rsidP="00457EEF">
            <w:pPr>
              <w:pStyle w:val="TableText0"/>
            </w:pPr>
            <w:r>
              <w:t>Days 1 and 2</w:t>
            </w:r>
          </w:p>
        </w:tc>
      </w:tr>
      <w:tr w:rsidR="00AB4300" w14:paraId="261C8C05" w14:textId="77777777" w:rsidTr="00702852">
        <w:tc>
          <w:tcPr>
            <w:tcW w:w="1980" w:type="dxa"/>
          </w:tcPr>
          <w:p w14:paraId="7F2CF4E0" w14:textId="77777777" w:rsidR="00AB4300" w:rsidRDefault="00AB4300" w:rsidP="00457EEF">
            <w:pPr>
              <w:pStyle w:val="TableText0"/>
            </w:pPr>
            <w:r>
              <w:t>Etoposide</w:t>
            </w:r>
          </w:p>
        </w:tc>
        <w:tc>
          <w:tcPr>
            <w:tcW w:w="567" w:type="dxa"/>
          </w:tcPr>
          <w:p w14:paraId="7ABB27CA" w14:textId="77777777" w:rsidR="00AB4300" w:rsidRDefault="00AB4300" w:rsidP="00457EEF">
            <w:pPr>
              <w:pStyle w:val="TableText0"/>
            </w:pPr>
            <w:r>
              <w:t>IV</w:t>
            </w:r>
          </w:p>
        </w:tc>
        <w:tc>
          <w:tcPr>
            <w:tcW w:w="3402" w:type="dxa"/>
          </w:tcPr>
          <w:p w14:paraId="78F2584E" w14:textId="77777777" w:rsidR="00AB4300" w:rsidRPr="00D3000A" w:rsidRDefault="00AB4300" w:rsidP="00457EEF">
            <w:pPr>
              <w:pStyle w:val="TableText0"/>
            </w:pPr>
            <w:r>
              <w:t>100 mg/m</w:t>
            </w:r>
            <w:r>
              <w:rPr>
                <w:vertAlign w:val="superscript"/>
              </w:rPr>
              <w:t xml:space="preserve">2 </w:t>
            </w:r>
            <w:r>
              <w:t>every 12 hours (total 5 doses)</w:t>
            </w:r>
          </w:p>
        </w:tc>
        <w:tc>
          <w:tcPr>
            <w:tcW w:w="3622" w:type="dxa"/>
          </w:tcPr>
          <w:p w14:paraId="0432A625" w14:textId="77777777" w:rsidR="00AB4300" w:rsidRDefault="00AB4300" w:rsidP="00457EEF">
            <w:pPr>
              <w:pStyle w:val="TableText0"/>
            </w:pPr>
            <w:r>
              <w:t>Days 3 to 5</w:t>
            </w:r>
          </w:p>
        </w:tc>
      </w:tr>
      <w:tr w:rsidR="00AB4300" w14:paraId="2B35DBB0" w14:textId="77777777" w:rsidTr="00702852">
        <w:tc>
          <w:tcPr>
            <w:tcW w:w="1980" w:type="dxa"/>
          </w:tcPr>
          <w:p w14:paraId="30346699" w14:textId="77777777" w:rsidR="00AB4300" w:rsidRDefault="00AB4300" w:rsidP="00457EEF">
            <w:pPr>
              <w:pStyle w:val="TableText0"/>
            </w:pPr>
            <w:r>
              <w:t>Methotrexate</w:t>
            </w:r>
          </w:p>
        </w:tc>
        <w:tc>
          <w:tcPr>
            <w:tcW w:w="567" w:type="dxa"/>
          </w:tcPr>
          <w:p w14:paraId="6550B9B2" w14:textId="77777777" w:rsidR="00AB4300" w:rsidRDefault="00AB4300" w:rsidP="00457EEF">
            <w:pPr>
              <w:pStyle w:val="TableText0"/>
            </w:pPr>
            <w:r>
              <w:t>IT</w:t>
            </w:r>
          </w:p>
        </w:tc>
        <w:tc>
          <w:tcPr>
            <w:tcW w:w="3402" w:type="dxa"/>
          </w:tcPr>
          <w:p w14:paraId="64F0D1C1" w14:textId="77777777" w:rsidR="00AB4300" w:rsidRDefault="00AB4300" w:rsidP="00457EEF">
            <w:pPr>
              <w:pStyle w:val="TableText0"/>
            </w:pPr>
            <w:r>
              <w:t>12 mg</w:t>
            </w:r>
          </w:p>
        </w:tc>
        <w:tc>
          <w:tcPr>
            <w:tcW w:w="3622" w:type="dxa"/>
          </w:tcPr>
          <w:p w14:paraId="05ABCF21" w14:textId="77777777" w:rsidR="00AB4300" w:rsidRDefault="00AB4300" w:rsidP="00457EEF">
            <w:pPr>
              <w:pStyle w:val="TableText0"/>
            </w:pPr>
            <w:r>
              <w:t>Day 5</w:t>
            </w:r>
          </w:p>
        </w:tc>
      </w:tr>
      <w:tr w:rsidR="00AB4300" w14:paraId="6A3BFC26" w14:textId="77777777" w:rsidTr="00702852">
        <w:tc>
          <w:tcPr>
            <w:tcW w:w="1980" w:type="dxa"/>
          </w:tcPr>
          <w:p w14:paraId="4C39B957" w14:textId="77777777" w:rsidR="00AB4300" w:rsidRPr="002A1A30" w:rsidRDefault="00AB4300" w:rsidP="00457EEF">
            <w:pPr>
              <w:pStyle w:val="TableText0"/>
            </w:pPr>
            <w:r>
              <w:t xml:space="preserve">Cytarabine </w:t>
            </w:r>
          </w:p>
        </w:tc>
        <w:tc>
          <w:tcPr>
            <w:tcW w:w="567" w:type="dxa"/>
          </w:tcPr>
          <w:p w14:paraId="5D88269B" w14:textId="77777777" w:rsidR="00AB4300" w:rsidRDefault="00AB4300" w:rsidP="00457EEF">
            <w:pPr>
              <w:pStyle w:val="TableText0"/>
            </w:pPr>
            <w:r>
              <w:t>IT</w:t>
            </w:r>
          </w:p>
        </w:tc>
        <w:tc>
          <w:tcPr>
            <w:tcW w:w="3402" w:type="dxa"/>
          </w:tcPr>
          <w:p w14:paraId="4B3DE6A5" w14:textId="77777777" w:rsidR="00AB4300" w:rsidRDefault="00AB4300" w:rsidP="00457EEF">
            <w:pPr>
              <w:pStyle w:val="TableText0"/>
            </w:pPr>
            <w:r>
              <w:t>30 mg</w:t>
            </w:r>
          </w:p>
        </w:tc>
        <w:tc>
          <w:tcPr>
            <w:tcW w:w="3622" w:type="dxa"/>
          </w:tcPr>
          <w:p w14:paraId="20C615B8" w14:textId="77777777" w:rsidR="00AB4300" w:rsidRDefault="00AB4300" w:rsidP="00457EEF">
            <w:pPr>
              <w:pStyle w:val="TableText0"/>
            </w:pPr>
            <w:r>
              <w:t>Day 5</w:t>
            </w:r>
          </w:p>
        </w:tc>
      </w:tr>
      <w:tr w:rsidR="00AB4300" w14:paraId="5F79FBE8" w14:textId="77777777" w:rsidTr="00702852">
        <w:tc>
          <w:tcPr>
            <w:tcW w:w="1980" w:type="dxa"/>
          </w:tcPr>
          <w:p w14:paraId="1A452283" w14:textId="77777777" w:rsidR="00AB4300" w:rsidRDefault="00AB4300" w:rsidP="00457EEF">
            <w:pPr>
              <w:pStyle w:val="TableText0"/>
            </w:pPr>
            <w:r>
              <w:t>Hydrocortisone</w:t>
            </w:r>
          </w:p>
        </w:tc>
        <w:tc>
          <w:tcPr>
            <w:tcW w:w="567" w:type="dxa"/>
          </w:tcPr>
          <w:p w14:paraId="6949B3DC" w14:textId="77777777" w:rsidR="00AB4300" w:rsidRDefault="00AB4300" w:rsidP="00457EEF">
            <w:pPr>
              <w:pStyle w:val="TableText0"/>
            </w:pPr>
            <w:r>
              <w:t>IT</w:t>
            </w:r>
          </w:p>
        </w:tc>
        <w:tc>
          <w:tcPr>
            <w:tcW w:w="3402" w:type="dxa"/>
          </w:tcPr>
          <w:p w14:paraId="4B85E892" w14:textId="77777777" w:rsidR="00AB4300" w:rsidRDefault="00AB4300" w:rsidP="00457EEF">
            <w:pPr>
              <w:pStyle w:val="TableText0"/>
            </w:pPr>
            <w:r>
              <w:t>50 mg</w:t>
            </w:r>
          </w:p>
        </w:tc>
        <w:tc>
          <w:tcPr>
            <w:tcW w:w="3622" w:type="dxa"/>
          </w:tcPr>
          <w:p w14:paraId="6B380739" w14:textId="77777777" w:rsidR="00AB4300" w:rsidRDefault="00AB4300" w:rsidP="00457EEF">
            <w:pPr>
              <w:pStyle w:val="TableText0"/>
            </w:pPr>
            <w:r>
              <w:t>Day 5</w:t>
            </w:r>
          </w:p>
        </w:tc>
      </w:tr>
      <w:tr w:rsidR="00AB4300" w14:paraId="543AA92D" w14:textId="77777777" w:rsidTr="00702852">
        <w:tc>
          <w:tcPr>
            <w:tcW w:w="1980" w:type="dxa"/>
          </w:tcPr>
          <w:p w14:paraId="65C1EA31" w14:textId="77777777" w:rsidR="00AB4300" w:rsidRDefault="00AB4300" w:rsidP="00457EEF">
            <w:pPr>
              <w:pStyle w:val="TableText0"/>
            </w:pPr>
            <w:proofErr w:type="spellStart"/>
            <w:r>
              <w:lastRenderedPageBreak/>
              <w:t>Pegaspargase</w:t>
            </w:r>
            <w:proofErr w:type="spellEnd"/>
          </w:p>
        </w:tc>
        <w:tc>
          <w:tcPr>
            <w:tcW w:w="567" w:type="dxa"/>
          </w:tcPr>
          <w:p w14:paraId="5B423DC1" w14:textId="77777777" w:rsidR="00AB4300" w:rsidRDefault="00AB4300" w:rsidP="00457EEF">
            <w:pPr>
              <w:pStyle w:val="TableText0"/>
            </w:pPr>
            <w:r>
              <w:t>IM</w:t>
            </w:r>
          </w:p>
        </w:tc>
        <w:tc>
          <w:tcPr>
            <w:tcW w:w="3402" w:type="dxa"/>
          </w:tcPr>
          <w:p w14:paraId="1747FACB" w14:textId="77777777" w:rsidR="00AB4300" w:rsidRDefault="00AB4300" w:rsidP="00457EEF">
            <w:pPr>
              <w:pStyle w:val="TableText0"/>
            </w:pPr>
            <w:r>
              <w:t>1000 U/m</w:t>
            </w:r>
            <w:r>
              <w:rPr>
                <w:vertAlign w:val="superscript"/>
              </w:rPr>
              <w:t>2</w:t>
            </w:r>
          </w:p>
        </w:tc>
        <w:tc>
          <w:tcPr>
            <w:tcW w:w="3622" w:type="dxa"/>
          </w:tcPr>
          <w:p w14:paraId="3F6D03E1" w14:textId="77777777" w:rsidR="00AB4300" w:rsidRDefault="00AB4300" w:rsidP="00457EEF">
            <w:pPr>
              <w:pStyle w:val="TableText0"/>
            </w:pPr>
            <w:r>
              <w:t>Day 6</w:t>
            </w:r>
          </w:p>
        </w:tc>
      </w:tr>
      <w:tr w:rsidR="00AB4300" w14:paraId="5740CD45" w14:textId="77777777" w:rsidTr="00702852">
        <w:tc>
          <w:tcPr>
            <w:tcW w:w="1980" w:type="dxa"/>
          </w:tcPr>
          <w:p w14:paraId="69790667" w14:textId="77777777" w:rsidR="00AB4300" w:rsidRDefault="00AB4300" w:rsidP="00457EEF">
            <w:pPr>
              <w:pStyle w:val="TableText0"/>
            </w:pPr>
            <w:r>
              <w:t>Filgrastim</w:t>
            </w:r>
          </w:p>
        </w:tc>
        <w:tc>
          <w:tcPr>
            <w:tcW w:w="567" w:type="dxa"/>
          </w:tcPr>
          <w:p w14:paraId="62F77C33" w14:textId="77777777" w:rsidR="00AB4300" w:rsidRDefault="00AB4300" w:rsidP="00457EEF">
            <w:pPr>
              <w:pStyle w:val="TableText0"/>
            </w:pPr>
            <w:r>
              <w:t>SC</w:t>
            </w:r>
          </w:p>
        </w:tc>
        <w:tc>
          <w:tcPr>
            <w:tcW w:w="3402" w:type="dxa"/>
          </w:tcPr>
          <w:p w14:paraId="4B64A81D" w14:textId="77777777" w:rsidR="00AB4300" w:rsidRDefault="00AB4300" w:rsidP="00457EEF">
            <w:pPr>
              <w:pStyle w:val="TableText0"/>
            </w:pPr>
            <w:r>
              <w:t xml:space="preserve">5 </w:t>
            </w:r>
            <w:proofErr w:type="spellStart"/>
            <w:r>
              <w:t>mircog</w:t>
            </w:r>
            <w:proofErr w:type="spellEnd"/>
            <w:r>
              <w:t>/kg</w:t>
            </w:r>
          </w:p>
        </w:tc>
        <w:tc>
          <w:tcPr>
            <w:tcW w:w="3622" w:type="dxa"/>
          </w:tcPr>
          <w:p w14:paraId="6F92367A" w14:textId="77777777" w:rsidR="00AB4300" w:rsidRDefault="00AB4300" w:rsidP="00457EEF">
            <w:pPr>
              <w:pStyle w:val="TableText0"/>
            </w:pPr>
            <w:r>
              <w:t>Day 7 until neutrophil recovery</w:t>
            </w:r>
          </w:p>
        </w:tc>
      </w:tr>
    </w:tbl>
    <w:p w14:paraId="0DD93341" w14:textId="77777777" w:rsidR="00702852" w:rsidRDefault="00702852"/>
    <w:tbl>
      <w:tblPr>
        <w:tblStyle w:val="TableGrid"/>
        <w:tblW w:w="0" w:type="auto"/>
        <w:tblInd w:w="0" w:type="dxa"/>
        <w:tblLook w:val="04A0" w:firstRow="1" w:lastRow="0" w:firstColumn="1" w:lastColumn="0" w:noHBand="0" w:noVBand="1"/>
        <w:tblCaption w:val="ALL06 schema "/>
        <w:tblDescription w:val="The treatment blocks for people with high risk ALL"/>
      </w:tblPr>
      <w:tblGrid>
        <w:gridCol w:w="1980"/>
        <w:gridCol w:w="567"/>
        <w:gridCol w:w="3402"/>
        <w:gridCol w:w="3622"/>
      </w:tblGrid>
      <w:tr w:rsidR="00AB4300" w14:paraId="3348D4AC" w14:textId="77777777" w:rsidTr="00702852">
        <w:trPr>
          <w:trHeight w:val="629"/>
          <w:tblHeader/>
        </w:trPr>
        <w:tc>
          <w:tcPr>
            <w:tcW w:w="9571" w:type="dxa"/>
            <w:gridSpan w:val="4"/>
          </w:tcPr>
          <w:p w14:paraId="6C0FC015" w14:textId="77777777" w:rsidR="00AB4300" w:rsidRPr="00D3000A" w:rsidRDefault="00AB4300" w:rsidP="00457EEF">
            <w:pPr>
              <w:pStyle w:val="TableText0"/>
              <w:rPr>
                <w:b/>
              </w:rPr>
            </w:pPr>
            <w:r w:rsidRPr="00D3000A">
              <w:rPr>
                <w:b/>
              </w:rPr>
              <w:t>Maintenance phase: (course duration: 24 months calculated from the start of Protocol I): commence 2 weeks after the end of Protocol II depending on bone marrow recovery. Patients to receive: All risk groups (not transplanted)</w:t>
            </w:r>
          </w:p>
        </w:tc>
      </w:tr>
      <w:tr w:rsidR="00AB4300" w14:paraId="762EFC5B" w14:textId="77777777" w:rsidTr="00702852">
        <w:tc>
          <w:tcPr>
            <w:tcW w:w="1980" w:type="dxa"/>
          </w:tcPr>
          <w:p w14:paraId="0C13ABD2" w14:textId="77777777" w:rsidR="00AB4300" w:rsidRDefault="00AB4300" w:rsidP="00457EEF">
            <w:pPr>
              <w:pStyle w:val="TableText0"/>
            </w:pPr>
            <w:r>
              <w:t>Mercaptopurine</w:t>
            </w:r>
          </w:p>
        </w:tc>
        <w:tc>
          <w:tcPr>
            <w:tcW w:w="567" w:type="dxa"/>
          </w:tcPr>
          <w:p w14:paraId="69B348E4" w14:textId="77777777" w:rsidR="00AB4300" w:rsidRDefault="00AB4300" w:rsidP="00457EEF">
            <w:pPr>
              <w:pStyle w:val="TableText0"/>
            </w:pPr>
            <w:r>
              <w:t>PO</w:t>
            </w:r>
          </w:p>
        </w:tc>
        <w:tc>
          <w:tcPr>
            <w:tcW w:w="3402" w:type="dxa"/>
          </w:tcPr>
          <w:p w14:paraId="1E00361C" w14:textId="77777777" w:rsidR="00AB4300" w:rsidRPr="00D3000A" w:rsidRDefault="00AB4300" w:rsidP="00457EEF">
            <w:pPr>
              <w:pStyle w:val="TableText0"/>
            </w:pPr>
            <w:r>
              <w:t>50 mg/m</w:t>
            </w:r>
            <w:r>
              <w:rPr>
                <w:vertAlign w:val="superscript"/>
              </w:rPr>
              <w:t>2</w:t>
            </w:r>
            <w:r>
              <w:t>/day titrated according to WCC</w:t>
            </w:r>
          </w:p>
        </w:tc>
        <w:tc>
          <w:tcPr>
            <w:tcW w:w="3622" w:type="dxa"/>
          </w:tcPr>
          <w:p w14:paraId="09289D80" w14:textId="77777777" w:rsidR="00AB4300" w:rsidRDefault="00AB4300" w:rsidP="00457EEF">
            <w:pPr>
              <w:pStyle w:val="TableText0"/>
            </w:pPr>
            <w:r>
              <w:t>Continuous</w:t>
            </w:r>
          </w:p>
        </w:tc>
      </w:tr>
      <w:tr w:rsidR="00AB4300" w14:paraId="0E8C5927" w14:textId="77777777" w:rsidTr="00702852">
        <w:tc>
          <w:tcPr>
            <w:tcW w:w="1980" w:type="dxa"/>
          </w:tcPr>
          <w:p w14:paraId="03942C7E" w14:textId="77777777" w:rsidR="00AB4300" w:rsidRDefault="00AB4300" w:rsidP="00457EEF">
            <w:pPr>
              <w:pStyle w:val="TableText0"/>
            </w:pPr>
            <w:r>
              <w:t>Methotrexate</w:t>
            </w:r>
          </w:p>
        </w:tc>
        <w:tc>
          <w:tcPr>
            <w:tcW w:w="567" w:type="dxa"/>
          </w:tcPr>
          <w:p w14:paraId="667B93F2" w14:textId="77777777" w:rsidR="00AB4300" w:rsidRDefault="00AB4300" w:rsidP="00457EEF">
            <w:pPr>
              <w:pStyle w:val="TableText0"/>
            </w:pPr>
            <w:r>
              <w:t>PO</w:t>
            </w:r>
          </w:p>
        </w:tc>
        <w:tc>
          <w:tcPr>
            <w:tcW w:w="3402" w:type="dxa"/>
          </w:tcPr>
          <w:p w14:paraId="2DE79144" w14:textId="77777777" w:rsidR="00AB4300" w:rsidRDefault="00AB4300" w:rsidP="00457EEF">
            <w:pPr>
              <w:pStyle w:val="TableText0"/>
            </w:pPr>
            <w:r>
              <w:t>20 mg/m</w:t>
            </w:r>
            <w:r>
              <w:rPr>
                <w:vertAlign w:val="superscript"/>
              </w:rPr>
              <w:t>2</w:t>
            </w:r>
            <w:r>
              <w:t xml:space="preserve"> titrated according to WCC</w:t>
            </w:r>
          </w:p>
        </w:tc>
        <w:tc>
          <w:tcPr>
            <w:tcW w:w="3622" w:type="dxa"/>
          </w:tcPr>
          <w:p w14:paraId="27BCBC31" w14:textId="77777777" w:rsidR="00AB4300" w:rsidRDefault="00AB4300" w:rsidP="00457EEF">
            <w:pPr>
              <w:pStyle w:val="TableText0"/>
            </w:pPr>
            <w:r>
              <w:t>Once weekly</w:t>
            </w:r>
          </w:p>
        </w:tc>
      </w:tr>
    </w:tbl>
    <w:p w14:paraId="3944ED3B" w14:textId="77777777" w:rsidR="00AB4300" w:rsidRPr="006C1A5D" w:rsidRDefault="00AB4300" w:rsidP="00AB4300">
      <w:pPr>
        <w:pStyle w:val="TableFooter"/>
      </w:pPr>
      <w:proofErr w:type="spellStart"/>
      <w:r>
        <w:rPr>
          <w:vertAlign w:val="superscript"/>
        </w:rPr>
        <w:t>d</w:t>
      </w:r>
      <w:r>
        <w:t>Commence</w:t>
      </w:r>
      <w:proofErr w:type="spellEnd"/>
      <w:r>
        <w:t xml:space="preserve"> 36 hours after start of methotrexate infusion, continue until methotrexate level is less than 0.05 </w:t>
      </w:r>
      <w:proofErr w:type="spellStart"/>
      <w:r>
        <w:t>micromol</w:t>
      </w:r>
      <w:proofErr w:type="spellEnd"/>
      <w:r>
        <w:t>/L</w:t>
      </w:r>
    </w:p>
    <w:p w14:paraId="3E1DC12A" w14:textId="77777777" w:rsidR="005825DE" w:rsidRDefault="005825DE" w:rsidP="00AB4300"/>
    <w:sectPr w:rsidR="005825DE"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151DA" w14:textId="77777777" w:rsidR="007D4761" w:rsidRDefault="007D4761" w:rsidP="0016315C">
      <w:pPr>
        <w:spacing w:after="0" w:line="240" w:lineRule="auto"/>
      </w:pPr>
      <w:r>
        <w:separator/>
      </w:r>
    </w:p>
  </w:endnote>
  <w:endnote w:type="continuationSeparator" w:id="0">
    <w:p w14:paraId="600A30FD" w14:textId="77777777" w:rsidR="007D4761" w:rsidRDefault="007D4761" w:rsidP="0016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Content>
      <w:p w14:paraId="2F61D3D2" w14:textId="66E4C48E" w:rsidR="007D4761" w:rsidRDefault="007D4761" w:rsidP="000A2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7D4761" w:rsidRDefault="007D4761"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Content>
      <w:p w14:paraId="4DE593B1" w14:textId="7759F1BA" w:rsidR="007D4761" w:rsidRDefault="007D4761" w:rsidP="000A2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2246E8D8" w14:textId="1A7883CA" w:rsidR="007D4761" w:rsidRDefault="007D4761" w:rsidP="007D4761">
    <w:pPr>
      <w:pBdr>
        <w:top w:val="single" w:sz="4" w:space="1" w:color="auto"/>
      </w:pBdr>
      <w:tabs>
        <w:tab w:val="left" w:pos="5529"/>
      </w:tabs>
      <w:spacing w:before="240" w:after="0" w:line="240" w:lineRule="auto"/>
      <w:jc w:val="center"/>
    </w:pPr>
    <w:r>
      <w:t xml:space="preserve">Ratified </w:t>
    </w:r>
    <w:r w:rsidRPr="00685355">
      <w:t>PICO confirmation</w:t>
    </w:r>
    <w:r>
      <w:t xml:space="preserve"> – April 2022 PASC meeting</w:t>
    </w:r>
  </w:p>
  <w:p w14:paraId="33649654" w14:textId="6F539537" w:rsidR="007D4761" w:rsidRPr="00685355" w:rsidRDefault="007D4761" w:rsidP="007D4761">
    <w:pPr>
      <w:pBdr>
        <w:top w:val="single" w:sz="4" w:space="1" w:color="auto"/>
      </w:pBdr>
      <w:spacing w:after="0" w:line="240" w:lineRule="auto"/>
      <w:jc w:val="center"/>
    </w:pPr>
    <w:r>
      <w:t xml:space="preserve">Application 1707 – </w:t>
    </w:r>
    <w:r w:rsidRPr="007D4761">
      <w:t>Detection of measurable residual disease in patients with acute lymphoblastic leukaemia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2B0C" w14:textId="77777777" w:rsidR="007D4761" w:rsidRDefault="007D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7162" w14:textId="77777777" w:rsidR="007D4761" w:rsidRDefault="007D4761" w:rsidP="0016315C">
      <w:pPr>
        <w:spacing w:after="0" w:line="240" w:lineRule="auto"/>
      </w:pPr>
      <w:r>
        <w:separator/>
      </w:r>
    </w:p>
  </w:footnote>
  <w:footnote w:type="continuationSeparator" w:id="0">
    <w:p w14:paraId="3845D726" w14:textId="77777777" w:rsidR="007D4761" w:rsidRDefault="007D4761" w:rsidP="0016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4DEA" w14:textId="77777777" w:rsidR="007D4761" w:rsidRDefault="007D4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C12D3" w14:textId="77777777" w:rsidR="007D4761" w:rsidRDefault="007D4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D4A28" w14:textId="77777777" w:rsidR="007D4761" w:rsidRDefault="007D4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727"/>
    <w:multiLevelType w:val="hybridMultilevel"/>
    <w:tmpl w:val="D7D0ED8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B72D8"/>
    <w:multiLevelType w:val="hybridMultilevel"/>
    <w:tmpl w:val="1A76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37FF1"/>
    <w:multiLevelType w:val="hybridMultilevel"/>
    <w:tmpl w:val="78746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CD25C0E"/>
    <w:multiLevelType w:val="hybridMultilevel"/>
    <w:tmpl w:val="12CA3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885FCE"/>
    <w:multiLevelType w:val="hybridMultilevel"/>
    <w:tmpl w:val="58F6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A30CE"/>
    <w:multiLevelType w:val="hybridMultilevel"/>
    <w:tmpl w:val="FF96D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44806"/>
    <w:multiLevelType w:val="hybridMultilevel"/>
    <w:tmpl w:val="96829B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E9A6296"/>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76FF9"/>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963F96"/>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B77E9"/>
    <w:multiLevelType w:val="hybridMultilevel"/>
    <w:tmpl w:val="01DC9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C444C"/>
    <w:multiLevelType w:val="hybridMultilevel"/>
    <w:tmpl w:val="4D1A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7437AE"/>
    <w:multiLevelType w:val="hybridMultilevel"/>
    <w:tmpl w:val="7BE6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A6E1F"/>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8116E5"/>
    <w:multiLevelType w:val="hybridMultilevel"/>
    <w:tmpl w:val="F7F4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80A7F"/>
    <w:multiLevelType w:val="hybridMultilevel"/>
    <w:tmpl w:val="D1DE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E7E772F"/>
    <w:multiLevelType w:val="hybridMultilevel"/>
    <w:tmpl w:val="A076628A"/>
    <w:lvl w:ilvl="0" w:tplc="34C60FDA">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7"/>
  </w:num>
  <w:num w:numId="5">
    <w:abstractNumId w:val="22"/>
  </w:num>
  <w:num w:numId="6">
    <w:abstractNumId w:val="9"/>
  </w:num>
  <w:num w:numId="7">
    <w:abstractNumId w:val="15"/>
  </w:num>
  <w:num w:numId="8">
    <w:abstractNumId w:val="23"/>
  </w:num>
  <w:num w:numId="9">
    <w:abstractNumId w:val="4"/>
  </w:num>
  <w:num w:numId="10">
    <w:abstractNumId w:val="14"/>
  </w:num>
  <w:num w:numId="11">
    <w:abstractNumId w:val="2"/>
  </w:num>
  <w:num w:numId="12">
    <w:abstractNumId w:val="10"/>
  </w:num>
  <w:num w:numId="13">
    <w:abstractNumId w:val="13"/>
  </w:num>
  <w:num w:numId="14">
    <w:abstractNumId w:val="11"/>
  </w:num>
  <w:num w:numId="15">
    <w:abstractNumId w:val="12"/>
  </w:num>
  <w:num w:numId="16">
    <w:abstractNumId w:val="8"/>
  </w:num>
  <w:num w:numId="17">
    <w:abstractNumId w:val="3"/>
  </w:num>
  <w:num w:numId="18">
    <w:abstractNumId w:val="6"/>
  </w:num>
  <w:num w:numId="19">
    <w:abstractNumId w:val="1"/>
  </w:num>
  <w:num w:numId="20">
    <w:abstractNumId w:val="0"/>
  </w:num>
  <w:num w:numId="21">
    <w:abstractNumId w:val="21"/>
  </w:num>
  <w:num w:numId="22">
    <w:abstractNumId w:val="2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2v5a9alpsw54edwfqp9pte925d5pfszed2&quot;&gt;1703-1707 PICO&lt;record-ids&gt;&lt;item&gt;6&lt;/item&gt;&lt;item&gt;7&lt;/item&gt;&lt;item&gt;9&lt;/item&gt;&lt;item&gt;10&lt;/item&gt;&lt;item&gt;11&lt;/item&gt;&lt;item&gt;12&lt;/item&gt;&lt;/record-ids&gt;&lt;/item&gt;&lt;/Libraries&gt;"/>
  </w:docVars>
  <w:rsids>
    <w:rsidRoot w:val="001E5F9C"/>
    <w:rsid w:val="0000125E"/>
    <w:rsid w:val="000073AA"/>
    <w:rsid w:val="000107AE"/>
    <w:rsid w:val="00015F76"/>
    <w:rsid w:val="00027075"/>
    <w:rsid w:val="00027B73"/>
    <w:rsid w:val="00027CD4"/>
    <w:rsid w:val="00031C0E"/>
    <w:rsid w:val="00031E9B"/>
    <w:rsid w:val="000377D8"/>
    <w:rsid w:val="000420F7"/>
    <w:rsid w:val="00043D7C"/>
    <w:rsid w:val="00047D47"/>
    <w:rsid w:val="00054A13"/>
    <w:rsid w:val="00055272"/>
    <w:rsid w:val="0005539F"/>
    <w:rsid w:val="00063445"/>
    <w:rsid w:val="00074667"/>
    <w:rsid w:val="00076C9F"/>
    <w:rsid w:val="00083F40"/>
    <w:rsid w:val="00085090"/>
    <w:rsid w:val="00087875"/>
    <w:rsid w:val="00092136"/>
    <w:rsid w:val="000939E0"/>
    <w:rsid w:val="000942A7"/>
    <w:rsid w:val="00094A2F"/>
    <w:rsid w:val="00097055"/>
    <w:rsid w:val="000A2B36"/>
    <w:rsid w:val="000A3242"/>
    <w:rsid w:val="000A7F39"/>
    <w:rsid w:val="000B705F"/>
    <w:rsid w:val="000B7D8D"/>
    <w:rsid w:val="000C015C"/>
    <w:rsid w:val="000C51A5"/>
    <w:rsid w:val="000C67ED"/>
    <w:rsid w:val="000C70B4"/>
    <w:rsid w:val="000D059A"/>
    <w:rsid w:val="000D1EE1"/>
    <w:rsid w:val="000D1FCF"/>
    <w:rsid w:val="000E623D"/>
    <w:rsid w:val="000E6890"/>
    <w:rsid w:val="000F264E"/>
    <w:rsid w:val="000F3364"/>
    <w:rsid w:val="000F3CD4"/>
    <w:rsid w:val="000F4197"/>
    <w:rsid w:val="000F6E08"/>
    <w:rsid w:val="000F7C35"/>
    <w:rsid w:val="001057C8"/>
    <w:rsid w:val="00105A85"/>
    <w:rsid w:val="001120C0"/>
    <w:rsid w:val="00112ED4"/>
    <w:rsid w:val="00117EE1"/>
    <w:rsid w:val="00120F8A"/>
    <w:rsid w:val="00123B2D"/>
    <w:rsid w:val="0012662C"/>
    <w:rsid w:val="00133EFB"/>
    <w:rsid w:val="00136606"/>
    <w:rsid w:val="00136B9B"/>
    <w:rsid w:val="00140518"/>
    <w:rsid w:val="00141CE7"/>
    <w:rsid w:val="00143391"/>
    <w:rsid w:val="00146CDD"/>
    <w:rsid w:val="00151516"/>
    <w:rsid w:val="001539DE"/>
    <w:rsid w:val="00153B12"/>
    <w:rsid w:val="001567D3"/>
    <w:rsid w:val="001609FF"/>
    <w:rsid w:val="00161727"/>
    <w:rsid w:val="00162F0B"/>
    <w:rsid w:val="0016315C"/>
    <w:rsid w:val="00171E34"/>
    <w:rsid w:val="00173763"/>
    <w:rsid w:val="00173850"/>
    <w:rsid w:val="00176949"/>
    <w:rsid w:val="001826B9"/>
    <w:rsid w:val="001837BB"/>
    <w:rsid w:val="00185DEF"/>
    <w:rsid w:val="00186870"/>
    <w:rsid w:val="00190F01"/>
    <w:rsid w:val="00195A79"/>
    <w:rsid w:val="001966FC"/>
    <w:rsid w:val="001A0940"/>
    <w:rsid w:val="001A1262"/>
    <w:rsid w:val="001A3658"/>
    <w:rsid w:val="001A3EDF"/>
    <w:rsid w:val="001A4264"/>
    <w:rsid w:val="001A5196"/>
    <w:rsid w:val="001A5913"/>
    <w:rsid w:val="001A5D2F"/>
    <w:rsid w:val="001B4280"/>
    <w:rsid w:val="001B490C"/>
    <w:rsid w:val="001B61EE"/>
    <w:rsid w:val="001C12A5"/>
    <w:rsid w:val="001C3BDF"/>
    <w:rsid w:val="001C4322"/>
    <w:rsid w:val="001C4A75"/>
    <w:rsid w:val="001C766D"/>
    <w:rsid w:val="001D02AE"/>
    <w:rsid w:val="001D247E"/>
    <w:rsid w:val="001E0B02"/>
    <w:rsid w:val="001E157A"/>
    <w:rsid w:val="001E3392"/>
    <w:rsid w:val="001E5F9C"/>
    <w:rsid w:val="001E6135"/>
    <w:rsid w:val="001E7035"/>
    <w:rsid w:val="001F09A4"/>
    <w:rsid w:val="001F5C00"/>
    <w:rsid w:val="001F7078"/>
    <w:rsid w:val="002010B9"/>
    <w:rsid w:val="00203DA0"/>
    <w:rsid w:val="00206790"/>
    <w:rsid w:val="00211C55"/>
    <w:rsid w:val="002122C3"/>
    <w:rsid w:val="0021346F"/>
    <w:rsid w:val="002148B3"/>
    <w:rsid w:val="00214B14"/>
    <w:rsid w:val="00215DF5"/>
    <w:rsid w:val="0022522F"/>
    <w:rsid w:val="00235B21"/>
    <w:rsid w:val="00237986"/>
    <w:rsid w:val="00240F51"/>
    <w:rsid w:val="002412FA"/>
    <w:rsid w:val="00242C85"/>
    <w:rsid w:val="00245FB6"/>
    <w:rsid w:val="00247A1F"/>
    <w:rsid w:val="002523FB"/>
    <w:rsid w:val="00252E43"/>
    <w:rsid w:val="00260215"/>
    <w:rsid w:val="00264C69"/>
    <w:rsid w:val="00265277"/>
    <w:rsid w:val="00270CED"/>
    <w:rsid w:val="0027141C"/>
    <w:rsid w:val="0027170F"/>
    <w:rsid w:val="00272086"/>
    <w:rsid w:val="0027405B"/>
    <w:rsid w:val="002747EA"/>
    <w:rsid w:val="0027761E"/>
    <w:rsid w:val="002779B2"/>
    <w:rsid w:val="002864B3"/>
    <w:rsid w:val="00287C24"/>
    <w:rsid w:val="00287EBF"/>
    <w:rsid w:val="00290C5C"/>
    <w:rsid w:val="002A0860"/>
    <w:rsid w:val="002A1A30"/>
    <w:rsid w:val="002A209C"/>
    <w:rsid w:val="002A487D"/>
    <w:rsid w:val="002A61F4"/>
    <w:rsid w:val="002A7FB0"/>
    <w:rsid w:val="002B103E"/>
    <w:rsid w:val="002B170D"/>
    <w:rsid w:val="002B23E8"/>
    <w:rsid w:val="002B48F8"/>
    <w:rsid w:val="002B4A65"/>
    <w:rsid w:val="002B570E"/>
    <w:rsid w:val="002B5A1C"/>
    <w:rsid w:val="002C1E7A"/>
    <w:rsid w:val="002C2AA8"/>
    <w:rsid w:val="002C7F59"/>
    <w:rsid w:val="002D3930"/>
    <w:rsid w:val="002D5D59"/>
    <w:rsid w:val="002D6037"/>
    <w:rsid w:val="002D7A33"/>
    <w:rsid w:val="002E2393"/>
    <w:rsid w:val="002E7017"/>
    <w:rsid w:val="002E7D17"/>
    <w:rsid w:val="002F0ADA"/>
    <w:rsid w:val="002F2D00"/>
    <w:rsid w:val="002F3E40"/>
    <w:rsid w:val="00301E6B"/>
    <w:rsid w:val="003029AC"/>
    <w:rsid w:val="003052C9"/>
    <w:rsid w:val="003061AF"/>
    <w:rsid w:val="0032296E"/>
    <w:rsid w:val="0032467B"/>
    <w:rsid w:val="00324EF8"/>
    <w:rsid w:val="00327C41"/>
    <w:rsid w:val="00333FEF"/>
    <w:rsid w:val="00334D82"/>
    <w:rsid w:val="00335642"/>
    <w:rsid w:val="00340ED5"/>
    <w:rsid w:val="00341F16"/>
    <w:rsid w:val="00342414"/>
    <w:rsid w:val="0034581A"/>
    <w:rsid w:val="0034704A"/>
    <w:rsid w:val="00350027"/>
    <w:rsid w:val="00351FBE"/>
    <w:rsid w:val="003534F7"/>
    <w:rsid w:val="0035598A"/>
    <w:rsid w:val="003570CD"/>
    <w:rsid w:val="003637E8"/>
    <w:rsid w:val="00364CEA"/>
    <w:rsid w:val="003657B5"/>
    <w:rsid w:val="00365D1B"/>
    <w:rsid w:val="003671D8"/>
    <w:rsid w:val="00374FD0"/>
    <w:rsid w:val="00375746"/>
    <w:rsid w:val="003779B0"/>
    <w:rsid w:val="00377E84"/>
    <w:rsid w:val="00380578"/>
    <w:rsid w:val="00380BA2"/>
    <w:rsid w:val="00380C3E"/>
    <w:rsid w:val="00380DAD"/>
    <w:rsid w:val="0038351C"/>
    <w:rsid w:val="0038759B"/>
    <w:rsid w:val="00393222"/>
    <w:rsid w:val="00393C9C"/>
    <w:rsid w:val="0039470D"/>
    <w:rsid w:val="003A5B47"/>
    <w:rsid w:val="003B2E20"/>
    <w:rsid w:val="003B39DB"/>
    <w:rsid w:val="003B3CB8"/>
    <w:rsid w:val="003B4AF2"/>
    <w:rsid w:val="003B60E1"/>
    <w:rsid w:val="003B743E"/>
    <w:rsid w:val="003B7C03"/>
    <w:rsid w:val="003B7EA6"/>
    <w:rsid w:val="003C47B8"/>
    <w:rsid w:val="003C60E8"/>
    <w:rsid w:val="003D120A"/>
    <w:rsid w:val="003D79D1"/>
    <w:rsid w:val="003E6FF0"/>
    <w:rsid w:val="003F053B"/>
    <w:rsid w:val="003F0A39"/>
    <w:rsid w:val="003F0EB9"/>
    <w:rsid w:val="003F26D8"/>
    <w:rsid w:val="003F4A5D"/>
    <w:rsid w:val="003F66D0"/>
    <w:rsid w:val="00404CB1"/>
    <w:rsid w:val="00406112"/>
    <w:rsid w:val="004072CB"/>
    <w:rsid w:val="00410E73"/>
    <w:rsid w:val="00412478"/>
    <w:rsid w:val="00414746"/>
    <w:rsid w:val="00415DA6"/>
    <w:rsid w:val="00421CBE"/>
    <w:rsid w:val="0042489F"/>
    <w:rsid w:val="0042642C"/>
    <w:rsid w:val="00426745"/>
    <w:rsid w:val="0043040C"/>
    <w:rsid w:val="004347FE"/>
    <w:rsid w:val="00434DD2"/>
    <w:rsid w:val="00437BDC"/>
    <w:rsid w:val="004408A9"/>
    <w:rsid w:val="00445D51"/>
    <w:rsid w:val="00447DBB"/>
    <w:rsid w:val="00451A03"/>
    <w:rsid w:val="00452E06"/>
    <w:rsid w:val="00454151"/>
    <w:rsid w:val="0045672F"/>
    <w:rsid w:val="00456B84"/>
    <w:rsid w:val="00457973"/>
    <w:rsid w:val="00457EEF"/>
    <w:rsid w:val="004607EF"/>
    <w:rsid w:val="004639AB"/>
    <w:rsid w:val="00466141"/>
    <w:rsid w:val="00473E24"/>
    <w:rsid w:val="0047586B"/>
    <w:rsid w:val="00476690"/>
    <w:rsid w:val="0048112A"/>
    <w:rsid w:val="00490FBB"/>
    <w:rsid w:val="004A1220"/>
    <w:rsid w:val="004A1390"/>
    <w:rsid w:val="004A26D8"/>
    <w:rsid w:val="004A68D6"/>
    <w:rsid w:val="004B06AC"/>
    <w:rsid w:val="004B214C"/>
    <w:rsid w:val="004B2970"/>
    <w:rsid w:val="004B3096"/>
    <w:rsid w:val="004B7F8E"/>
    <w:rsid w:val="004C0E6D"/>
    <w:rsid w:val="004C2C5E"/>
    <w:rsid w:val="004C5931"/>
    <w:rsid w:val="004C644B"/>
    <w:rsid w:val="004C7458"/>
    <w:rsid w:val="004D3307"/>
    <w:rsid w:val="004D48A4"/>
    <w:rsid w:val="004E04AE"/>
    <w:rsid w:val="004E37ED"/>
    <w:rsid w:val="004E3ABF"/>
    <w:rsid w:val="004E3C74"/>
    <w:rsid w:val="004E45EC"/>
    <w:rsid w:val="004E5F8A"/>
    <w:rsid w:val="004F0EC3"/>
    <w:rsid w:val="004F6D08"/>
    <w:rsid w:val="004F6EE2"/>
    <w:rsid w:val="00501E7A"/>
    <w:rsid w:val="00504AF8"/>
    <w:rsid w:val="00504B70"/>
    <w:rsid w:val="00504FA4"/>
    <w:rsid w:val="005053AD"/>
    <w:rsid w:val="005060B0"/>
    <w:rsid w:val="005158FC"/>
    <w:rsid w:val="00515D0F"/>
    <w:rsid w:val="005168FB"/>
    <w:rsid w:val="005225DB"/>
    <w:rsid w:val="00524DF2"/>
    <w:rsid w:val="005367CB"/>
    <w:rsid w:val="005378F7"/>
    <w:rsid w:val="00541328"/>
    <w:rsid w:val="00541A45"/>
    <w:rsid w:val="005420C6"/>
    <w:rsid w:val="00542B4E"/>
    <w:rsid w:val="005446D5"/>
    <w:rsid w:val="0054506B"/>
    <w:rsid w:val="00546029"/>
    <w:rsid w:val="00546D3E"/>
    <w:rsid w:val="00547907"/>
    <w:rsid w:val="005523A1"/>
    <w:rsid w:val="00552DC1"/>
    <w:rsid w:val="005541DE"/>
    <w:rsid w:val="0055634E"/>
    <w:rsid w:val="005576F3"/>
    <w:rsid w:val="00560C55"/>
    <w:rsid w:val="005618D0"/>
    <w:rsid w:val="00571250"/>
    <w:rsid w:val="00574179"/>
    <w:rsid w:val="005754F3"/>
    <w:rsid w:val="0057605D"/>
    <w:rsid w:val="00577186"/>
    <w:rsid w:val="005771DC"/>
    <w:rsid w:val="005778A4"/>
    <w:rsid w:val="00580450"/>
    <w:rsid w:val="00580FDA"/>
    <w:rsid w:val="00581623"/>
    <w:rsid w:val="005825DE"/>
    <w:rsid w:val="005836ED"/>
    <w:rsid w:val="0058434C"/>
    <w:rsid w:val="00585BF5"/>
    <w:rsid w:val="00586849"/>
    <w:rsid w:val="00587E7A"/>
    <w:rsid w:val="00592719"/>
    <w:rsid w:val="005A018C"/>
    <w:rsid w:val="005A438A"/>
    <w:rsid w:val="005A521A"/>
    <w:rsid w:val="005B0932"/>
    <w:rsid w:val="005B0E56"/>
    <w:rsid w:val="005B1F28"/>
    <w:rsid w:val="005B4E07"/>
    <w:rsid w:val="005B5030"/>
    <w:rsid w:val="005B7476"/>
    <w:rsid w:val="005B795B"/>
    <w:rsid w:val="005C015F"/>
    <w:rsid w:val="005C1E1F"/>
    <w:rsid w:val="005C28B5"/>
    <w:rsid w:val="005C5EFB"/>
    <w:rsid w:val="005D38F4"/>
    <w:rsid w:val="005D49AA"/>
    <w:rsid w:val="005D5790"/>
    <w:rsid w:val="005E0AE1"/>
    <w:rsid w:val="005E11DE"/>
    <w:rsid w:val="005E1AC4"/>
    <w:rsid w:val="005E2EF7"/>
    <w:rsid w:val="005E776D"/>
    <w:rsid w:val="00601789"/>
    <w:rsid w:val="00601918"/>
    <w:rsid w:val="00604B99"/>
    <w:rsid w:val="00607B71"/>
    <w:rsid w:val="0061307A"/>
    <w:rsid w:val="0061309B"/>
    <w:rsid w:val="00613492"/>
    <w:rsid w:val="00613C00"/>
    <w:rsid w:val="00614B7C"/>
    <w:rsid w:val="00617943"/>
    <w:rsid w:val="00620BFA"/>
    <w:rsid w:val="00623078"/>
    <w:rsid w:val="00630CF6"/>
    <w:rsid w:val="00632B45"/>
    <w:rsid w:val="00632D87"/>
    <w:rsid w:val="00633D54"/>
    <w:rsid w:val="0063451B"/>
    <w:rsid w:val="006428B8"/>
    <w:rsid w:val="006432CB"/>
    <w:rsid w:val="00645A42"/>
    <w:rsid w:val="006478E7"/>
    <w:rsid w:val="00651030"/>
    <w:rsid w:val="006518A6"/>
    <w:rsid w:val="00651C46"/>
    <w:rsid w:val="00651E0E"/>
    <w:rsid w:val="0065205D"/>
    <w:rsid w:val="006576CD"/>
    <w:rsid w:val="00664E66"/>
    <w:rsid w:val="0066600E"/>
    <w:rsid w:val="00671873"/>
    <w:rsid w:val="00675C4F"/>
    <w:rsid w:val="00677AE3"/>
    <w:rsid w:val="00683DC5"/>
    <w:rsid w:val="006850A5"/>
    <w:rsid w:val="00685355"/>
    <w:rsid w:val="00685472"/>
    <w:rsid w:val="0068644B"/>
    <w:rsid w:val="00686EED"/>
    <w:rsid w:val="00691D7F"/>
    <w:rsid w:val="00695E94"/>
    <w:rsid w:val="0069791F"/>
    <w:rsid w:val="006A0162"/>
    <w:rsid w:val="006A467F"/>
    <w:rsid w:val="006A68F3"/>
    <w:rsid w:val="006B0FA0"/>
    <w:rsid w:val="006B23F8"/>
    <w:rsid w:val="006B5B2E"/>
    <w:rsid w:val="006C0D9A"/>
    <w:rsid w:val="006C1A5D"/>
    <w:rsid w:val="006C25F0"/>
    <w:rsid w:val="006C6995"/>
    <w:rsid w:val="006C76CD"/>
    <w:rsid w:val="006D3627"/>
    <w:rsid w:val="006D481C"/>
    <w:rsid w:val="006D6E8D"/>
    <w:rsid w:val="006D7851"/>
    <w:rsid w:val="006E1DF2"/>
    <w:rsid w:val="006E4036"/>
    <w:rsid w:val="006F01C4"/>
    <w:rsid w:val="006F1314"/>
    <w:rsid w:val="006F154F"/>
    <w:rsid w:val="006F3B33"/>
    <w:rsid w:val="006F4750"/>
    <w:rsid w:val="006F6CE1"/>
    <w:rsid w:val="006F6D59"/>
    <w:rsid w:val="00702852"/>
    <w:rsid w:val="007045EB"/>
    <w:rsid w:val="007069A9"/>
    <w:rsid w:val="007101CC"/>
    <w:rsid w:val="00711B22"/>
    <w:rsid w:val="00712FBA"/>
    <w:rsid w:val="007133C8"/>
    <w:rsid w:val="00713728"/>
    <w:rsid w:val="00716834"/>
    <w:rsid w:val="00717443"/>
    <w:rsid w:val="00721E87"/>
    <w:rsid w:val="00731B98"/>
    <w:rsid w:val="00732B57"/>
    <w:rsid w:val="007347ED"/>
    <w:rsid w:val="0073537E"/>
    <w:rsid w:val="00736C3F"/>
    <w:rsid w:val="0073732E"/>
    <w:rsid w:val="00740FA7"/>
    <w:rsid w:val="00741959"/>
    <w:rsid w:val="00741E6C"/>
    <w:rsid w:val="007429F0"/>
    <w:rsid w:val="00745E38"/>
    <w:rsid w:val="00745FE4"/>
    <w:rsid w:val="00752487"/>
    <w:rsid w:val="007537CA"/>
    <w:rsid w:val="00756E2F"/>
    <w:rsid w:val="00763E02"/>
    <w:rsid w:val="007641DA"/>
    <w:rsid w:val="0076740E"/>
    <w:rsid w:val="00767FDD"/>
    <w:rsid w:val="00773241"/>
    <w:rsid w:val="00773C4D"/>
    <w:rsid w:val="00781F87"/>
    <w:rsid w:val="00785F3F"/>
    <w:rsid w:val="00787B90"/>
    <w:rsid w:val="0079107D"/>
    <w:rsid w:val="007A085C"/>
    <w:rsid w:val="007A1FB3"/>
    <w:rsid w:val="007A295D"/>
    <w:rsid w:val="007A50E9"/>
    <w:rsid w:val="007A66C8"/>
    <w:rsid w:val="007B15EB"/>
    <w:rsid w:val="007B21D1"/>
    <w:rsid w:val="007B2D20"/>
    <w:rsid w:val="007B34A1"/>
    <w:rsid w:val="007B3AE6"/>
    <w:rsid w:val="007B68B8"/>
    <w:rsid w:val="007C01C6"/>
    <w:rsid w:val="007C069F"/>
    <w:rsid w:val="007C1F1D"/>
    <w:rsid w:val="007C2089"/>
    <w:rsid w:val="007C2145"/>
    <w:rsid w:val="007C2170"/>
    <w:rsid w:val="007C3831"/>
    <w:rsid w:val="007C5B53"/>
    <w:rsid w:val="007C793D"/>
    <w:rsid w:val="007C7F96"/>
    <w:rsid w:val="007D305D"/>
    <w:rsid w:val="007D361F"/>
    <w:rsid w:val="007D4761"/>
    <w:rsid w:val="007D510F"/>
    <w:rsid w:val="007D6B83"/>
    <w:rsid w:val="007E1662"/>
    <w:rsid w:val="007E2843"/>
    <w:rsid w:val="007E5520"/>
    <w:rsid w:val="007F2270"/>
    <w:rsid w:val="007F6947"/>
    <w:rsid w:val="00801D15"/>
    <w:rsid w:val="00802CA2"/>
    <w:rsid w:val="00804536"/>
    <w:rsid w:val="008054F3"/>
    <w:rsid w:val="008102CC"/>
    <w:rsid w:val="00813537"/>
    <w:rsid w:val="00822425"/>
    <w:rsid w:val="00823108"/>
    <w:rsid w:val="008245FD"/>
    <w:rsid w:val="00836947"/>
    <w:rsid w:val="008431D7"/>
    <w:rsid w:val="00847D86"/>
    <w:rsid w:val="008509A5"/>
    <w:rsid w:val="0085133F"/>
    <w:rsid w:val="00855760"/>
    <w:rsid w:val="00856B30"/>
    <w:rsid w:val="00860948"/>
    <w:rsid w:val="00861393"/>
    <w:rsid w:val="0086726F"/>
    <w:rsid w:val="00874B7D"/>
    <w:rsid w:val="008803ED"/>
    <w:rsid w:val="0088286F"/>
    <w:rsid w:val="00882DA0"/>
    <w:rsid w:val="0088433D"/>
    <w:rsid w:val="00884432"/>
    <w:rsid w:val="00887BAC"/>
    <w:rsid w:val="00891488"/>
    <w:rsid w:val="0089506D"/>
    <w:rsid w:val="00895F9D"/>
    <w:rsid w:val="008A022B"/>
    <w:rsid w:val="008A3376"/>
    <w:rsid w:val="008A3630"/>
    <w:rsid w:val="008A4BA4"/>
    <w:rsid w:val="008A69F5"/>
    <w:rsid w:val="008B079F"/>
    <w:rsid w:val="008B1E2F"/>
    <w:rsid w:val="008B26C3"/>
    <w:rsid w:val="008B5ECB"/>
    <w:rsid w:val="008B5F70"/>
    <w:rsid w:val="008C4B3C"/>
    <w:rsid w:val="008C4E61"/>
    <w:rsid w:val="008D0575"/>
    <w:rsid w:val="008D1E25"/>
    <w:rsid w:val="008D5AE9"/>
    <w:rsid w:val="008D7E42"/>
    <w:rsid w:val="008E6DE8"/>
    <w:rsid w:val="008E7108"/>
    <w:rsid w:val="008E79FB"/>
    <w:rsid w:val="008F1532"/>
    <w:rsid w:val="008F2FC8"/>
    <w:rsid w:val="008F54BE"/>
    <w:rsid w:val="009019AF"/>
    <w:rsid w:val="00906496"/>
    <w:rsid w:val="0091078B"/>
    <w:rsid w:val="00912660"/>
    <w:rsid w:val="00914085"/>
    <w:rsid w:val="00916F29"/>
    <w:rsid w:val="0092205A"/>
    <w:rsid w:val="00926455"/>
    <w:rsid w:val="00926F09"/>
    <w:rsid w:val="0093089B"/>
    <w:rsid w:val="009326BF"/>
    <w:rsid w:val="00932AC8"/>
    <w:rsid w:val="00932F2B"/>
    <w:rsid w:val="00933860"/>
    <w:rsid w:val="00935572"/>
    <w:rsid w:val="00937A50"/>
    <w:rsid w:val="00940F5D"/>
    <w:rsid w:val="00945DAA"/>
    <w:rsid w:val="00953EF8"/>
    <w:rsid w:val="009558AC"/>
    <w:rsid w:val="0096063B"/>
    <w:rsid w:val="00964DD4"/>
    <w:rsid w:val="00965C28"/>
    <w:rsid w:val="00970512"/>
    <w:rsid w:val="00973C82"/>
    <w:rsid w:val="00973DC3"/>
    <w:rsid w:val="00975864"/>
    <w:rsid w:val="00975B65"/>
    <w:rsid w:val="0097600F"/>
    <w:rsid w:val="00977FA5"/>
    <w:rsid w:val="009803EB"/>
    <w:rsid w:val="00983B85"/>
    <w:rsid w:val="00984D19"/>
    <w:rsid w:val="00986EF2"/>
    <w:rsid w:val="00987989"/>
    <w:rsid w:val="00993538"/>
    <w:rsid w:val="00996BE8"/>
    <w:rsid w:val="009A088F"/>
    <w:rsid w:val="009A2D10"/>
    <w:rsid w:val="009A56D1"/>
    <w:rsid w:val="009A6C5D"/>
    <w:rsid w:val="009B31CC"/>
    <w:rsid w:val="009B6FD5"/>
    <w:rsid w:val="009B7D8C"/>
    <w:rsid w:val="009C09F6"/>
    <w:rsid w:val="009C17AF"/>
    <w:rsid w:val="009C1D3D"/>
    <w:rsid w:val="009C1EFA"/>
    <w:rsid w:val="009C2C5E"/>
    <w:rsid w:val="009C4AF2"/>
    <w:rsid w:val="009C4C72"/>
    <w:rsid w:val="009D36DE"/>
    <w:rsid w:val="009D4A6C"/>
    <w:rsid w:val="009D4D8B"/>
    <w:rsid w:val="009D69C4"/>
    <w:rsid w:val="009D6CD2"/>
    <w:rsid w:val="009E0015"/>
    <w:rsid w:val="009E1940"/>
    <w:rsid w:val="009E1D17"/>
    <w:rsid w:val="009E3E44"/>
    <w:rsid w:val="009E7721"/>
    <w:rsid w:val="009F1FB6"/>
    <w:rsid w:val="009F3C72"/>
    <w:rsid w:val="009F7F9E"/>
    <w:rsid w:val="00A01C5B"/>
    <w:rsid w:val="00A01D51"/>
    <w:rsid w:val="00A02BB5"/>
    <w:rsid w:val="00A041A4"/>
    <w:rsid w:val="00A06575"/>
    <w:rsid w:val="00A10960"/>
    <w:rsid w:val="00A10D3E"/>
    <w:rsid w:val="00A1196F"/>
    <w:rsid w:val="00A125F6"/>
    <w:rsid w:val="00A201D6"/>
    <w:rsid w:val="00A20CF9"/>
    <w:rsid w:val="00A21BC0"/>
    <w:rsid w:val="00A33126"/>
    <w:rsid w:val="00A3507B"/>
    <w:rsid w:val="00A36685"/>
    <w:rsid w:val="00A418AA"/>
    <w:rsid w:val="00A42B0C"/>
    <w:rsid w:val="00A53DCE"/>
    <w:rsid w:val="00A606D6"/>
    <w:rsid w:val="00A60B50"/>
    <w:rsid w:val="00A62163"/>
    <w:rsid w:val="00A650F2"/>
    <w:rsid w:val="00A65B04"/>
    <w:rsid w:val="00A70189"/>
    <w:rsid w:val="00A715A0"/>
    <w:rsid w:val="00A71C1A"/>
    <w:rsid w:val="00A7221C"/>
    <w:rsid w:val="00A75AAA"/>
    <w:rsid w:val="00A76FBB"/>
    <w:rsid w:val="00A800A3"/>
    <w:rsid w:val="00A91387"/>
    <w:rsid w:val="00A91937"/>
    <w:rsid w:val="00A91B98"/>
    <w:rsid w:val="00A91C66"/>
    <w:rsid w:val="00A924FB"/>
    <w:rsid w:val="00A92535"/>
    <w:rsid w:val="00A93164"/>
    <w:rsid w:val="00A95B68"/>
    <w:rsid w:val="00AA0179"/>
    <w:rsid w:val="00AA01CA"/>
    <w:rsid w:val="00AA1ABC"/>
    <w:rsid w:val="00AA497F"/>
    <w:rsid w:val="00AA5427"/>
    <w:rsid w:val="00AB0E9D"/>
    <w:rsid w:val="00AB4300"/>
    <w:rsid w:val="00AC1CEB"/>
    <w:rsid w:val="00AC4597"/>
    <w:rsid w:val="00AC6BBC"/>
    <w:rsid w:val="00AC74BE"/>
    <w:rsid w:val="00AC7DAF"/>
    <w:rsid w:val="00AD0A65"/>
    <w:rsid w:val="00AD38EF"/>
    <w:rsid w:val="00AE1ECA"/>
    <w:rsid w:val="00AE2363"/>
    <w:rsid w:val="00AE6FE0"/>
    <w:rsid w:val="00AF006F"/>
    <w:rsid w:val="00AF4176"/>
    <w:rsid w:val="00AF6211"/>
    <w:rsid w:val="00B00404"/>
    <w:rsid w:val="00B02E91"/>
    <w:rsid w:val="00B0535D"/>
    <w:rsid w:val="00B0630A"/>
    <w:rsid w:val="00B06CC9"/>
    <w:rsid w:val="00B078F8"/>
    <w:rsid w:val="00B109B7"/>
    <w:rsid w:val="00B153D3"/>
    <w:rsid w:val="00B17528"/>
    <w:rsid w:val="00B17B75"/>
    <w:rsid w:val="00B21A08"/>
    <w:rsid w:val="00B222F3"/>
    <w:rsid w:val="00B22B6D"/>
    <w:rsid w:val="00B23BAF"/>
    <w:rsid w:val="00B23C48"/>
    <w:rsid w:val="00B24351"/>
    <w:rsid w:val="00B25666"/>
    <w:rsid w:val="00B26215"/>
    <w:rsid w:val="00B278A5"/>
    <w:rsid w:val="00B327D9"/>
    <w:rsid w:val="00B4145E"/>
    <w:rsid w:val="00B415CE"/>
    <w:rsid w:val="00B41834"/>
    <w:rsid w:val="00B442C5"/>
    <w:rsid w:val="00B4528B"/>
    <w:rsid w:val="00B4690F"/>
    <w:rsid w:val="00B50016"/>
    <w:rsid w:val="00B51088"/>
    <w:rsid w:val="00B51431"/>
    <w:rsid w:val="00B576F6"/>
    <w:rsid w:val="00B627D0"/>
    <w:rsid w:val="00B63A41"/>
    <w:rsid w:val="00B63DFA"/>
    <w:rsid w:val="00B650D6"/>
    <w:rsid w:val="00B66C78"/>
    <w:rsid w:val="00B67D71"/>
    <w:rsid w:val="00B70FA1"/>
    <w:rsid w:val="00B71B2A"/>
    <w:rsid w:val="00B7311C"/>
    <w:rsid w:val="00B82A03"/>
    <w:rsid w:val="00B9212A"/>
    <w:rsid w:val="00B92D2B"/>
    <w:rsid w:val="00B95961"/>
    <w:rsid w:val="00B95B28"/>
    <w:rsid w:val="00B9778F"/>
    <w:rsid w:val="00BA0B1D"/>
    <w:rsid w:val="00BA4FDF"/>
    <w:rsid w:val="00BA6ACA"/>
    <w:rsid w:val="00BB1698"/>
    <w:rsid w:val="00BB2131"/>
    <w:rsid w:val="00BB245A"/>
    <w:rsid w:val="00BB3207"/>
    <w:rsid w:val="00BB33A2"/>
    <w:rsid w:val="00BB43A1"/>
    <w:rsid w:val="00BB75BC"/>
    <w:rsid w:val="00BC62B4"/>
    <w:rsid w:val="00BD0A82"/>
    <w:rsid w:val="00BD13CF"/>
    <w:rsid w:val="00BD18A4"/>
    <w:rsid w:val="00BD1FC4"/>
    <w:rsid w:val="00BD235E"/>
    <w:rsid w:val="00BD4127"/>
    <w:rsid w:val="00BE34F1"/>
    <w:rsid w:val="00BE7000"/>
    <w:rsid w:val="00BF16F1"/>
    <w:rsid w:val="00BF1FD7"/>
    <w:rsid w:val="00BF2662"/>
    <w:rsid w:val="00BF7743"/>
    <w:rsid w:val="00C00983"/>
    <w:rsid w:val="00C02955"/>
    <w:rsid w:val="00C045B3"/>
    <w:rsid w:val="00C05B89"/>
    <w:rsid w:val="00C06D08"/>
    <w:rsid w:val="00C0775A"/>
    <w:rsid w:val="00C07F06"/>
    <w:rsid w:val="00C1069B"/>
    <w:rsid w:val="00C11278"/>
    <w:rsid w:val="00C15CC7"/>
    <w:rsid w:val="00C23BF2"/>
    <w:rsid w:val="00C23C90"/>
    <w:rsid w:val="00C24A04"/>
    <w:rsid w:val="00C26CBB"/>
    <w:rsid w:val="00C277F7"/>
    <w:rsid w:val="00C3104F"/>
    <w:rsid w:val="00C33836"/>
    <w:rsid w:val="00C40721"/>
    <w:rsid w:val="00C40CC4"/>
    <w:rsid w:val="00C41FF2"/>
    <w:rsid w:val="00C45068"/>
    <w:rsid w:val="00C504E0"/>
    <w:rsid w:val="00C54349"/>
    <w:rsid w:val="00C57F11"/>
    <w:rsid w:val="00C61EE4"/>
    <w:rsid w:val="00C64442"/>
    <w:rsid w:val="00C64764"/>
    <w:rsid w:val="00C64FD1"/>
    <w:rsid w:val="00C67AED"/>
    <w:rsid w:val="00C7045E"/>
    <w:rsid w:val="00C72FB6"/>
    <w:rsid w:val="00C73B04"/>
    <w:rsid w:val="00C74FB5"/>
    <w:rsid w:val="00C76957"/>
    <w:rsid w:val="00C77246"/>
    <w:rsid w:val="00C77D25"/>
    <w:rsid w:val="00C8254A"/>
    <w:rsid w:val="00C84791"/>
    <w:rsid w:val="00C84E1A"/>
    <w:rsid w:val="00C9644C"/>
    <w:rsid w:val="00CA146F"/>
    <w:rsid w:val="00CA18A3"/>
    <w:rsid w:val="00CA385E"/>
    <w:rsid w:val="00CA67E7"/>
    <w:rsid w:val="00CA6FC8"/>
    <w:rsid w:val="00CB44F6"/>
    <w:rsid w:val="00CB4623"/>
    <w:rsid w:val="00CC13C5"/>
    <w:rsid w:val="00CD5D6F"/>
    <w:rsid w:val="00CD7FB5"/>
    <w:rsid w:val="00CE1B13"/>
    <w:rsid w:val="00CF07D7"/>
    <w:rsid w:val="00CF1F62"/>
    <w:rsid w:val="00CF27D0"/>
    <w:rsid w:val="00CF2FBE"/>
    <w:rsid w:val="00CF53AE"/>
    <w:rsid w:val="00CF62DA"/>
    <w:rsid w:val="00CF6A33"/>
    <w:rsid w:val="00D06F99"/>
    <w:rsid w:val="00D14804"/>
    <w:rsid w:val="00D1622F"/>
    <w:rsid w:val="00D220AB"/>
    <w:rsid w:val="00D2232C"/>
    <w:rsid w:val="00D2670B"/>
    <w:rsid w:val="00D3000A"/>
    <w:rsid w:val="00D37A3F"/>
    <w:rsid w:val="00D41750"/>
    <w:rsid w:val="00D441CC"/>
    <w:rsid w:val="00D50BF6"/>
    <w:rsid w:val="00D50CAF"/>
    <w:rsid w:val="00D5156C"/>
    <w:rsid w:val="00D51C77"/>
    <w:rsid w:val="00D52956"/>
    <w:rsid w:val="00D62828"/>
    <w:rsid w:val="00D66CC1"/>
    <w:rsid w:val="00D6705A"/>
    <w:rsid w:val="00D6744D"/>
    <w:rsid w:val="00D67AA0"/>
    <w:rsid w:val="00D702AE"/>
    <w:rsid w:val="00D73332"/>
    <w:rsid w:val="00D75F82"/>
    <w:rsid w:val="00D80B70"/>
    <w:rsid w:val="00D82880"/>
    <w:rsid w:val="00D83062"/>
    <w:rsid w:val="00D83F24"/>
    <w:rsid w:val="00D8468D"/>
    <w:rsid w:val="00D84E12"/>
    <w:rsid w:val="00D85150"/>
    <w:rsid w:val="00D867D5"/>
    <w:rsid w:val="00D877CD"/>
    <w:rsid w:val="00D937A4"/>
    <w:rsid w:val="00D9390B"/>
    <w:rsid w:val="00D96FD7"/>
    <w:rsid w:val="00D97455"/>
    <w:rsid w:val="00DA10BB"/>
    <w:rsid w:val="00DA4C27"/>
    <w:rsid w:val="00DB1E89"/>
    <w:rsid w:val="00DB58AA"/>
    <w:rsid w:val="00DC08AE"/>
    <w:rsid w:val="00DC1BEC"/>
    <w:rsid w:val="00DC616A"/>
    <w:rsid w:val="00DC6437"/>
    <w:rsid w:val="00DC68C0"/>
    <w:rsid w:val="00DC6B66"/>
    <w:rsid w:val="00DD6BB2"/>
    <w:rsid w:val="00DE2848"/>
    <w:rsid w:val="00DE71EA"/>
    <w:rsid w:val="00DE762F"/>
    <w:rsid w:val="00DE7F47"/>
    <w:rsid w:val="00DF0A90"/>
    <w:rsid w:val="00DF4B95"/>
    <w:rsid w:val="00DF63A0"/>
    <w:rsid w:val="00DF6F58"/>
    <w:rsid w:val="00E01349"/>
    <w:rsid w:val="00E013C0"/>
    <w:rsid w:val="00E02B38"/>
    <w:rsid w:val="00E03982"/>
    <w:rsid w:val="00E1145C"/>
    <w:rsid w:val="00E2296E"/>
    <w:rsid w:val="00E23901"/>
    <w:rsid w:val="00E23941"/>
    <w:rsid w:val="00E27DD9"/>
    <w:rsid w:val="00E35027"/>
    <w:rsid w:val="00E3550D"/>
    <w:rsid w:val="00E37D01"/>
    <w:rsid w:val="00E46D02"/>
    <w:rsid w:val="00E470B0"/>
    <w:rsid w:val="00E50419"/>
    <w:rsid w:val="00E50F1D"/>
    <w:rsid w:val="00E51301"/>
    <w:rsid w:val="00E5298F"/>
    <w:rsid w:val="00E53548"/>
    <w:rsid w:val="00E55D61"/>
    <w:rsid w:val="00E57259"/>
    <w:rsid w:val="00E607F3"/>
    <w:rsid w:val="00E6172C"/>
    <w:rsid w:val="00E62CB9"/>
    <w:rsid w:val="00E65236"/>
    <w:rsid w:val="00E71ACF"/>
    <w:rsid w:val="00E7288C"/>
    <w:rsid w:val="00E7464C"/>
    <w:rsid w:val="00E759E5"/>
    <w:rsid w:val="00E85630"/>
    <w:rsid w:val="00E87AD4"/>
    <w:rsid w:val="00E90131"/>
    <w:rsid w:val="00E90619"/>
    <w:rsid w:val="00E91D8B"/>
    <w:rsid w:val="00E9218D"/>
    <w:rsid w:val="00E92920"/>
    <w:rsid w:val="00E9336D"/>
    <w:rsid w:val="00EA5665"/>
    <w:rsid w:val="00EA5A62"/>
    <w:rsid w:val="00EB1D5A"/>
    <w:rsid w:val="00EB2C28"/>
    <w:rsid w:val="00EC5107"/>
    <w:rsid w:val="00EC5849"/>
    <w:rsid w:val="00EC7A7B"/>
    <w:rsid w:val="00ED2DE6"/>
    <w:rsid w:val="00EE048E"/>
    <w:rsid w:val="00EE0D7A"/>
    <w:rsid w:val="00EE1539"/>
    <w:rsid w:val="00EE3321"/>
    <w:rsid w:val="00EE43EB"/>
    <w:rsid w:val="00EE4B04"/>
    <w:rsid w:val="00EF01B8"/>
    <w:rsid w:val="00EF1911"/>
    <w:rsid w:val="00EF20EE"/>
    <w:rsid w:val="00EF2934"/>
    <w:rsid w:val="00EF43B1"/>
    <w:rsid w:val="00EF6F92"/>
    <w:rsid w:val="00F06DAB"/>
    <w:rsid w:val="00F10E2D"/>
    <w:rsid w:val="00F143FE"/>
    <w:rsid w:val="00F2073A"/>
    <w:rsid w:val="00F31324"/>
    <w:rsid w:val="00F329A8"/>
    <w:rsid w:val="00F349DD"/>
    <w:rsid w:val="00F37D77"/>
    <w:rsid w:val="00F40BA5"/>
    <w:rsid w:val="00F42B66"/>
    <w:rsid w:val="00F4571D"/>
    <w:rsid w:val="00F45DE5"/>
    <w:rsid w:val="00F469C6"/>
    <w:rsid w:val="00F516B9"/>
    <w:rsid w:val="00F561C1"/>
    <w:rsid w:val="00F56EF3"/>
    <w:rsid w:val="00F574E2"/>
    <w:rsid w:val="00F63E5A"/>
    <w:rsid w:val="00F660E8"/>
    <w:rsid w:val="00F67A19"/>
    <w:rsid w:val="00F70808"/>
    <w:rsid w:val="00F725FF"/>
    <w:rsid w:val="00F741B4"/>
    <w:rsid w:val="00F745D9"/>
    <w:rsid w:val="00F76B06"/>
    <w:rsid w:val="00F77503"/>
    <w:rsid w:val="00F828BA"/>
    <w:rsid w:val="00F8568D"/>
    <w:rsid w:val="00F86DFC"/>
    <w:rsid w:val="00F91E12"/>
    <w:rsid w:val="00F9396C"/>
    <w:rsid w:val="00F9597C"/>
    <w:rsid w:val="00F974D6"/>
    <w:rsid w:val="00F97E49"/>
    <w:rsid w:val="00FA1857"/>
    <w:rsid w:val="00FA2063"/>
    <w:rsid w:val="00FA66D0"/>
    <w:rsid w:val="00FA6987"/>
    <w:rsid w:val="00FB2DEE"/>
    <w:rsid w:val="00FB4B43"/>
    <w:rsid w:val="00FB7870"/>
    <w:rsid w:val="00FB7D43"/>
    <w:rsid w:val="00FC0D0B"/>
    <w:rsid w:val="00FC105D"/>
    <w:rsid w:val="00FC2560"/>
    <w:rsid w:val="00FC2E36"/>
    <w:rsid w:val="00FD21E6"/>
    <w:rsid w:val="00FD4C65"/>
    <w:rsid w:val="00FD4D9B"/>
    <w:rsid w:val="00FD4E33"/>
    <w:rsid w:val="00FD558C"/>
    <w:rsid w:val="00FD6BA6"/>
    <w:rsid w:val="00FD7321"/>
    <w:rsid w:val="00FD7B74"/>
    <w:rsid w:val="00FE2409"/>
    <w:rsid w:val="00FF1D60"/>
    <w:rsid w:val="00FF1DB0"/>
    <w:rsid w:val="00FF5A89"/>
    <w:rsid w:val="00FF6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C0"/>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9705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Styl moj,Akapit z listą11,ES Paragraph,PBAC ES Paragraph,Body Text Bullet Points,List Paragraph1,Bullet point,List Paragraph11,Recommendation,Section heading,Footnote,PBAC normal points,Bullet List"/>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Numbered para Char,BulletPoints Char,Styl moj Char,Akapit z listą11 Char,ES Paragraph Char,PBAC ES Paragraph Char,Body Text Bullet Points Char,List Paragraph1 Char,Bullet point Char,List Paragraph11 Char,Recommendation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rsid w:val="008803ED"/>
    <w:rPr>
      <w:rFonts w:ascii="Arial Narrow" w:eastAsia="Times New Roman" w:hAnsi="Arial Narrow" w:cs="Tahoma"/>
      <w:b/>
      <w:sz w:val="20"/>
      <w:szCs w:val="20"/>
      <w:lang w:val="en-GB" w:eastAsia="ja-JP"/>
    </w:rPr>
  </w:style>
  <w:style w:type="paragraph" w:customStyle="1" w:styleId="TableFooter">
    <w:name w:val="Table Footer"/>
    <w:basedOn w:val="Normal"/>
    <w:link w:val="TableFooterChar"/>
    <w:qFormat/>
    <w:rsid w:val="008803ED"/>
    <w:pPr>
      <w:widowControl w:val="0"/>
      <w:spacing w:after="0" w:line="240" w:lineRule="auto"/>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8803ED"/>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rsid w:val="00970512"/>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FC2560"/>
  </w:style>
  <w:style w:type="paragraph" w:customStyle="1" w:styleId="TableAbrreviations">
    <w:name w:val="TableAbrreviations"/>
    <w:basedOn w:val="Normal"/>
    <w:link w:val="TableAbrreviationsChar"/>
    <w:qFormat/>
    <w:rsid w:val="000E6890"/>
    <w:pPr>
      <w:spacing w:after="120" w:line="240" w:lineRule="auto"/>
      <w:ind w:left="425"/>
    </w:pPr>
    <w:rPr>
      <w:rFonts w:asciiTheme="minorHAnsi" w:eastAsiaTheme="minorHAnsi" w:hAnsiTheme="minorHAnsi" w:cstheme="minorBidi"/>
      <w:iCs/>
      <w:sz w:val="16"/>
      <w:szCs w:val="16"/>
    </w:rPr>
  </w:style>
  <w:style w:type="character" w:customStyle="1" w:styleId="TableAbrreviationsChar">
    <w:name w:val="TableAbrreviations Char"/>
    <w:basedOn w:val="DefaultParagraphFont"/>
    <w:link w:val="TableAbrreviations"/>
    <w:rsid w:val="000E6890"/>
    <w:rPr>
      <w:iCs/>
      <w:sz w:val="16"/>
      <w:szCs w:val="16"/>
    </w:rPr>
  </w:style>
  <w:style w:type="paragraph" w:styleId="NormalWeb">
    <w:name w:val="Normal (Web)"/>
    <w:basedOn w:val="Normal"/>
    <w:uiPriority w:val="99"/>
    <w:semiHidden/>
    <w:unhideWhenUsed/>
    <w:rsid w:val="00C67AE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EndNoteBibliographyTitle">
    <w:name w:val="EndNote Bibliography Title"/>
    <w:basedOn w:val="Normal"/>
    <w:link w:val="EndNoteBibliographyTitleChar"/>
    <w:rsid w:val="005825DE"/>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5825DE"/>
    <w:rPr>
      <w:rFonts w:ascii="Calibri" w:eastAsia="Calibri" w:hAnsi="Calibri" w:cs="Calibri"/>
      <w:noProof/>
      <w:lang w:val="en-US"/>
    </w:rPr>
  </w:style>
  <w:style w:type="paragraph" w:customStyle="1" w:styleId="EndNoteBibliography">
    <w:name w:val="EndNote Bibliography"/>
    <w:basedOn w:val="Normal"/>
    <w:link w:val="EndNoteBibliographyChar"/>
    <w:rsid w:val="005825DE"/>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5825DE"/>
    <w:rPr>
      <w:rFonts w:ascii="Calibri" w:eastAsia="Calibri" w:hAnsi="Calibri" w:cs="Calibri"/>
      <w:noProof/>
      <w:lang w:val="en-US"/>
    </w:rPr>
  </w:style>
  <w:style w:type="character" w:customStyle="1" w:styleId="UnresolvedMention1">
    <w:name w:val="Unresolved Mention1"/>
    <w:basedOn w:val="DefaultParagraphFont"/>
    <w:uiPriority w:val="99"/>
    <w:semiHidden/>
    <w:unhideWhenUsed/>
    <w:rsid w:val="003534F7"/>
    <w:rPr>
      <w:color w:val="605E5C"/>
      <w:shd w:val="clear" w:color="auto" w:fill="E1DFDD"/>
    </w:rPr>
  </w:style>
  <w:style w:type="paragraph" w:customStyle="1" w:styleId="Default">
    <w:name w:val="Default"/>
    <w:rsid w:val="001E33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50">
      <w:bodyDiv w:val="1"/>
      <w:marLeft w:val="0"/>
      <w:marRight w:val="0"/>
      <w:marTop w:val="0"/>
      <w:marBottom w:val="0"/>
      <w:divBdr>
        <w:top w:val="none" w:sz="0" w:space="0" w:color="auto"/>
        <w:left w:val="none" w:sz="0" w:space="0" w:color="auto"/>
        <w:bottom w:val="none" w:sz="0" w:space="0" w:color="auto"/>
        <w:right w:val="none" w:sz="0" w:space="0" w:color="auto"/>
      </w:divBdr>
    </w:div>
    <w:div w:id="31540770">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59349435">
      <w:bodyDiv w:val="1"/>
      <w:marLeft w:val="0"/>
      <w:marRight w:val="0"/>
      <w:marTop w:val="0"/>
      <w:marBottom w:val="0"/>
      <w:divBdr>
        <w:top w:val="none" w:sz="0" w:space="0" w:color="auto"/>
        <w:left w:val="none" w:sz="0" w:space="0" w:color="auto"/>
        <w:bottom w:val="none" w:sz="0" w:space="0" w:color="auto"/>
        <w:right w:val="none" w:sz="0" w:space="0" w:color="auto"/>
      </w:divBdr>
    </w:div>
    <w:div w:id="231892800">
      <w:bodyDiv w:val="1"/>
      <w:marLeft w:val="0"/>
      <w:marRight w:val="0"/>
      <w:marTop w:val="0"/>
      <w:marBottom w:val="0"/>
      <w:divBdr>
        <w:top w:val="none" w:sz="0" w:space="0" w:color="auto"/>
        <w:left w:val="none" w:sz="0" w:space="0" w:color="auto"/>
        <w:bottom w:val="none" w:sz="0" w:space="0" w:color="auto"/>
        <w:right w:val="none" w:sz="0" w:space="0" w:color="auto"/>
      </w:divBdr>
    </w:div>
    <w:div w:id="234168317">
      <w:bodyDiv w:val="1"/>
      <w:marLeft w:val="0"/>
      <w:marRight w:val="0"/>
      <w:marTop w:val="0"/>
      <w:marBottom w:val="0"/>
      <w:divBdr>
        <w:top w:val="none" w:sz="0" w:space="0" w:color="auto"/>
        <w:left w:val="none" w:sz="0" w:space="0" w:color="auto"/>
        <w:bottom w:val="none" w:sz="0" w:space="0" w:color="auto"/>
        <w:right w:val="none" w:sz="0" w:space="0" w:color="auto"/>
      </w:divBdr>
    </w:div>
    <w:div w:id="236719520">
      <w:bodyDiv w:val="1"/>
      <w:marLeft w:val="0"/>
      <w:marRight w:val="0"/>
      <w:marTop w:val="0"/>
      <w:marBottom w:val="0"/>
      <w:divBdr>
        <w:top w:val="none" w:sz="0" w:space="0" w:color="auto"/>
        <w:left w:val="none" w:sz="0" w:space="0" w:color="auto"/>
        <w:bottom w:val="none" w:sz="0" w:space="0" w:color="auto"/>
        <w:right w:val="none" w:sz="0" w:space="0" w:color="auto"/>
      </w:divBdr>
    </w:div>
    <w:div w:id="283388289">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78477640">
      <w:bodyDiv w:val="1"/>
      <w:marLeft w:val="0"/>
      <w:marRight w:val="0"/>
      <w:marTop w:val="0"/>
      <w:marBottom w:val="0"/>
      <w:divBdr>
        <w:top w:val="none" w:sz="0" w:space="0" w:color="auto"/>
        <w:left w:val="none" w:sz="0" w:space="0" w:color="auto"/>
        <w:bottom w:val="none" w:sz="0" w:space="0" w:color="auto"/>
        <w:right w:val="none" w:sz="0" w:space="0" w:color="auto"/>
      </w:divBdr>
    </w:div>
    <w:div w:id="396829161">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0854212">
      <w:bodyDiv w:val="1"/>
      <w:marLeft w:val="0"/>
      <w:marRight w:val="0"/>
      <w:marTop w:val="0"/>
      <w:marBottom w:val="0"/>
      <w:divBdr>
        <w:top w:val="none" w:sz="0" w:space="0" w:color="auto"/>
        <w:left w:val="none" w:sz="0" w:space="0" w:color="auto"/>
        <w:bottom w:val="none" w:sz="0" w:space="0" w:color="auto"/>
        <w:right w:val="none" w:sz="0" w:space="0" w:color="auto"/>
      </w:divBdr>
    </w:div>
    <w:div w:id="428083239">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73413641">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31544044">
      <w:bodyDiv w:val="1"/>
      <w:marLeft w:val="0"/>
      <w:marRight w:val="0"/>
      <w:marTop w:val="0"/>
      <w:marBottom w:val="0"/>
      <w:divBdr>
        <w:top w:val="none" w:sz="0" w:space="0" w:color="auto"/>
        <w:left w:val="none" w:sz="0" w:space="0" w:color="auto"/>
        <w:bottom w:val="none" w:sz="0" w:space="0" w:color="auto"/>
        <w:right w:val="none" w:sz="0" w:space="0" w:color="auto"/>
      </w:divBdr>
    </w:div>
    <w:div w:id="760293819">
      <w:bodyDiv w:val="1"/>
      <w:marLeft w:val="0"/>
      <w:marRight w:val="0"/>
      <w:marTop w:val="0"/>
      <w:marBottom w:val="0"/>
      <w:divBdr>
        <w:top w:val="none" w:sz="0" w:space="0" w:color="auto"/>
        <w:left w:val="none" w:sz="0" w:space="0" w:color="auto"/>
        <w:bottom w:val="none" w:sz="0" w:space="0" w:color="auto"/>
        <w:right w:val="none" w:sz="0" w:space="0" w:color="auto"/>
      </w:divBdr>
    </w:div>
    <w:div w:id="896403787">
      <w:bodyDiv w:val="1"/>
      <w:marLeft w:val="0"/>
      <w:marRight w:val="0"/>
      <w:marTop w:val="0"/>
      <w:marBottom w:val="0"/>
      <w:divBdr>
        <w:top w:val="none" w:sz="0" w:space="0" w:color="auto"/>
        <w:left w:val="none" w:sz="0" w:space="0" w:color="auto"/>
        <w:bottom w:val="none" w:sz="0" w:space="0" w:color="auto"/>
        <w:right w:val="none" w:sz="0" w:space="0" w:color="auto"/>
      </w:divBdr>
    </w:div>
    <w:div w:id="953486824">
      <w:bodyDiv w:val="1"/>
      <w:marLeft w:val="0"/>
      <w:marRight w:val="0"/>
      <w:marTop w:val="0"/>
      <w:marBottom w:val="0"/>
      <w:divBdr>
        <w:top w:val="none" w:sz="0" w:space="0" w:color="auto"/>
        <w:left w:val="none" w:sz="0" w:space="0" w:color="auto"/>
        <w:bottom w:val="none" w:sz="0" w:space="0" w:color="auto"/>
        <w:right w:val="none" w:sz="0" w:space="0" w:color="auto"/>
      </w:divBdr>
    </w:div>
    <w:div w:id="974026825">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14323501">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28517536">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01643468">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3624603">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00419404">
      <w:bodyDiv w:val="1"/>
      <w:marLeft w:val="0"/>
      <w:marRight w:val="0"/>
      <w:marTop w:val="0"/>
      <w:marBottom w:val="0"/>
      <w:divBdr>
        <w:top w:val="none" w:sz="0" w:space="0" w:color="auto"/>
        <w:left w:val="none" w:sz="0" w:space="0" w:color="auto"/>
        <w:bottom w:val="none" w:sz="0" w:space="0" w:color="auto"/>
        <w:right w:val="none" w:sz="0" w:space="0" w:color="auto"/>
      </w:divBdr>
    </w:div>
    <w:div w:id="1854102683">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bs.gov.au/medicine/item/11115B-11116C-11117D-11118E-11119F-11120G-11850Q-11867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B32E-49FA-491F-8540-4395D78C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12956</Words>
  <Characters>73851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2022-07-12T04:49:00Z</dcterms:created>
  <dcterms:modified xsi:type="dcterms:W3CDTF">2022-07-12T04:49:00Z</dcterms:modified>
</cp:coreProperties>
</file>