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7104A" w14:textId="77777777" w:rsidR="00BC1364" w:rsidRPr="00707064" w:rsidRDefault="00C67DD2" w:rsidP="009910B3">
      <w:pPr>
        <w:jc w:val="center"/>
        <w:rPr>
          <w:szCs w:val="24"/>
          <w:highlight w:val="yellow"/>
        </w:rPr>
      </w:pPr>
      <w:r>
        <w:rPr>
          <w:noProof/>
        </w:rPr>
        <w:drawing>
          <wp:inline distT="0" distB="0" distL="0" distR="0" wp14:anchorId="3FB0F243" wp14:editId="024AC78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968A6DF" w14:textId="77777777" w:rsidR="00BC1364" w:rsidRPr="00F715D1" w:rsidRDefault="00BF479B" w:rsidP="002F4063">
      <w:pPr>
        <w:pStyle w:val="Title"/>
      </w:pPr>
      <w:r w:rsidRPr="00F715D1">
        <w:t>Public Summary Document</w:t>
      </w:r>
    </w:p>
    <w:p w14:paraId="6ED6977E" w14:textId="77777777" w:rsidR="00BC1364" w:rsidRPr="00F715D1" w:rsidRDefault="00BC1364" w:rsidP="002F4063">
      <w:pPr>
        <w:pStyle w:val="Subtitle"/>
      </w:pPr>
      <w:r w:rsidRPr="00F715D1">
        <w:t xml:space="preserve">Application No. </w:t>
      </w:r>
      <w:r w:rsidR="00C7454F" w:rsidRPr="00C7454F">
        <w:t xml:space="preserve">1664 </w:t>
      </w:r>
      <w:r w:rsidR="002F4063" w:rsidRPr="00625EC8">
        <w:t>–</w:t>
      </w:r>
      <w:r w:rsidR="004A1398">
        <w:t xml:space="preserve"> </w:t>
      </w:r>
      <w:r w:rsidR="00C7454F" w:rsidRPr="00C7454F">
        <w:t>Improvements to the National Cervical Screening Program Self-Collection Policy</w:t>
      </w:r>
    </w:p>
    <w:p w14:paraId="397EBEDA" w14:textId="77777777" w:rsidR="00BC1364" w:rsidRPr="002F4063" w:rsidRDefault="00B35595" w:rsidP="002F4063">
      <w:pPr>
        <w:rPr>
          <w:rFonts w:ascii="Arial" w:hAnsi="Arial" w:cs="Arial"/>
          <w:b/>
        </w:rPr>
      </w:pPr>
      <w:r w:rsidRPr="002F4063">
        <w:rPr>
          <w:rFonts w:ascii="Arial" w:hAnsi="Arial" w:cs="Arial"/>
          <w:b/>
        </w:rPr>
        <w:t>Applicant</w:t>
      </w:r>
      <w:r w:rsidR="008D1722" w:rsidRPr="002F4063">
        <w:rPr>
          <w:rFonts w:ascii="Arial" w:hAnsi="Arial" w:cs="Arial"/>
          <w:b/>
        </w:rPr>
        <w:t>:</w:t>
      </w:r>
      <w:r w:rsidR="008D1722" w:rsidRPr="002F4063">
        <w:rPr>
          <w:rFonts w:ascii="Arial" w:hAnsi="Arial" w:cs="Arial"/>
          <w:b/>
        </w:rPr>
        <w:tab/>
      </w:r>
      <w:r w:rsidR="0022043C" w:rsidRPr="002F4063">
        <w:rPr>
          <w:rFonts w:ascii="Arial" w:hAnsi="Arial" w:cs="Arial"/>
          <w:b/>
        </w:rPr>
        <w:tab/>
      </w:r>
      <w:r w:rsidR="002F4063">
        <w:rPr>
          <w:rFonts w:ascii="Arial" w:hAnsi="Arial" w:cs="Arial"/>
          <w:b/>
        </w:rPr>
        <w:tab/>
      </w:r>
      <w:r w:rsidR="002F4063">
        <w:rPr>
          <w:rFonts w:ascii="Arial" w:hAnsi="Arial" w:cs="Arial"/>
          <w:b/>
        </w:rPr>
        <w:tab/>
      </w:r>
      <w:r w:rsidR="004A1398" w:rsidRPr="002F4063">
        <w:rPr>
          <w:rFonts w:ascii="Arial" w:hAnsi="Arial" w:cs="Arial"/>
          <w:b/>
        </w:rPr>
        <w:t>Department of Health</w:t>
      </w:r>
    </w:p>
    <w:p w14:paraId="4E6C7142" w14:textId="77777777" w:rsidR="00BC1364" w:rsidRPr="002F4063" w:rsidRDefault="00BC1364" w:rsidP="002F4063">
      <w:pPr>
        <w:rPr>
          <w:rFonts w:ascii="Arial" w:hAnsi="Arial" w:cs="Arial"/>
          <w:b/>
        </w:rPr>
      </w:pPr>
      <w:r w:rsidRPr="002F4063">
        <w:rPr>
          <w:rFonts w:ascii="Arial" w:hAnsi="Arial" w:cs="Arial"/>
          <w:b/>
        </w:rPr>
        <w:t>Date of MSAC consideration:</w:t>
      </w:r>
      <w:r w:rsidRPr="002F4063">
        <w:rPr>
          <w:rFonts w:ascii="Arial" w:hAnsi="Arial" w:cs="Arial"/>
          <w:b/>
        </w:rPr>
        <w:tab/>
      </w:r>
      <w:r w:rsidR="004A4D40" w:rsidRPr="002F4063">
        <w:rPr>
          <w:rFonts w:ascii="Arial" w:hAnsi="Arial" w:cs="Arial"/>
          <w:b/>
        </w:rPr>
        <w:t>MSAC 81</w:t>
      </w:r>
      <w:r w:rsidR="004A4D40" w:rsidRPr="002F4063">
        <w:rPr>
          <w:rFonts w:ascii="Arial" w:hAnsi="Arial" w:cs="Arial"/>
          <w:b/>
          <w:vertAlign w:val="superscript"/>
        </w:rPr>
        <w:t>st</w:t>
      </w:r>
      <w:r w:rsidR="004A4D40" w:rsidRPr="002F4063">
        <w:rPr>
          <w:rFonts w:ascii="Arial" w:hAnsi="Arial" w:cs="Arial"/>
          <w:b/>
        </w:rPr>
        <w:t xml:space="preserve"> Meeting, 31 March – 1 April 2021</w:t>
      </w:r>
    </w:p>
    <w:p w14:paraId="3141D66E" w14:textId="77777777" w:rsidR="0041184F" w:rsidRPr="00B03EAB" w:rsidRDefault="006A0D97" w:rsidP="002F4063">
      <w:pPr>
        <w:rPr>
          <w:color w:val="0000FF"/>
          <w:u w:val="single"/>
        </w:rPr>
      </w:pPr>
      <w:r w:rsidRPr="00F715D1">
        <w:t>Context for decision: MSAC makes its advice in accordance wit</w:t>
      </w:r>
      <w:r w:rsidR="00F715D1">
        <w:t>h its Terms of Reference,</w:t>
      </w:r>
      <w:r w:rsidRPr="00F715D1">
        <w:t xml:space="preserve"> </w:t>
      </w:r>
      <w:hyperlink r:id="rId9" w:tooltip="Link to Medical Services Advisory Committee website" w:history="1">
        <w:r w:rsidR="00F715D1" w:rsidRPr="00F715D1">
          <w:rPr>
            <w:rStyle w:val="Hyperlink"/>
            <w:szCs w:val="24"/>
          </w:rPr>
          <w:t>visit the MSAC website</w:t>
        </w:r>
      </w:hyperlink>
    </w:p>
    <w:p w14:paraId="45CC118D" w14:textId="29AAB701" w:rsidR="003D7F29" w:rsidRPr="00F715D1" w:rsidRDefault="003D7F29" w:rsidP="002F4063">
      <w:pPr>
        <w:pStyle w:val="Heading1"/>
      </w:pPr>
      <w:r w:rsidRPr="00F715D1">
        <w:t>Purpose of application</w:t>
      </w:r>
    </w:p>
    <w:p w14:paraId="40CA3506" w14:textId="21EDB10C" w:rsidR="00C204FB" w:rsidRPr="0041184F" w:rsidRDefault="002F4063" w:rsidP="002F4063">
      <w:r>
        <w:t xml:space="preserve">An application requesting expansion of </w:t>
      </w:r>
      <w:r w:rsidR="00335083">
        <w:t xml:space="preserve">the </w:t>
      </w:r>
      <w:r>
        <w:t xml:space="preserve">eligibility to participate in cervical screening using self-collection was received </w:t>
      </w:r>
      <w:r w:rsidRPr="00663F10">
        <w:t>from the Cancer, Hearing and Program Support Division of the Department of Health on behalf of the National Cervical Screening Program (NCSP).</w:t>
      </w:r>
    </w:p>
    <w:p w14:paraId="2861091D" w14:textId="77777777" w:rsidR="00E977EE" w:rsidRPr="00F715D1" w:rsidRDefault="00E977EE" w:rsidP="002F4063">
      <w:pPr>
        <w:pStyle w:val="Heading1"/>
      </w:pPr>
      <w:r w:rsidRPr="00F715D1">
        <w:t>MSAC’s advice to the Minister</w:t>
      </w:r>
    </w:p>
    <w:p w14:paraId="2DA76086" w14:textId="67A6B936" w:rsidR="00EC6908" w:rsidRDefault="00037FE3" w:rsidP="00EC6908">
      <w:pPr>
        <w:pStyle w:val="Default"/>
        <w:spacing w:after="240"/>
      </w:pPr>
      <w:r w:rsidRPr="00AF2929">
        <w:t xml:space="preserve">After considering the strength of the available evidence in relation to comparative safety, clinical effectiveness and cost-effectiveness, </w:t>
      </w:r>
      <w:r>
        <w:t>MSAC supported the amendment of Medicare Benefits Schedule (MBS) items 73071 and 73073 to expand access to self-collection in the NCSP</w:t>
      </w:r>
      <w:r w:rsidRPr="00AF2929">
        <w:t xml:space="preserve">. </w:t>
      </w:r>
      <w:r>
        <w:t xml:space="preserve">MSAC concluded that the diagnostic performance of </w:t>
      </w:r>
      <w:r w:rsidR="00CC5B1A">
        <w:rPr>
          <w:color w:val="auto"/>
        </w:rPr>
        <w:t>human papillomavirus</w:t>
      </w:r>
      <w:r w:rsidR="00CC5B1A">
        <w:t xml:space="preserve"> (</w:t>
      </w:r>
      <w:r>
        <w:t>HPV</w:t>
      </w:r>
      <w:r w:rsidR="00CC5B1A">
        <w:t>)</w:t>
      </w:r>
      <w:r>
        <w:t xml:space="preserve"> testing is not materially different between self-collected samples and clinician-collected samples, and advised that the associated increase in costs would be justified by the intended increase in screening uptake. </w:t>
      </w:r>
      <w:r w:rsidRPr="00AF2929">
        <w:t>However, MSAC noted that</w:t>
      </w:r>
      <w:r w:rsidRPr="00AC7ED4">
        <w:t xml:space="preserve"> the</w:t>
      </w:r>
      <w:r w:rsidR="004B530B" w:rsidRPr="00AC7ED4">
        <w:t>re are currently no self</w:t>
      </w:r>
      <w:r w:rsidR="00A92CAD">
        <w:noBreakHyphen/>
      </w:r>
      <w:r w:rsidR="004B530B" w:rsidRPr="00AC7ED4">
        <w:t>collect</w:t>
      </w:r>
      <w:r w:rsidR="00615212">
        <w:t>ion</w:t>
      </w:r>
      <w:r w:rsidR="004B530B" w:rsidRPr="00AC7ED4">
        <w:t xml:space="preserve"> kits listed on</w:t>
      </w:r>
      <w:r w:rsidRPr="00AF2929">
        <w:t xml:space="preserve"> the </w:t>
      </w:r>
      <w:r>
        <w:t xml:space="preserve">Therapeutic Goods </w:t>
      </w:r>
      <w:r w:rsidRPr="00AC7ED4">
        <w:t>Administration</w:t>
      </w:r>
      <w:r w:rsidR="004B530B" w:rsidRPr="00AC7ED4">
        <w:t>’s</w:t>
      </w:r>
      <w:r w:rsidRPr="00AC7ED4">
        <w:t xml:space="preserve"> </w:t>
      </w:r>
      <w:r w:rsidR="004B530B" w:rsidRPr="00AC7ED4">
        <w:t>Australian Register of Therapeutic Goods</w:t>
      </w:r>
      <w:r w:rsidR="00FA4036" w:rsidRPr="00AC7ED4">
        <w:t xml:space="preserve"> (ARTG)</w:t>
      </w:r>
      <w:r w:rsidR="004B530B" w:rsidRPr="00AC7ED4">
        <w:t>, which</w:t>
      </w:r>
      <w:r w:rsidRPr="00AF2929">
        <w:t xml:space="preserve"> presents </w:t>
      </w:r>
      <w:r w:rsidR="00EC6908">
        <w:t xml:space="preserve">a potential </w:t>
      </w:r>
      <w:r w:rsidRPr="00AF2929">
        <w:t>implementation issue.</w:t>
      </w:r>
    </w:p>
    <w:p w14:paraId="19871D6D" w14:textId="77777777" w:rsidR="005D4573" w:rsidRDefault="005D4573" w:rsidP="005D4573">
      <w:pPr>
        <w:pStyle w:val="Caption"/>
      </w:pPr>
      <w:r>
        <w:t>MSAC-recommended changes to the descriptors for MBS items 73071 and 73073</w:t>
      </w:r>
    </w:p>
    <w:tbl>
      <w:tblPr>
        <w:tblStyle w:val="TableGrid"/>
        <w:tblW w:w="0" w:type="auto"/>
        <w:tblLook w:val="04A0" w:firstRow="1" w:lastRow="0" w:firstColumn="1" w:lastColumn="0" w:noHBand="0" w:noVBand="1"/>
        <w:tblDescription w:val="MSAC-recommended changes to the descriptors for MBS items 73071 and 73073"/>
      </w:tblPr>
      <w:tblGrid>
        <w:gridCol w:w="9019"/>
      </w:tblGrid>
      <w:tr w:rsidR="005D4573" w14:paraId="0EDD0618" w14:textId="77777777" w:rsidTr="003B01EF">
        <w:trPr>
          <w:tblHeader/>
        </w:trPr>
        <w:tc>
          <w:tcPr>
            <w:tcW w:w="9019" w:type="dxa"/>
          </w:tcPr>
          <w:p w14:paraId="5DB1F3A6" w14:textId="1C7EF3FD" w:rsidR="005D4573" w:rsidRPr="005D4573" w:rsidRDefault="005D4573" w:rsidP="005D4573">
            <w:pPr>
              <w:pStyle w:val="Default"/>
              <w:jc w:val="right"/>
              <w:rPr>
                <w:rFonts w:ascii="Arial Narrow" w:hAnsi="Arial Narrow"/>
                <w:color w:val="auto"/>
                <w:sz w:val="20"/>
                <w:szCs w:val="20"/>
              </w:rPr>
            </w:pPr>
            <w:r w:rsidRPr="005D4573">
              <w:rPr>
                <w:rFonts w:ascii="Arial Narrow" w:hAnsi="Arial Narrow"/>
                <w:color w:val="auto"/>
                <w:sz w:val="20"/>
                <w:szCs w:val="20"/>
              </w:rPr>
              <w:t>Category 6 - PATHOLOGY SERVICES – Group P6, Cytology</w:t>
            </w:r>
          </w:p>
        </w:tc>
      </w:tr>
      <w:tr w:rsidR="005D4573" w14:paraId="2CF510B6" w14:textId="77777777" w:rsidTr="005D4573">
        <w:tc>
          <w:tcPr>
            <w:tcW w:w="9019" w:type="dxa"/>
          </w:tcPr>
          <w:p w14:paraId="40D2FC1D" w14:textId="77777777" w:rsidR="005D4573" w:rsidRPr="00335083" w:rsidRDefault="005D4573" w:rsidP="005D4573">
            <w:pPr>
              <w:pStyle w:val="Tabletextcentred"/>
              <w:spacing w:before="0" w:after="0"/>
              <w:jc w:val="left"/>
              <w:rPr>
                <w:b/>
              </w:rPr>
            </w:pPr>
            <w:r w:rsidRPr="00335083">
              <w:rPr>
                <w:b/>
              </w:rPr>
              <w:t>MBS item 73071</w:t>
            </w:r>
          </w:p>
          <w:p w14:paraId="791EB096" w14:textId="77777777" w:rsidR="005D4573" w:rsidRPr="003A4620" w:rsidRDefault="005D4573" w:rsidP="005D4573">
            <w:pPr>
              <w:pStyle w:val="Tabletextcentred"/>
              <w:spacing w:before="0" w:after="0"/>
              <w:jc w:val="left"/>
            </w:pPr>
            <w:r w:rsidRPr="003A4620">
              <w:t>A test, including partial genotyping, for oncogenic human papillomavirus that may be associated with cervical pre</w:t>
            </w:r>
            <w:r w:rsidRPr="003A4620">
              <w:noBreakHyphen/>
              <w:t>cancer or cancer:</w:t>
            </w:r>
          </w:p>
          <w:p w14:paraId="29695258" w14:textId="77777777" w:rsidR="005D4573" w:rsidRPr="003A4620" w:rsidRDefault="005D4573" w:rsidP="005D4573">
            <w:pPr>
              <w:pStyle w:val="Tabletextcentred"/>
              <w:spacing w:before="0" w:after="0"/>
              <w:jc w:val="left"/>
            </w:pPr>
            <w:r w:rsidRPr="003A4620">
              <w:t>(a) performed on a self</w:t>
            </w:r>
            <w:r w:rsidRPr="003A4620">
              <w:noBreakHyphen/>
              <w:t>collected vaginal specimen; and</w:t>
            </w:r>
          </w:p>
          <w:p w14:paraId="4888CA84" w14:textId="77777777" w:rsidR="005D4573" w:rsidRDefault="005D4573" w:rsidP="005D4573">
            <w:pPr>
              <w:pStyle w:val="Tabletextcentred"/>
              <w:spacing w:before="0" w:after="0"/>
              <w:jc w:val="left"/>
            </w:pPr>
            <w:r w:rsidRPr="003A4620">
              <w:t xml:space="preserve">(b) for an asymptomatic patient who is at least </w:t>
            </w:r>
            <w:r w:rsidRPr="007E4F12">
              <w:rPr>
                <w:strike/>
              </w:rPr>
              <w:t>30 years</w:t>
            </w:r>
            <w:r w:rsidRPr="003A4620">
              <w:t xml:space="preserve"> </w:t>
            </w:r>
            <w:r w:rsidRPr="007E4F12">
              <w:rPr>
                <w:color w:val="00B050"/>
              </w:rPr>
              <w:t xml:space="preserve">24 years and 9 months </w:t>
            </w:r>
            <w:r w:rsidRPr="003A4620">
              <w:t>of age</w:t>
            </w:r>
          </w:p>
          <w:p w14:paraId="503F7194" w14:textId="42CE0DE8" w:rsidR="005D4573" w:rsidRPr="005D4573" w:rsidRDefault="005D4573" w:rsidP="005D4573">
            <w:pPr>
              <w:pStyle w:val="Default"/>
              <w:rPr>
                <w:rFonts w:ascii="Arial Narrow" w:hAnsi="Arial Narrow"/>
                <w:color w:val="auto"/>
                <w:sz w:val="20"/>
                <w:szCs w:val="20"/>
              </w:rPr>
            </w:pPr>
            <w:r w:rsidRPr="005D4573">
              <w:rPr>
                <w:rFonts w:ascii="Arial Narrow" w:hAnsi="Arial Narrow"/>
                <w:sz w:val="20"/>
                <w:szCs w:val="20"/>
              </w:rPr>
              <w:t xml:space="preserve">For any particular patient, once only in a </w:t>
            </w:r>
            <w:r w:rsidRPr="005D4573">
              <w:rPr>
                <w:rFonts w:ascii="Arial Narrow" w:hAnsi="Arial Narrow"/>
                <w:strike/>
                <w:sz w:val="20"/>
                <w:szCs w:val="20"/>
              </w:rPr>
              <w:t>7 year</w:t>
            </w:r>
            <w:r w:rsidRPr="005D4573">
              <w:rPr>
                <w:rFonts w:ascii="Arial Narrow" w:hAnsi="Arial Narrow"/>
                <w:sz w:val="20"/>
                <w:szCs w:val="20"/>
              </w:rPr>
              <w:t xml:space="preserve"> </w:t>
            </w:r>
            <w:r w:rsidRPr="005D4573">
              <w:rPr>
                <w:rFonts w:ascii="Arial Narrow" w:hAnsi="Arial Narrow"/>
                <w:color w:val="00B050"/>
                <w:sz w:val="20"/>
                <w:szCs w:val="20"/>
              </w:rPr>
              <w:t xml:space="preserve">57 month </w:t>
            </w:r>
            <w:r w:rsidRPr="005D4573">
              <w:rPr>
                <w:rFonts w:ascii="Arial Narrow" w:hAnsi="Arial Narrow"/>
                <w:sz w:val="20"/>
                <w:szCs w:val="20"/>
              </w:rPr>
              <w:t>period.</w:t>
            </w:r>
          </w:p>
        </w:tc>
      </w:tr>
      <w:tr w:rsidR="005D4573" w14:paraId="12CFA743" w14:textId="77777777" w:rsidTr="005D4573">
        <w:tc>
          <w:tcPr>
            <w:tcW w:w="9019" w:type="dxa"/>
          </w:tcPr>
          <w:p w14:paraId="23C460E9" w14:textId="77777777" w:rsidR="005D4573" w:rsidRPr="00335083" w:rsidRDefault="005D4573" w:rsidP="005D4573">
            <w:pPr>
              <w:pStyle w:val="Tabletextcentred"/>
              <w:spacing w:before="0" w:after="0"/>
              <w:jc w:val="left"/>
              <w:rPr>
                <w:b/>
              </w:rPr>
            </w:pPr>
            <w:r w:rsidRPr="00335083">
              <w:rPr>
                <w:b/>
              </w:rPr>
              <w:t>MBS item 7307</w:t>
            </w:r>
            <w:r>
              <w:rPr>
                <w:b/>
              </w:rPr>
              <w:t>3</w:t>
            </w:r>
          </w:p>
          <w:p w14:paraId="3FC6A070" w14:textId="77777777" w:rsidR="005D4573" w:rsidRPr="003A4620" w:rsidRDefault="005D4573" w:rsidP="005D4573">
            <w:pPr>
              <w:pStyle w:val="Tabletextcentred"/>
              <w:spacing w:before="0" w:after="0"/>
              <w:jc w:val="left"/>
            </w:pPr>
            <w:r w:rsidRPr="003A4620">
              <w:t>A test, including partial genotyping, for oncogenic human papillomavirus:</w:t>
            </w:r>
          </w:p>
          <w:p w14:paraId="4205C1B4" w14:textId="77777777" w:rsidR="005D4573" w:rsidRPr="003A4620" w:rsidRDefault="005D4573" w:rsidP="005D4573">
            <w:pPr>
              <w:pStyle w:val="Tabletextcentred"/>
              <w:spacing w:before="0" w:after="0"/>
              <w:jc w:val="left"/>
            </w:pPr>
            <w:r w:rsidRPr="003A4620">
              <w:t>(a) performed on a self</w:t>
            </w:r>
            <w:r w:rsidRPr="003A4620">
              <w:noBreakHyphen/>
              <w:t>collected vaginal specimen; and</w:t>
            </w:r>
          </w:p>
          <w:p w14:paraId="71E4E822" w14:textId="77777777" w:rsidR="005D4573" w:rsidRDefault="005D4573" w:rsidP="005D4573">
            <w:pPr>
              <w:pStyle w:val="Tabletextcentred"/>
              <w:spacing w:before="0" w:after="0"/>
              <w:jc w:val="left"/>
            </w:pPr>
            <w:r w:rsidRPr="003A4620">
              <w:t xml:space="preserve">(b) </w:t>
            </w:r>
            <w:proofErr w:type="gramStart"/>
            <w:r w:rsidRPr="007E4F12">
              <w:t>for</w:t>
            </w:r>
            <w:proofErr w:type="gramEnd"/>
            <w:r w:rsidRPr="007E4F12">
              <w:t xml:space="preserve"> the follow</w:t>
            </w:r>
            <w:r w:rsidRPr="007E4F12">
              <w:noBreakHyphen/>
              <w:t>up management of a patient with oncogenic human papillomavirus infection or cervical pre</w:t>
            </w:r>
            <w:r w:rsidRPr="007E4F12">
              <w:noBreakHyphen/>
              <w:t>cancer or cancer that was detected by a test to which item 73071 applies</w:t>
            </w:r>
            <w:r>
              <w:t>.</w:t>
            </w:r>
          </w:p>
          <w:p w14:paraId="508ED6B4" w14:textId="75AA6712" w:rsidR="005D4573" w:rsidRPr="005D4573" w:rsidRDefault="005D4573" w:rsidP="005D4573">
            <w:pPr>
              <w:pStyle w:val="Default"/>
              <w:rPr>
                <w:rFonts w:ascii="Arial Narrow" w:hAnsi="Arial Narrow"/>
                <w:color w:val="auto"/>
                <w:sz w:val="20"/>
                <w:szCs w:val="20"/>
              </w:rPr>
            </w:pPr>
            <w:r w:rsidRPr="005D4573">
              <w:rPr>
                <w:rFonts w:ascii="Arial Narrow" w:hAnsi="Arial Narrow"/>
                <w:strike/>
                <w:sz w:val="20"/>
                <w:szCs w:val="20"/>
              </w:rPr>
              <w:t>For any particular patient, once only in a 21 month period.</w:t>
            </w:r>
          </w:p>
        </w:tc>
      </w:tr>
    </w:tbl>
    <w:p w14:paraId="7B5D180E" w14:textId="77777777" w:rsidR="005D4573" w:rsidRPr="00EC6908" w:rsidRDefault="005D4573" w:rsidP="00EC6908">
      <w:pPr>
        <w:pStyle w:val="Default"/>
        <w:spacing w:after="240"/>
        <w:rPr>
          <w:color w:val="auto"/>
        </w:rPr>
      </w:pPr>
    </w:p>
    <w:tbl>
      <w:tblPr>
        <w:tblStyle w:val="TableGrid"/>
        <w:tblW w:w="0" w:type="auto"/>
        <w:tblLook w:val="04A0" w:firstRow="1" w:lastRow="0" w:firstColumn="1" w:lastColumn="0" w:noHBand="0" w:noVBand="1"/>
        <w:tblDescription w:val="Consumer summary of MSAC consideration"/>
      </w:tblPr>
      <w:tblGrid>
        <w:gridCol w:w="9019"/>
      </w:tblGrid>
      <w:tr w:rsidR="00037FE3" w14:paraId="4812CE8B" w14:textId="77777777" w:rsidTr="005D4573">
        <w:trPr>
          <w:tblHeader/>
        </w:trPr>
        <w:tc>
          <w:tcPr>
            <w:tcW w:w="9019" w:type="dxa"/>
          </w:tcPr>
          <w:p w14:paraId="279CDE8F" w14:textId="77777777" w:rsidR="00037FE3" w:rsidRPr="000663AA" w:rsidRDefault="00037FE3" w:rsidP="00EC6908">
            <w:pPr>
              <w:pStyle w:val="Default"/>
              <w:spacing w:before="120" w:after="120"/>
              <w:rPr>
                <w:b/>
                <w:color w:val="auto"/>
              </w:rPr>
            </w:pPr>
            <w:r w:rsidRPr="00C06B0B">
              <w:rPr>
                <w:b/>
                <w:color w:val="auto"/>
              </w:rPr>
              <w:lastRenderedPageBreak/>
              <w:t>Consumer summary</w:t>
            </w:r>
          </w:p>
        </w:tc>
      </w:tr>
      <w:tr w:rsidR="00037FE3" w14:paraId="1556580C" w14:textId="77777777" w:rsidTr="005D4573">
        <w:tc>
          <w:tcPr>
            <w:tcW w:w="9019" w:type="dxa"/>
          </w:tcPr>
          <w:p w14:paraId="57B5E5BD" w14:textId="35A48109" w:rsidR="00037FE3" w:rsidRDefault="00037FE3" w:rsidP="00EC6908">
            <w:pPr>
              <w:pStyle w:val="Default"/>
              <w:spacing w:after="240"/>
            </w:pPr>
            <w:r>
              <w:t xml:space="preserve">The </w:t>
            </w:r>
            <w:r w:rsidRPr="00663F10">
              <w:t>Cancer, Hearing and Program Support Division</w:t>
            </w:r>
            <w:r>
              <w:t xml:space="preserve"> </w:t>
            </w:r>
            <w:r w:rsidR="00E709BF">
              <w:t>of</w:t>
            </w:r>
            <w:r>
              <w:t xml:space="preserve"> the Australian Government</w:t>
            </w:r>
            <w:r w:rsidRPr="00663F10">
              <w:t xml:space="preserve"> Department of Health</w:t>
            </w:r>
            <w:r>
              <w:t xml:space="preserve"> </w:t>
            </w:r>
            <w:r w:rsidR="00E709BF">
              <w:t>applied</w:t>
            </w:r>
            <w:r w:rsidR="0055647A">
              <w:t>,</w:t>
            </w:r>
            <w:r w:rsidR="00E709BF">
              <w:t xml:space="preserve"> on behalf of the National Cervical Screening Program, to expand </w:t>
            </w:r>
            <w:r w:rsidR="00C22254">
              <w:t xml:space="preserve">the </w:t>
            </w:r>
            <w:r w:rsidR="008C236F">
              <w:t>funding</w:t>
            </w:r>
            <w:r w:rsidR="003E7560">
              <w:t xml:space="preserve"> of </w:t>
            </w:r>
            <w:r>
              <w:t xml:space="preserve">self-collection </w:t>
            </w:r>
            <w:r w:rsidR="003E7560">
              <w:t>for</w:t>
            </w:r>
            <w:r>
              <w:t xml:space="preserve"> </w:t>
            </w:r>
            <w:r w:rsidR="003E7560">
              <w:t>c</w:t>
            </w:r>
            <w:r>
              <w:t xml:space="preserve">ervical </w:t>
            </w:r>
            <w:r w:rsidR="003E7560">
              <w:t>s</w:t>
            </w:r>
            <w:r>
              <w:t>creening</w:t>
            </w:r>
            <w:r w:rsidR="003E7560">
              <w:t xml:space="preserve"> to include everyone eligible for cervical screening</w:t>
            </w:r>
            <w:r>
              <w:t>.</w:t>
            </w:r>
          </w:p>
          <w:p w14:paraId="0F0F4BF7" w14:textId="69DBA772" w:rsidR="00E709BF" w:rsidRDefault="00037FE3" w:rsidP="00EC6908">
            <w:pPr>
              <w:pStyle w:val="Default"/>
              <w:spacing w:after="240"/>
            </w:pPr>
            <w:r>
              <w:t xml:space="preserve">The National Cervical Screening Program aims to detect cervical cancer at an early stage in people who do not have symptoms. </w:t>
            </w:r>
            <w:r w:rsidR="00EC6908">
              <w:rPr>
                <w:color w:val="auto"/>
              </w:rPr>
              <w:t xml:space="preserve">Detecting cervical cancer early is important for improving </w:t>
            </w:r>
            <w:r w:rsidR="007B06A2">
              <w:rPr>
                <w:color w:val="auto"/>
              </w:rPr>
              <w:t xml:space="preserve">people’s </w:t>
            </w:r>
            <w:r w:rsidR="00EC6908">
              <w:rPr>
                <w:color w:val="auto"/>
              </w:rPr>
              <w:t>chance of survival. Cervical cancer is usually caused by infection with a particular virus</w:t>
            </w:r>
            <w:r w:rsidR="00E709BF">
              <w:rPr>
                <w:color w:val="auto"/>
              </w:rPr>
              <w:t>, called human papillomavirus (HPV)</w:t>
            </w:r>
            <w:r w:rsidR="00EC6908">
              <w:rPr>
                <w:color w:val="auto"/>
              </w:rPr>
              <w:t xml:space="preserve">. </w:t>
            </w:r>
            <w:r w:rsidR="00C42E97">
              <w:t>In Australia, c</w:t>
            </w:r>
            <w:r>
              <w:t xml:space="preserve">ervical screening is </w:t>
            </w:r>
            <w:r w:rsidR="00094098">
              <w:t xml:space="preserve">recommended </w:t>
            </w:r>
            <w:r w:rsidR="00C42E97">
              <w:t xml:space="preserve">every five years </w:t>
            </w:r>
            <w:r w:rsidR="00094098">
              <w:t xml:space="preserve">for </w:t>
            </w:r>
            <w:r>
              <w:t>all people with a cervix</w:t>
            </w:r>
            <w:r w:rsidR="00C42E97">
              <w:t>,</w:t>
            </w:r>
            <w:r>
              <w:t xml:space="preserve"> aged 25 to 74</w:t>
            </w:r>
            <w:r w:rsidR="008C236F">
              <w:t>,</w:t>
            </w:r>
            <w:r>
              <w:t xml:space="preserve"> who have ever been sexually active</w:t>
            </w:r>
            <w:r w:rsidR="00EC6908">
              <w:t xml:space="preserve">. The </w:t>
            </w:r>
            <w:r w:rsidR="00094098">
              <w:t xml:space="preserve">initial step in </w:t>
            </w:r>
            <w:r w:rsidR="00EC6908">
              <w:t xml:space="preserve">cervical screening </w:t>
            </w:r>
            <w:r w:rsidR="00094098">
              <w:t xml:space="preserve">is to </w:t>
            </w:r>
            <w:r w:rsidR="00EC6908">
              <w:t xml:space="preserve">check a sample of cells to see whether they have the </w:t>
            </w:r>
            <w:r w:rsidR="00094098">
              <w:t>HPV</w:t>
            </w:r>
            <w:r w:rsidR="00EC6908">
              <w:t xml:space="preserve"> that can lead to cervical cancer</w:t>
            </w:r>
            <w:r>
              <w:t>.</w:t>
            </w:r>
          </w:p>
          <w:p w14:paraId="7721F16E" w14:textId="6181D027" w:rsidR="00C42E97" w:rsidRDefault="00E709BF" w:rsidP="00EC6908">
            <w:pPr>
              <w:pStyle w:val="Default"/>
              <w:spacing w:after="240"/>
            </w:pPr>
            <w:r>
              <w:t xml:space="preserve">Until now, most people </w:t>
            </w:r>
            <w:r w:rsidR="002F5828">
              <w:t xml:space="preserve">have </w:t>
            </w:r>
            <w:r>
              <w:t>participated in cervical screening by their healthcare provider</w:t>
            </w:r>
            <w:r w:rsidR="00037FE3">
              <w:t xml:space="preserve"> taking a swab of </w:t>
            </w:r>
            <w:r w:rsidR="00845BDC">
              <w:t>their</w:t>
            </w:r>
            <w:r w:rsidR="00037FE3">
              <w:t xml:space="preserve"> </w:t>
            </w:r>
            <w:r w:rsidR="00EC6908">
              <w:t>cervix</w:t>
            </w:r>
            <w:r w:rsidR="00037FE3">
              <w:t xml:space="preserve">, and testing the swab for HPV. This is called a clinician-collected sample. </w:t>
            </w:r>
            <w:r>
              <w:t xml:space="preserve">Self-collected samples are when the person takes a vaginal swab by </w:t>
            </w:r>
            <w:r w:rsidR="003E7560">
              <w:t>themselves</w:t>
            </w:r>
            <w:r>
              <w:t xml:space="preserve">. </w:t>
            </w:r>
            <w:r w:rsidR="004B530B">
              <w:t xml:space="preserve">Within Australia, </w:t>
            </w:r>
            <w:r w:rsidR="004B530B">
              <w:rPr>
                <w:color w:val="auto"/>
              </w:rPr>
              <w:t>s</w:t>
            </w:r>
            <w:r>
              <w:rPr>
                <w:color w:val="auto"/>
              </w:rPr>
              <w:t>elf-collecting a sample is currently an option only available to people aged 30 or older who ha</w:t>
            </w:r>
            <w:r w:rsidR="00D20BA2">
              <w:rPr>
                <w:color w:val="auto"/>
              </w:rPr>
              <w:t>ve</w:t>
            </w:r>
            <w:r>
              <w:rPr>
                <w:color w:val="auto"/>
              </w:rPr>
              <w:t xml:space="preserve"> never participated in cervical screening, or who </w:t>
            </w:r>
            <w:r w:rsidR="00D20BA2">
              <w:rPr>
                <w:color w:val="auto"/>
              </w:rPr>
              <w:t xml:space="preserve">are </w:t>
            </w:r>
            <w:r>
              <w:rPr>
                <w:color w:val="auto"/>
              </w:rPr>
              <w:t xml:space="preserve">in a group that </w:t>
            </w:r>
            <w:r w:rsidR="00094098">
              <w:rPr>
                <w:color w:val="auto"/>
              </w:rPr>
              <w:t xml:space="preserve">is known to have </w:t>
            </w:r>
            <w:r>
              <w:rPr>
                <w:color w:val="auto"/>
              </w:rPr>
              <w:t xml:space="preserve">a low </w:t>
            </w:r>
            <w:r w:rsidR="00094098">
              <w:rPr>
                <w:color w:val="auto"/>
              </w:rPr>
              <w:t xml:space="preserve">rate of </w:t>
            </w:r>
            <w:r>
              <w:rPr>
                <w:color w:val="auto"/>
              </w:rPr>
              <w:t xml:space="preserve">participation </w:t>
            </w:r>
            <w:r w:rsidR="00094098">
              <w:rPr>
                <w:color w:val="auto"/>
              </w:rPr>
              <w:t>in the cervical screening program</w:t>
            </w:r>
            <w:r>
              <w:rPr>
                <w:color w:val="auto"/>
              </w:rPr>
              <w:t>.</w:t>
            </w:r>
          </w:p>
          <w:p w14:paraId="01E33146" w14:textId="062FDBA3" w:rsidR="00037FE3" w:rsidRDefault="00C42E97" w:rsidP="00EC6908">
            <w:pPr>
              <w:pStyle w:val="Default"/>
              <w:spacing w:after="240"/>
            </w:pPr>
            <w:r>
              <w:t xml:space="preserve">MSAC </w:t>
            </w:r>
            <w:r w:rsidR="00C22094">
              <w:t>advised</w:t>
            </w:r>
            <w:r>
              <w:t xml:space="preserve"> that </w:t>
            </w:r>
            <w:r w:rsidR="00C22254">
              <w:t xml:space="preserve">expanding </w:t>
            </w:r>
            <w:r>
              <w:t>s</w:t>
            </w:r>
            <w:r w:rsidR="00037FE3">
              <w:t xml:space="preserve">elf-collection is an important option </w:t>
            </w:r>
            <w:r>
              <w:t xml:space="preserve">to increase access to screening, particularly </w:t>
            </w:r>
            <w:r w:rsidR="00037FE3">
              <w:t xml:space="preserve">for people who may feel </w:t>
            </w:r>
            <w:r w:rsidR="00E709BF">
              <w:t>uncomfortable with a</w:t>
            </w:r>
            <w:r w:rsidR="00037FE3">
              <w:t xml:space="preserve"> clinician</w:t>
            </w:r>
            <w:r w:rsidR="00E709BF">
              <w:t xml:space="preserve"> </w:t>
            </w:r>
            <w:r w:rsidR="00037FE3">
              <w:t>collect</w:t>
            </w:r>
            <w:r w:rsidR="00E709BF">
              <w:t>ing their sample</w:t>
            </w:r>
            <w:r w:rsidR="00037FE3">
              <w:t>.</w:t>
            </w:r>
            <w:r w:rsidR="003E7560">
              <w:t xml:space="preserve"> </w:t>
            </w:r>
            <w:r w:rsidR="003E7560">
              <w:rPr>
                <w:color w:val="auto"/>
              </w:rPr>
              <w:t>People who cho</w:t>
            </w:r>
            <w:r w:rsidR="00A92CAD">
              <w:rPr>
                <w:color w:val="auto"/>
              </w:rPr>
              <w:t>o</w:t>
            </w:r>
            <w:r w:rsidR="003E7560">
              <w:rPr>
                <w:color w:val="auto"/>
              </w:rPr>
              <w:t xml:space="preserve">se to use self-collection would still access </w:t>
            </w:r>
            <w:r w:rsidR="00094098">
              <w:rPr>
                <w:color w:val="auto"/>
              </w:rPr>
              <w:t>cervical screening</w:t>
            </w:r>
            <w:r w:rsidR="003E7560">
              <w:rPr>
                <w:color w:val="auto"/>
              </w:rPr>
              <w:t xml:space="preserve"> through their healthcare provider</w:t>
            </w:r>
            <w:r w:rsidR="004B530B">
              <w:rPr>
                <w:color w:val="auto"/>
              </w:rPr>
              <w:t>, to allow for education and</w:t>
            </w:r>
            <w:r w:rsidR="00FA4036">
              <w:rPr>
                <w:color w:val="auto"/>
              </w:rPr>
              <w:t xml:space="preserve"> engagement</w:t>
            </w:r>
            <w:r w:rsidR="004B530B">
              <w:rPr>
                <w:color w:val="auto"/>
              </w:rPr>
              <w:t xml:space="preserve">. However, the healthcare provider would not </w:t>
            </w:r>
            <w:r w:rsidR="00615212">
              <w:rPr>
                <w:color w:val="auto"/>
              </w:rPr>
              <w:t>collect</w:t>
            </w:r>
            <w:r w:rsidR="004B530B">
              <w:rPr>
                <w:color w:val="auto"/>
              </w:rPr>
              <w:t xml:space="preserve"> the </w:t>
            </w:r>
            <w:r w:rsidR="00615212">
              <w:rPr>
                <w:color w:val="auto"/>
              </w:rPr>
              <w:t>sample</w:t>
            </w:r>
            <w:r w:rsidR="003E7560">
              <w:rPr>
                <w:color w:val="auto"/>
              </w:rPr>
              <w:t xml:space="preserve">. </w:t>
            </w:r>
            <w:r w:rsidR="00094098">
              <w:rPr>
                <w:color w:val="auto"/>
              </w:rPr>
              <w:t xml:space="preserve">A </w:t>
            </w:r>
            <w:r w:rsidR="004B530B">
              <w:rPr>
                <w:color w:val="auto"/>
              </w:rPr>
              <w:t>further</w:t>
            </w:r>
            <w:r w:rsidR="00094098">
              <w:rPr>
                <w:color w:val="auto"/>
              </w:rPr>
              <w:t xml:space="preserve"> important </w:t>
            </w:r>
            <w:r w:rsidR="003E7560">
              <w:rPr>
                <w:color w:val="auto"/>
              </w:rPr>
              <w:t>difference with the process for self-collected samples</w:t>
            </w:r>
            <w:r w:rsidR="004B530B">
              <w:rPr>
                <w:color w:val="auto"/>
              </w:rPr>
              <w:t xml:space="preserve"> </w:t>
            </w:r>
            <w:r w:rsidR="003E7560">
              <w:rPr>
                <w:color w:val="auto"/>
              </w:rPr>
              <w:t xml:space="preserve">is that if a person’s </w:t>
            </w:r>
            <w:r w:rsidR="00615212">
              <w:rPr>
                <w:color w:val="auto"/>
              </w:rPr>
              <w:t xml:space="preserve">self-collected </w:t>
            </w:r>
            <w:r w:rsidR="003E7560">
              <w:rPr>
                <w:color w:val="auto"/>
              </w:rPr>
              <w:t xml:space="preserve">sample </w:t>
            </w:r>
            <w:r w:rsidR="00094098">
              <w:rPr>
                <w:color w:val="auto"/>
              </w:rPr>
              <w:t xml:space="preserve">detects HPV, </w:t>
            </w:r>
            <w:r w:rsidR="003E7560">
              <w:rPr>
                <w:color w:val="auto"/>
              </w:rPr>
              <w:t>the</w:t>
            </w:r>
            <w:r>
              <w:rPr>
                <w:color w:val="auto"/>
              </w:rPr>
              <w:t xml:space="preserve"> next step is for </w:t>
            </w:r>
            <w:r w:rsidR="00615212">
              <w:rPr>
                <w:color w:val="auto"/>
              </w:rPr>
              <w:t xml:space="preserve">them to return to </w:t>
            </w:r>
            <w:r w:rsidR="003E7560">
              <w:rPr>
                <w:color w:val="auto"/>
              </w:rPr>
              <w:t xml:space="preserve">their healthcare provider </w:t>
            </w:r>
            <w:r w:rsidR="00AC7ED4">
              <w:rPr>
                <w:color w:val="auto"/>
              </w:rPr>
              <w:t xml:space="preserve">or specialist </w:t>
            </w:r>
            <w:r w:rsidR="003E7560">
              <w:rPr>
                <w:color w:val="auto"/>
              </w:rPr>
              <w:t>to collect a</w:t>
            </w:r>
            <w:r w:rsidR="00845BDC">
              <w:rPr>
                <w:color w:val="auto"/>
              </w:rPr>
              <w:t>nother</w:t>
            </w:r>
            <w:r w:rsidR="003E7560">
              <w:rPr>
                <w:color w:val="auto"/>
              </w:rPr>
              <w:t xml:space="preserve"> </w:t>
            </w:r>
            <w:r w:rsidR="00094098">
              <w:rPr>
                <w:color w:val="auto"/>
              </w:rPr>
              <w:t xml:space="preserve">type of </w:t>
            </w:r>
            <w:r w:rsidR="003E7560">
              <w:rPr>
                <w:color w:val="auto"/>
              </w:rPr>
              <w:t xml:space="preserve">sample for </w:t>
            </w:r>
            <w:r w:rsidR="00B44215">
              <w:rPr>
                <w:color w:val="auto"/>
              </w:rPr>
              <w:t xml:space="preserve">the next </w:t>
            </w:r>
            <w:r w:rsidR="00094098">
              <w:rPr>
                <w:color w:val="auto"/>
              </w:rPr>
              <w:t>step in cervical screening</w:t>
            </w:r>
            <w:r w:rsidR="003E7560">
              <w:rPr>
                <w:color w:val="auto"/>
              </w:rPr>
              <w:t>.</w:t>
            </w:r>
          </w:p>
          <w:p w14:paraId="0A9C234D" w14:textId="1314C136" w:rsidR="00037FE3" w:rsidRDefault="00037FE3" w:rsidP="00EC6908">
            <w:pPr>
              <w:pStyle w:val="Default"/>
              <w:spacing w:after="240"/>
            </w:pPr>
            <w:r>
              <w:t xml:space="preserve">MSAC reviewed the evidence and </w:t>
            </w:r>
            <w:r w:rsidR="002F5828">
              <w:t>concluded</w:t>
            </w:r>
            <w:r>
              <w:t xml:space="preserve"> that </w:t>
            </w:r>
            <w:r w:rsidR="002E22F6">
              <w:t xml:space="preserve">HPV testing using </w:t>
            </w:r>
            <w:r w:rsidR="003E7560">
              <w:t xml:space="preserve">self-collected samples </w:t>
            </w:r>
            <w:r w:rsidR="00C42E97">
              <w:t>is</w:t>
            </w:r>
            <w:r w:rsidR="003E7560">
              <w:t xml:space="preserve"> just as accurate as </w:t>
            </w:r>
            <w:r w:rsidR="002E22F6">
              <w:t xml:space="preserve">using </w:t>
            </w:r>
            <w:r>
              <w:t xml:space="preserve">clinician-collected samples. </w:t>
            </w:r>
            <w:r w:rsidR="002F5828">
              <w:t>MSAC expected that m</w:t>
            </w:r>
            <w:r>
              <w:t>aking self</w:t>
            </w:r>
            <w:r w:rsidR="00A92CAD">
              <w:noBreakHyphen/>
            </w:r>
            <w:r>
              <w:t xml:space="preserve">collection available to more people </w:t>
            </w:r>
            <w:r w:rsidR="002F5828">
              <w:t xml:space="preserve">would </w:t>
            </w:r>
            <w:r>
              <w:t xml:space="preserve">encourage more people to participate in </w:t>
            </w:r>
            <w:r w:rsidR="003E7560">
              <w:t>cervical screening</w:t>
            </w:r>
            <w:r>
              <w:t xml:space="preserve">. This would </w:t>
            </w:r>
            <w:r w:rsidR="00094098">
              <w:t xml:space="preserve">both </w:t>
            </w:r>
            <w:r>
              <w:t xml:space="preserve">increase costs to the government, </w:t>
            </w:r>
            <w:r w:rsidR="00094098">
              <w:t xml:space="preserve">and better achieve </w:t>
            </w:r>
            <w:r>
              <w:t>the</w:t>
            </w:r>
            <w:r w:rsidR="003E7560">
              <w:t xml:space="preserve"> </w:t>
            </w:r>
            <w:r>
              <w:t xml:space="preserve">aim of </w:t>
            </w:r>
            <w:r w:rsidR="003E7560">
              <w:t>cervical screening</w:t>
            </w:r>
            <w:r>
              <w:t>.</w:t>
            </w:r>
          </w:p>
          <w:p w14:paraId="5EA66B70" w14:textId="2AB3A9D7" w:rsidR="00037FE3" w:rsidRDefault="00037FE3" w:rsidP="00EC6908">
            <w:pPr>
              <w:pStyle w:val="Default"/>
              <w:spacing w:after="240"/>
              <w:rPr>
                <w:color w:val="auto"/>
              </w:rPr>
            </w:pPr>
            <w:r>
              <w:t xml:space="preserve">MSAC </w:t>
            </w:r>
            <w:r w:rsidR="00CC5B1A">
              <w:t>advised</w:t>
            </w:r>
            <w:r>
              <w:t xml:space="preserve"> that doctors and consumers would need education and support about the changes. Also a kit for self-collection would </w:t>
            </w:r>
            <w:r w:rsidR="00FA4036" w:rsidRPr="00AC7ED4">
              <w:t xml:space="preserve">ideally </w:t>
            </w:r>
            <w:r>
              <w:t>need to be commercially available</w:t>
            </w:r>
            <w:r w:rsidR="00FA4036" w:rsidRPr="00AC7ED4">
              <w:t xml:space="preserve"> (i.e. listed on the</w:t>
            </w:r>
            <w:r w:rsidR="007B06A2" w:rsidRPr="00AC7ED4">
              <w:t xml:space="preserve"> Australian Register of Therapeutic Goods</w:t>
            </w:r>
            <w:r w:rsidR="00FA4036" w:rsidRPr="00AC7ED4">
              <w:t>) to support broad roll-out of self-collection</w:t>
            </w:r>
            <w:r>
              <w:t>.</w:t>
            </w:r>
          </w:p>
          <w:p w14:paraId="783B7506" w14:textId="77777777" w:rsidR="00037FE3" w:rsidRDefault="00037FE3" w:rsidP="00EC6908">
            <w:pPr>
              <w:pStyle w:val="Default"/>
              <w:spacing w:after="24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1C056091" w14:textId="413C6142" w:rsidR="003E7560" w:rsidRPr="00673A62" w:rsidRDefault="00037FE3" w:rsidP="00B92134">
            <w:pPr>
              <w:pStyle w:val="Default"/>
              <w:spacing w:after="240"/>
              <w:rPr>
                <w:color w:val="auto"/>
              </w:rPr>
            </w:pPr>
            <w:r w:rsidRPr="00F6678C">
              <w:rPr>
                <w:color w:val="auto"/>
              </w:rPr>
              <w:t xml:space="preserve">MSAC supported </w:t>
            </w:r>
            <w:r>
              <w:rPr>
                <w:color w:val="auto"/>
              </w:rPr>
              <w:t>expand</w:t>
            </w:r>
            <w:r w:rsidR="003E7560">
              <w:rPr>
                <w:color w:val="auto"/>
              </w:rPr>
              <w:t>ing</w:t>
            </w:r>
            <w:r>
              <w:rPr>
                <w:color w:val="auto"/>
              </w:rPr>
              <w:t xml:space="preserve"> access to self-collection </w:t>
            </w:r>
            <w:r w:rsidR="003E7560">
              <w:rPr>
                <w:color w:val="auto"/>
              </w:rPr>
              <w:t>to include everyone eligible for c</w:t>
            </w:r>
            <w:r>
              <w:rPr>
                <w:color w:val="auto"/>
              </w:rPr>
              <w:t xml:space="preserve">ervical </w:t>
            </w:r>
            <w:r w:rsidR="003E7560">
              <w:rPr>
                <w:color w:val="auto"/>
              </w:rPr>
              <w:t>s</w:t>
            </w:r>
            <w:r>
              <w:rPr>
                <w:color w:val="auto"/>
              </w:rPr>
              <w:t>creening. MSAC considered self-collection to be safe and effective</w:t>
            </w:r>
            <w:r w:rsidR="004B6617">
              <w:rPr>
                <w:color w:val="auto"/>
              </w:rPr>
              <w:t xml:space="preserve">, and </w:t>
            </w:r>
            <w:r w:rsidR="00B92134">
              <w:rPr>
                <w:color w:val="auto"/>
              </w:rPr>
              <w:t xml:space="preserve">that it would </w:t>
            </w:r>
            <w:r w:rsidR="008C236F">
              <w:rPr>
                <w:color w:val="auto"/>
              </w:rPr>
              <w:t>likely</w:t>
            </w:r>
            <w:r w:rsidR="00CC5B1A">
              <w:rPr>
                <w:color w:val="auto"/>
              </w:rPr>
              <w:t xml:space="preserve"> </w:t>
            </w:r>
            <w:r w:rsidR="004B6617">
              <w:rPr>
                <w:color w:val="auto"/>
              </w:rPr>
              <w:t>increase participation in cervical screening</w:t>
            </w:r>
            <w:r>
              <w:rPr>
                <w:color w:val="auto"/>
              </w:rPr>
              <w:t>.</w:t>
            </w:r>
          </w:p>
        </w:tc>
      </w:tr>
    </w:tbl>
    <w:p w14:paraId="7447151B" w14:textId="13202545" w:rsidR="00550354" w:rsidRPr="00F715D1" w:rsidRDefault="00550354" w:rsidP="002F4063">
      <w:pPr>
        <w:pStyle w:val="Heading1"/>
      </w:pPr>
      <w:r w:rsidRPr="00F715D1">
        <w:t xml:space="preserve">Summary of consideration </w:t>
      </w:r>
      <w:r w:rsidR="00CC5B1A">
        <w:t>and rationale for MSAC’s advice</w:t>
      </w:r>
    </w:p>
    <w:p w14:paraId="58728A56" w14:textId="3779DDB4" w:rsidR="00037FE3" w:rsidRDefault="00037FE3" w:rsidP="00037FE3">
      <w:r>
        <w:t>MSAC</w:t>
      </w:r>
      <w:r w:rsidRPr="00F5788B">
        <w:t xml:space="preserve"> noted that the purpose of this application was to examine the evidence to support the change to the MBS to expan</w:t>
      </w:r>
      <w:r>
        <w:t>d</w:t>
      </w:r>
      <w:r w:rsidRPr="00F5788B">
        <w:t xml:space="preserve"> </w:t>
      </w:r>
      <w:r>
        <w:t>access to</w:t>
      </w:r>
      <w:r w:rsidRPr="00F5788B">
        <w:t xml:space="preserve"> self-collect</w:t>
      </w:r>
      <w:r>
        <w:t xml:space="preserve">ed samples under </w:t>
      </w:r>
      <w:r w:rsidRPr="00F5788B">
        <w:t xml:space="preserve">the NCSP. The expansion would allow self-collection (through </w:t>
      </w:r>
      <w:r>
        <w:t>primary care</w:t>
      </w:r>
      <w:r w:rsidRPr="00F5788B">
        <w:t>) to all eligible people with a cervix aged between 25 and 74</w:t>
      </w:r>
      <w:r>
        <w:t> </w:t>
      </w:r>
      <w:r w:rsidRPr="00F5788B">
        <w:t>years (about 6.8</w:t>
      </w:r>
      <w:r>
        <w:t>0–</w:t>
      </w:r>
      <w:r w:rsidRPr="00F5788B">
        <w:t>7.23 million people)</w:t>
      </w:r>
      <w:r>
        <w:t xml:space="preserve"> who have ever been sexually active</w:t>
      </w:r>
      <w:r w:rsidRPr="00F5788B">
        <w:t xml:space="preserve">. Self-collection is currently restricted to people 30 years and over who are overdue for a cervical screening test (CST) by 2 years or more, </w:t>
      </w:r>
      <w:r w:rsidR="004B6617">
        <w:t>in a population known to be under-screen</w:t>
      </w:r>
      <w:r w:rsidR="00B44215">
        <w:t>ed</w:t>
      </w:r>
      <w:r w:rsidR="004B6617">
        <w:t xml:space="preserve">, </w:t>
      </w:r>
      <w:r w:rsidRPr="00F5788B">
        <w:t xml:space="preserve">or who have never </w:t>
      </w:r>
      <w:r w:rsidR="00CC5B1A">
        <w:t xml:space="preserve">been </w:t>
      </w:r>
      <w:r w:rsidRPr="00F5788B">
        <w:t>screened.</w:t>
      </w:r>
    </w:p>
    <w:p w14:paraId="3D31E0E1" w14:textId="446BEE14" w:rsidR="00037FE3" w:rsidRPr="00F5788B" w:rsidRDefault="00037FE3" w:rsidP="00037FE3">
      <w:r>
        <w:t>MSAC noted the Department-contracted assessment report (DCAR). Entities involved in framing the application were the Standing Committee on Screening and the Self-Collection Expert Advisory Group</w:t>
      </w:r>
      <w:r w:rsidR="005A044B">
        <w:t xml:space="preserve"> (SCEAG)</w:t>
      </w:r>
      <w:r>
        <w:t xml:space="preserve">. The DCAR focused on </w:t>
      </w:r>
      <w:r w:rsidR="004B6617">
        <w:t xml:space="preserve">the </w:t>
      </w:r>
      <w:r>
        <w:t xml:space="preserve">comparative analytical performance of </w:t>
      </w:r>
      <w:r w:rsidR="00CC5B1A">
        <w:t xml:space="preserve">HPV testing based on </w:t>
      </w:r>
      <w:r>
        <w:t xml:space="preserve">self-collected versus clinician-collected samples, and </w:t>
      </w:r>
      <w:r w:rsidR="00CC5B1A">
        <w:t xml:space="preserve">on </w:t>
      </w:r>
      <w:r>
        <w:t>provid</w:t>
      </w:r>
      <w:r w:rsidR="004B6617">
        <w:t>ing</w:t>
      </w:r>
      <w:r>
        <w:t xml:space="preserve"> </w:t>
      </w:r>
      <w:r w:rsidR="00CC5B1A">
        <w:t xml:space="preserve">a </w:t>
      </w:r>
      <w:r>
        <w:t>financial impact analysis.</w:t>
      </w:r>
      <w:r w:rsidR="00861E90">
        <w:t xml:space="preserve"> </w:t>
      </w:r>
      <w:r w:rsidR="00861E90">
        <w:rPr>
          <w:color w:val="000000"/>
        </w:rPr>
        <w:t>M</w:t>
      </w:r>
      <w:r w:rsidR="00861E90" w:rsidRPr="00F5788B">
        <w:rPr>
          <w:color w:val="000000"/>
        </w:rPr>
        <w:t>S</w:t>
      </w:r>
      <w:r w:rsidR="00861E90">
        <w:rPr>
          <w:color w:val="000000"/>
        </w:rPr>
        <w:t>A</w:t>
      </w:r>
      <w:r w:rsidR="00861E90" w:rsidRPr="00F5788B">
        <w:rPr>
          <w:color w:val="000000"/>
        </w:rPr>
        <w:t xml:space="preserve">C noted the </w:t>
      </w:r>
      <w:r w:rsidR="00E5603B">
        <w:rPr>
          <w:color w:val="000000"/>
        </w:rPr>
        <w:t xml:space="preserve">complementary </w:t>
      </w:r>
      <w:r w:rsidR="00861E90" w:rsidRPr="00F5788B">
        <w:rPr>
          <w:color w:val="000000"/>
        </w:rPr>
        <w:t xml:space="preserve">feedback </w:t>
      </w:r>
      <w:r w:rsidR="00861E90">
        <w:rPr>
          <w:color w:val="000000"/>
        </w:rPr>
        <w:t xml:space="preserve">via </w:t>
      </w:r>
      <w:r w:rsidR="00861E90" w:rsidRPr="00F5788B">
        <w:rPr>
          <w:color w:val="000000"/>
        </w:rPr>
        <w:t>the public consultation</w:t>
      </w:r>
      <w:r w:rsidR="00861E90">
        <w:rPr>
          <w:color w:val="000000"/>
        </w:rPr>
        <w:t xml:space="preserve"> arrangement</w:t>
      </w:r>
      <w:r w:rsidR="00861E90" w:rsidRPr="00F5788B">
        <w:rPr>
          <w:color w:val="000000"/>
        </w:rPr>
        <w:t>s</w:t>
      </w:r>
      <w:r w:rsidR="00861E90">
        <w:rPr>
          <w:color w:val="000000"/>
        </w:rPr>
        <w:t xml:space="preserve"> was </w:t>
      </w:r>
      <w:r w:rsidR="00E5603B">
        <w:rPr>
          <w:color w:val="000000"/>
        </w:rPr>
        <w:t xml:space="preserve">extensive and </w:t>
      </w:r>
      <w:r w:rsidR="00861E90" w:rsidRPr="00F5788B">
        <w:rPr>
          <w:color w:val="000000"/>
        </w:rPr>
        <w:t xml:space="preserve">largely positive, </w:t>
      </w:r>
      <w:r w:rsidR="00861E90">
        <w:rPr>
          <w:color w:val="000000"/>
        </w:rPr>
        <w:t xml:space="preserve">indicating in particular </w:t>
      </w:r>
      <w:r w:rsidR="00861E90" w:rsidRPr="00F5788B">
        <w:rPr>
          <w:color w:val="000000"/>
        </w:rPr>
        <w:t xml:space="preserve">that increased self-collection may lead to increased </w:t>
      </w:r>
      <w:r w:rsidR="00861E90">
        <w:rPr>
          <w:color w:val="000000"/>
        </w:rPr>
        <w:t>participation in cervical screening</w:t>
      </w:r>
      <w:r w:rsidR="00861E90" w:rsidRPr="00F5788B">
        <w:rPr>
          <w:color w:val="000000"/>
        </w:rPr>
        <w:t xml:space="preserve"> in hard-to-reach communities</w:t>
      </w:r>
      <w:r w:rsidR="00861E90">
        <w:rPr>
          <w:color w:val="000000"/>
        </w:rPr>
        <w:t>.</w:t>
      </w:r>
    </w:p>
    <w:p w14:paraId="3D8CF733" w14:textId="076200E0" w:rsidR="00037FE3" w:rsidRDefault="00037FE3" w:rsidP="00037FE3">
      <w:r>
        <w:t xml:space="preserve">MSAC </w:t>
      </w:r>
      <w:r w:rsidR="00CC5B1A">
        <w:t xml:space="preserve">supported </w:t>
      </w:r>
      <w:r>
        <w:t xml:space="preserve">the proposed changes to the item descriptors for </w:t>
      </w:r>
      <w:r w:rsidR="009910CF">
        <w:t xml:space="preserve">self-collected vaginal specimens </w:t>
      </w:r>
      <w:r w:rsidR="00700BDD">
        <w:t>(MBS items 7</w:t>
      </w:r>
      <w:r w:rsidR="00501E4C">
        <w:t>3</w:t>
      </w:r>
      <w:r w:rsidR="00700BDD">
        <w:t xml:space="preserve">071 and 73073) </w:t>
      </w:r>
      <w:r w:rsidR="009910CF">
        <w:t>to facilitate wider uptake of self-collection for HPV testing</w:t>
      </w:r>
      <w:r>
        <w:t>.</w:t>
      </w:r>
    </w:p>
    <w:p w14:paraId="63F422BC" w14:textId="7B994B94" w:rsidR="00037FE3" w:rsidRDefault="00037FE3" w:rsidP="00037FE3">
      <w:r>
        <w:t>MSAC noted the large body of evidence presented in the DCAR show</w:t>
      </w:r>
      <w:r w:rsidR="004B6617">
        <w:t>ed</w:t>
      </w:r>
      <w:r>
        <w:t xml:space="preserve"> no </w:t>
      </w:r>
      <w:r w:rsidR="009910CF">
        <w:t xml:space="preserve">material </w:t>
      </w:r>
      <w:r>
        <w:t xml:space="preserve">difference in </w:t>
      </w:r>
      <w:r w:rsidR="002E22F6">
        <w:t xml:space="preserve">the </w:t>
      </w:r>
      <w:r>
        <w:t xml:space="preserve">diagnostic accuracy </w:t>
      </w:r>
      <w:r w:rsidR="009910CF">
        <w:t xml:space="preserve">of HPV testing </w:t>
      </w:r>
      <w:r>
        <w:t xml:space="preserve">between </w:t>
      </w:r>
      <w:r w:rsidR="009910CF">
        <w:t xml:space="preserve">using </w:t>
      </w:r>
      <w:r>
        <w:t>self-collected and clinician-collected samples</w:t>
      </w:r>
      <w:r w:rsidR="00462AA6">
        <w:t xml:space="preserve"> (relative sensitivity = 0.98; 95% C</w:t>
      </w:r>
      <w:r w:rsidR="00A92FAD">
        <w:t>I</w:t>
      </w:r>
      <w:r w:rsidR="00462AA6">
        <w:t>: 0.96 to 1.01; relative specificity = 0.99; 95% CI: 0.98 to 1.01)</w:t>
      </w:r>
      <w:r>
        <w:t xml:space="preserve">. MSAC noted that the DCAR had included the studies that were most relevant to the Australian setting, which led to </w:t>
      </w:r>
      <w:r w:rsidR="009910CF">
        <w:t xml:space="preserve">small numerical </w:t>
      </w:r>
      <w:r>
        <w:t xml:space="preserve">differences compared with the </w:t>
      </w:r>
      <w:r w:rsidR="004B6617">
        <w:t xml:space="preserve">meta-analysis by </w:t>
      </w:r>
      <w:proofErr w:type="spellStart"/>
      <w:r>
        <w:t>Arbyn</w:t>
      </w:r>
      <w:proofErr w:type="spellEnd"/>
      <w:r>
        <w:t xml:space="preserve"> </w:t>
      </w:r>
      <w:r w:rsidRPr="007E0430">
        <w:t>et al.</w:t>
      </w:r>
      <w:r>
        <w:rPr>
          <w:rStyle w:val="FootnoteReference"/>
        </w:rPr>
        <w:footnoteReference w:id="2"/>
      </w:r>
      <w:r w:rsidR="00B92134">
        <w:t>.</w:t>
      </w:r>
      <w:r w:rsidR="004B6617">
        <w:t xml:space="preserve"> MSAC accepted that </w:t>
      </w:r>
      <w:r w:rsidR="00592921">
        <w:t xml:space="preserve">these differences were explained </w:t>
      </w:r>
      <w:r w:rsidR="004B6617">
        <w:t xml:space="preserve">by </w:t>
      </w:r>
      <w:r w:rsidR="00592921">
        <w:t xml:space="preserve">the </w:t>
      </w:r>
      <w:r w:rsidR="004B6617">
        <w:t>differences in the inclusion criteria</w:t>
      </w:r>
      <w:r w:rsidR="00592921">
        <w:t xml:space="preserve"> across the meta-analyses</w:t>
      </w:r>
      <w:r w:rsidR="004B6617">
        <w:t>.</w:t>
      </w:r>
      <w:r>
        <w:t xml:space="preserve"> MSAC also noted that the DCAR had downgraded the overall quality of evidence to be low</w:t>
      </w:r>
      <w:r w:rsidR="004B6617">
        <w:t>,</w:t>
      </w:r>
      <w:r>
        <w:t xml:space="preserve"> however, MSAC considered that </w:t>
      </w:r>
      <w:r w:rsidR="004B6617">
        <w:t xml:space="preserve">more confidence can be given to </w:t>
      </w:r>
      <w:r w:rsidR="00EC14F4">
        <w:t xml:space="preserve">the pooled </w:t>
      </w:r>
      <w:r w:rsidR="004B6617">
        <w:t>estimates of diagnostic accuracy</w:t>
      </w:r>
      <w:r>
        <w:t xml:space="preserve">, </w:t>
      </w:r>
      <w:r w:rsidR="004B6617">
        <w:t>due to</w:t>
      </w:r>
      <w:r>
        <w:t xml:space="preserve"> the </w:t>
      </w:r>
      <w:r w:rsidR="009910CF">
        <w:t>large sample size</w:t>
      </w:r>
      <w:r w:rsidR="004B6617">
        <w:t xml:space="preserve"> and </w:t>
      </w:r>
      <w:r>
        <w:t xml:space="preserve">consistency of the </w:t>
      </w:r>
      <w:r w:rsidR="009910CF">
        <w:t xml:space="preserve">overall </w:t>
      </w:r>
      <w:r>
        <w:t>evidence base.</w:t>
      </w:r>
    </w:p>
    <w:p w14:paraId="27E583E1" w14:textId="0848886A" w:rsidR="00037FE3" w:rsidRDefault="00037FE3" w:rsidP="00037FE3">
      <w:r>
        <w:t xml:space="preserve">MSAC noted </w:t>
      </w:r>
      <w:r w:rsidR="00E64ACA">
        <w:t xml:space="preserve">the participation rate </w:t>
      </w:r>
      <w:r w:rsidR="005A044B">
        <w:t xml:space="preserve">within the National Cervical Screening Program </w:t>
      </w:r>
      <w:r w:rsidR="00E64ACA">
        <w:t>of 46.3%</w:t>
      </w:r>
      <w:r w:rsidR="00E64ACA">
        <w:rPr>
          <w:rStyle w:val="FootnoteReference"/>
        </w:rPr>
        <w:footnoteReference w:id="3"/>
      </w:r>
      <w:r w:rsidR="00E86415">
        <w:t xml:space="preserve"> over the two years 2018-19</w:t>
      </w:r>
      <w:r w:rsidR="00E64ACA">
        <w:t xml:space="preserve">, and </w:t>
      </w:r>
      <w:r>
        <w:t xml:space="preserve">the DCAR’s finding that </w:t>
      </w:r>
      <w:r w:rsidR="00BD2BDA">
        <w:t xml:space="preserve">people offered HPV testing using self-collected vaginal samples were more than twice as likely to participate in cervical screening, compared with those offered testing on a clinician-collected sample </w:t>
      </w:r>
      <w:r>
        <w:t>(</w:t>
      </w:r>
      <w:r w:rsidR="00861E90">
        <w:t>overall relative participation rate = 2.07; 95% CI: 1.78 to 2.41</w:t>
      </w:r>
      <w:r>
        <w:t xml:space="preserve">), with adherence to </w:t>
      </w:r>
      <w:r w:rsidR="00592921">
        <w:t xml:space="preserve">subsequent </w:t>
      </w:r>
      <w:r>
        <w:t xml:space="preserve">follow-up </w:t>
      </w:r>
      <w:r w:rsidR="004B6617">
        <w:t>estimated to be</w:t>
      </w:r>
      <w:r>
        <w:t xml:space="preserve"> 80.7% (95% CI</w:t>
      </w:r>
      <w:r w:rsidR="00592921">
        <w:t>:</w:t>
      </w:r>
      <w:r>
        <w:t xml:space="preserve"> 75.5</w:t>
      </w:r>
      <w:r w:rsidR="00592921">
        <w:t xml:space="preserve">% to </w:t>
      </w:r>
      <w:r>
        <w:t xml:space="preserve">85.1%). MSAC noted that studies using an opt-in approach </w:t>
      </w:r>
      <w:r w:rsidR="00EC14F4">
        <w:t xml:space="preserve">for inviting individuals to participate in screening </w:t>
      </w:r>
      <w:r>
        <w:t xml:space="preserve">were the most similar to the Australian context and had the highest </w:t>
      </w:r>
      <w:r w:rsidR="00EC14F4">
        <w:t xml:space="preserve">relative </w:t>
      </w:r>
      <w:r>
        <w:t xml:space="preserve">participation rate. MSAC </w:t>
      </w:r>
      <w:r w:rsidR="00592921">
        <w:t xml:space="preserve">noted </w:t>
      </w:r>
      <w:r>
        <w:t>that continuing to encourage people to interact with a clinician was preferred (and supported by consultation feedback)</w:t>
      </w:r>
      <w:r w:rsidR="00592921">
        <w:t xml:space="preserve"> for other reasons beyond increasing participation rates</w:t>
      </w:r>
      <w:r>
        <w:t>.</w:t>
      </w:r>
      <w:r w:rsidR="004B6617">
        <w:t xml:space="preserve"> </w:t>
      </w:r>
      <w:r w:rsidR="00592921">
        <w:t xml:space="preserve">However </w:t>
      </w:r>
      <w:r w:rsidR="004B6617">
        <w:t xml:space="preserve">MSAC </w:t>
      </w:r>
      <w:r w:rsidR="00592921">
        <w:t xml:space="preserve">indicated </w:t>
      </w:r>
      <w:r w:rsidR="004B6617">
        <w:t xml:space="preserve">that </w:t>
      </w:r>
      <w:r w:rsidR="00592921">
        <w:t xml:space="preserve">the evidence presented in the DCAR suggested that </w:t>
      </w:r>
      <w:r w:rsidR="004B6617">
        <w:t>other invitation scenarios</w:t>
      </w:r>
      <w:r w:rsidR="00592921">
        <w:t>, such as a complementary mail-out test kit,</w:t>
      </w:r>
      <w:r w:rsidR="004B6617">
        <w:t xml:space="preserve"> </w:t>
      </w:r>
      <w:r w:rsidR="00592921">
        <w:t>could be considered in the future as this</w:t>
      </w:r>
      <w:r w:rsidR="00233C67">
        <w:t xml:space="preserve"> would likely further increase participation</w:t>
      </w:r>
      <w:r w:rsidR="00E5603B">
        <w:t xml:space="preserve"> rates</w:t>
      </w:r>
      <w:r w:rsidR="00233C67">
        <w:t>.</w:t>
      </w:r>
    </w:p>
    <w:p w14:paraId="2B0112B3" w14:textId="358C7B0F" w:rsidR="00037FE3" w:rsidRDefault="00037FE3" w:rsidP="00037FE3">
      <w:r>
        <w:t xml:space="preserve">MSAC </w:t>
      </w:r>
      <w:r w:rsidR="002F5828">
        <w:t xml:space="preserve">considered </w:t>
      </w:r>
      <w:r>
        <w:t xml:space="preserve">that broadening access to self-collection would be </w:t>
      </w:r>
      <w:r w:rsidR="002F5828">
        <w:t xml:space="preserve">expected </w:t>
      </w:r>
      <w:r>
        <w:t xml:space="preserve">to increase </w:t>
      </w:r>
      <w:r w:rsidR="002F5828">
        <w:t xml:space="preserve">cervical </w:t>
      </w:r>
      <w:r>
        <w:t xml:space="preserve">screening in </w:t>
      </w:r>
      <w:r w:rsidR="002F5828">
        <w:t xml:space="preserve">known </w:t>
      </w:r>
      <w:r>
        <w:t xml:space="preserve">under-screened populations </w:t>
      </w:r>
      <w:r w:rsidR="00EC14F4">
        <w:t xml:space="preserve">in particular, </w:t>
      </w:r>
      <w:r w:rsidR="002F5828">
        <w:t xml:space="preserve">but may </w:t>
      </w:r>
      <w:r>
        <w:t>also prompt switching among the currently screened population from clinician-collected to self-collected samples. MSAC noted that this would increase costs to the government</w:t>
      </w:r>
      <w:r w:rsidR="00906FFF">
        <w:t xml:space="preserve"> to a varying extent depending on the underlying assumptions</w:t>
      </w:r>
      <w:r>
        <w:t xml:space="preserve">, but </w:t>
      </w:r>
      <w:r w:rsidR="00592921">
        <w:t xml:space="preserve">advised </w:t>
      </w:r>
      <w:r>
        <w:t xml:space="preserve">that </w:t>
      </w:r>
      <w:r w:rsidR="00592921">
        <w:t>th</w:t>
      </w:r>
      <w:r w:rsidR="00906FFF">
        <w:t xml:space="preserve">e increased costs would be </w:t>
      </w:r>
      <w:r w:rsidR="00592921">
        <w:t xml:space="preserve">justified because </w:t>
      </w:r>
      <w:r>
        <w:t>maximising screening</w:t>
      </w:r>
      <w:r w:rsidR="00233C67">
        <w:t xml:space="preserve"> participation</w:t>
      </w:r>
      <w:r>
        <w:t xml:space="preserve"> is the intent of a screening program, and the main benefit is in </w:t>
      </w:r>
      <w:r w:rsidR="00233C67">
        <w:t>reducing</w:t>
      </w:r>
      <w:r>
        <w:t xml:space="preserve"> future </w:t>
      </w:r>
      <w:r w:rsidR="00233C67">
        <w:t xml:space="preserve">cancer rates and their associated treatment </w:t>
      </w:r>
      <w:r>
        <w:t>costs.</w:t>
      </w:r>
    </w:p>
    <w:p w14:paraId="2535F526" w14:textId="7D6BF2FD" w:rsidR="00550354" w:rsidRPr="00233C67" w:rsidRDefault="00037FE3" w:rsidP="002F4063">
      <w:pPr>
        <w:rPr>
          <w:i/>
        </w:rPr>
      </w:pPr>
      <w:r>
        <w:t xml:space="preserve">MSAC noted several implementation issues, including supporting changes in clinician behaviour through education, and potentially empowering consumers to initiate a conversation about </w:t>
      </w:r>
      <w:r w:rsidR="001A7CE7">
        <w:t xml:space="preserve">cervical </w:t>
      </w:r>
      <w:r>
        <w:t>screening with their clinician. Importantly, there is not currently a commercially available self-collection kit that is registered on the ARTG</w:t>
      </w:r>
      <w:r w:rsidR="00233C67">
        <w:t xml:space="preserve"> for this purpose</w:t>
      </w:r>
      <w:r>
        <w:t xml:space="preserve">. MSAC noted that the kit would likely be the same as the kit </w:t>
      </w:r>
      <w:r w:rsidR="00233C67">
        <w:t xml:space="preserve">already being </w:t>
      </w:r>
      <w:r>
        <w:t xml:space="preserve">used for respiratory sampling (e.g. for COVID-19 tests), </w:t>
      </w:r>
      <w:r w:rsidR="00233C67">
        <w:t xml:space="preserve">but that this </w:t>
      </w:r>
      <w:r w:rsidR="00E5603B">
        <w:t xml:space="preserve">currently </w:t>
      </w:r>
      <w:r w:rsidR="00233C67">
        <w:t xml:space="preserve">represents an ‘off-label’ use for that kit. MSAC </w:t>
      </w:r>
      <w:r w:rsidR="00E5603B">
        <w:t xml:space="preserve">also </w:t>
      </w:r>
      <w:r w:rsidR="00233C67">
        <w:t xml:space="preserve">expected </w:t>
      </w:r>
      <w:r>
        <w:t xml:space="preserve">that </w:t>
      </w:r>
      <w:r w:rsidR="005A044B">
        <w:t xml:space="preserve">should a commercially available test </w:t>
      </w:r>
      <w:r w:rsidR="00615212">
        <w:t>b</w:t>
      </w:r>
      <w:r w:rsidR="005A044B">
        <w:t>e listed on the ARTG,</w:t>
      </w:r>
      <w:r>
        <w:t xml:space="preserve"> laboratories </w:t>
      </w:r>
      <w:r w:rsidR="00233C67">
        <w:t>sh</w:t>
      </w:r>
      <w:r>
        <w:t xml:space="preserve">ould be able to </w:t>
      </w:r>
      <w:r w:rsidR="005A044B">
        <w:t xml:space="preserve">support </w:t>
      </w:r>
      <w:r>
        <w:t xml:space="preserve">the use of these </w:t>
      </w:r>
      <w:r w:rsidR="00233C67">
        <w:t>kit</w:t>
      </w:r>
      <w:r>
        <w:t>s</w:t>
      </w:r>
      <w:r w:rsidR="00233C67">
        <w:t xml:space="preserve"> for self-collected cervical screening tests</w:t>
      </w:r>
      <w:r>
        <w:t>.</w:t>
      </w:r>
    </w:p>
    <w:p w14:paraId="220A87C7" w14:textId="77777777" w:rsidR="00BC1364" w:rsidRPr="00F715D1" w:rsidRDefault="00BC1364" w:rsidP="002F4063">
      <w:pPr>
        <w:pStyle w:val="Heading1"/>
      </w:pPr>
      <w:r w:rsidRPr="00F715D1">
        <w:t>Background</w:t>
      </w:r>
    </w:p>
    <w:p w14:paraId="2E83FB14" w14:textId="77777777" w:rsidR="002668AE" w:rsidRDefault="002668AE" w:rsidP="002668AE">
      <w:r>
        <w:t xml:space="preserve">The NCSP Renewal was considered by MSAC in 2013 and 2014 </w:t>
      </w:r>
      <w:r w:rsidRPr="00493CAF">
        <w:t>(</w:t>
      </w:r>
      <w:hyperlink r:id="rId10" w:history="1">
        <w:r>
          <w:rPr>
            <w:rStyle w:val="Hyperlink"/>
          </w:rPr>
          <w:t>MSAC a</w:t>
        </w:r>
        <w:r w:rsidRPr="00493CAF">
          <w:rPr>
            <w:rStyle w:val="Hyperlink"/>
          </w:rPr>
          <w:t>pplication 1276</w:t>
        </w:r>
      </w:hyperlink>
      <w:r w:rsidRPr="00493CAF">
        <w:t>)</w:t>
      </w:r>
      <w:r>
        <w:t>. The multi-tiered</w:t>
      </w:r>
      <w:r w:rsidRPr="00493CAF">
        <w:t xml:space="preserve"> application</w:t>
      </w:r>
      <w:r>
        <w:t xml:space="preserve"> allowed</w:t>
      </w:r>
      <w:r w:rsidRPr="00493CAF">
        <w:t xml:space="preserve"> for consideration of </w:t>
      </w:r>
      <w:r>
        <w:t xml:space="preserve">a range of aspects of the screening program, including </w:t>
      </w:r>
      <w:r w:rsidRPr="00493CAF">
        <w:t>the cost-effectiveness of different screening tests and pathways.</w:t>
      </w:r>
      <w:r>
        <w:t xml:space="preserve"> At its April 2014 meeting, MSAC supported </w:t>
      </w:r>
      <w:r w:rsidRPr="003C51EA">
        <w:t xml:space="preserve">self-collection for under-screened </w:t>
      </w:r>
      <w:r>
        <w:t>and never-screened wome</w:t>
      </w:r>
      <w:r w:rsidRPr="003C51EA">
        <w:t xml:space="preserve">n, </w:t>
      </w:r>
      <w:r>
        <w:t>that</w:t>
      </w:r>
      <w:r w:rsidRPr="003C51EA">
        <w:t xml:space="preserve"> has been facilitated by a medical or nurse practitioner (or on behalf of a medical practitioner) who also offers mainstream cervical screening</w:t>
      </w:r>
      <w:r>
        <w:rPr>
          <w:rStyle w:val="FootnoteReference"/>
        </w:rPr>
        <w:footnoteReference w:id="4"/>
      </w:r>
      <w:r w:rsidRPr="003C51EA">
        <w:t>.</w:t>
      </w:r>
      <w:r>
        <w:t xml:space="preserve"> MSAC made this recommendation on the basis that it </w:t>
      </w:r>
      <w:r w:rsidRPr="003C51EA">
        <w:t>would enable an acceptable option for cervical scree</w:t>
      </w:r>
      <w:r>
        <w:t>ning amongst hard to reach groups.</w:t>
      </w:r>
    </w:p>
    <w:p w14:paraId="00183D9D" w14:textId="566C9C24" w:rsidR="002668AE" w:rsidRDefault="002668AE" w:rsidP="002668AE">
      <w:r w:rsidRPr="00493CAF">
        <w:t xml:space="preserve">In </w:t>
      </w:r>
      <w:r>
        <w:t xml:space="preserve">December </w:t>
      </w:r>
      <w:r w:rsidRPr="00493CAF">
        <w:t xml:space="preserve">2017, </w:t>
      </w:r>
      <w:r>
        <w:t>the NCSP Renewal included implementation of a</w:t>
      </w:r>
      <w:r w:rsidR="001A7CE7">
        <w:t>n option</w:t>
      </w:r>
      <w:r>
        <w:t xml:space="preserve"> </w:t>
      </w:r>
      <w:r w:rsidR="001A7CE7">
        <w:t xml:space="preserve">for </w:t>
      </w:r>
      <w:r>
        <w:t xml:space="preserve">self-collection </w:t>
      </w:r>
      <w:r w:rsidR="001A7CE7">
        <w:t>of the sample to be used for HPV testing</w:t>
      </w:r>
      <w:r w:rsidRPr="00493CAF">
        <w:t xml:space="preserve"> </w:t>
      </w:r>
      <w:r>
        <w:t>(</w:t>
      </w:r>
      <w:hyperlink r:id="rId11" w:history="1">
        <w:r w:rsidRPr="000D0783">
          <w:rPr>
            <w:rStyle w:val="Hyperlink"/>
          </w:rPr>
          <w:t>MBS item 73071</w:t>
        </w:r>
      </w:hyperlink>
      <w:r>
        <w:t>) for</w:t>
      </w:r>
      <w:r w:rsidRPr="00493CAF">
        <w:t xml:space="preserve"> </w:t>
      </w:r>
      <w:r w:rsidR="001A7CE7">
        <w:t>patients</w:t>
      </w:r>
      <w:r w:rsidRPr="00493CAF">
        <w:t xml:space="preserve"> who are over 30 and who have never participated or who are under-screened</w:t>
      </w:r>
      <w:r>
        <w:rPr>
          <w:rStyle w:val="FootnoteReference"/>
        </w:rPr>
        <w:footnoteReference w:id="5"/>
      </w:r>
      <w:r>
        <w:t>, including patients overdue by at least two years</w:t>
      </w:r>
      <w:r w:rsidRPr="00493CAF">
        <w:t>.</w:t>
      </w:r>
    </w:p>
    <w:p w14:paraId="50B78421" w14:textId="041476FE" w:rsidR="002668AE" w:rsidRDefault="002668AE" w:rsidP="002668AE">
      <w:r>
        <w:t xml:space="preserve">At its October 2019 meeting, the MSAC Executive noted that </w:t>
      </w:r>
      <w:r w:rsidRPr="00C9107F">
        <w:t>the Standing Committee on Screening of the Australian Health Mini</w:t>
      </w:r>
      <w:r>
        <w:t>sters’ Advisory Council had endorsed short-term and long-term modifications to the NCSP self-collection policy. T</w:t>
      </w:r>
      <w:r w:rsidRPr="00C9107F">
        <w:t xml:space="preserve">he Department convened </w:t>
      </w:r>
      <w:proofErr w:type="gramStart"/>
      <w:r w:rsidRPr="00C9107F">
        <w:t>the  SCEAG</w:t>
      </w:r>
      <w:proofErr w:type="gramEnd"/>
      <w:r w:rsidR="005A044B">
        <w:t xml:space="preserve"> </w:t>
      </w:r>
      <w:r w:rsidRPr="00C9107F">
        <w:t xml:space="preserve">to review the recommendations from </w:t>
      </w:r>
      <w:proofErr w:type="spellStart"/>
      <w:r w:rsidRPr="00C9107F">
        <w:t>SCoS</w:t>
      </w:r>
      <w:proofErr w:type="spellEnd"/>
      <w:r w:rsidRPr="00C9107F">
        <w:t>, consider emerging issues, and contribute to a consultation process a</w:t>
      </w:r>
      <w:r>
        <w:t>nd implementation plan.</w:t>
      </w:r>
    </w:p>
    <w:p w14:paraId="6C530511" w14:textId="77777777" w:rsidR="002668AE" w:rsidRPr="00C9107F" w:rsidRDefault="002668AE" w:rsidP="002668AE">
      <w:r w:rsidRPr="00C9107F">
        <w:t xml:space="preserve">At </w:t>
      </w:r>
      <w:r>
        <w:t>its</w:t>
      </w:r>
      <w:r w:rsidRPr="00C9107F">
        <w:t xml:space="preserve"> January 2020 meeting, SCEAG recommended that: </w:t>
      </w:r>
    </w:p>
    <w:p w14:paraId="47F647F3" w14:textId="77777777" w:rsidR="002668AE" w:rsidRPr="00C9107F" w:rsidRDefault="002668AE" w:rsidP="002668AE">
      <w:pPr>
        <w:pStyle w:val="ListParagraph"/>
        <w:numPr>
          <w:ilvl w:val="0"/>
          <w:numId w:val="37"/>
        </w:numPr>
        <w:spacing w:after="0"/>
        <w:rPr>
          <w:bCs/>
        </w:rPr>
      </w:pPr>
      <w:r w:rsidRPr="00C9107F">
        <w:rPr>
          <w:bCs/>
        </w:rPr>
        <w:t xml:space="preserve">the policy be modified to allow </w:t>
      </w:r>
      <w:r w:rsidRPr="00C9107F">
        <w:rPr>
          <w:b/>
          <w:bCs/>
        </w:rPr>
        <w:t>all</w:t>
      </w:r>
      <w:r w:rsidRPr="00C9107F">
        <w:rPr>
          <w:bCs/>
        </w:rPr>
        <w:t xml:space="preserve"> eligible people a </w:t>
      </w:r>
      <w:r w:rsidRPr="00C9107F">
        <w:rPr>
          <w:b/>
          <w:bCs/>
        </w:rPr>
        <w:t>choice</w:t>
      </w:r>
      <w:r w:rsidRPr="00C9107F">
        <w:rPr>
          <w:bCs/>
        </w:rPr>
        <w:t xml:space="preserve"> between a self</w:t>
      </w:r>
      <w:r w:rsidRPr="00C9107F">
        <w:rPr>
          <w:bCs/>
        </w:rPr>
        <w:noBreakHyphen/>
        <w:t>collected or a clinician-collected sample</w:t>
      </w:r>
      <w:r>
        <w:rPr>
          <w:bCs/>
        </w:rPr>
        <w:t xml:space="preserve">, </w:t>
      </w:r>
      <w:r w:rsidRPr="00C9107F">
        <w:rPr>
          <w:bCs/>
        </w:rPr>
        <w:t xml:space="preserve">both accessed through a healthcare provider; and </w:t>
      </w:r>
    </w:p>
    <w:p w14:paraId="16EC0E2E" w14:textId="29278C73" w:rsidR="002668AE" w:rsidRDefault="002668AE" w:rsidP="002668AE">
      <w:pPr>
        <w:pStyle w:val="ListParagraph"/>
        <w:numPr>
          <w:ilvl w:val="0"/>
          <w:numId w:val="37"/>
        </w:numPr>
        <w:spacing w:after="0"/>
      </w:pPr>
      <w:proofErr w:type="gramStart"/>
      <w:r w:rsidRPr="00C9107F">
        <w:t>the</w:t>
      </w:r>
      <w:proofErr w:type="gramEnd"/>
      <w:r w:rsidRPr="00C9107F">
        <w:t xml:space="preserve"> policy change be implemented universally and </w:t>
      </w:r>
      <w:r w:rsidRPr="00C9107F">
        <w:rPr>
          <w:b/>
        </w:rPr>
        <w:t>without staging</w:t>
      </w:r>
      <w:r w:rsidRPr="00C9107F">
        <w:t xml:space="preserve"> (i.e. not via the two-phase process previously endorsed by S</w:t>
      </w:r>
      <w:r w:rsidR="005A044B">
        <w:t>tanding Committee on Screening</w:t>
      </w:r>
      <w:r w:rsidRPr="00C9107F">
        <w:t>).</w:t>
      </w:r>
    </w:p>
    <w:p w14:paraId="022CE889" w14:textId="5AE936BF" w:rsidR="00BC1364" w:rsidRPr="0041184F" w:rsidRDefault="002668AE" w:rsidP="00C86AF6">
      <w:pPr>
        <w:spacing w:before="240"/>
      </w:pPr>
      <w:r>
        <w:t>T</w:t>
      </w:r>
      <w:r w:rsidRPr="00C9107F">
        <w:t xml:space="preserve">he MSAC Executive </w:t>
      </w:r>
      <w:r>
        <w:t>advised in March 2020</w:t>
      </w:r>
      <w:r w:rsidRPr="00C9107F">
        <w:t xml:space="preserve"> that </w:t>
      </w:r>
      <w:r>
        <w:t xml:space="preserve">it remained appropriate that </w:t>
      </w:r>
      <w:r w:rsidRPr="00C9107F">
        <w:t xml:space="preserve">an assessment of clinical evidence on the analytical performance of </w:t>
      </w:r>
      <w:r w:rsidR="00700BDD">
        <w:t xml:space="preserve">HPV testing in the context of </w:t>
      </w:r>
      <w:r w:rsidRPr="00C9107F">
        <w:t>self-collected swabs compared</w:t>
      </w:r>
      <w:r>
        <w:t xml:space="preserve"> to clinician-collected samples</w:t>
      </w:r>
      <w:r w:rsidRPr="00C9107F">
        <w:t xml:space="preserve"> should be provided to ESC and MSAC.</w:t>
      </w:r>
      <w:r>
        <w:t xml:space="preserve"> A </w:t>
      </w:r>
      <w:r w:rsidR="00700BDD">
        <w:t>focussed</w:t>
      </w:r>
      <w:r>
        <w:t xml:space="preserve"> DCAR was commissioned. A report</w:t>
      </w:r>
      <w:r>
        <w:rPr>
          <w:rStyle w:val="FootnoteReference"/>
        </w:rPr>
        <w:footnoteReference w:id="6"/>
      </w:r>
      <w:r>
        <w:t xml:space="preserve"> containing additional modelling by the CCNSW was also commissioned, providing an alternative analysis of potential utilisation and net financial implications.</w:t>
      </w:r>
    </w:p>
    <w:p w14:paraId="0FE185A5" w14:textId="77777777" w:rsidR="00BC1364" w:rsidRPr="00F715D1" w:rsidRDefault="00BC1364" w:rsidP="002F4063">
      <w:pPr>
        <w:pStyle w:val="Heading1"/>
      </w:pPr>
      <w:r w:rsidRPr="00F715D1">
        <w:t>Prerequisites to implementation of any funding advice</w:t>
      </w:r>
    </w:p>
    <w:p w14:paraId="59D0D56C" w14:textId="57C69837" w:rsidR="00BC1364" w:rsidRPr="0041184F" w:rsidRDefault="002668AE" w:rsidP="002F4063">
      <w:r>
        <w:t xml:space="preserve">The laboratory requirements for cervical screening testing, including self-collected and clinician-collected samples, remain as described by the </w:t>
      </w:r>
      <w:r w:rsidRPr="00324A15">
        <w:rPr>
          <w:bCs/>
        </w:rPr>
        <w:t>National Pathology Accreditation Advisory Council</w:t>
      </w:r>
      <w:r w:rsidRPr="00324A15">
        <w:rPr>
          <w:b/>
          <w:bCs/>
        </w:rPr>
        <w:t xml:space="preserve"> </w:t>
      </w:r>
      <w:r>
        <w:rPr>
          <w:b/>
          <w:bCs/>
        </w:rPr>
        <w:t>(</w:t>
      </w:r>
      <w:r>
        <w:t>NPAAC)</w:t>
      </w:r>
      <w:r>
        <w:rPr>
          <w:rStyle w:val="FootnoteReference"/>
          <w:rFonts w:eastAsia="Calibri" w:cs="Calibri"/>
          <w:bCs/>
        </w:rPr>
        <w:footnoteReference w:id="7"/>
      </w:r>
      <w:r>
        <w:t>.</w:t>
      </w:r>
    </w:p>
    <w:p w14:paraId="3B986FD8" w14:textId="77777777" w:rsidR="00BC1364" w:rsidRPr="00F715D1" w:rsidRDefault="00BC1364" w:rsidP="002F4063">
      <w:pPr>
        <w:pStyle w:val="Heading1"/>
      </w:pPr>
      <w:r w:rsidRPr="00F715D1">
        <w:t>Proposal for public funding</w:t>
      </w:r>
    </w:p>
    <w:p w14:paraId="0F4BC906" w14:textId="17920A0B" w:rsidR="002668AE" w:rsidRDefault="002668AE" w:rsidP="002668AE">
      <w:r>
        <w:t xml:space="preserve">The proposal is that the eligibility criteria for self-collected samples for cervical screening be expanded to </w:t>
      </w:r>
      <w:r w:rsidRPr="005049F3">
        <w:t>include all people e</w:t>
      </w:r>
      <w:r>
        <w:t>ligible for cervical screening (</w:t>
      </w:r>
      <w:r w:rsidRPr="005049F3">
        <w:t>i.e. people with a cervix aged 25-74 years who have ever been sexually active</w:t>
      </w:r>
      <w:r>
        <w:t>)</w:t>
      </w:r>
      <w:r w:rsidRPr="005049F3">
        <w:t>.</w:t>
      </w:r>
    </w:p>
    <w:p w14:paraId="6289CF7E" w14:textId="69D5C79F" w:rsidR="002668AE" w:rsidRDefault="002668AE" w:rsidP="002668AE">
      <w:r>
        <w:t xml:space="preserve">Proposed changes to the existing MBS item descriptors for </w:t>
      </w:r>
      <w:r w:rsidR="00700BDD">
        <w:t xml:space="preserve">HPV testing of </w:t>
      </w:r>
      <w:r>
        <w:t>self-collected sample</w:t>
      </w:r>
      <w:r w:rsidR="00700BDD">
        <w:t>s for cervical screening</w:t>
      </w:r>
      <w:r>
        <w:t xml:space="preserve"> (</w:t>
      </w:r>
      <w:r w:rsidR="00700BDD">
        <w:t>MBS item 730</w:t>
      </w:r>
      <w:r w:rsidR="00E64ACA">
        <w:t>7</w:t>
      </w:r>
      <w:r w:rsidR="00700BDD">
        <w:t xml:space="preserve">1, </w:t>
      </w:r>
      <w:r w:rsidR="00A10F05">
        <w:fldChar w:fldCharType="begin"/>
      </w:r>
      <w:r w:rsidR="00A10F05">
        <w:instrText xml:space="preserve"> REF _Ref59712289 </w:instrText>
      </w:r>
      <w:r w:rsidR="00A10F05">
        <w:fldChar w:fldCharType="separate"/>
      </w:r>
      <w:r>
        <w:t xml:space="preserve">Table </w:t>
      </w:r>
      <w:r>
        <w:rPr>
          <w:noProof/>
        </w:rPr>
        <w:t>1</w:t>
      </w:r>
      <w:r w:rsidR="00A10F05">
        <w:rPr>
          <w:noProof/>
        </w:rPr>
        <w:fldChar w:fldCharType="end"/>
      </w:r>
      <w:r>
        <w:t xml:space="preserve">) and </w:t>
      </w:r>
      <w:r w:rsidR="008754BC">
        <w:t xml:space="preserve">for </w:t>
      </w:r>
      <w:r>
        <w:t>follow-up management (</w:t>
      </w:r>
      <w:r w:rsidR="008754BC">
        <w:t>MBS item 730</w:t>
      </w:r>
      <w:r w:rsidR="00E64ACA">
        <w:t>7</w:t>
      </w:r>
      <w:r w:rsidR="008754BC">
        <w:t xml:space="preserve">3, </w:t>
      </w:r>
      <w:r w:rsidR="00A10F05">
        <w:fldChar w:fldCharType="begin"/>
      </w:r>
      <w:r w:rsidR="00A10F05">
        <w:instrText xml:space="preserve"> REF _Ref60737677 </w:instrText>
      </w:r>
      <w:r w:rsidR="00A10F05">
        <w:fldChar w:fldCharType="separate"/>
      </w:r>
      <w:r>
        <w:t xml:space="preserve">Table </w:t>
      </w:r>
      <w:r>
        <w:rPr>
          <w:noProof/>
        </w:rPr>
        <w:t>2</w:t>
      </w:r>
      <w:r w:rsidR="00A10F05">
        <w:rPr>
          <w:noProof/>
        </w:rPr>
        <w:fldChar w:fldCharType="end"/>
      </w:r>
      <w:r>
        <w:t>)</w:t>
      </w:r>
      <w:r w:rsidRPr="007E4F12">
        <w:t xml:space="preserve"> </w:t>
      </w:r>
      <w:r>
        <w:t>are shown below. Changes to the explanatory notes accompanying the cervical screening test MBS items were also proposed.</w:t>
      </w:r>
    </w:p>
    <w:p w14:paraId="5BE9FCD9" w14:textId="77777777" w:rsidR="002668AE" w:rsidRDefault="002668AE" w:rsidP="002668AE">
      <w:pPr>
        <w:pStyle w:val="Caption"/>
      </w:pPr>
      <w:bookmarkStart w:id="0" w:name="_Ref59712289"/>
      <w:r>
        <w:t xml:space="preserve">Table </w:t>
      </w:r>
      <w:r w:rsidR="00A10F05">
        <w:fldChar w:fldCharType="begin"/>
      </w:r>
      <w:r w:rsidR="00A10F05">
        <w:instrText xml:space="preserve"> SEQ Table \* ARABIC </w:instrText>
      </w:r>
      <w:r w:rsidR="00A10F05">
        <w:fldChar w:fldCharType="separate"/>
      </w:r>
      <w:r>
        <w:rPr>
          <w:noProof/>
        </w:rPr>
        <w:t>1</w:t>
      </w:r>
      <w:r w:rsidR="00A10F05">
        <w:rPr>
          <w:noProof/>
        </w:rPr>
        <w:fldChar w:fldCharType="end"/>
      </w:r>
      <w:bookmarkEnd w:id="0"/>
      <w:r>
        <w:tab/>
        <w:t>Proposed changes to descriptor for MBS item 73071</w:t>
      </w:r>
    </w:p>
    <w:tbl>
      <w:tblPr>
        <w:tblStyle w:val="TableGrid"/>
        <w:tblW w:w="0" w:type="auto"/>
        <w:tblLook w:val="04A0" w:firstRow="1" w:lastRow="0" w:firstColumn="1" w:lastColumn="0" w:noHBand="0" w:noVBand="1"/>
        <w:tblDescription w:val="Proposed changes to descriptor for MBS item 73071"/>
      </w:tblPr>
      <w:tblGrid>
        <w:gridCol w:w="9019"/>
      </w:tblGrid>
      <w:tr w:rsidR="002668AE" w14:paraId="2610665F" w14:textId="77777777" w:rsidTr="00895339">
        <w:trPr>
          <w:tblHeader/>
        </w:trPr>
        <w:tc>
          <w:tcPr>
            <w:tcW w:w="9019" w:type="dxa"/>
          </w:tcPr>
          <w:p w14:paraId="3A95F623" w14:textId="77777777" w:rsidR="002668AE" w:rsidRDefault="002668AE" w:rsidP="00EC6908">
            <w:pPr>
              <w:pStyle w:val="Tabletextcentred"/>
              <w:jc w:val="right"/>
            </w:pPr>
            <w:r>
              <w:rPr>
                <w:rFonts w:cs="Helvetica"/>
              </w:rPr>
              <w:t>Category 6 - PATHOLOGY SERVICES – Group P6, Cytology</w:t>
            </w:r>
          </w:p>
        </w:tc>
      </w:tr>
      <w:tr w:rsidR="002668AE" w14:paraId="3DE58AAD" w14:textId="77777777" w:rsidTr="00EC6908">
        <w:tc>
          <w:tcPr>
            <w:tcW w:w="9019" w:type="dxa"/>
          </w:tcPr>
          <w:p w14:paraId="5E341331" w14:textId="77777777" w:rsidR="002668AE" w:rsidRPr="003A4620" w:rsidRDefault="002668AE" w:rsidP="00EC6908">
            <w:pPr>
              <w:pStyle w:val="Tabletextcentred"/>
              <w:jc w:val="left"/>
            </w:pPr>
            <w:r w:rsidRPr="003A4620">
              <w:t>A test, including partial genotyping, for oncogenic human papillomavirus that may be associated with cervical pre</w:t>
            </w:r>
            <w:r w:rsidRPr="003A4620">
              <w:noBreakHyphen/>
              <w:t>cancer or cancer:</w:t>
            </w:r>
          </w:p>
          <w:p w14:paraId="0ED11FFC" w14:textId="77777777" w:rsidR="002668AE" w:rsidRPr="003A4620" w:rsidRDefault="002668AE" w:rsidP="00EC6908">
            <w:pPr>
              <w:pStyle w:val="Tabletextcentred"/>
              <w:jc w:val="left"/>
            </w:pPr>
            <w:r w:rsidRPr="003A4620">
              <w:t>(a) performed on a self</w:t>
            </w:r>
            <w:r w:rsidRPr="003A4620">
              <w:noBreakHyphen/>
              <w:t>collected vaginal specimen; and</w:t>
            </w:r>
          </w:p>
          <w:p w14:paraId="07C4D094" w14:textId="77777777" w:rsidR="002668AE" w:rsidRDefault="002668AE" w:rsidP="00EC6908">
            <w:pPr>
              <w:pStyle w:val="Tabletextcentred"/>
              <w:jc w:val="left"/>
            </w:pPr>
            <w:r w:rsidRPr="003A4620">
              <w:t xml:space="preserve">(b) for an asymptomatic patient who is at least </w:t>
            </w:r>
            <w:r w:rsidRPr="007E4F12">
              <w:rPr>
                <w:strike/>
              </w:rPr>
              <w:t>30 years</w:t>
            </w:r>
            <w:r w:rsidRPr="003A4620">
              <w:t xml:space="preserve"> </w:t>
            </w:r>
            <w:r w:rsidRPr="007E4F12">
              <w:rPr>
                <w:color w:val="00B050"/>
              </w:rPr>
              <w:t xml:space="preserve">24 years and 9 months </w:t>
            </w:r>
            <w:r w:rsidRPr="003A4620">
              <w:t>of age</w:t>
            </w:r>
          </w:p>
          <w:p w14:paraId="248282ED" w14:textId="77777777" w:rsidR="002668AE" w:rsidRDefault="002668AE" w:rsidP="00EC6908">
            <w:pPr>
              <w:pStyle w:val="Tabletextcentred"/>
              <w:jc w:val="left"/>
            </w:pPr>
            <w:r w:rsidRPr="003A4620">
              <w:t xml:space="preserve">For any particular patient, once only in a </w:t>
            </w:r>
            <w:r w:rsidRPr="007E4F12">
              <w:rPr>
                <w:strike/>
              </w:rPr>
              <w:t>7 year</w:t>
            </w:r>
            <w:r w:rsidRPr="003A4620">
              <w:t xml:space="preserve"> </w:t>
            </w:r>
            <w:r w:rsidRPr="007E4F12">
              <w:rPr>
                <w:color w:val="00B050"/>
              </w:rPr>
              <w:t xml:space="preserve">57 month </w:t>
            </w:r>
            <w:r w:rsidRPr="003A4620">
              <w:t>period</w:t>
            </w:r>
            <w:r>
              <w:t>.</w:t>
            </w:r>
          </w:p>
        </w:tc>
      </w:tr>
      <w:tr w:rsidR="002668AE" w14:paraId="3DA5D1AA" w14:textId="77777777" w:rsidTr="00EC6908">
        <w:tc>
          <w:tcPr>
            <w:tcW w:w="9019" w:type="dxa"/>
          </w:tcPr>
          <w:p w14:paraId="2A05DAC0" w14:textId="77777777" w:rsidR="002668AE" w:rsidRDefault="002668AE" w:rsidP="00EC6908">
            <w:pPr>
              <w:pStyle w:val="Tabletextcentred"/>
              <w:jc w:val="left"/>
            </w:pPr>
            <w:r w:rsidRPr="003A4620">
              <w:rPr>
                <w:b/>
                <w:bCs/>
              </w:rPr>
              <w:t>Fee:</w:t>
            </w:r>
            <w:r w:rsidRPr="003A4620">
              <w:t xml:space="preserve"> $35.00 </w:t>
            </w:r>
            <w:r w:rsidRPr="003A4620">
              <w:rPr>
                <w:b/>
                <w:bCs/>
              </w:rPr>
              <w:t>Benefit:</w:t>
            </w:r>
            <w:r w:rsidRPr="003A4620">
              <w:t xml:space="preserve"> 75% = $26.25 85% = $29.75</w:t>
            </w:r>
          </w:p>
        </w:tc>
      </w:tr>
    </w:tbl>
    <w:p w14:paraId="79890208" w14:textId="5CB0508D" w:rsidR="00C86AF6" w:rsidRPr="00C86AF6" w:rsidRDefault="006A5D63" w:rsidP="00C86AF6">
      <w:pPr>
        <w:pStyle w:val="Tablenotes1"/>
      </w:pPr>
      <w:r>
        <w:t>Source: Department policy paper, attachment A</w:t>
      </w:r>
      <w:bookmarkStart w:id="1" w:name="_Ref60737677"/>
      <w:r w:rsidR="00C86AF6">
        <w:br w:type="page"/>
      </w:r>
    </w:p>
    <w:p w14:paraId="69B20152" w14:textId="03EEC1AF" w:rsidR="002668AE" w:rsidRDefault="002668AE" w:rsidP="002668AE">
      <w:pPr>
        <w:pStyle w:val="Caption"/>
      </w:pPr>
      <w:r>
        <w:t xml:space="preserve">Table </w:t>
      </w:r>
      <w:r w:rsidR="00A10F05">
        <w:fldChar w:fldCharType="begin"/>
      </w:r>
      <w:r w:rsidR="00A10F05">
        <w:instrText xml:space="preserve"> SEQ Table \* ARABIC </w:instrText>
      </w:r>
      <w:r w:rsidR="00A10F05">
        <w:fldChar w:fldCharType="separate"/>
      </w:r>
      <w:r>
        <w:rPr>
          <w:noProof/>
        </w:rPr>
        <w:t>2</w:t>
      </w:r>
      <w:r w:rsidR="00A10F05">
        <w:rPr>
          <w:noProof/>
        </w:rPr>
        <w:fldChar w:fldCharType="end"/>
      </w:r>
      <w:bookmarkEnd w:id="1"/>
      <w:r>
        <w:tab/>
        <w:t>Proposed changes to descriptor for MBS item 73073</w:t>
      </w:r>
    </w:p>
    <w:tbl>
      <w:tblPr>
        <w:tblStyle w:val="TableGrid"/>
        <w:tblW w:w="0" w:type="auto"/>
        <w:tblLook w:val="04A0" w:firstRow="1" w:lastRow="0" w:firstColumn="1" w:lastColumn="0" w:noHBand="0" w:noVBand="1"/>
        <w:tblDescription w:val="Proposed changes to descriptor for MBS item 73073"/>
      </w:tblPr>
      <w:tblGrid>
        <w:gridCol w:w="9019"/>
      </w:tblGrid>
      <w:tr w:rsidR="002668AE" w14:paraId="59090358" w14:textId="77777777" w:rsidTr="00895339">
        <w:trPr>
          <w:tblHeader/>
        </w:trPr>
        <w:tc>
          <w:tcPr>
            <w:tcW w:w="9019" w:type="dxa"/>
          </w:tcPr>
          <w:p w14:paraId="6CE99BC0" w14:textId="77777777" w:rsidR="002668AE" w:rsidRDefault="002668AE" w:rsidP="00EC6908">
            <w:pPr>
              <w:pStyle w:val="Tabletextcentred"/>
              <w:jc w:val="right"/>
            </w:pPr>
            <w:r>
              <w:rPr>
                <w:rFonts w:cs="Helvetica"/>
              </w:rPr>
              <w:t>Category 6 - PATHOLOGY SERVICES – Group P6, Cytology</w:t>
            </w:r>
          </w:p>
        </w:tc>
      </w:tr>
      <w:tr w:rsidR="002668AE" w14:paraId="32201FE2" w14:textId="77777777" w:rsidTr="00EC6908">
        <w:tc>
          <w:tcPr>
            <w:tcW w:w="9019" w:type="dxa"/>
          </w:tcPr>
          <w:p w14:paraId="49D224B4" w14:textId="77777777" w:rsidR="002668AE" w:rsidRPr="003A4620" w:rsidRDefault="002668AE" w:rsidP="00EC6908">
            <w:pPr>
              <w:pStyle w:val="Tabletextcentred"/>
              <w:jc w:val="left"/>
            </w:pPr>
            <w:r w:rsidRPr="003A4620">
              <w:t>A test, including partial genotyping, for oncogenic human papillomavirus:</w:t>
            </w:r>
          </w:p>
          <w:p w14:paraId="1DD6F026" w14:textId="77777777" w:rsidR="002668AE" w:rsidRPr="003A4620" w:rsidRDefault="002668AE" w:rsidP="00EC6908">
            <w:pPr>
              <w:pStyle w:val="Tabletextcentred"/>
              <w:jc w:val="left"/>
            </w:pPr>
            <w:r w:rsidRPr="003A4620">
              <w:t>(a) performed on a self</w:t>
            </w:r>
            <w:r w:rsidRPr="003A4620">
              <w:noBreakHyphen/>
              <w:t>collected vaginal specimen; and</w:t>
            </w:r>
          </w:p>
          <w:p w14:paraId="59C7A4B7" w14:textId="77777777" w:rsidR="002668AE" w:rsidRDefault="002668AE" w:rsidP="00EC6908">
            <w:pPr>
              <w:pStyle w:val="Tabletextcentred"/>
              <w:jc w:val="left"/>
            </w:pPr>
            <w:r w:rsidRPr="003A4620">
              <w:t xml:space="preserve">(b) </w:t>
            </w:r>
            <w:r w:rsidRPr="007E4F12">
              <w:t>for the follow</w:t>
            </w:r>
            <w:r w:rsidRPr="007E4F12">
              <w:noBreakHyphen/>
              <w:t>up management of a patient with oncogenic human papillomavirus infection or cervical pre</w:t>
            </w:r>
            <w:r w:rsidRPr="007E4F12">
              <w:noBreakHyphen/>
              <w:t>cancer or cancer that was detected by a test to which item 73071 applies</w:t>
            </w:r>
          </w:p>
          <w:p w14:paraId="5B06E230" w14:textId="77777777" w:rsidR="002668AE" w:rsidRPr="007E4F12" w:rsidRDefault="002668AE" w:rsidP="00EC6908">
            <w:pPr>
              <w:pStyle w:val="Tabletextcentred"/>
              <w:jc w:val="left"/>
              <w:rPr>
                <w:strike/>
              </w:rPr>
            </w:pPr>
            <w:r w:rsidRPr="007E4F12">
              <w:rPr>
                <w:strike/>
              </w:rPr>
              <w:t>For any particular patient, once only in a 21 month period.</w:t>
            </w:r>
          </w:p>
        </w:tc>
      </w:tr>
      <w:tr w:rsidR="002668AE" w14:paraId="1BC2747F" w14:textId="77777777" w:rsidTr="00EC6908">
        <w:tc>
          <w:tcPr>
            <w:tcW w:w="9019" w:type="dxa"/>
          </w:tcPr>
          <w:p w14:paraId="1573EFC7" w14:textId="77777777" w:rsidR="002668AE" w:rsidRDefault="002668AE" w:rsidP="00EC6908">
            <w:pPr>
              <w:pStyle w:val="Tabletextcentred"/>
              <w:jc w:val="left"/>
            </w:pPr>
            <w:r w:rsidRPr="003A4620">
              <w:rPr>
                <w:b/>
                <w:bCs/>
              </w:rPr>
              <w:t>Fee:</w:t>
            </w:r>
            <w:r w:rsidRPr="003A4620">
              <w:t xml:space="preserve"> $35.00 </w:t>
            </w:r>
            <w:r w:rsidRPr="003A4620">
              <w:rPr>
                <w:b/>
                <w:bCs/>
              </w:rPr>
              <w:t>Benefit:</w:t>
            </w:r>
            <w:r w:rsidRPr="003A4620">
              <w:t xml:space="preserve"> 75% = $26.25 85% = $29.75</w:t>
            </w:r>
          </w:p>
        </w:tc>
      </w:tr>
    </w:tbl>
    <w:p w14:paraId="552AB65F" w14:textId="198AB1DF" w:rsidR="00BC1364" w:rsidRDefault="006A5D63" w:rsidP="006A5D63">
      <w:pPr>
        <w:pStyle w:val="Tablenotes1"/>
      </w:pPr>
      <w:r>
        <w:t>Source: Department policy paper, attachment A</w:t>
      </w:r>
    </w:p>
    <w:p w14:paraId="62A34595" w14:textId="77777777" w:rsidR="00BC1364" w:rsidRPr="00F715D1" w:rsidRDefault="00BC1364" w:rsidP="002F4063">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009F47BC" w14:textId="77777777" w:rsidR="006A5D63" w:rsidRDefault="006A5D63" w:rsidP="006A5D63">
      <w:pPr>
        <w:tabs>
          <w:tab w:val="left" w:pos="720"/>
          <w:tab w:val="left" w:pos="1140"/>
        </w:tabs>
        <w:rPr>
          <w:szCs w:val="24"/>
        </w:rPr>
      </w:pPr>
      <w:r>
        <w:rPr>
          <w:szCs w:val="24"/>
        </w:rPr>
        <w:t>T</w:t>
      </w:r>
      <w:r w:rsidRPr="00FC4AF3">
        <w:rPr>
          <w:szCs w:val="24"/>
        </w:rPr>
        <w:t xml:space="preserve">he Department </w:t>
      </w:r>
      <w:r>
        <w:rPr>
          <w:szCs w:val="24"/>
        </w:rPr>
        <w:t>conducted</w:t>
      </w:r>
      <w:r w:rsidRPr="00FC4AF3">
        <w:rPr>
          <w:szCs w:val="24"/>
        </w:rPr>
        <w:t xml:space="preserve"> a formal online targeted consultation process </w:t>
      </w:r>
      <w:r>
        <w:rPr>
          <w:szCs w:val="24"/>
        </w:rPr>
        <w:t>via the consultation hub</w:t>
      </w:r>
      <w:r w:rsidRPr="00FC4AF3">
        <w:rPr>
          <w:szCs w:val="24"/>
        </w:rPr>
        <w:t xml:space="preserve"> to seek feedback on the proposed policy changes and requirements for implementation</w:t>
      </w:r>
      <w:r>
        <w:rPr>
          <w:szCs w:val="24"/>
        </w:rPr>
        <w:t xml:space="preserve">. </w:t>
      </w:r>
      <w:r w:rsidRPr="00FC4AF3">
        <w:rPr>
          <w:szCs w:val="24"/>
        </w:rPr>
        <w:t>The Department received 76 responses from a range of stakeholders: healthcare providers (28), the pathology sector (11), sexual health organisations (7), Aboriginal and Torres Strait Islander organisations (6), women’s health organisations (6), Cancer foundations (5), LGBTIQ organisations (4), Primary Health Networks (4), HPV test manufacturers (3), and obstetrics and gynaecology specialists (2).</w:t>
      </w:r>
    </w:p>
    <w:p w14:paraId="2A083C64" w14:textId="49580989" w:rsidR="00BC1364" w:rsidRPr="006A5D63" w:rsidRDefault="006A5D63" w:rsidP="006A5D63">
      <w:r>
        <w:rPr>
          <w:szCs w:val="24"/>
        </w:rPr>
        <w:t xml:space="preserve">Consultation feedback was mostly supportive, </w:t>
      </w:r>
      <w:r w:rsidR="008754BC">
        <w:rPr>
          <w:szCs w:val="24"/>
        </w:rPr>
        <w:t>indicating</w:t>
      </w:r>
      <w:r>
        <w:rPr>
          <w:szCs w:val="24"/>
        </w:rPr>
        <w:t xml:space="preserve"> that if funded, this proposal should lead to increased participation in cervical screening. The concerns raised included clinician education and workflows, and the need for a commercially available self-collected sample kit.</w:t>
      </w:r>
    </w:p>
    <w:p w14:paraId="19019FFF" w14:textId="77777777" w:rsidR="00BC1364" w:rsidRPr="00F715D1" w:rsidRDefault="00BC1364" w:rsidP="002F4063">
      <w:pPr>
        <w:pStyle w:val="Heading1"/>
      </w:pPr>
      <w:r w:rsidRPr="00F715D1">
        <w:t>Proposed intervention’s place in clinical management</w:t>
      </w:r>
    </w:p>
    <w:p w14:paraId="6E63C10A" w14:textId="101003A1" w:rsidR="00CF4E81" w:rsidRDefault="00CF4E81" w:rsidP="006A5D63">
      <w:pPr>
        <w:pStyle w:val="Heading2"/>
      </w:pPr>
      <w:r w:rsidRPr="00CF4E81">
        <w:t>D</w:t>
      </w:r>
      <w:r w:rsidR="008754BC" w:rsidRPr="00CF4E81">
        <w:t>escription of proposed intervention</w:t>
      </w:r>
    </w:p>
    <w:p w14:paraId="03F1A0CF" w14:textId="77777777" w:rsidR="007C6C75" w:rsidRDefault="007C6C75" w:rsidP="007C6C75">
      <w:r w:rsidRPr="005049F3">
        <w:t xml:space="preserve">The proposed intervention is the expansion of self-collection of </w:t>
      </w:r>
      <w:r>
        <w:t>vaginal samples for cervical screening, to</w:t>
      </w:r>
      <w:r w:rsidRPr="005049F3">
        <w:t xml:space="preserve"> include all people e</w:t>
      </w:r>
      <w:r>
        <w:t>ligible for cervical screening (</w:t>
      </w:r>
      <w:r w:rsidRPr="005049F3">
        <w:t>i.e. people with a cervix aged 25-74 years who have ever been sexually active</w:t>
      </w:r>
      <w:r>
        <w:t>)</w:t>
      </w:r>
      <w:r w:rsidRPr="005049F3">
        <w:t xml:space="preserve">. </w:t>
      </w:r>
      <w:r w:rsidRPr="008927F9">
        <w:t>MBS funding for HPV testing on self-</w:t>
      </w:r>
      <w:r>
        <w:t>c</w:t>
      </w:r>
      <w:r w:rsidRPr="008927F9">
        <w:t xml:space="preserve">ollected vaginal samples is currently </w:t>
      </w:r>
      <w:r>
        <w:t xml:space="preserve">only </w:t>
      </w:r>
      <w:r w:rsidRPr="008927F9">
        <w:t xml:space="preserve">available for </w:t>
      </w:r>
      <w:r>
        <w:t>people with a cervix</w:t>
      </w:r>
      <w:r w:rsidRPr="008927F9">
        <w:t xml:space="preserve"> aged 30 years </w:t>
      </w:r>
      <w:r>
        <w:t xml:space="preserve">or more, who have never participated in cervical screening, or </w:t>
      </w:r>
      <w:r w:rsidRPr="008927F9">
        <w:t>are overdue for cervical screening by more than 2 years (</w:t>
      </w:r>
      <w:r>
        <w:t xml:space="preserve">MBS item </w:t>
      </w:r>
      <w:r w:rsidRPr="008927F9">
        <w:t>73071</w:t>
      </w:r>
      <w:r>
        <w:t>).</w:t>
      </w:r>
    </w:p>
    <w:p w14:paraId="67B2E88F" w14:textId="77777777" w:rsidR="007C6C75" w:rsidRDefault="007C6C75" w:rsidP="007C6C75">
      <w:r>
        <w:rPr>
          <w:rFonts w:eastAsia="Calibri" w:cs="Calibri"/>
        </w:rPr>
        <w:t>Self-collected sample</w:t>
      </w:r>
      <w:r w:rsidRPr="092B6D98">
        <w:rPr>
          <w:rFonts w:eastAsia="Calibri" w:cs="Calibri"/>
        </w:rPr>
        <w:t xml:space="preserve"> testing would </w:t>
      </w:r>
      <w:r>
        <w:rPr>
          <w:rFonts w:eastAsia="Calibri" w:cs="Calibri"/>
        </w:rPr>
        <w:t xml:space="preserve">continue to </w:t>
      </w:r>
      <w:r w:rsidRPr="092B6D98">
        <w:rPr>
          <w:rFonts w:eastAsia="Calibri" w:cs="Calibri"/>
        </w:rPr>
        <w:t>be access</w:t>
      </w:r>
      <w:r>
        <w:rPr>
          <w:rFonts w:eastAsia="Calibri" w:cs="Calibri"/>
        </w:rPr>
        <w:t>ed</w:t>
      </w:r>
      <w:r w:rsidRPr="092B6D98">
        <w:rPr>
          <w:rFonts w:eastAsia="Calibri" w:cs="Calibri"/>
        </w:rPr>
        <w:t xml:space="preserve"> through healthcare providers</w:t>
      </w:r>
      <w:r>
        <w:rPr>
          <w:rFonts w:eastAsia="Calibri" w:cs="Calibri"/>
        </w:rPr>
        <w:t>,</w:t>
      </w:r>
      <w:r w:rsidRPr="092B6D98">
        <w:rPr>
          <w:rFonts w:eastAsia="Calibri" w:cs="Calibri"/>
        </w:rPr>
        <w:t xml:space="preserve"> who will provide the option to </w:t>
      </w:r>
      <w:r>
        <w:rPr>
          <w:rFonts w:eastAsia="Calibri" w:cs="Calibri"/>
        </w:rPr>
        <w:t xml:space="preserve">participate in cervical screening via self-collection of vaginal sample or clinician-collection of cervical samples, </w:t>
      </w:r>
      <w:r w:rsidRPr="092B6D98">
        <w:rPr>
          <w:rFonts w:eastAsia="Calibri" w:cs="Calibri"/>
        </w:rPr>
        <w:t xml:space="preserve">to all eligible </w:t>
      </w:r>
      <w:r>
        <w:rPr>
          <w:rFonts w:eastAsia="Calibri" w:cs="Calibri"/>
        </w:rPr>
        <w:t>people</w:t>
      </w:r>
      <w:r w:rsidRPr="092B6D98">
        <w:rPr>
          <w:rFonts w:eastAsia="Calibri" w:cs="Calibri"/>
        </w:rPr>
        <w:t xml:space="preserve"> during a consultation. The practitioner will facilitate </w:t>
      </w:r>
      <w:r>
        <w:rPr>
          <w:rFonts w:eastAsia="Calibri" w:cs="Calibri"/>
        </w:rPr>
        <w:t>access to screening</w:t>
      </w:r>
      <w:r w:rsidRPr="092B6D98">
        <w:rPr>
          <w:rFonts w:eastAsia="Calibri" w:cs="Calibri"/>
        </w:rPr>
        <w:t xml:space="preserve">, </w:t>
      </w:r>
      <w:r>
        <w:rPr>
          <w:rFonts w:eastAsia="Calibri" w:cs="Calibri"/>
        </w:rPr>
        <w:t>and arrange delivery of completed samples to a pathology laboratory</w:t>
      </w:r>
      <w:r w:rsidRPr="092B6D98">
        <w:rPr>
          <w:rFonts w:eastAsia="Calibri" w:cs="Calibri"/>
        </w:rPr>
        <w:t xml:space="preserve"> for a primary HPV cervical screening test.</w:t>
      </w:r>
    </w:p>
    <w:p w14:paraId="55909B1A" w14:textId="08944D5D" w:rsidR="007C6C75" w:rsidRDefault="007C6C75" w:rsidP="007C6C75">
      <w:r>
        <w:t xml:space="preserve">Cervical screening involves testing vaginal or cervical samples for the presence of </w:t>
      </w:r>
      <w:r w:rsidRPr="005049F3">
        <w:t xml:space="preserve">oncogenic </w:t>
      </w:r>
      <w:r>
        <w:t>human papillomavirus (</w:t>
      </w:r>
      <w:r w:rsidRPr="005049F3">
        <w:t>HPV</w:t>
      </w:r>
      <w:r>
        <w:t>), a virus that is known to cause cervical cancer. The test</w:t>
      </w:r>
      <w:r>
        <w:rPr>
          <w:rFonts w:eastAsia="Calibri" w:cs="Calibri"/>
        </w:rPr>
        <w:t>, also referred to as the primary screening test,</w:t>
      </w:r>
      <w:r w:rsidRPr="092B6D98">
        <w:rPr>
          <w:rFonts w:eastAsia="Calibri" w:cs="Calibri"/>
        </w:rPr>
        <w:t xml:space="preserve"> </w:t>
      </w:r>
      <w:r w:rsidRPr="009C3929">
        <w:rPr>
          <w:rFonts w:eastAsia="Calibri" w:cs="Calibri"/>
          <w:bCs/>
        </w:rPr>
        <w:t>tests for the 13 HPV genotypes 16, 18, 31, 33, 35, 39, 45, 51, 52, 56, 58, 59 and 68, and separately identifies the higher risk HPV types 16 and</w:t>
      </w:r>
      <w:r w:rsidR="00BF515C">
        <w:rPr>
          <w:rFonts w:eastAsia="Calibri" w:cs="Calibri"/>
          <w:bCs/>
        </w:rPr>
        <w:t> </w:t>
      </w:r>
      <w:r w:rsidRPr="009C3929">
        <w:rPr>
          <w:rFonts w:eastAsia="Calibri" w:cs="Calibri"/>
          <w:bCs/>
        </w:rPr>
        <w:t>18</w:t>
      </w:r>
      <w:r>
        <w:rPr>
          <w:rStyle w:val="FootnoteReference"/>
          <w:rFonts w:eastAsia="Calibri" w:cs="Calibri"/>
          <w:bCs/>
        </w:rPr>
        <w:footnoteReference w:id="8"/>
      </w:r>
      <w:r w:rsidRPr="092B6D98">
        <w:rPr>
          <w:rFonts w:eastAsia="Calibri" w:cs="Calibri"/>
        </w:rPr>
        <w:t>. The assay used for testing is a polymerase chain reaction (PCR) test</w:t>
      </w:r>
      <w:r>
        <w:rPr>
          <w:rStyle w:val="FootnoteReference"/>
          <w:rFonts w:eastAsia="Calibri" w:cs="Calibri"/>
        </w:rPr>
        <w:footnoteReference w:id="9"/>
      </w:r>
      <w:r w:rsidRPr="092B6D98">
        <w:rPr>
          <w:rFonts w:eastAsia="Calibri" w:cs="Calibri"/>
        </w:rPr>
        <w:t xml:space="preserve">. </w:t>
      </w:r>
      <w:r>
        <w:rPr>
          <w:rFonts w:eastAsia="Calibri" w:cs="Calibri"/>
        </w:rPr>
        <w:t xml:space="preserve">Clinician-collected </w:t>
      </w:r>
      <w:r w:rsidRPr="092B6D98">
        <w:rPr>
          <w:rFonts w:eastAsia="Calibri" w:cs="Calibri"/>
        </w:rPr>
        <w:t>screening test</w:t>
      </w:r>
      <w:r>
        <w:rPr>
          <w:rFonts w:eastAsia="Calibri" w:cs="Calibri"/>
        </w:rPr>
        <w:t>ing</w:t>
      </w:r>
      <w:r w:rsidRPr="092B6D98">
        <w:rPr>
          <w:rFonts w:eastAsia="Calibri" w:cs="Calibri"/>
        </w:rPr>
        <w:t xml:space="preserve"> comprises partial genotyping of HPV followed by liquid-based cytology (LBC) </w:t>
      </w:r>
      <w:r>
        <w:t>to test for</w:t>
      </w:r>
      <w:r w:rsidRPr="00A21E63">
        <w:t xml:space="preserve"> cervical cell abnormalities in </w:t>
      </w:r>
      <w:r>
        <w:t>people with a positive</w:t>
      </w:r>
      <w:r w:rsidRPr="00A21E63">
        <w:t xml:space="preserve"> HPV </w:t>
      </w:r>
      <w:r>
        <w:t>result</w:t>
      </w:r>
      <w:r w:rsidRPr="092B6D98">
        <w:rPr>
          <w:rFonts w:eastAsia="Calibri" w:cs="Calibri"/>
        </w:rPr>
        <w:t>.</w:t>
      </w:r>
      <w:r>
        <w:rPr>
          <w:rFonts w:eastAsia="Calibri" w:cs="Calibri"/>
        </w:rPr>
        <w:t xml:space="preserve"> </w:t>
      </w:r>
      <w:r w:rsidRPr="00A21E63">
        <w:t xml:space="preserve">Self-collected vaginal samples can be used for HPV testing, </w:t>
      </w:r>
      <w:r>
        <w:t xml:space="preserve">but </w:t>
      </w:r>
      <w:r w:rsidRPr="00A21E63">
        <w:t xml:space="preserve">not for follow-up </w:t>
      </w:r>
      <w:r>
        <w:t>LBC testing.</w:t>
      </w:r>
    </w:p>
    <w:p w14:paraId="279B1687" w14:textId="77777777" w:rsidR="007C6C75" w:rsidRPr="00216282" w:rsidRDefault="007C6C75" w:rsidP="007C6C75">
      <w:pPr>
        <w:rPr>
          <w:rFonts w:eastAsia="Calibri" w:cs="Calibri"/>
        </w:rPr>
      </w:pPr>
      <w:r>
        <w:rPr>
          <w:rFonts w:eastAsia="Calibri" w:cs="Calibri"/>
        </w:rPr>
        <w:t>The Netherlands is the only other country with a cervical screening programme that provides an option for self-collection of vaginal samples for primary HPV testing</w:t>
      </w:r>
      <w:r>
        <w:rPr>
          <w:rStyle w:val="FootnoteReference"/>
          <w:rFonts w:eastAsia="Calibri" w:cs="Calibri"/>
        </w:rPr>
        <w:footnoteReference w:id="10"/>
      </w:r>
      <w:r>
        <w:rPr>
          <w:rFonts w:eastAsia="Calibri" w:cs="Calibri"/>
        </w:rPr>
        <w:t>.</w:t>
      </w:r>
    </w:p>
    <w:p w14:paraId="03BC09F8" w14:textId="6ACFF98A" w:rsidR="007C6C75" w:rsidRPr="007C6C75" w:rsidRDefault="007C6C75" w:rsidP="007C6C75">
      <w:r>
        <w:t>The current participation rate in cervical screening is 46.3%</w:t>
      </w:r>
      <w:r>
        <w:rPr>
          <w:rStyle w:val="FootnoteReference"/>
        </w:rPr>
        <w:footnoteReference w:id="11"/>
      </w:r>
      <w:proofErr w:type="gramStart"/>
      <w:r w:rsidRPr="002B0304">
        <w:rPr>
          <w:vertAlign w:val="superscript"/>
        </w:rPr>
        <w:t>,</w:t>
      </w:r>
      <w:r>
        <w:rPr>
          <w:rStyle w:val="FootnoteReference"/>
        </w:rPr>
        <w:footnoteReference w:id="12"/>
      </w:r>
      <w:r w:rsidRPr="00D021A3">
        <w:t>.</w:t>
      </w:r>
      <w:proofErr w:type="gramEnd"/>
      <w:r w:rsidRPr="00D021A3">
        <w:t xml:space="preserve"> </w:t>
      </w:r>
      <w:r>
        <w:rPr>
          <w:rFonts w:eastAsia="Calibri" w:cs="Calibri"/>
        </w:rPr>
        <w:t>There is some evidence that self-collection of samples might increase the participation rate in cervical cancer screening</w:t>
      </w:r>
      <w:r>
        <w:rPr>
          <w:rStyle w:val="FootnoteReference"/>
        </w:rPr>
        <w:footnoteReference w:id="13"/>
      </w:r>
      <w:r>
        <w:rPr>
          <w:rFonts w:eastAsia="Calibri" w:cs="Calibri"/>
        </w:rPr>
        <w:t xml:space="preserve">. Knowing that screening can help </w:t>
      </w:r>
      <w:r w:rsidRPr="00A34C89">
        <w:rPr>
          <w:rFonts w:eastAsia="Calibri" w:cs="Calibri"/>
        </w:rPr>
        <w:t>reduce cervical cancer incidence and mortality</w:t>
      </w:r>
      <w:r>
        <w:rPr>
          <w:rFonts w:eastAsia="Calibri" w:cs="Calibri"/>
        </w:rPr>
        <w:t>, providing wider options to eligible people for self-collection of samples can decrease the overall incidence of new cervical cancer cases and deaths.</w:t>
      </w:r>
    </w:p>
    <w:p w14:paraId="5FD72929" w14:textId="7BA840B2" w:rsidR="00CF4E81" w:rsidRPr="00CF4E81" w:rsidRDefault="00CF4E81" w:rsidP="006A5D63">
      <w:pPr>
        <w:pStyle w:val="Heading2"/>
      </w:pPr>
      <w:r w:rsidRPr="00CF4E81">
        <w:t xml:space="preserve">Description </w:t>
      </w:r>
      <w:r w:rsidR="008754BC" w:rsidRPr="00CF4E81">
        <w:t>of medical condition(s)</w:t>
      </w:r>
    </w:p>
    <w:p w14:paraId="5C530154" w14:textId="78E917C1" w:rsidR="007C6C75" w:rsidRDefault="007C6C75" w:rsidP="007C6C75">
      <w:pPr>
        <w:rPr>
          <w:rFonts w:eastAsia="Calibri" w:cs="Calibri"/>
        </w:rPr>
      </w:pPr>
      <w:r w:rsidRPr="1EF6987B">
        <w:rPr>
          <w:rFonts w:eastAsia="Calibri" w:cs="Calibri"/>
        </w:rPr>
        <w:t>Cervical cancer occurs in the cells of the cervix and is one of the most preventable cancers. Cervical cancer develops when abnormal cells in the lining of the cervix begin to multiply and form precancerous abnormalities. If undetected</w:t>
      </w:r>
      <w:r w:rsidR="008754BC">
        <w:rPr>
          <w:rFonts w:eastAsia="Calibri" w:cs="Calibri"/>
        </w:rPr>
        <w:t>,</w:t>
      </w:r>
      <w:r w:rsidRPr="1EF6987B">
        <w:rPr>
          <w:rFonts w:eastAsia="Calibri" w:cs="Calibri"/>
        </w:rPr>
        <w:t xml:space="preserve"> this precancerous stage can develop into cervical cancer tha</w:t>
      </w:r>
      <w:r>
        <w:rPr>
          <w:rFonts w:eastAsia="Calibri" w:cs="Calibri"/>
        </w:rPr>
        <w:t>t</w:t>
      </w:r>
      <w:r w:rsidRPr="1EF6987B">
        <w:rPr>
          <w:rFonts w:eastAsia="Calibri" w:cs="Calibri"/>
        </w:rPr>
        <w:t xml:space="preserve"> can spread into surrounding tissue. Because the pre</w:t>
      </w:r>
      <w:r>
        <w:rPr>
          <w:rFonts w:eastAsia="Calibri" w:cs="Calibri"/>
        </w:rPr>
        <w:t>-</w:t>
      </w:r>
      <w:r w:rsidRPr="1EF6987B">
        <w:rPr>
          <w:rFonts w:eastAsia="Calibri" w:cs="Calibri"/>
        </w:rPr>
        <w:t xml:space="preserve">cancerous stage can last for many years prior to the development of invasive disease, there is the opportunity for </w:t>
      </w:r>
      <w:r>
        <w:rPr>
          <w:rFonts w:eastAsia="Calibri" w:cs="Calibri"/>
        </w:rPr>
        <w:t xml:space="preserve">early monitoring, </w:t>
      </w:r>
      <w:r w:rsidRPr="1EF6987B">
        <w:rPr>
          <w:rFonts w:eastAsia="Calibri" w:cs="Calibri"/>
        </w:rPr>
        <w:t>detection and treatment, which can help reduce cervical cancer incidence and mortality, and improve survival rates by detecting these cancers early</w:t>
      </w:r>
      <w:r>
        <w:rPr>
          <w:rStyle w:val="FootnoteReference"/>
          <w:rFonts w:eastAsia="Calibri" w:cs="Calibri"/>
        </w:rPr>
        <w:footnoteReference w:id="14"/>
      </w:r>
      <w:r w:rsidRPr="1EF6987B">
        <w:rPr>
          <w:rFonts w:eastAsia="Calibri" w:cs="Calibri"/>
        </w:rPr>
        <w:t>. The effectiveness of cervical cancer screening is demonstra</w:t>
      </w:r>
      <w:r>
        <w:rPr>
          <w:rFonts w:eastAsia="Calibri" w:cs="Calibri"/>
        </w:rPr>
        <w:t>ted</w:t>
      </w:r>
      <w:r w:rsidRPr="1EF6987B">
        <w:rPr>
          <w:rFonts w:eastAsia="Calibri" w:cs="Calibri"/>
        </w:rPr>
        <w:t xml:space="preserve"> by the fact that 70% of all cervical cancers in Australia occurred in </w:t>
      </w:r>
      <w:r>
        <w:rPr>
          <w:rFonts w:eastAsia="Calibri" w:cs="Calibri"/>
        </w:rPr>
        <w:t xml:space="preserve">people </w:t>
      </w:r>
      <w:r w:rsidRPr="1EF6987B">
        <w:rPr>
          <w:rFonts w:eastAsia="Calibri" w:cs="Calibri"/>
        </w:rPr>
        <w:t>who had never screened or were lapsed screeners</w:t>
      </w:r>
      <w:r>
        <w:rPr>
          <w:rStyle w:val="FootnoteReference"/>
          <w:rFonts w:eastAsia="Calibri" w:cs="Calibri"/>
        </w:rPr>
        <w:footnoteReference w:id="15"/>
      </w:r>
      <w:r w:rsidRPr="1EF6987B">
        <w:rPr>
          <w:rFonts w:eastAsia="Calibri" w:cs="Calibri"/>
        </w:rPr>
        <w:fldChar w:fldCharType="begin"/>
      </w:r>
      <w:r>
        <w:rPr>
          <w:rFonts w:eastAsia="Calibri" w:cs="Calibri"/>
        </w:rPr>
        <w:instrText xml:space="preserve"> ADDIN EN.CITE &lt;EndNote&gt;&lt;Cite&gt;&lt;Author&gt;Australian Institute of Health and Welfare (AIHW)&lt;/Author&gt;&lt;Year&gt;2019&lt;/Year&gt;&lt;RecNum&gt;9&lt;/RecNum&gt;&lt;DisplayText&gt;(Australian Institute of Health and Welfare (AIHW), 2019b)&lt;/DisplayText&gt;&lt;record&gt;&lt;rec-number&gt;9&lt;/rec-number&gt;&lt;foreign-keys&gt;&lt;key app="EN" db-id="faxx9d50vw5aa5e22z3vpre7pavtv9rxadf0" timestamp="1595387073"&gt;9&lt;/key&gt;&lt;/foreign-keys&gt;&lt;ref-type name="Report"&gt;27&lt;/ref-type&gt;&lt;contributors&gt;&lt;authors&gt;&lt;author&gt;Australian Institute of Health and Welfare (AIHW),&lt;/author&gt;&lt;/authors&gt;&lt;tertiary-authors&gt;&lt;author&gt;AIHW, Canberra&lt;/author&gt;&lt;/tertiary-authors&gt;&lt;subsidiary-authors&gt;&lt;author&gt;AIHW, Canberra&lt;/author&gt;&lt;/subsidiary-authors&gt;&lt;/contributors&gt;&lt;titles&gt;&lt;title&gt;National Cervical Screening Program monitoring report 2019&lt;/title&gt;&lt;/titles&gt;&lt;number&gt;Cancer Series no. 125 Cat no. 132&lt;/number&gt;&lt;edition&gt;Cancer Series no. 125 Cat no. 132&lt;/edition&gt;&lt;dates&gt;&lt;year&gt;2019&lt;/year&gt;&lt;/dates&gt;&lt;urls&gt;&lt;related-urls&gt;&lt;url&gt;https://www.aihw.gov.au/reports/cancer-screening/national-cervical-screening-monitoring-2019/contents/table-of-contents&lt;/url&gt;&lt;/related-urls&gt;&lt;/urls&gt;&lt;/record&gt;&lt;/Cite&gt;&lt;/EndNote&gt;</w:instrText>
      </w:r>
      <w:r w:rsidRPr="1EF6987B">
        <w:rPr>
          <w:rFonts w:eastAsia="Calibri" w:cs="Calibri"/>
        </w:rPr>
        <w:fldChar w:fldCharType="end"/>
      </w:r>
      <w:r w:rsidRPr="1EF6987B">
        <w:rPr>
          <w:rFonts w:eastAsia="Calibri" w:cs="Calibri"/>
        </w:rPr>
        <w:t xml:space="preserve">. Further, the rate of death from cervical cancer dropped to 2.1 in 100,000 </w:t>
      </w:r>
      <w:r>
        <w:rPr>
          <w:rFonts w:eastAsia="Calibri" w:cs="Calibri"/>
        </w:rPr>
        <w:t xml:space="preserve">people </w:t>
      </w:r>
      <w:r w:rsidRPr="1EF6987B">
        <w:rPr>
          <w:rFonts w:eastAsia="Calibri" w:cs="Calibri"/>
        </w:rPr>
        <w:t>in 2017, half the rate since the inception of the screening program</w:t>
      </w:r>
      <w:r>
        <w:rPr>
          <w:rStyle w:val="FootnoteReference"/>
          <w:rFonts w:eastAsia="Calibri" w:cs="Calibri"/>
        </w:rPr>
        <w:footnoteReference w:id="16"/>
      </w:r>
      <w:r>
        <w:rPr>
          <w:rFonts w:eastAsia="Calibri" w:cs="Calibri"/>
        </w:rPr>
        <w:t>.</w:t>
      </w:r>
    </w:p>
    <w:p w14:paraId="7766E1E2" w14:textId="357FEB14" w:rsidR="00CF4E81" w:rsidRDefault="007C6C75" w:rsidP="007C6C75">
      <w:r>
        <w:rPr>
          <w:rFonts w:eastAsia="Calibri" w:cs="Calibri"/>
        </w:rPr>
        <w:t xml:space="preserve">The most common risk factor for </w:t>
      </w:r>
      <w:r w:rsidRPr="006E7861">
        <w:rPr>
          <w:rFonts w:eastAsia="Calibri" w:cs="Calibri"/>
        </w:rPr>
        <w:t xml:space="preserve">cervical cancer </w:t>
      </w:r>
      <w:r>
        <w:rPr>
          <w:rFonts w:eastAsia="Calibri" w:cs="Calibri"/>
        </w:rPr>
        <w:t>is</w:t>
      </w:r>
      <w:r w:rsidRPr="006E7861">
        <w:rPr>
          <w:rFonts w:eastAsia="Calibri" w:cs="Calibri"/>
        </w:rPr>
        <w:t xml:space="preserve"> infection with </w:t>
      </w:r>
      <w:r>
        <w:rPr>
          <w:rFonts w:eastAsia="Calibri" w:cs="Calibri"/>
        </w:rPr>
        <w:t>HPV, responsible for about 93% of all cervical cancers in Australia</w:t>
      </w:r>
      <w:r>
        <w:rPr>
          <w:rStyle w:val="FootnoteReference"/>
          <w:rFonts w:eastAsia="Calibri" w:cs="Calibri"/>
        </w:rPr>
        <w:footnoteReference w:id="17"/>
      </w:r>
      <w:r>
        <w:rPr>
          <w:rFonts w:eastAsia="Calibri" w:cs="Calibri"/>
        </w:rPr>
        <w:fldChar w:fldCharType="begin">
          <w:fldData xml:space="preserve">PEVuZE5vdGU+PENpdGU+PEF1dGhvcj5Ccm90aGVydG9uPC9BdXRob3I+PFllYXI+MjAxNzwvWWVh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</w:fldData>
        </w:fldChar>
      </w:r>
      <w:r>
        <w:rPr>
          <w:rFonts w:eastAsia="Calibri" w:cs="Calibri"/>
        </w:rPr>
        <w:instrText xml:space="preserve"> ADDIN EN.CITE </w:instrText>
      </w:r>
      <w:r>
        <w:rPr>
          <w:rFonts w:eastAsia="Calibri" w:cs="Calibri"/>
        </w:rPr>
        <w:fldChar w:fldCharType="begin">
          <w:fldData xml:space="preserve">PEVuZE5vdGU+PENpdGU+PEF1dGhvcj5Ccm90aGVydG9uPC9BdXRob3I+PFllYXI+MjAxNzwvWWVh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</w:fldData>
        </w:fldChar>
      </w:r>
      <w:r>
        <w:rPr>
          <w:rFonts w:eastAsia="Calibri" w:cs="Calibri"/>
        </w:rPr>
        <w:instrText xml:space="preserve"> ADDIN EN.CITE.DATA </w:instrText>
      </w:r>
      <w:r>
        <w:rPr>
          <w:rFonts w:eastAsia="Calibri" w:cs="Calibri"/>
        </w:rPr>
      </w:r>
      <w:r>
        <w:rPr>
          <w:rFonts w:eastAsia="Calibri" w:cs="Calibri"/>
        </w:rPr>
        <w:fldChar w:fldCharType="end"/>
      </w:r>
      <w:r>
        <w:rPr>
          <w:rFonts w:eastAsia="Calibri" w:cs="Calibri"/>
        </w:rPr>
      </w:r>
      <w:r>
        <w:rPr>
          <w:rFonts w:eastAsia="Calibri" w:cs="Calibri"/>
        </w:rPr>
        <w:fldChar w:fldCharType="end"/>
      </w:r>
      <w:r>
        <w:rPr>
          <w:rFonts w:eastAsia="Calibri" w:cs="Calibri"/>
        </w:rPr>
        <w:t>. Of these, t</w:t>
      </w:r>
      <w:r w:rsidRPr="00975A5B">
        <w:rPr>
          <w:rFonts w:eastAsia="Calibri" w:cs="Calibri"/>
        </w:rPr>
        <w:t xml:space="preserve">he high-risk </w:t>
      </w:r>
      <w:r>
        <w:rPr>
          <w:rFonts w:eastAsia="Calibri" w:cs="Calibri"/>
        </w:rPr>
        <w:t xml:space="preserve">oncogenic HPVs are </w:t>
      </w:r>
      <w:r w:rsidRPr="00975A5B">
        <w:rPr>
          <w:rFonts w:eastAsia="Calibri" w:cs="Calibri"/>
        </w:rPr>
        <w:t>types 16 and 18, which are found in 70 to 80% of all cervical cancer cases</w:t>
      </w:r>
      <w:r>
        <w:rPr>
          <w:rStyle w:val="FootnoteReference"/>
          <w:rFonts w:eastAsia="Calibri" w:cs="Calibri"/>
        </w:rPr>
        <w:footnoteReference w:id="18"/>
      </w:r>
      <w:r w:rsidRPr="00975A5B">
        <w:rPr>
          <w:rFonts w:eastAsia="Calibri" w:cs="Calibri"/>
        </w:rPr>
        <w:t>.</w:t>
      </w:r>
      <w:r>
        <w:rPr>
          <w:rFonts w:eastAsia="Calibri" w:cs="Calibri"/>
        </w:rPr>
        <w:t xml:space="preserve"> Most HPV infections resolve themselves, but sometimes HPV can cause cervical cells to become abnormal, that eventually could develop into cancer. Not all these pre-cancerous abnormalities will progress to cervical cancer. </w:t>
      </w:r>
      <w:r>
        <w:t>However, it is not possible to know which precancerous abnormalities will regress without treatment, and so the detection of these abnormal cells is important to identify cases that would progress to the cervical cancer stage. This potential for progression to cervical cancer can be detected earlier using HPV screening.</w:t>
      </w:r>
    </w:p>
    <w:p w14:paraId="40F48A4C" w14:textId="77777777" w:rsidR="00CF4E81" w:rsidRDefault="007C6C75" w:rsidP="006A5D63">
      <w:pPr>
        <w:pStyle w:val="Heading2"/>
      </w:pPr>
      <w:r>
        <w:t>C</w:t>
      </w:r>
      <w:r w:rsidR="00CF4E81" w:rsidRPr="0076327A">
        <w:t>linical management algorithm</w:t>
      </w:r>
    </w:p>
    <w:p w14:paraId="006A4E5E" w14:textId="77777777" w:rsidR="007C6C75" w:rsidRDefault="007C6C75" w:rsidP="007C6C75">
      <w:r w:rsidRPr="002D5EC8">
        <w:t xml:space="preserve">The </w:t>
      </w:r>
      <w:r>
        <w:t>current (</w:t>
      </w:r>
      <w:r w:rsidR="00A10F05">
        <w:fldChar w:fldCharType="begin"/>
      </w:r>
      <w:r w:rsidR="00A10F05">
        <w:instrText xml:space="preserve"> REF _Ref59706195 </w:instrText>
      </w:r>
      <w:r w:rsidR="00A10F05">
        <w:fldChar w:fldCharType="separate"/>
      </w:r>
      <w:r>
        <w:t xml:space="preserve">Figure </w:t>
      </w:r>
      <w:r>
        <w:rPr>
          <w:noProof/>
        </w:rPr>
        <w:t>1</w:t>
      </w:r>
      <w:r w:rsidR="00A10F05">
        <w:rPr>
          <w:noProof/>
        </w:rPr>
        <w:fldChar w:fldCharType="end"/>
      </w:r>
      <w:r>
        <w:t>) and proposed (</w:t>
      </w:r>
      <w:r w:rsidR="00A10F05">
        <w:fldChar w:fldCharType="begin"/>
      </w:r>
      <w:r w:rsidR="00A10F05">
        <w:instrText xml:space="preserve"> REF _Ref59706200 </w:instrText>
      </w:r>
      <w:r w:rsidR="00A10F05">
        <w:fldChar w:fldCharType="separate"/>
      </w:r>
      <w:r w:rsidRPr="00183E4D">
        <w:t xml:space="preserve">Figure </w:t>
      </w:r>
      <w:r>
        <w:rPr>
          <w:noProof/>
        </w:rPr>
        <w:t>2</w:t>
      </w:r>
      <w:r w:rsidR="00A10F05">
        <w:rPr>
          <w:noProof/>
        </w:rPr>
        <w:fldChar w:fldCharType="end"/>
      </w:r>
      <w:r>
        <w:t>) clinical management algorithms for cervical cancer screening are illustrated and described below. The DCAR’s proposed algorithm differs only in the population eligible for self-collected samples. Note, these algorithms do not include the February 2021 update to the clinical management pathway for people at intermediate risk</w:t>
      </w:r>
      <w:r>
        <w:rPr>
          <w:rStyle w:val="FootnoteReference"/>
        </w:rPr>
        <w:footnoteReference w:id="19"/>
      </w:r>
      <w:r>
        <w:t>.</w:t>
      </w:r>
    </w:p>
    <w:p w14:paraId="094D2DF0" w14:textId="77777777" w:rsidR="007C6C75" w:rsidRDefault="007C6C75" w:rsidP="007C6C75">
      <w:pPr>
        <w:sectPr w:rsidR="007C6C75" w:rsidSect="007C6C75">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09" w:footer="709" w:gutter="0"/>
          <w:pgNumType w:start="1"/>
          <w:cols w:space="720"/>
        </w:sectPr>
      </w:pPr>
    </w:p>
    <w:p w14:paraId="574E7499" w14:textId="2C8D16F8" w:rsidR="007C6C75" w:rsidRDefault="0005689D" w:rsidP="0005689D">
      <w:pPr>
        <w:pStyle w:val="Tablenotes"/>
        <w:rPr>
          <w:rStyle w:val="TablenotesChar"/>
        </w:rPr>
        <w:sectPr w:rsidR="007C6C75" w:rsidSect="007C6C75">
          <w:pgSz w:w="16838" w:h="11906" w:orient="landscape"/>
          <w:pgMar w:top="1440" w:right="1440" w:bottom="1440" w:left="1134" w:header="708" w:footer="708" w:gutter="0"/>
          <w:cols w:space="708"/>
          <w:docGrid w:linePitch="360"/>
        </w:sectPr>
      </w:pPr>
      <w:r>
        <w:rPr>
          <w:noProof/>
          <w:lang w:eastAsia="en-AU"/>
        </w:rPr>
        <w:drawing>
          <wp:inline distT="0" distB="0" distL="0" distR="0" wp14:anchorId="3BB7047B" wp14:editId="2283E30E">
            <wp:extent cx="9057640" cy="5593080"/>
            <wp:effectExtent l="0" t="0" r="0" b="7620"/>
            <wp:docPr id="1" name="Picture 1" descr="Current clinical management algorithm - clinician collected cervical sample and self-collected vaginal sample by eligibl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057640" cy="5593080"/>
                    </a:xfrm>
                    <a:prstGeom prst="rect">
                      <a:avLst/>
                    </a:prstGeom>
                  </pic:spPr>
                </pic:pic>
              </a:graphicData>
            </a:graphic>
          </wp:inline>
        </w:drawing>
      </w:r>
      <w:r w:rsidRPr="0005689D">
        <w:rPr>
          <w:noProof/>
        </w:rPr>
        <w:t xml:space="preserve"> </w:t>
      </w:r>
      <w:r>
        <w:rPr>
          <w:noProof/>
          <w:lang w:eastAsia="en-AU"/>
        </w:rPr>
        <w:drawing>
          <wp:inline distT="0" distB="0" distL="0" distR="0" wp14:anchorId="0FF9198A" wp14:editId="772A9831">
            <wp:extent cx="9057640" cy="5460365"/>
            <wp:effectExtent l="0" t="0" r="0" b="6985"/>
            <wp:docPr id="15" name="Picture 15" descr="Proposed clinical management algorithm – clinician-collected cervical sample and self-collected vaginal s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057640" cy="5460365"/>
                    </a:xfrm>
                    <a:prstGeom prst="rect">
                      <a:avLst/>
                    </a:prstGeom>
                  </pic:spPr>
                </pic:pic>
              </a:graphicData>
            </a:graphic>
          </wp:inline>
        </w:drawing>
      </w:r>
    </w:p>
    <w:p w14:paraId="77DBE460" w14:textId="77777777" w:rsidR="007C6C75" w:rsidRDefault="007C6C75" w:rsidP="007C6C75">
      <w:r>
        <w:t>T</w:t>
      </w:r>
      <w:r w:rsidRPr="002D5EC8">
        <w:t xml:space="preserve">he </w:t>
      </w:r>
      <w:r>
        <w:t xml:space="preserve">current </w:t>
      </w:r>
      <w:r w:rsidRPr="002D5EC8">
        <w:t xml:space="preserve">primary </w:t>
      </w:r>
      <w:r w:rsidR="00914F97">
        <w:t>cervical</w:t>
      </w:r>
      <w:r w:rsidRPr="002D5EC8">
        <w:t xml:space="preserve"> screening test comprises testing for the presence of oncogenic HPV types, followed by reflex LBC of HPV-positive cervical specimens. Because the LBC is performed on the same cervical sample used for HPV testing</w:t>
      </w:r>
      <w:r>
        <w:t xml:space="preserve"> (when a clinician-collected sample is used for HPV testing)</w:t>
      </w:r>
      <w:r w:rsidRPr="002D5EC8">
        <w:t>, it is termed a ‘reflex LBC’. The current algorithm uses a risk-based approach</w:t>
      </w:r>
      <w:r>
        <w:t xml:space="preserve"> to managing people in the NCSP:</w:t>
      </w:r>
    </w:p>
    <w:p w14:paraId="49D52C10" w14:textId="77777777" w:rsidR="007C6C75" w:rsidRDefault="007C6C75" w:rsidP="007C6C75">
      <w:pPr>
        <w:pStyle w:val="ListParagraph"/>
        <w:numPr>
          <w:ilvl w:val="0"/>
          <w:numId w:val="26"/>
        </w:numPr>
        <w:spacing w:after="0"/>
      </w:pPr>
      <w:r w:rsidRPr="002D5EC8">
        <w:t xml:space="preserve">Those with HPV types 16/18 detected in their clinician-collected cervical sample are considered at higher risk, and always referred for </w:t>
      </w:r>
      <w:proofErr w:type="spellStart"/>
      <w:r w:rsidRPr="002D5EC8">
        <w:t>colposcopic</w:t>
      </w:r>
      <w:proofErr w:type="spellEnd"/>
      <w:r w:rsidRPr="002D5EC8">
        <w:t xml:space="preserve"> assessment, after a reflex LBC. </w:t>
      </w:r>
    </w:p>
    <w:p w14:paraId="12083EF4" w14:textId="77777777" w:rsidR="007C6C75" w:rsidRDefault="007C6C75" w:rsidP="007C6C75">
      <w:pPr>
        <w:pStyle w:val="ListParagraph"/>
        <w:numPr>
          <w:ilvl w:val="0"/>
          <w:numId w:val="26"/>
        </w:numPr>
        <w:spacing w:after="0"/>
      </w:pPr>
      <w:r w:rsidRPr="002D5EC8">
        <w:t xml:space="preserve">Those with HPV non-16/18 detected in their clinician-collected cervical sample, also undergo a reflex LBC. </w:t>
      </w:r>
    </w:p>
    <w:p w14:paraId="6163C1A6" w14:textId="77777777" w:rsidR="007C6C75" w:rsidRDefault="007C6C75" w:rsidP="007C6C75">
      <w:pPr>
        <w:pStyle w:val="ListParagraph"/>
        <w:numPr>
          <w:ilvl w:val="1"/>
          <w:numId w:val="26"/>
        </w:numPr>
        <w:spacing w:after="0"/>
      </w:pPr>
      <w:r w:rsidRPr="002D5EC8">
        <w:t>If the reflex LBC is either negative or identifies a low-grade squamous intraepithelial lesion (LSIL) or probable LSIL (</w:t>
      </w:r>
      <w:proofErr w:type="spellStart"/>
      <w:r w:rsidRPr="002D5EC8">
        <w:t>pLSIL</w:t>
      </w:r>
      <w:proofErr w:type="spellEnd"/>
      <w:r w:rsidRPr="002D5EC8">
        <w:t xml:space="preserve">), these people are considered at intermediate risk of developing cervical cancer, and asked to repeat the HPV test in 12 months. </w:t>
      </w:r>
    </w:p>
    <w:p w14:paraId="4B08E12F" w14:textId="77777777" w:rsidR="007C6C75" w:rsidRDefault="007C6C75" w:rsidP="007C6C75">
      <w:pPr>
        <w:pStyle w:val="ListParagraph"/>
        <w:numPr>
          <w:ilvl w:val="1"/>
          <w:numId w:val="26"/>
        </w:numPr>
        <w:spacing w:after="0"/>
      </w:pPr>
      <w:r>
        <w:t>If the</w:t>
      </w:r>
      <w:r w:rsidRPr="002D5EC8">
        <w:t xml:space="preserve"> reflex LBC identifies a high-grade squamous intraepithelial lesion (HSIL) or probable HSIL (p</w:t>
      </w:r>
      <w:r>
        <w:t>-</w:t>
      </w:r>
      <w:r w:rsidRPr="002D5EC8">
        <w:t xml:space="preserve">HSIL), indicating cellular changes in the cervix that require treatment, these people are considered high-risk and referred for </w:t>
      </w:r>
      <w:proofErr w:type="spellStart"/>
      <w:r w:rsidRPr="002D5EC8">
        <w:t>colposcopic</w:t>
      </w:r>
      <w:proofErr w:type="spellEnd"/>
      <w:r w:rsidRPr="002D5EC8">
        <w:t xml:space="preserve"> assessment.</w:t>
      </w:r>
    </w:p>
    <w:p w14:paraId="2EB3A6C9" w14:textId="77777777" w:rsidR="007C6C75" w:rsidRDefault="007C6C75" w:rsidP="007C6C75">
      <w:pPr>
        <w:pStyle w:val="ListParagraph"/>
        <w:numPr>
          <w:ilvl w:val="0"/>
          <w:numId w:val="26"/>
        </w:numPr>
        <w:spacing w:after="0"/>
      </w:pPr>
      <w:r w:rsidRPr="002D5EC8">
        <w:t>Those with no HPV detected in their sample are considered at low risk of developing cervical cancer, and are reco</w:t>
      </w:r>
      <w:r>
        <w:t>mmended to rescreen in 5 years.</w:t>
      </w:r>
    </w:p>
    <w:p w14:paraId="7EDF527D" w14:textId="2B39A81B" w:rsidR="007C6C75" w:rsidRDefault="007C6C75" w:rsidP="007C6C75">
      <w:pPr>
        <w:pStyle w:val="ListParagraph"/>
        <w:numPr>
          <w:ilvl w:val="0"/>
          <w:numId w:val="26"/>
        </w:numPr>
        <w:spacing w:after="0"/>
      </w:pPr>
      <w:r>
        <w:t xml:space="preserve">Those whose sample was </w:t>
      </w:r>
      <w:r w:rsidRPr="002D5EC8">
        <w:t>deemed unsatisfactory, i.e. could not be read for detection of HPV, are invited to provide cervical sampl</w:t>
      </w:r>
      <w:r>
        <w:t>es for an LBC in 6 to 12 weeks.</w:t>
      </w:r>
    </w:p>
    <w:p w14:paraId="586C9259" w14:textId="77777777" w:rsidR="007C6C75" w:rsidRDefault="007C6C75" w:rsidP="00C86AF6">
      <w:pPr>
        <w:spacing w:before="240"/>
      </w:pPr>
      <w:r w:rsidRPr="002B2433">
        <w:rPr>
          <w:color w:val="000000" w:themeColor="text1"/>
        </w:rPr>
        <w:t xml:space="preserve">The proposed </w:t>
      </w:r>
      <w:r>
        <w:rPr>
          <w:color w:val="000000" w:themeColor="text1"/>
        </w:rPr>
        <w:t xml:space="preserve">clinical management </w:t>
      </w:r>
      <w:r w:rsidRPr="002B2433">
        <w:rPr>
          <w:color w:val="000000" w:themeColor="text1"/>
        </w:rPr>
        <w:t xml:space="preserve">algorithm for a clinician-collected cervical sample is the same as the current algorithm for cervical screening testing on clinician-collected cervical sample. </w:t>
      </w:r>
      <w:r>
        <w:t xml:space="preserve">The proposed algorithm for cervical screening testing using a self-collected vaginal sample is different from the current algorithm in the following ways: </w:t>
      </w:r>
    </w:p>
    <w:p w14:paraId="583753CC" w14:textId="77777777" w:rsidR="007C6C75" w:rsidRDefault="007C6C75" w:rsidP="007C6C75">
      <w:pPr>
        <w:pStyle w:val="ListParagraph"/>
        <w:numPr>
          <w:ilvl w:val="0"/>
          <w:numId w:val="27"/>
        </w:numPr>
        <w:spacing w:after="0"/>
      </w:pPr>
      <w:r>
        <w:t>the</w:t>
      </w:r>
      <w:r w:rsidDel="000803AF">
        <w:t xml:space="preserve"> </w:t>
      </w:r>
      <w:r>
        <w:t>option to self-collect a vaginal sample will be offered to all people eligible for cervical cancer screening under the renewed NCSP, as opposed to being offered</w:t>
      </w:r>
      <w:r w:rsidDel="000803AF">
        <w:t xml:space="preserve"> </w:t>
      </w:r>
      <w:r>
        <w:t>only to people with a cervix aged 30 years or older who either are overdue by more than 2 years, or have never screened; and</w:t>
      </w:r>
    </w:p>
    <w:p w14:paraId="74092C06" w14:textId="1B919232" w:rsidR="007C6C75" w:rsidRDefault="007C6C75" w:rsidP="007C6C75">
      <w:pPr>
        <w:pStyle w:val="ListParagraph"/>
        <w:numPr>
          <w:ilvl w:val="0"/>
          <w:numId w:val="27"/>
        </w:numPr>
        <w:spacing w:after="0"/>
      </w:pPr>
      <w:proofErr w:type="gramStart"/>
      <w:r>
        <w:t>because</w:t>
      </w:r>
      <w:proofErr w:type="gramEnd"/>
      <w:r>
        <w:t xml:space="preserve"> a vaginal sample cannot be used for LBC testing, the detection of HPV non-16/18 in the vaginal sample will result in an appointment with the healthcare provider to obtain a clinician-collected cervical sample.</w:t>
      </w:r>
    </w:p>
    <w:p w14:paraId="1EEAE3CF" w14:textId="77777777" w:rsidR="007C6C75" w:rsidRDefault="007C6C75" w:rsidP="00C86AF6">
      <w:pPr>
        <w:spacing w:before="240"/>
      </w:pPr>
      <w:r>
        <w:t>The DCAR stated that o</w:t>
      </w:r>
      <w:r w:rsidRPr="008B1528">
        <w:t xml:space="preserve">f the people who opt for the self-collection pathway, an estimated </w:t>
      </w:r>
      <w:r>
        <w:t>6.5</w:t>
      </w:r>
      <w:r w:rsidRPr="008B1528">
        <w:t>% (</w:t>
      </w:r>
      <w:r>
        <w:t xml:space="preserve">the proportion who test positive for </w:t>
      </w:r>
      <w:r w:rsidRPr="008B1528">
        <w:t>HPV type non-16/18</w:t>
      </w:r>
      <w:r>
        <w:rPr>
          <w:rStyle w:val="FootnoteReference"/>
        </w:rPr>
        <w:footnoteReference w:id="20"/>
      </w:r>
      <w:r w:rsidRPr="008B1528">
        <w:t>) might need this follow-up LBC appointment.</w:t>
      </w:r>
    </w:p>
    <w:p w14:paraId="343238F8" w14:textId="77777777" w:rsidR="007C6C75" w:rsidRPr="007C6C75" w:rsidRDefault="007C6C75" w:rsidP="007C6C75">
      <w:r>
        <w:t>ESC noted that the cervical screening pathway for intermediate risk women had changed on 1 February 2021:</w:t>
      </w:r>
      <w:r w:rsidRPr="00DC1215">
        <w:t xml:space="preserve"> </w:t>
      </w:r>
      <w:r>
        <w:t>w</w:t>
      </w:r>
      <w:r w:rsidRPr="00DC1215">
        <w:t xml:space="preserve">omen with a </w:t>
      </w:r>
      <w:r>
        <w:t>12-month follow up HPV (non</w:t>
      </w:r>
      <w:r w:rsidRPr="00DC1215">
        <w:t xml:space="preserve">-16/18) result with LBC prediction negative, </w:t>
      </w:r>
      <w:proofErr w:type="spellStart"/>
      <w:r w:rsidRPr="00DC1215">
        <w:t>pLSIL</w:t>
      </w:r>
      <w:proofErr w:type="spellEnd"/>
      <w:r w:rsidRPr="00DC1215">
        <w:t xml:space="preserve"> or LSIL (intermediate risk result) </w:t>
      </w:r>
      <w:r>
        <w:t>are now</w:t>
      </w:r>
      <w:r w:rsidRPr="00DC1215">
        <w:t xml:space="preserve"> recommended to undertake a further HPV follow up test in 12 months’ time following their previous HPV test</w:t>
      </w:r>
      <w:r>
        <w:t>,</w:t>
      </w:r>
      <w:r w:rsidRPr="00DC1215">
        <w:t xml:space="preserve"> instead of referral to colposcopy</w:t>
      </w:r>
      <w:r>
        <w:rPr>
          <w:rStyle w:val="FootnoteReference"/>
        </w:rPr>
        <w:footnoteReference w:id="21"/>
      </w:r>
      <w:r>
        <w:t>. This could change the proportion who come back for self-collection if positive once, in both current and proposed clinical management algorithms.</w:t>
      </w:r>
    </w:p>
    <w:p w14:paraId="05C0417D" w14:textId="19DBA212" w:rsidR="00BC1364" w:rsidRPr="00F715D1" w:rsidRDefault="00DB32A6" w:rsidP="002F4063">
      <w:pPr>
        <w:pStyle w:val="Heading1"/>
      </w:pPr>
      <w:r>
        <w:t>Comparator</w:t>
      </w:r>
    </w:p>
    <w:p w14:paraId="3B9CFF26" w14:textId="4189D6D4" w:rsidR="007C6C75" w:rsidRDefault="007C6C75" w:rsidP="007C6C75">
      <w:r>
        <w:t>The proposed model w</w:t>
      </w:r>
      <w:r w:rsidR="00DB32A6">
        <w:t>ould</w:t>
      </w:r>
      <w:r>
        <w:t xml:space="preserve"> change the eligible population and uptake, not the test itself. </w:t>
      </w:r>
      <w:r w:rsidR="00DB32A6">
        <w:t>As a comparator, t</w:t>
      </w:r>
      <w:r w:rsidRPr="00153334">
        <w:t xml:space="preserve">he </w:t>
      </w:r>
      <w:r w:rsidR="00DB32A6">
        <w:t>DCAR</w:t>
      </w:r>
      <w:r>
        <w:t xml:space="preserve"> used self-collected sampling under current eligibility criteria: only </w:t>
      </w:r>
      <w:r w:rsidRPr="005049F3">
        <w:t>people</w:t>
      </w:r>
      <w:r>
        <w:t xml:space="preserve"> with a cervix who are</w:t>
      </w:r>
      <w:r w:rsidRPr="005049F3">
        <w:t xml:space="preserve"> 30 years of age or older, who are either overdue by more than two years, or have never screened</w:t>
      </w:r>
      <w:r>
        <w:t>.</w:t>
      </w:r>
    </w:p>
    <w:p w14:paraId="10F52B20" w14:textId="77777777" w:rsidR="00BC1364" w:rsidRPr="00F715D1" w:rsidRDefault="00BC1364" w:rsidP="002F4063">
      <w:pPr>
        <w:pStyle w:val="Heading1"/>
      </w:pPr>
      <w:r w:rsidRPr="00F715D1">
        <w:t>Comparative safety</w:t>
      </w:r>
    </w:p>
    <w:p w14:paraId="288427B1" w14:textId="77777777" w:rsidR="007C6C75" w:rsidRDefault="007C6C75" w:rsidP="007C6C75">
      <w:r>
        <w:t>Comparative safety was not assessed by the DCAR</w:t>
      </w:r>
      <w:r w:rsidRPr="009C0883">
        <w:t>.</w:t>
      </w:r>
    </w:p>
    <w:p w14:paraId="70F38C90" w14:textId="77777777" w:rsidR="00BC1364" w:rsidRPr="00F715D1" w:rsidRDefault="00BC1364" w:rsidP="002F4063">
      <w:pPr>
        <w:pStyle w:val="Heading1"/>
      </w:pPr>
      <w:r w:rsidRPr="00F715D1">
        <w:t>Comparative effectiveness</w:t>
      </w:r>
    </w:p>
    <w:p w14:paraId="4A64534B" w14:textId="77777777" w:rsidR="007C6C75" w:rsidRPr="006A5D63" w:rsidRDefault="007C6C75" w:rsidP="006A5D63">
      <w:pPr>
        <w:pStyle w:val="Heading2"/>
      </w:pPr>
      <w:r w:rsidRPr="006A5D63">
        <w:t>Clinical claim</w:t>
      </w:r>
    </w:p>
    <w:p w14:paraId="05DC3C24" w14:textId="13BCDCD9" w:rsidR="007C6C75" w:rsidRDefault="007C6C75" w:rsidP="007C6C75">
      <w:r w:rsidRPr="00BD4654">
        <w:t xml:space="preserve">The clinical claim </w:t>
      </w:r>
      <w:r w:rsidR="00DB32A6">
        <w:t>wa</w:t>
      </w:r>
      <w:r w:rsidRPr="00BD4654">
        <w:t xml:space="preserve">s </w:t>
      </w:r>
      <w:r>
        <w:t>that HPV-testing using polymerase chain reaction (PCR) methods on self-collected vaginal samples is non-inferior</w:t>
      </w:r>
      <w:r w:rsidRPr="00BD4654">
        <w:t xml:space="preserve"> in </w:t>
      </w:r>
      <w:r>
        <w:t>diagnostic accuracy, compared with testing of clinician-collected cervical samples.</w:t>
      </w:r>
    </w:p>
    <w:p w14:paraId="6CFBE706" w14:textId="214DBD66" w:rsidR="007C6C75" w:rsidRPr="00984C8D" w:rsidRDefault="007C6C75" w:rsidP="007C6C75">
      <w:r>
        <w:t xml:space="preserve">A second claim tested in the assessment </w:t>
      </w:r>
      <w:r w:rsidR="00DB32A6">
        <w:t>wa</w:t>
      </w:r>
      <w:r>
        <w:t xml:space="preserve">s that providing the option to participate via self-collection is superior in terms of impact on screening participation rates, </w:t>
      </w:r>
      <w:r w:rsidRPr="00BD4654">
        <w:t xml:space="preserve">compared </w:t>
      </w:r>
      <w:r>
        <w:t>with</w:t>
      </w:r>
      <w:r w:rsidRPr="00BD4654">
        <w:t xml:space="preserve"> </w:t>
      </w:r>
      <w:r>
        <w:t>requiring clinician-collected cervical samples.</w:t>
      </w:r>
    </w:p>
    <w:p w14:paraId="16DAC8FE" w14:textId="77777777" w:rsidR="007C6C75" w:rsidRDefault="007C6C75" w:rsidP="006A5D63">
      <w:pPr>
        <w:pStyle w:val="Heading2"/>
      </w:pPr>
      <w:r>
        <w:t>Diagnostic accuracy</w:t>
      </w:r>
    </w:p>
    <w:p w14:paraId="0DE2BE00" w14:textId="0A1EB878" w:rsidR="00C86AF6" w:rsidRPr="00C86AF6" w:rsidRDefault="007C6C75" w:rsidP="00C86AF6">
      <w:r>
        <w:t xml:space="preserve">Detection of </w:t>
      </w:r>
      <w:r w:rsidRPr="004C066B">
        <w:t xml:space="preserve">cervical intraepithelial neoplasia (CIN) </w:t>
      </w:r>
      <w:r>
        <w:t xml:space="preserve">of </w:t>
      </w:r>
      <w:r w:rsidRPr="004C066B">
        <w:t>Grade 2</w:t>
      </w:r>
      <w:r>
        <w:t xml:space="preserve"> or higher (CIN2+) is </w:t>
      </w:r>
      <w:r w:rsidRPr="004C066B">
        <w:t>used to direct clinica</w:t>
      </w:r>
      <w:r>
        <w:t>l management of cervical cancer</w:t>
      </w:r>
      <w:r w:rsidRPr="004C066B">
        <w:t xml:space="preserve"> in the Australian healthcare setting</w:t>
      </w:r>
      <w:r>
        <w:t xml:space="preserve">. The DCAR conducted a meta-analysis of the diagnostic accuracy of self-collected samples versus clinician-collected samples, </w:t>
      </w:r>
      <w:r w:rsidR="006328CE">
        <w:t xml:space="preserve">in supporting HPV testing </w:t>
      </w:r>
      <w:r>
        <w:t xml:space="preserve">to detect CIN2+ </w:t>
      </w:r>
      <w:r w:rsidR="006328CE">
        <w:t xml:space="preserve">as the reference standard </w:t>
      </w:r>
      <w:r>
        <w:t>(</w:t>
      </w:r>
      <w:r w:rsidR="00A10F05">
        <w:fldChar w:fldCharType="begin"/>
      </w:r>
      <w:r w:rsidR="00A10F05">
        <w:instrText xml:space="preserve"> REF _Ref54345904  \* MERGEFORMAT </w:instrText>
      </w:r>
      <w:r w:rsidR="00A10F05">
        <w:fldChar w:fldCharType="separate"/>
      </w:r>
      <w:r w:rsidRPr="004D3A2B">
        <w:t xml:space="preserve">Table </w:t>
      </w:r>
      <w:r>
        <w:t>3</w:t>
      </w:r>
      <w:r w:rsidR="00A10F05">
        <w:fldChar w:fldCharType="end"/>
      </w:r>
      <w:r>
        <w:t>). This meta-analysis of cross-sectional studies found that the sensitivity and specificity of the self-collection method was non-inferior compared to the reference standard, clinician-collected samples. Certainty of the evidence for the studies included in the DCAR’s meta-an</w:t>
      </w:r>
      <w:r w:rsidR="006328CE">
        <w:t>alysis was moderate to low.</w:t>
      </w:r>
      <w:bookmarkStart w:id="6" w:name="_Ref54345904"/>
      <w:bookmarkStart w:id="7" w:name="_Toc59631521"/>
      <w:r w:rsidR="00C86AF6">
        <w:br w:type="page"/>
      </w:r>
    </w:p>
    <w:p w14:paraId="378AD8F0" w14:textId="077AD24E" w:rsidR="007C6C75" w:rsidRPr="004D3A2B" w:rsidRDefault="007C6C75" w:rsidP="007C6C75">
      <w:pPr>
        <w:pStyle w:val="Caption"/>
        <w:jc w:val="left"/>
      </w:pPr>
      <w:r w:rsidRPr="004D3A2B">
        <w:t xml:space="preserve">Table </w:t>
      </w:r>
      <w:r w:rsidRPr="004D3A2B">
        <w:fldChar w:fldCharType="begin"/>
      </w:r>
      <w:r w:rsidRPr="004D3A2B">
        <w:instrText>SEQ Table \* ARABIC</w:instrText>
      </w:r>
      <w:r w:rsidRPr="004D3A2B">
        <w:fldChar w:fldCharType="separate"/>
      </w:r>
      <w:r>
        <w:rPr>
          <w:noProof/>
        </w:rPr>
        <w:t>3</w:t>
      </w:r>
      <w:r w:rsidRPr="004D3A2B">
        <w:fldChar w:fldCharType="end"/>
      </w:r>
      <w:bookmarkEnd w:id="6"/>
      <w:r>
        <w:tab/>
      </w:r>
      <w:r w:rsidRPr="004D3A2B">
        <w:t xml:space="preserve">Summary </w:t>
      </w:r>
      <w:r w:rsidRPr="0084658E">
        <w:t>statistics</w:t>
      </w:r>
      <w:r w:rsidRPr="004D3A2B">
        <w:t xml:space="preserve"> for diagnostic accuracy of self-collection </w:t>
      </w:r>
      <w:r>
        <w:t>and</w:t>
      </w:r>
      <w:r w:rsidRPr="004D3A2B">
        <w:t xml:space="preserve"> clinician-collection</w:t>
      </w:r>
      <w:r>
        <w:t xml:space="preserve">, against </w:t>
      </w:r>
      <w:r w:rsidRPr="004D3A2B">
        <w:t>reference standard</w:t>
      </w:r>
      <w:bookmarkEnd w:id="7"/>
    </w:p>
    <w:tbl>
      <w:tblPr>
        <w:tblStyle w:val="TableGrid1"/>
        <w:tblW w:w="5520" w:type="pct"/>
        <w:tblLayout w:type="fixed"/>
        <w:tblLook w:val="04A0" w:firstRow="1" w:lastRow="0" w:firstColumn="1" w:lastColumn="0" w:noHBand="0" w:noVBand="1"/>
        <w:tblCaption w:val="Summary statistics for self-collection compared with clinician-collection, against reference standard"/>
        <w:tblDescription w:val="This table provides summary estimates of diagnostic accuracy of self-collection compared with clinician-collection, against a reference standard. This table also presents the comparative accuracy as reported in the published meta-analysis by Arbyn et al (2018)"/>
      </w:tblPr>
      <w:tblGrid>
        <w:gridCol w:w="1130"/>
        <w:gridCol w:w="1099"/>
        <w:gridCol w:w="1101"/>
        <w:gridCol w:w="1099"/>
        <w:gridCol w:w="1101"/>
        <w:gridCol w:w="1129"/>
        <w:gridCol w:w="1073"/>
        <w:gridCol w:w="2222"/>
      </w:tblGrid>
      <w:tr w:rsidR="007C6C75" w:rsidRPr="004D3A2B" w14:paraId="36728E2A" w14:textId="77777777" w:rsidTr="00895339">
        <w:trPr>
          <w:trHeight w:val="469"/>
          <w:tblHeader/>
        </w:trPr>
        <w:tc>
          <w:tcPr>
            <w:tcW w:w="568" w:type="pct"/>
          </w:tcPr>
          <w:p w14:paraId="64B135B1" w14:textId="77777777" w:rsidR="007C6C75" w:rsidRPr="004D3A2B" w:rsidRDefault="007C6C75" w:rsidP="007C6C75">
            <w:pPr>
              <w:keepNext/>
              <w:widowControl w:val="0"/>
              <w:adjustRightInd w:val="0"/>
              <w:spacing w:before="40" w:after="40"/>
              <w:textAlignment w:val="baseline"/>
              <w:rPr>
                <w:rFonts w:ascii="Arial Narrow" w:hAnsi="Arial Narrow" w:cs="Arial"/>
                <w:color w:val="1F497D"/>
                <w:sz w:val="20"/>
                <w:lang w:eastAsia="en-US"/>
              </w:rPr>
            </w:pPr>
            <w:r w:rsidRPr="004D3A2B">
              <w:rPr>
                <w:rFonts w:ascii="Arial Narrow" w:hAnsi="Arial Narrow"/>
                <w:b/>
                <w:sz w:val="20"/>
                <w:szCs w:val="22"/>
                <w:lang w:eastAsia="en-US"/>
              </w:rPr>
              <w:t>Accuracy</w:t>
            </w:r>
          </w:p>
        </w:tc>
        <w:tc>
          <w:tcPr>
            <w:tcW w:w="552" w:type="pct"/>
          </w:tcPr>
          <w:p w14:paraId="7D65C494" w14:textId="77777777" w:rsidR="007C6C75" w:rsidRPr="004D3A2B" w:rsidRDefault="007C6C75" w:rsidP="007C6C75">
            <w:pPr>
              <w:keepNext/>
              <w:widowControl w:val="0"/>
              <w:adjustRightInd w:val="0"/>
              <w:spacing w:before="40" w:after="40"/>
              <w:jc w:val="center"/>
              <w:textAlignment w:val="baseline"/>
              <w:rPr>
                <w:rFonts w:ascii="Arial Narrow" w:hAnsi="Arial Narrow"/>
                <w:sz w:val="20"/>
                <w:szCs w:val="22"/>
                <w:lang w:eastAsia="en-US"/>
              </w:rPr>
            </w:pPr>
            <w:r w:rsidRPr="004D3A2B">
              <w:rPr>
                <w:rFonts w:ascii="Arial Narrow" w:hAnsi="Arial Narrow"/>
                <w:b/>
                <w:sz w:val="20"/>
                <w:szCs w:val="22"/>
                <w:lang w:eastAsia="en-US"/>
              </w:rPr>
              <w:t>Self-collection</w:t>
            </w:r>
          </w:p>
        </w:tc>
        <w:tc>
          <w:tcPr>
            <w:tcW w:w="553" w:type="pct"/>
          </w:tcPr>
          <w:p w14:paraId="44335694" w14:textId="77777777" w:rsidR="007C6C75" w:rsidRPr="004D3A2B" w:rsidRDefault="007C6C75" w:rsidP="007C6C75">
            <w:pPr>
              <w:keepNext/>
              <w:widowControl w:val="0"/>
              <w:adjustRightInd w:val="0"/>
              <w:spacing w:before="40" w:after="40"/>
              <w:jc w:val="center"/>
              <w:textAlignment w:val="baseline"/>
              <w:rPr>
                <w:rFonts w:ascii="Arial Narrow" w:hAnsi="Arial Narrow"/>
                <w:sz w:val="20"/>
                <w:szCs w:val="22"/>
                <w:lang w:eastAsia="en-US"/>
              </w:rPr>
            </w:pPr>
            <w:r w:rsidRPr="004D3A2B">
              <w:rPr>
                <w:rFonts w:ascii="Arial Narrow" w:hAnsi="Arial Narrow"/>
                <w:b/>
                <w:sz w:val="20"/>
                <w:szCs w:val="22"/>
                <w:lang w:eastAsia="en-US"/>
              </w:rPr>
              <w:t>Clinician- collection</w:t>
            </w:r>
          </w:p>
        </w:tc>
        <w:tc>
          <w:tcPr>
            <w:tcW w:w="552" w:type="pct"/>
          </w:tcPr>
          <w:p w14:paraId="008D4C81" w14:textId="77777777" w:rsidR="007C6C75" w:rsidRPr="004D3A2B" w:rsidRDefault="007C6C75" w:rsidP="007C6C75">
            <w:pPr>
              <w:keepNext/>
              <w:widowControl w:val="0"/>
              <w:adjustRightInd w:val="0"/>
              <w:spacing w:before="40" w:after="40"/>
              <w:jc w:val="center"/>
              <w:textAlignment w:val="baseline"/>
              <w:rPr>
                <w:rFonts w:ascii="Arial Narrow" w:hAnsi="Arial Narrow"/>
                <w:b/>
                <w:sz w:val="20"/>
                <w:szCs w:val="22"/>
                <w:lang w:eastAsia="en-US"/>
              </w:rPr>
            </w:pPr>
            <w:r w:rsidRPr="004D3A2B">
              <w:rPr>
                <w:rFonts w:ascii="Arial Narrow" w:hAnsi="Arial Narrow"/>
                <w:b/>
                <w:sz w:val="20"/>
                <w:szCs w:val="22"/>
                <w:lang w:eastAsia="en-US"/>
              </w:rPr>
              <w:t>Self</w:t>
            </w:r>
            <w:r>
              <w:rPr>
                <w:rFonts w:ascii="Arial Narrow" w:hAnsi="Arial Narrow"/>
                <w:b/>
                <w:sz w:val="20"/>
                <w:szCs w:val="22"/>
                <w:lang w:eastAsia="en-US"/>
              </w:rPr>
              <w:t>-collected versus</w:t>
            </w:r>
            <w:r w:rsidRPr="004D3A2B">
              <w:rPr>
                <w:rFonts w:ascii="Arial Narrow" w:hAnsi="Arial Narrow"/>
                <w:b/>
                <w:sz w:val="20"/>
                <w:szCs w:val="22"/>
                <w:lang w:eastAsia="en-US"/>
              </w:rPr>
              <w:t xml:space="preserve"> clinician collected</w:t>
            </w:r>
            <w:r>
              <w:rPr>
                <w:rFonts w:ascii="Arial Narrow" w:hAnsi="Arial Narrow"/>
                <w:b/>
                <w:sz w:val="20"/>
                <w:szCs w:val="22"/>
                <w:lang w:eastAsia="en-US"/>
              </w:rPr>
              <w:t xml:space="preserve"> RR</w:t>
            </w:r>
          </w:p>
        </w:tc>
        <w:tc>
          <w:tcPr>
            <w:tcW w:w="553" w:type="pct"/>
          </w:tcPr>
          <w:p w14:paraId="47BC9115" w14:textId="77777777" w:rsidR="007C6C75" w:rsidRPr="00625559" w:rsidRDefault="007C6C75" w:rsidP="007C6C75">
            <w:pPr>
              <w:keepNext/>
              <w:widowControl w:val="0"/>
              <w:adjustRightInd w:val="0"/>
              <w:spacing w:before="40" w:after="40"/>
              <w:jc w:val="center"/>
              <w:textAlignment w:val="baseline"/>
              <w:rPr>
                <w:rFonts w:ascii="Arial Narrow" w:hAnsi="Arial Narrow"/>
                <w:b/>
                <w:sz w:val="20"/>
                <w:vertAlign w:val="superscript"/>
              </w:rPr>
            </w:pPr>
            <w:r>
              <w:rPr>
                <w:rFonts w:ascii="Arial Narrow" w:hAnsi="Arial Narrow"/>
                <w:b/>
                <w:sz w:val="20"/>
                <w:szCs w:val="22"/>
                <w:lang w:eastAsia="en-US"/>
              </w:rPr>
              <w:t xml:space="preserve">Published meta-analysis </w:t>
            </w:r>
            <w:r>
              <w:rPr>
                <w:rFonts w:ascii="Arial Narrow" w:hAnsi="Arial Narrow"/>
                <w:b/>
                <w:sz w:val="20"/>
                <w:szCs w:val="22"/>
                <w:vertAlign w:val="superscript"/>
                <w:lang w:eastAsia="en-US"/>
              </w:rPr>
              <w:t>a</w:t>
            </w:r>
          </w:p>
        </w:tc>
        <w:tc>
          <w:tcPr>
            <w:tcW w:w="567" w:type="pct"/>
          </w:tcPr>
          <w:p w14:paraId="2816B084" w14:textId="77777777" w:rsidR="007C6C75" w:rsidRPr="00554FC4" w:rsidRDefault="007C6C75" w:rsidP="007C6C75">
            <w:pPr>
              <w:keepNext/>
              <w:widowControl w:val="0"/>
              <w:adjustRightInd w:val="0"/>
              <w:spacing w:before="40" w:after="40"/>
              <w:ind w:left="-110" w:right="-108"/>
              <w:jc w:val="center"/>
              <w:textAlignment w:val="baseline"/>
              <w:rPr>
                <w:rFonts w:ascii="Arial Narrow" w:hAnsi="Arial Narrow"/>
                <w:b/>
                <w:sz w:val="20"/>
                <w:szCs w:val="22"/>
                <w:lang w:eastAsia="en-US"/>
              </w:rPr>
            </w:pPr>
            <w:r>
              <w:rPr>
                <w:rFonts w:ascii="Arial Narrow" w:hAnsi="Arial Narrow"/>
                <w:b/>
                <w:sz w:val="20"/>
                <w:szCs w:val="22"/>
                <w:lang w:eastAsia="en-US"/>
              </w:rPr>
              <w:t>Number of participants, studies</w:t>
            </w:r>
          </w:p>
        </w:tc>
        <w:tc>
          <w:tcPr>
            <w:tcW w:w="539" w:type="pct"/>
          </w:tcPr>
          <w:p w14:paraId="097E8DC0" w14:textId="77777777" w:rsidR="007C6C75" w:rsidRPr="004D3A2B" w:rsidRDefault="007C6C75" w:rsidP="007C6C75">
            <w:pPr>
              <w:keepNext/>
              <w:widowControl w:val="0"/>
              <w:adjustRightInd w:val="0"/>
              <w:spacing w:before="40" w:after="40"/>
              <w:ind w:left="-110"/>
              <w:jc w:val="center"/>
              <w:textAlignment w:val="baseline"/>
              <w:rPr>
                <w:rFonts w:ascii="Arial Narrow" w:hAnsi="Arial Narrow"/>
                <w:b/>
                <w:sz w:val="20"/>
                <w:szCs w:val="22"/>
                <w:lang w:eastAsia="en-US"/>
              </w:rPr>
            </w:pPr>
            <w:r w:rsidRPr="002B067D">
              <w:rPr>
                <w:rFonts w:ascii="Arial Narrow" w:hAnsi="Arial Narrow"/>
                <w:b/>
                <w:sz w:val="20"/>
              </w:rPr>
              <w:t>Quality of evidence (GRADE)</w:t>
            </w:r>
            <w:r>
              <w:rPr>
                <w:rFonts w:ascii="Arial Narrow" w:hAnsi="Arial Narrow"/>
                <w:b/>
                <w:sz w:val="20"/>
              </w:rPr>
              <w:t xml:space="preserve"> </w:t>
            </w:r>
            <w:r>
              <w:rPr>
                <w:rFonts w:ascii="Arial Narrow" w:hAnsi="Arial Narrow"/>
                <w:b/>
                <w:sz w:val="20"/>
                <w:vertAlign w:val="superscript"/>
              </w:rPr>
              <w:t>b</w:t>
            </w:r>
          </w:p>
        </w:tc>
        <w:tc>
          <w:tcPr>
            <w:tcW w:w="1116" w:type="pct"/>
          </w:tcPr>
          <w:p w14:paraId="5710B167" w14:textId="77777777" w:rsidR="007C6C75" w:rsidRPr="004D3A2B" w:rsidRDefault="007C6C75" w:rsidP="007C6C75">
            <w:pPr>
              <w:keepNext/>
              <w:widowControl w:val="0"/>
              <w:adjustRightInd w:val="0"/>
              <w:spacing w:before="40" w:after="40"/>
              <w:textAlignment w:val="baseline"/>
              <w:rPr>
                <w:rFonts w:ascii="Arial Narrow" w:hAnsi="Arial Narrow"/>
                <w:b/>
                <w:sz w:val="20"/>
                <w:szCs w:val="22"/>
                <w:lang w:eastAsia="en-US"/>
              </w:rPr>
            </w:pPr>
            <w:r w:rsidRPr="002613C0">
              <w:rPr>
                <w:rFonts w:ascii="Arial Narrow" w:hAnsi="Arial Narrow"/>
                <w:b/>
                <w:sz w:val="20"/>
                <w:szCs w:val="22"/>
                <w:lang w:eastAsia="en-US"/>
              </w:rPr>
              <w:t>Comments</w:t>
            </w:r>
            <w:r>
              <w:rPr>
                <w:rFonts w:ascii="Arial Narrow" w:hAnsi="Arial Narrow"/>
                <w:b/>
                <w:sz w:val="20"/>
                <w:szCs w:val="22"/>
                <w:lang w:eastAsia="en-US"/>
              </w:rPr>
              <w:t xml:space="preserve"> on quality of evidence</w:t>
            </w:r>
          </w:p>
        </w:tc>
      </w:tr>
      <w:tr w:rsidR="007C6C75" w:rsidRPr="004D3A2B" w14:paraId="0ED1C722" w14:textId="77777777" w:rsidTr="00895339">
        <w:trPr>
          <w:trHeight w:val="255"/>
        </w:trPr>
        <w:tc>
          <w:tcPr>
            <w:tcW w:w="568" w:type="pct"/>
          </w:tcPr>
          <w:p w14:paraId="63C4C19D" w14:textId="77777777" w:rsidR="007C6C75" w:rsidRPr="004D3A2B" w:rsidRDefault="007C6C75" w:rsidP="007C6C75">
            <w:pPr>
              <w:widowControl w:val="0"/>
              <w:adjustRightInd w:val="0"/>
              <w:spacing w:before="40" w:after="40"/>
              <w:textAlignment w:val="baseline"/>
              <w:rPr>
                <w:rFonts w:ascii="Arial Narrow" w:hAnsi="Arial Narrow"/>
                <w:sz w:val="20"/>
                <w:lang w:eastAsia="en-US"/>
              </w:rPr>
            </w:pPr>
            <w:r w:rsidRPr="004D3A2B">
              <w:rPr>
                <w:rFonts w:ascii="Arial Narrow" w:hAnsi="Arial Narrow"/>
                <w:sz w:val="20"/>
                <w:lang w:eastAsia="en-US"/>
              </w:rPr>
              <w:t>Sensitivity, % [95% CI] for CIN2+</w:t>
            </w:r>
          </w:p>
        </w:tc>
        <w:tc>
          <w:tcPr>
            <w:tcW w:w="552" w:type="pct"/>
          </w:tcPr>
          <w:p w14:paraId="0E449482" w14:textId="77777777" w:rsidR="007C6C75" w:rsidRPr="004D3A2B" w:rsidRDefault="007C6C75" w:rsidP="007C6C75">
            <w:pPr>
              <w:widowControl w:val="0"/>
              <w:adjustRightInd w:val="0"/>
              <w:spacing w:before="40" w:after="40"/>
              <w:jc w:val="center"/>
              <w:textAlignment w:val="baseline"/>
              <w:rPr>
                <w:rFonts w:ascii="Arial Narrow" w:hAnsi="Arial Narrow"/>
                <w:sz w:val="20"/>
              </w:rPr>
            </w:pPr>
            <w:r w:rsidRPr="004D3A2B">
              <w:rPr>
                <w:rFonts w:ascii="Arial Narrow" w:hAnsi="Arial Narrow"/>
                <w:sz w:val="20"/>
              </w:rPr>
              <w:t xml:space="preserve">0.87 </w:t>
            </w:r>
            <w:r>
              <w:rPr>
                <w:rFonts w:ascii="Arial Narrow" w:hAnsi="Arial Narrow"/>
                <w:sz w:val="20"/>
              </w:rPr>
              <w:br/>
            </w:r>
            <w:r w:rsidRPr="004D3A2B">
              <w:rPr>
                <w:rFonts w:ascii="Arial Narrow" w:hAnsi="Arial Narrow"/>
                <w:sz w:val="20"/>
              </w:rPr>
              <w:t>[0.82-0.90]</w:t>
            </w:r>
          </w:p>
        </w:tc>
        <w:tc>
          <w:tcPr>
            <w:tcW w:w="553" w:type="pct"/>
          </w:tcPr>
          <w:p w14:paraId="7801E4FD" w14:textId="77777777" w:rsidR="007C6C75" w:rsidRPr="004D3A2B" w:rsidRDefault="007C6C75" w:rsidP="007C6C75">
            <w:pPr>
              <w:widowControl w:val="0"/>
              <w:adjustRightInd w:val="0"/>
              <w:spacing w:before="40" w:after="40"/>
              <w:jc w:val="center"/>
              <w:textAlignment w:val="baseline"/>
              <w:rPr>
                <w:rFonts w:ascii="Arial Narrow" w:hAnsi="Arial Narrow"/>
                <w:sz w:val="20"/>
              </w:rPr>
            </w:pPr>
            <w:r w:rsidRPr="004D3A2B">
              <w:rPr>
                <w:rFonts w:ascii="Arial Narrow" w:hAnsi="Arial Narrow"/>
                <w:sz w:val="20"/>
              </w:rPr>
              <w:t xml:space="preserve">0.88 </w:t>
            </w:r>
            <w:r>
              <w:rPr>
                <w:rFonts w:ascii="Arial Narrow" w:hAnsi="Arial Narrow"/>
                <w:sz w:val="20"/>
              </w:rPr>
              <w:br/>
            </w:r>
            <w:r w:rsidRPr="004D3A2B">
              <w:rPr>
                <w:rFonts w:ascii="Arial Narrow" w:hAnsi="Arial Narrow"/>
                <w:sz w:val="20"/>
              </w:rPr>
              <w:t>[0.85-0.90]</w:t>
            </w:r>
          </w:p>
        </w:tc>
        <w:tc>
          <w:tcPr>
            <w:tcW w:w="552" w:type="pct"/>
          </w:tcPr>
          <w:p w14:paraId="7BBAACBA" w14:textId="77777777" w:rsidR="007C6C75" w:rsidRPr="004D3A2B" w:rsidRDefault="007C6C75" w:rsidP="007C6C75">
            <w:pPr>
              <w:widowControl w:val="0"/>
              <w:adjustRightInd w:val="0"/>
              <w:spacing w:before="40" w:after="40"/>
              <w:jc w:val="center"/>
              <w:textAlignment w:val="baseline"/>
              <w:rPr>
                <w:rFonts w:ascii="Arial Narrow" w:hAnsi="Arial Narrow"/>
                <w:sz w:val="20"/>
              </w:rPr>
            </w:pPr>
            <w:r w:rsidRPr="004D3A2B">
              <w:rPr>
                <w:rFonts w:ascii="Arial Narrow" w:hAnsi="Arial Narrow"/>
                <w:sz w:val="20"/>
              </w:rPr>
              <w:t xml:space="preserve">0.98 </w:t>
            </w:r>
            <w:r>
              <w:rPr>
                <w:rFonts w:ascii="Arial Narrow" w:hAnsi="Arial Narrow"/>
                <w:sz w:val="20"/>
              </w:rPr>
              <w:br/>
            </w:r>
            <w:r w:rsidRPr="004D3A2B">
              <w:rPr>
                <w:rFonts w:ascii="Arial Narrow" w:hAnsi="Arial Narrow"/>
                <w:sz w:val="20"/>
              </w:rPr>
              <w:t>[0.96-1.01]</w:t>
            </w:r>
          </w:p>
        </w:tc>
        <w:tc>
          <w:tcPr>
            <w:tcW w:w="553" w:type="pct"/>
          </w:tcPr>
          <w:p w14:paraId="43814E49" w14:textId="77777777" w:rsidR="007C6C75" w:rsidRPr="00667406" w:rsidRDefault="007C6C75" w:rsidP="007C6C75">
            <w:pPr>
              <w:widowControl w:val="0"/>
              <w:adjustRightInd w:val="0"/>
              <w:spacing w:before="40" w:after="40"/>
              <w:jc w:val="center"/>
              <w:textAlignment w:val="baseline"/>
              <w:rPr>
                <w:rFonts w:ascii="Cambria Math" w:hAnsi="Cambria Math"/>
                <w:sz w:val="20"/>
                <w:lang w:eastAsia="en-US"/>
              </w:rPr>
            </w:pPr>
            <w:r w:rsidRPr="00667406">
              <w:rPr>
                <w:rFonts w:ascii="Arial Narrow" w:hAnsi="Arial Narrow"/>
                <w:sz w:val="20"/>
              </w:rPr>
              <w:t xml:space="preserve">0.99 </w:t>
            </w:r>
            <w:r w:rsidRPr="00667406">
              <w:rPr>
                <w:rFonts w:ascii="Arial Narrow" w:hAnsi="Arial Narrow"/>
                <w:sz w:val="20"/>
              </w:rPr>
              <w:br/>
              <w:t>[0.97-1.02]</w:t>
            </w:r>
          </w:p>
        </w:tc>
        <w:tc>
          <w:tcPr>
            <w:tcW w:w="567" w:type="pct"/>
          </w:tcPr>
          <w:p w14:paraId="52A523F4" w14:textId="77777777" w:rsidR="007C6C75" w:rsidRPr="00554FC4" w:rsidRDefault="007C6C75" w:rsidP="007C6C75">
            <w:pPr>
              <w:widowControl w:val="0"/>
              <w:adjustRightInd w:val="0"/>
              <w:spacing w:before="40" w:after="40"/>
              <w:textAlignment w:val="baseline"/>
              <w:rPr>
                <w:rFonts w:ascii="Arial Narrow" w:hAnsi="Arial Narrow"/>
                <w:sz w:val="20"/>
                <w:lang w:eastAsia="en-US"/>
              </w:rPr>
            </w:pPr>
            <w:r>
              <w:rPr>
                <w:rFonts w:ascii="Arial Narrow" w:hAnsi="Arial Narrow"/>
                <w:sz w:val="20"/>
                <w:lang w:eastAsia="en-US"/>
              </w:rPr>
              <w:t>n</w:t>
            </w:r>
            <w:r w:rsidRPr="00554FC4">
              <w:rPr>
                <w:rFonts w:ascii="Arial Narrow" w:hAnsi="Arial Narrow"/>
                <w:sz w:val="20"/>
                <w:lang w:eastAsia="en-US"/>
              </w:rPr>
              <w:t>=3,890</w:t>
            </w:r>
            <w:r>
              <w:rPr>
                <w:rFonts w:ascii="Arial Narrow" w:hAnsi="Arial Narrow"/>
                <w:sz w:val="20"/>
                <w:lang w:eastAsia="en-US"/>
              </w:rPr>
              <w:t>;</w:t>
            </w:r>
            <w:r w:rsidRPr="00554FC4">
              <w:rPr>
                <w:rFonts w:ascii="Arial Narrow" w:hAnsi="Arial Narrow"/>
                <w:sz w:val="20"/>
                <w:lang w:eastAsia="en-US"/>
              </w:rPr>
              <w:t xml:space="preserve"> </w:t>
            </w:r>
            <w:r>
              <w:rPr>
                <w:rFonts w:ascii="Arial Narrow" w:hAnsi="Arial Narrow"/>
                <w:sz w:val="20"/>
                <w:lang w:eastAsia="en-US"/>
              </w:rPr>
              <w:t>k</w:t>
            </w:r>
            <w:r w:rsidRPr="00554FC4">
              <w:rPr>
                <w:rFonts w:ascii="Arial Narrow" w:hAnsi="Arial Narrow"/>
                <w:sz w:val="20"/>
                <w:lang w:eastAsia="en-US"/>
              </w:rPr>
              <w:t>=29</w:t>
            </w:r>
            <w:r>
              <w:rPr>
                <w:rFonts w:ascii="Arial Narrow" w:hAnsi="Arial Narrow"/>
                <w:sz w:val="20"/>
                <w:lang w:eastAsia="en-US"/>
              </w:rPr>
              <w:t>; cross-sectional</w:t>
            </w:r>
          </w:p>
        </w:tc>
        <w:tc>
          <w:tcPr>
            <w:tcW w:w="539" w:type="pct"/>
          </w:tcPr>
          <w:p w14:paraId="246134E3" w14:textId="77777777" w:rsidR="007C6C75" w:rsidRPr="004D3A2B" w:rsidRDefault="007C6C75" w:rsidP="007C6C75">
            <w:pPr>
              <w:widowControl w:val="0"/>
              <w:adjustRightInd w:val="0"/>
              <w:spacing w:before="40" w:after="40"/>
              <w:jc w:val="center"/>
              <w:textAlignment w:val="baseline"/>
              <w:rPr>
                <w:rFonts w:ascii="Arial Narrow" w:hAnsi="Arial Narrow"/>
                <w:sz w:val="20"/>
              </w:rPr>
            </w:pPr>
            <w:r w:rsidRPr="002B067D">
              <w:rPr>
                <w:rFonts w:ascii="Cambria Math" w:hAnsi="Cambria Math"/>
                <w:color w:val="00B050"/>
                <w:sz w:val="20"/>
                <w:lang w:eastAsia="en-US"/>
              </w:rPr>
              <w:t>⨁⨁</w:t>
            </w:r>
            <w:r w:rsidRPr="002B067D">
              <w:rPr>
                <w:rFonts w:ascii="Cambria Math" w:hAnsi="Cambria Math" w:cs="Cambria Math"/>
                <w:color w:val="C00000"/>
                <w:sz w:val="20"/>
                <w:lang w:eastAsia="en-US"/>
              </w:rPr>
              <w:t>⨀⨀</w:t>
            </w:r>
          </w:p>
        </w:tc>
        <w:tc>
          <w:tcPr>
            <w:tcW w:w="1116" w:type="pct"/>
          </w:tcPr>
          <w:p w14:paraId="4036BBDC" w14:textId="77777777" w:rsidR="007C6C75" w:rsidRPr="004D3A2B" w:rsidRDefault="007C6C75" w:rsidP="007C6C75">
            <w:pPr>
              <w:widowControl w:val="0"/>
              <w:adjustRightInd w:val="0"/>
              <w:spacing w:before="40" w:after="40"/>
              <w:textAlignment w:val="baseline"/>
              <w:rPr>
                <w:rFonts w:ascii="Arial Narrow" w:hAnsi="Arial Narrow"/>
                <w:sz w:val="20"/>
                <w:lang w:eastAsia="en-US"/>
              </w:rPr>
            </w:pPr>
            <w:r>
              <w:rPr>
                <w:rFonts w:ascii="Arial Narrow" w:hAnsi="Arial Narrow"/>
                <w:sz w:val="20"/>
                <w:lang w:eastAsia="en-US"/>
              </w:rPr>
              <w:t>Downgraded by 2</w:t>
            </w:r>
            <w:r w:rsidRPr="002613C0">
              <w:rPr>
                <w:rFonts w:ascii="Arial Narrow" w:hAnsi="Arial Narrow"/>
                <w:sz w:val="20"/>
                <w:lang w:eastAsia="en-US"/>
              </w:rPr>
              <w:t xml:space="preserve">½ points overall, due to serious concerns about study methodology, applicability (indirectness) </w:t>
            </w:r>
          </w:p>
        </w:tc>
      </w:tr>
      <w:tr w:rsidR="007C6C75" w:rsidRPr="004D3A2B" w14:paraId="229C002C" w14:textId="77777777" w:rsidTr="00895339">
        <w:trPr>
          <w:trHeight w:val="421"/>
        </w:trPr>
        <w:tc>
          <w:tcPr>
            <w:tcW w:w="568" w:type="pct"/>
          </w:tcPr>
          <w:p w14:paraId="20D11F85" w14:textId="77777777" w:rsidR="007C6C75" w:rsidRPr="004D3A2B" w:rsidRDefault="007C6C75" w:rsidP="007C6C75">
            <w:pPr>
              <w:keepNext/>
              <w:widowControl w:val="0"/>
              <w:adjustRightInd w:val="0"/>
              <w:spacing w:before="40" w:after="40"/>
              <w:textAlignment w:val="baseline"/>
              <w:rPr>
                <w:rFonts w:ascii="Arial Narrow" w:hAnsi="Arial Narrow"/>
                <w:sz w:val="20"/>
                <w:szCs w:val="22"/>
                <w:lang w:eastAsia="en-US"/>
              </w:rPr>
            </w:pPr>
            <w:r w:rsidRPr="004D3A2B">
              <w:rPr>
                <w:rFonts w:ascii="Arial Narrow" w:hAnsi="Arial Narrow"/>
                <w:sz w:val="20"/>
                <w:szCs w:val="22"/>
                <w:lang w:eastAsia="en-US"/>
              </w:rPr>
              <w:t>Specificity, % [95% CI] for CIN2+</w:t>
            </w:r>
          </w:p>
        </w:tc>
        <w:tc>
          <w:tcPr>
            <w:tcW w:w="552" w:type="pct"/>
          </w:tcPr>
          <w:p w14:paraId="11B305B0" w14:textId="77777777" w:rsidR="007C6C75" w:rsidRPr="004D3A2B" w:rsidRDefault="007C6C75" w:rsidP="007C6C75">
            <w:pPr>
              <w:keepNext/>
              <w:widowControl w:val="0"/>
              <w:adjustRightInd w:val="0"/>
              <w:spacing w:before="40" w:after="40"/>
              <w:jc w:val="center"/>
              <w:textAlignment w:val="baseline"/>
              <w:rPr>
                <w:rFonts w:ascii="Arial Narrow" w:hAnsi="Arial Narrow"/>
                <w:sz w:val="20"/>
                <w:szCs w:val="22"/>
                <w:lang w:eastAsia="en-US"/>
              </w:rPr>
            </w:pPr>
            <w:r w:rsidRPr="004D3A2B">
              <w:rPr>
                <w:rFonts w:ascii="Arial Narrow" w:hAnsi="Arial Narrow"/>
                <w:sz w:val="20"/>
                <w:szCs w:val="22"/>
                <w:lang w:eastAsia="en-US"/>
              </w:rPr>
              <w:t xml:space="preserve">0.61 </w:t>
            </w:r>
            <w:r>
              <w:rPr>
                <w:rFonts w:ascii="Arial Narrow" w:hAnsi="Arial Narrow"/>
                <w:sz w:val="20"/>
                <w:szCs w:val="22"/>
                <w:lang w:eastAsia="en-US"/>
              </w:rPr>
              <w:br/>
            </w:r>
            <w:r w:rsidRPr="004D3A2B">
              <w:rPr>
                <w:rFonts w:ascii="Arial Narrow" w:hAnsi="Arial Narrow"/>
                <w:sz w:val="20"/>
                <w:szCs w:val="22"/>
                <w:lang w:eastAsia="en-US"/>
              </w:rPr>
              <w:t>[0.51-0.70]</w:t>
            </w:r>
          </w:p>
        </w:tc>
        <w:tc>
          <w:tcPr>
            <w:tcW w:w="553" w:type="pct"/>
          </w:tcPr>
          <w:p w14:paraId="1BEDF8A5" w14:textId="77777777" w:rsidR="007C6C75" w:rsidRPr="004D3A2B" w:rsidRDefault="007C6C75" w:rsidP="007C6C75">
            <w:pPr>
              <w:keepNext/>
              <w:widowControl w:val="0"/>
              <w:adjustRightInd w:val="0"/>
              <w:spacing w:before="40" w:after="40"/>
              <w:jc w:val="center"/>
              <w:textAlignment w:val="baseline"/>
              <w:rPr>
                <w:rFonts w:ascii="Arial Narrow" w:hAnsi="Arial Narrow"/>
                <w:sz w:val="20"/>
                <w:szCs w:val="22"/>
                <w:lang w:eastAsia="en-US"/>
              </w:rPr>
            </w:pPr>
            <w:r w:rsidRPr="004D3A2B">
              <w:rPr>
                <w:rFonts w:ascii="Arial Narrow" w:hAnsi="Arial Narrow"/>
                <w:sz w:val="20"/>
                <w:szCs w:val="22"/>
                <w:lang w:eastAsia="en-US"/>
              </w:rPr>
              <w:t xml:space="preserve">0.62 </w:t>
            </w:r>
            <w:r>
              <w:rPr>
                <w:rFonts w:ascii="Arial Narrow" w:hAnsi="Arial Narrow"/>
                <w:sz w:val="20"/>
                <w:szCs w:val="22"/>
                <w:lang w:eastAsia="en-US"/>
              </w:rPr>
              <w:br/>
            </w:r>
            <w:r w:rsidRPr="004D3A2B">
              <w:rPr>
                <w:rFonts w:ascii="Arial Narrow" w:hAnsi="Arial Narrow"/>
                <w:sz w:val="20"/>
                <w:szCs w:val="22"/>
                <w:lang w:eastAsia="en-US"/>
              </w:rPr>
              <w:t>[0.71-0.52]</w:t>
            </w:r>
          </w:p>
        </w:tc>
        <w:tc>
          <w:tcPr>
            <w:tcW w:w="552" w:type="pct"/>
          </w:tcPr>
          <w:p w14:paraId="1368A544" w14:textId="77777777" w:rsidR="007C6C75" w:rsidRPr="004D3A2B" w:rsidRDefault="007C6C75" w:rsidP="007C6C75">
            <w:pPr>
              <w:keepNext/>
              <w:widowControl w:val="0"/>
              <w:adjustRightInd w:val="0"/>
              <w:spacing w:before="40" w:after="40"/>
              <w:jc w:val="center"/>
              <w:textAlignment w:val="baseline"/>
              <w:rPr>
                <w:rFonts w:ascii="Arial Narrow" w:hAnsi="Arial Narrow"/>
                <w:sz w:val="20"/>
                <w:szCs w:val="22"/>
                <w:lang w:eastAsia="en-US"/>
              </w:rPr>
            </w:pPr>
            <w:r w:rsidRPr="004D3A2B">
              <w:rPr>
                <w:rFonts w:ascii="Arial Narrow" w:hAnsi="Arial Narrow"/>
                <w:sz w:val="20"/>
                <w:szCs w:val="22"/>
                <w:lang w:eastAsia="en-US"/>
              </w:rPr>
              <w:t xml:space="preserve">0.99 </w:t>
            </w:r>
            <w:r>
              <w:rPr>
                <w:rFonts w:ascii="Arial Narrow" w:hAnsi="Arial Narrow"/>
                <w:sz w:val="20"/>
                <w:szCs w:val="22"/>
                <w:lang w:eastAsia="en-US"/>
              </w:rPr>
              <w:br/>
            </w:r>
            <w:r w:rsidRPr="004D3A2B">
              <w:rPr>
                <w:rFonts w:ascii="Arial Narrow" w:hAnsi="Arial Narrow"/>
                <w:sz w:val="20"/>
                <w:szCs w:val="22"/>
                <w:lang w:eastAsia="en-US"/>
              </w:rPr>
              <w:t>[0.98-1.01]</w:t>
            </w:r>
          </w:p>
        </w:tc>
        <w:tc>
          <w:tcPr>
            <w:tcW w:w="553" w:type="pct"/>
          </w:tcPr>
          <w:p w14:paraId="3098D495" w14:textId="77777777" w:rsidR="007C6C75" w:rsidRPr="00667406" w:rsidRDefault="007C6C75" w:rsidP="007C6C75">
            <w:pPr>
              <w:keepNext/>
              <w:widowControl w:val="0"/>
              <w:adjustRightInd w:val="0"/>
              <w:spacing w:before="40" w:after="40"/>
              <w:jc w:val="center"/>
              <w:textAlignment w:val="baseline"/>
              <w:rPr>
                <w:rFonts w:ascii="Cambria Math" w:hAnsi="Cambria Math"/>
                <w:sz w:val="20"/>
                <w:lang w:eastAsia="en-US"/>
              </w:rPr>
            </w:pPr>
            <w:r w:rsidRPr="00667406">
              <w:rPr>
                <w:rFonts w:ascii="Arial Narrow" w:hAnsi="Arial Narrow"/>
                <w:sz w:val="20"/>
                <w:szCs w:val="22"/>
                <w:lang w:eastAsia="en-US"/>
              </w:rPr>
              <w:t xml:space="preserve">0.98 </w:t>
            </w:r>
            <w:r w:rsidRPr="00667406">
              <w:rPr>
                <w:rFonts w:ascii="Arial Narrow" w:hAnsi="Arial Narrow"/>
                <w:sz w:val="20"/>
                <w:szCs w:val="22"/>
                <w:lang w:eastAsia="en-US"/>
              </w:rPr>
              <w:br/>
              <w:t>[0.97-0.99]*</w:t>
            </w:r>
          </w:p>
        </w:tc>
        <w:tc>
          <w:tcPr>
            <w:tcW w:w="567" w:type="pct"/>
          </w:tcPr>
          <w:p w14:paraId="7220186A" w14:textId="77777777" w:rsidR="007C6C75" w:rsidRPr="00554FC4" w:rsidRDefault="007C6C75" w:rsidP="007C6C75">
            <w:pPr>
              <w:widowControl w:val="0"/>
              <w:adjustRightInd w:val="0"/>
              <w:spacing w:before="40" w:after="40"/>
              <w:textAlignment w:val="baseline"/>
              <w:rPr>
                <w:rFonts w:ascii="Arial Narrow" w:hAnsi="Arial Narrow"/>
                <w:sz w:val="20"/>
                <w:lang w:eastAsia="en-US"/>
              </w:rPr>
            </w:pPr>
            <w:r>
              <w:rPr>
                <w:rFonts w:ascii="Arial Narrow" w:hAnsi="Arial Narrow"/>
                <w:sz w:val="20"/>
                <w:lang w:eastAsia="en-US"/>
              </w:rPr>
              <w:t>n</w:t>
            </w:r>
            <w:r w:rsidRPr="00554FC4">
              <w:rPr>
                <w:rFonts w:ascii="Arial Narrow" w:hAnsi="Arial Narrow"/>
                <w:sz w:val="20"/>
                <w:lang w:eastAsia="en-US"/>
              </w:rPr>
              <w:t>=36,163</w:t>
            </w:r>
            <w:r>
              <w:rPr>
                <w:rFonts w:ascii="Arial Narrow" w:hAnsi="Arial Narrow"/>
                <w:sz w:val="20"/>
                <w:lang w:eastAsia="en-US"/>
              </w:rPr>
              <w:t>;</w:t>
            </w:r>
            <w:r w:rsidRPr="00554FC4">
              <w:rPr>
                <w:rFonts w:ascii="Arial Narrow" w:hAnsi="Arial Narrow"/>
                <w:sz w:val="20"/>
                <w:lang w:eastAsia="en-US"/>
              </w:rPr>
              <w:t xml:space="preserve"> </w:t>
            </w:r>
            <w:r>
              <w:rPr>
                <w:rFonts w:ascii="Arial Narrow" w:hAnsi="Arial Narrow"/>
                <w:sz w:val="20"/>
                <w:lang w:eastAsia="en-US"/>
              </w:rPr>
              <w:t>k</w:t>
            </w:r>
            <w:r w:rsidRPr="00554FC4">
              <w:rPr>
                <w:rFonts w:ascii="Arial Narrow" w:hAnsi="Arial Narrow"/>
                <w:sz w:val="20"/>
                <w:lang w:eastAsia="en-US"/>
              </w:rPr>
              <w:t>=28</w:t>
            </w:r>
            <w:r>
              <w:rPr>
                <w:rFonts w:ascii="Arial Narrow" w:hAnsi="Arial Narrow"/>
                <w:sz w:val="20"/>
                <w:lang w:eastAsia="en-US"/>
              </w:rPr>
              <w:t>; cross-sectional</w:t>
            </w:r>
          </w:p>
        </w:tc>
        <w:tc>
          <w:tcPr>
            <w:tcW w:w="539" w:type="pct"/>
          </w:tcPr>
          <w:p w14:paraId="545594DD" w14:textId="77777777" w:rsidR="007C6C75" w:rsidRPr="004D3A2B" w:rsidRDefault="007C6C75" w:rsidP="007C6C75">
            <w:pPr>
              <w:keepNext/>
              <w:widowControl w:val="0"/>
              <w:adjustRightInd w:val="0"/>
              <w:spacing w:before="40" w:after="40"/>
              <w:jc w:val="center"/>
              <w:textAlignment w:val="baseline"/>
              <w:rPr>
                <w:rFonts w:ascii="Arial Narrow" w:hAnsi="Arial Narrow"/>
                <w:sz w:val="20"/>
                <w:szCs w:val="22"/>
                <w:lang w:eastAsia="en-US"/>
              </w:rPr>
            </w:pPr>
            <w:r w:rsidRPr="002B067D">
              <w:rPr>
                <w:rFonts w:ascii="Cambria Math" w:hAnsi="Cambria Math"/>
                <w:color w:val="00B050"/>
                <w:sz w:val="20"/>
                <w:lang w:eastAsia="en-US"/>
              </w:rPr>
              <w:t>⨁⨁</w:t>
            </w:r>
            <w:r w:rsidRPr="002B067D">
              <w:rPr>
                <w:rFonts w:ascii="Cambria Math" w:hAnsi="Cambria Math" w:cs="Cambria Math"/>
                <w:color w:val="C00000"/>
                <w:sz w:val="20"/>
                <w:lang w:eastAsia="en-US"/>
              </w:rPr>
              <w:t>⨀⨀</w:t>
            </w:r>
          </w:p>
        </w:tc>
        <w:tc>
          <w:tcPr>
            <w:tcW w:w="1116" w:type="pct"/>
          </w:tcPr>
          <w:p w14:paraId="723CD3F3" w14:textId="77777777" w:rsidR="007C6C75" w:rsidRPr="002613C0" w:rsidRDefault="007C6C75" w:rsidP="007C6C75">
            <w:pPr>
              <w:widowControl w:val="0"/>
              <w:adjustRightInd w:val="0"/>
              <w:spacing w:before="40" w:after="40"/>
              <w:textAlignment w:val="baseline"/>
              <w:rPr>
                <w:rFonts w:ascii="Arial Narrow" w:hAnsi="Arial Narrow"/>
                <w:sz w:val="20"/>
                <w:lang w:eastAsia="en-US"/>
              </w:rPr>
            </w:pPr>
            <w:r>
              <w:rPr>
                <w:rFonts w:ascii="Arial Narrow" w:hAnsi="Arial Narrow"/>
                <w:sz w:val="20"/>
                <w:lang w:eastAsia="en-US"/>
              </w:rPr>
              <w:t>Downgraded by 2½</w:t>
            </w:r>
            <w:r w:rsidRPr="002613C0">
              <w:rPr>
                <w:rFonts w:ascii="Arial Narrow" w:hAnsi="Arial Narrow"/>
                <w:sz w:val="20"/>
                <w:lang w:eastAsia="en-US"/>
              </w:rPr>
              <w:t xml:space="preserve"> points overall, due to serious concerns about study methodology, applicability (indirectness)</w:t>
            </w:r>
          </w:p>
        </w:tc>
      </w:tr>
    </w:tbl>
    <w:p w14:paraId="55BF6B3B" w14:textId="77777777" w:rsidR="007C6C75" w:rsidRDefault="007C6C75" w:rsidP="007C6C75">
      <w:pPr>
        <w:pStyle w:val="Tablenotes1"/>
        <w:spacing w:after="0"/>
      </w:pPr>
      <w:r>
        <w:t>*Stati</w:t>
      </w:r>
      <w:r w:rsidRPr="004D3A2B">
        <w:t>stically significant difference</w:t>
      </w:r>
    </w:p>
    <w:p w14:paraId="2B8188B5" w14:textId="77777777" w:rsidR="007C6C75" w:rsidRDefault="007C6C75" w:rsidP="007C6C75">
      <w:pPr>
        <w:pStyle w:val="Tablenotes1"/>
        <w:spacing w:after="0"/>
      </w:pPr>
      <w:r>
        <w:t>CI = confidence interval; CIN2+ = cervical intraepithelial neoplasia (CIN) Grade 2, Grade 3 or cancer; RR = risk ratio.</w:t>
      </w:r>
    </w:p>
    <w:p w14:paraId="23664C2A" w14:textId="77777777" w:rsidR="007C6C75" w:rsidRDefault="007C6C75" w:rsidP="007C6C75">
      <w:pPr>
        <w:pStyle w:val="Tablenotes1"/>
      </w:pPr>
      <w:proofErr w:type="gramStart"/>
      <w:r>
        <w:rPr>
          <w:vertAlign w:val="superscript"/>
        </w:rPr>
        <w:t>a</w:t>
      </w:r>
      <w:proofErr w:type="gramEnd"/>
      <w:r>
        <w:t xml:space="preserve"> Values from </w:t>
      </w:r>
      <w:proofErr w:type="spellStart"/>
      <w:r>
        <w:t>Arbyn</w:t>
      </w:r>
      <w:proofErr w:type="spellEnd"/>
      <w:r>
        <w:t xml:space="preserve"> </w:t>
      </w:r>
      <w:r w:rsidRPr="00CC63BE">
        <w:rPr>
          <w:i/>
        </w:rPr>
        <w:t>et al</w:t>
      </w:r>
      <w:r>
        <w:t>. (2018)’s meta-analysis of self-collected versus clinician-collected samples are included for comparison.</w:t>
      </w:r>
    </w:p>
    <w:p w14:paraId="2684BAE1" w14:textId="77777777" w:rsidR="007C6C75" w:rsidRDefault="007C6C75" w:rsidP="007C6C75">
      <w:pPr>
        <w:pStyle w:val="Tablenotes1"/>
      </w:pPr>
      <w:proofErr w:type="gramStart"/>
      <w:r>
        <w:rPr>
          <w:vertAlign w:val="superscript"/>
        </w:rPr>
        <w:t>b</w:t>
      </w:r>
      <w:proofErr w:type="gramEnd"/>
      <w:r w:rsidRPr="00E10B76">
        <w:rPr>
          <w:vertAlign w:val="superscript"/>
        </w:rPr>
        <w:t xml:space="preserve"> </w:t>
      </w:r>
      <w:r w:rsidRPr="00E10B76">
        <w:t>GRADE Working Group grades of evidence</w:t>
      </w:r>
      <w:r>
        <w:rPr>
          <w:rStyle w:val="FootnoteReference"/>
        </w:rPr>
        <w:footnoteReference w:id="22"/>
      </w:r>
      <w:r>
        <w:t>:</w:t>
      </w:r>
      <w:r w:rsidRPr="00E10B76">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4D02187D" w14:textId="77777777" w:rsidR="007C6C75" w:rsidRPr="004D3A2B" w:rsidRDefault="007C6C75" w:rsidP="007C6C75">
      <w:pPr>
        <w:pStyle w:val="Tablenotes1"/>
      </w:pPr>
      <w:r>
        <w:t>Source: DCAR, Tables 1 and 2</w:t>
      </w:r>
    </w:p>
    <w:p w14:paraId="64724993" w14:textId="77777777" w:rsidR="007C6C75" w:rsidRDefault="007C6C75" w:rsidP="007C6C75">
      <w:r>
        <w:t>A published meta-analysis found statistically significantly lower specificity of PCR-based testing for CIN2+ in self-collected versus clinician-collected samples (</w:t>
      </w:r>
      <w:r w:rsidRPr="00625559">
        <w:rPr>
          <w:i/>
        </w:rPr>
        <w:t>k</w:t>
      </w:r>
      <w:r>
        <w:t xml:space="preserve"> = 17)</w:t>
      </w:r>
      <w:r>
        <w:rPr>
          <w:rStyle w:val="FootnoteReference"/>
        </w:rPr>
        <w:footnoteReference w:id="23"/>
      </w:r>
      <w:r w:rsidRPr="004C4168">
        <w:t>.</w:t>
      </w:r>
      <w:r>
        <w:t xml:space="preserve"> The DCAR noted that the lower specificity found in its meta-analysis compared to the published meta-analysis is </w:t>
      </w:r>
      <w:r w:rsidRPr="003E50D3">
        <w:t xml:space="preserve">likely due to the </w:t>
      </w:r>
      <w:r>
        <w:t xml:space="preserve">DCAR’s </w:t>
      </w:r>
      <w:r w:rsidRPr="003E50D3">
        <w:t>inclusion of more stu</w:t>
      </w:r>
      <w:r>
        <w:t>dies with high-risk populations, whereas the published meta-analysis focussed on screening populations.</w:t>
      </w:r>
    </w:p>
    <w:p w14:paraId="0F7D8843" w14:textId="77777777" w:rsidR="007C6C75" w:rsidRDefault="007C6C75" w:rsidP="006A5D63">
      <w:pPr>
        <w:pStyle w:val="Heading2"/>
      </w:pPr>
      <w:r>
        <w:t>Participation rate</w:t>
      </w:r>
    </w:p>
    <w:p w14:paraId="5DE12F7B" w14:textId="77777777" w:rsidR="007C6C75" w:rsidRDefault="007C6C75" w:rsidP="007C6C75">
      <w:r>
        <w:t>The participation rate in cervical screening was 46.3% over the two years 2018-19</w:t>
      </w:r>
      <w:r>
        <w:rPr>
          <w:rStyle w:val="FootnoteReference"/>
        </w:rPr>
        <w:footnoteReference w:id="24"/>
      </w:r>
      <w:r w:rsidRPr="00D021A3">
        <w:t xml:space="preserve">. </w:t>
      </w:r>
      <w:r>
        <w:t xml:space="preserve">The DCAR stated that </w:t>
      </w:r>
      <w:r w:rsidRPr="003E50D3">
        <w:t>allowing individuals a choice of how they participate in the cervical screening program – either by providing a self-collected vaginal sample or a clinician-</w:t>
      </w:r>
      <w:r>
        <w:t>collected cervical sample –</w:t>
      </w:r>
      <w:r w:rsidRPr="003E50D3">
        <w:t xml:space="preserve"> is likely to lead to an increase in participation in screening compared w</w:t>
      </w:r>
      <w:r>
        <w:t>ith the current program policy.</w:t>
      </w:r>
    </w:p>
    <w:p w14:paraId="22E763EB" w14:textId="7E53CD76" w:rsidR="007C6C75" w:rsidRDefault="007C6C75" w:rsidP="007C6C75">
      <w:r>
        <w:t>The DCAR conducted a meta-analysis of participation rate, using the intention-to-treat (ITT) approach because this reflects the real world situation (</w:t>
      </w:r>
      <w:r w:rsidR="00A10F05">
        <w:fldChar w:fldCharType="begin"/>
      </w:r>
      <w:r w:rsidR="00A10F05">
        <w:instrText xml:space="preserve"> REF _Ref54345928  \* MERGEFORMAT </w:instrText>
      </w:r>
      <w:r w:rsidR="00A10F05">
        <w:fldChar w:fldCharType="separate"/>
      </w:r>
      <w:r w:rsidRPr="002B067D">
        <w:t xml:space="preserve">Table </w:t>
      </w:r>
      <w:r>
        <w:t>4</w:t>
      </w:r>
      <w:r w:rsidR="00A10F05">
        <w:fldChar w:fldCharType="end"/>
      </w:r>
      <w:r>
        <w:t>). This meta-analysis found that w</w:t>
      </w:r>
      <w:r w:rsidRPr="002613C0">
        <w:t>hen individuals were offered a kit for self-collection of vaginal samples for HPV testing they were 2.07 (95% CI</w:t>
      </w:r>
      <w:r w:rsidR="00861E90">
        <w:t>:</w:t>
      </w:r>
      <w:r w:rsidRPr="002613C0">
        <w:t xml:space="preserve"> </w:t>
      </w:r>
      <w:r>
        <w:t>1.78-</w:t>
      </w:r>
      <w:r w:rsidRPr="002613C0">
        <w:t>2.41) times more likely to participate in the screening program</w:t>
      </w:r>
      <w:r>
        <w:t>,</w:t>
      </w:r>
      <w:r w:rsidRPr="002613C0">
        <w:t xml:space="preserve"> </w:t>
      </w:r>
      <w:r>
        <w:t>compared to individuals</w:t>
      </w:r>
      <w:r w:rsidRPr="002613C0">
        <w:t xml:space="preserve"> </w:t>
      </w:r>
      <w:r>
        <w:t xml:space="preserve">who were </w:t>
      </w:r>
      <w:r w:rsidRPr="002613C0">
        <w:t xml:space="preserve">only offered clinician collection of </w:t>
      </w:r>
      <w:r>
        <w:t xml:space="preserve">their </w:t>
      </w:r>
      <w:r w:rsidRPr="002613C0">
        <w:t>cervical sample</w:t>
      </w:r>
      <w:r>
        <w:t>, though the certainty of this evidence according to GRADE was low, and substantial heterogeneity was observed</w:t>
      </w:r>
      <w:r w:rsidRPr="002613C0">
        <w:t>.</w:t>
      </w:r>
    </w:p>
    <w:p w14:paraId="21F0E6DF" w14:textId="77777777" w:rsidR="007C6C75" w:rsidRPr="00C4308C" w:rsidRDefault="007C6C75" w:rsidP="007C6C75">
      <w:pPr>
        <w:pStyle w:val="Caption"/>
        <w:jc w:val="left"/>
      </w:pPr>
      <w:bookmarkStart w:id="10" w:name="_Ref54345928"/>
      <w:bookmarkStart w:id="11" w:name="_Toc59631523"/>
      <w:r w:rsidRPr="002B067D">
        <w:t xml:space="preserve">Table </w:t>
      </w:r>
      <w:r w:rsidRPr="002B067D">
        <w:fldChar w:fldCharType="begin"/>
      </w:r>
      <w:r w:rsidRPr="002B067D">
        <w:instrText>SEQ Table \* ARABIC</w:instrText>
      </w:r>
      <w:r w:rsidRPr="002B067D">
        <w:fldChar w:fldCharType="separate"/>
      </w:r>
      <w:r>
        <w:rPr>
          <w:noProof/>
        </w:rPr>
        <w:t>4</w:t>
      </w:r>
      <w:r w:rsidRPr="002B067D">
        <w:fldChar w:fldCharType="end"/>
      </w:r>
      <w:bookmarkEnd w:id="10"/>
      <w:r>
        <w:tab/>
      </w:r>
      <w:r w:rsidRPr="00C4308C">
        <w:t>Summary of quality of evidence on cervical screening participation rate comparing self-collection of vaginal samples to clinician-collected cervical samples, using ITT analysis</w:t>
      </w:r>
      <w:bookmarkEnd w:id="11"/>
    </w:p>
    <w:tbl>
      <w:tblPr>
        <w:tblStyle w:val="TableGrid1"/>
        <w:tblW w:w="5000" w:type="pct"/>
        <w:tblLayout w:type="fixed"/>
        <w:tblLook w:val="04A0" w:firstRow="1" w:lastRow="0" w:firstColumn="1" w:lastColumn="0" w:noHBand="0" w:noVBand="1"/>
        <w:tblCaption w:val="Summary of quality of evidence on cervical screening participation rate comparing self-collection of vaginal samples to clinician-collected cervical samples, using ITT analysis"/>
        <w:tblDescription w:val="This table presents the summary of quality of evidence on difference in participation rates in self-collection compared with clinician-collection, and includes the GRADE reporting"/>
      </w:tblPr>
      <w:tblGrid>
        <w:gridCol w:w="1467"/>
        <w:gridCol w:w="1221"/>
        <w:gridCol w:w="992"/>
        <w:gridCol w:w="1277"/>
        <w:gridCol w:w="1275"/>
        <w:gridCol w:w="2784"/>
      </w:tblGrid>
      <w:tr w:rsidR="007C6C75" w:rsidRPr="002B067D" w14:paraId="4E50FD00" w14:textId="77777777" w:rsidTr="00895339">
        <w:trPr>
          <w:tblHeader/>
        </w:trPr>
        <w:tc>
          <w:tcPr>
            <w:tcW w:w="814" w:type="pct"/>
          </w:tcPr>
          <w:p w14:paraId="31D5AAD7" w14:textId="77777777" w:rsidR="007C6C75" w:rsidRPr="002B067D" w:rsidRDefault="007C6C75" w:rsidP="007C6C75">
            <w:pPr>
              <w:keepNext/>
              <w:keepLines/>
              <w:widowControl w:val="0"/>
              <w:adjustRightInd w:val="0"/>
              <w:spacing w:before="40" w:after="40"/>
              <w:textAlignment w:val="baseline"/>
              <w:rPr>
                <w:rFonts w:ascii="Arial Narrow" w:hAnsi="Arial Narrow"/>
                <w:b/>
                <w:sz w:val="20"/>
              </w:rPr>
            </w:pPr>
            <w:r w:rsidRPr="002B067D">
              <w:rPr>
                <w:rFonts w:ascii="Arial Narrow" w:hAnsi="Arial Narrow"/>
                <w:b/>
                <w:sz w:val="20"/>
              </w:rPr>
              <w:t>Outcome</w:t>
            </w:r>
          </w:p>
        </w:tc>
        <w:tc>
          <w:tcPr>
            <w:tcW w:w="677" w:type="pct"/>
          </w:tcPr>
          <w:p w14:paraId="6D07CBED" w14:textId="77777777" w:rsidR="007C6C75" w:rsidRPr="002B067D" w:rsidRDefault="007C6C75" w:rsidP="007C6C75">
            <w:pPr>
              <w:keepNext/>
              <w:keepLines/>
              <w:widowControl w:val="0"/>
              <w:adjustRightInd w:val="0"/>
              <w:spacing w:before="40" w:after="40"/>
              <w:jc w:val="center"/>
              <w:textAlignment w:val="baseline"/>
              <w:rPr>
                <w:rFonts w:ascii="Arial Narrow" w:hAnsi="Arial Narrow"/>
                <w:b/>
                <w:sz w:val="20"/>
              </w:rPr>
            </w:pPr>
            <w:r>
              <w:rPr>
                <w:rFonts w:ascii="Arial Narrow" w:hAnsi="Arial Narrow"/>
                <w:b/>
                <w:sz w:val="20"/>
                <w:szCs w:val="22"/>
                <w:lang w:eastAsia="en-US"/>
              </w:rPr>
              <w:t>Number of participants, studies</w:t>
            </w:r>
          </w:p>
        </w:tc>
        <w:tc>
          <w:tcPr>
            <w:tcW w:w="550" w:type="pct"/>
          </w:tcPr>
          <w:p w14:paraId="5F272A6C" w14:textId="77777777" w:rsidR="007C6C75" w:rsidRPr="002B067D" w:rsidRDefault="007C6C75" w:rsidP="007C6C75">
            <w:pPr>
              <w:keepNext/>
              <w:keepLines/>
              <w:widowControl w:val="0"/>
              <w:adjustRightInd w:val="0"/>
              <w:spacing w:before="40" w:after="40"/>
              <w:jc w:val="center"/>
              <w:textAlignment w:val="baseline"/>
              <w:rPr>
                <w:rFonts w:ascii="Arial Narrow" w:hAnsi="Arial Narrow"/>
                <w:b/>
                <w:sz w:val="20"/>
              </w:rPr>
            </w:pPr>
            <w:r w:rsidRPr="002B067D">
              <w:rPr>
                <w:rFonts w:ascii="Arial Narrow" w:hAnsi="Arial Narrow"/>
                <w:b/>
                <w:sz w:val="20"/>
              </w:rPr>
              <w:t>Quality of evidence (GRADE)</w:t>
            </w:r>
          </w:p>
        </w:tc>
        <w:tc>
          <w:tcPr>
            <w:tcW w:w="708" w:type="pct"/>
          </w:tcPr>
          <w:p w14:paraId="7C935DA7" w14:textId="77777777" w:rsidR="007C6C75" w:rsidRPr="002B067D" w:rsidRDefault="007C6C75" w:rsidP="007C6C75">
            <w:pPr>
              <w:keepNext/>
              <w:keepLines/>
              <w:widowControl w:val="0"/>
              <w:adjustRightInd w:val="0"/>
              <w:spacing w:before="40" w:after="40"/>
              <w:jc w:val="center"/>
              <w:textAlignment w:val="baseline"/>
              <w:rPr>
                <w:rFonts w:ascii="Arial Narrow" w:hAnsi="Arial Narrow"/>
                <w:b/>
                <w:sz w:val="20"/>
              </w:rPr>
            </w:pPr>
            <w:r w:rsidRPr="002B067D">
              <w:rPr>
                <w:rFonts w:ascii="Arial Narrow" w:hAnsi="Arial Narrow"/>
                <w:b/>
                <w:sz w:val="20"/>
              </w:rPr>
              <w:t>Relative participation (95%</w:t>
            </w:r>
            <w:r>
              <w:rPr>
                <w:rFonts w:ascii="Arial Narrow" w:hAnsi="Arial Narrow"/>
                <w:b/>
                <w:sz w:val="20"/>
              </w:rPr>
              <w:t xml:space="preserve"> </w:t>
            </w:r>
            <w:r w:rsidRPr="002B067D">
              <w:rPr>
                <w:rFonts w:ascii="Arial Narrow" w:hAnsi="Arial Narrow"/>
                <w:b/>
                <w:sz w:val="20"/>
              </w:rPr>
              <w:t>CI)</w:t>
            </w:r>
          </w:p>
        </w:tc>
        <w:tc>
          <w:tcPr>
            <w:tcW w:w="707" w:type="pct"/>
          </w:tcPr>
          <w:p w14:paraId="3C7CC980" w14:textId="77777777" w:rsidR="007C6C75" w:rsidRPr="002B067D" w:rsidRDefault="007C6C75" w:rsidP="007C6C75">
            <w:pPr>
              <w:keepNext/>
              <w:keepLines/>
              <w:widowControl w:val="0"/>
              <w:adjustRightInd w:val="0"/>
              <w:spacing w:before="40" w:after="40"/>
              <w:jc w:val="center"/>
              <w:textAlignment w:val="baseline"/>
              <w:rPr>
                <w:rFonts w:ascii="Arial Narrow" w:hAnsi="Arial Narrow"/>
                <w:b/>
                <w:sz w:val="20"/>
              </w:rPr>
            </w:pPr>
            <w:r w:rsidRPr="002B067D">
              <w:rPr>
                <w:rFonts w:ascii="Arial Narrow" w:hAnsi="Arial Narrow"/>
                <w:b/>
                <w:sz w:val="20"/>
              </w:rPr>
              <w:t>Participation difference (95%</w:t>
            </w:r>
            <w:r>
              <w:rPr>
                <w:rFonts w:ascii="Arial Narrow" w:hAnsi="Arial Narrow"/>
                <w:b/>
                <w:sz w:val="20"/>
              </w:rPr>
              <w:t xml:space="preserve"> </w:t>
            </w:r>
            <w:r w:rsidRPr="002B067D">
              <w:rPr>
                <w:rFonts w:ascii="Arial Narrow" w:hAnsi="Arial Narrow"/>
                <w:b/>
                <w:sz w:val="20"/>
              </w:rPr>
              <w:t>CI)</w:t>
            </w:r>
          </w:p>
        </w:tc>
        <w:tc>
          <w:tcPr>
            <w:tcW w:w="1544" w:type="pct"/>
          </w:tcPr>
          <w:p w14:paraId="1A4B1AD4" w14:textId="77777777" w:rsidR="007C6C75" w:rsidRPr="002B067D" w:rsidRDefault="007C6C75" w:rsidP="007C6C75">
            <w:pPr>
              <w:keepNext/>
              <w:keepLines/>
              <w:widowControl w:val="0"/>
              <w:adjustRightInd w:val="0"/>
              <w:spacing w:before="40" w:after="40"/>
              <w:textAlignment w:val="baseline"/>
              <w:rPr>
                <w:rFonts w:ascii="Arial Narrow" w:hAnsi="Arial Narrow"/>
                <w:b/>
                <w:sz w:val="20"/>
              </w:rPr>
            </w:pPr>
            <w:r w:rsidRPr="002B067D">
              <w:rPr>
                <w:rFonts w:ascii="Arial Narrow" w:hAnsi="Arial Narrow"/>
                <w:b/>
                <w:sz w:val="20"/>
              </w:rPr>
              <w:t>Comments</w:t>
            </w:r>
            <w:r>
              <w:rPr>
                <w:rFonts w:ascii="Arial Narrow" w:hAnsi="Arial Narrow"/>
                <w:b/>
                <w:sz w:val="20"/>
              </w:rPr>
              <w:t xml:space="preserve"> on quality of evidence</w:t>
            </w:r>
          </w:p>
        </w:tc>
      </w:tr>
      <w:tr w:rsidR="007C6C75" w:rsidRPr="002B067D" w14:paraId="749CF787" w14:textId="77777777" w:rsidTr="00895339">
        <w:tc>
          <w:tcPr>
            <w:tcW w:w="814" w:type="pct"/>
          </w:tcPr>
          <w:p w14:paraId="1406B581" w14:textId="77777777" w:rsidR="007C6C75" w:rsidRPr="002B067D" w:rsidRDefault="007C6C75" w:rsidP="007C6C75">
            <w:pPr>
              <w:keepNext/>
              <w:keepLines/>
              <w:widowControl w:val="0"/>
              <w:adjustRightInd w:val="0"/>
              <w:spacing w:before="40" w:after="40"/>
              <w:textAlignment w:val="baseline"/>
              <w:rPr>
                <w:rFonts w:ascii="Arial Narrow" w:hAnsi="Arial Narrow"/>
                <w:sz w:val="20"/>
                <w:lang w:eastAsia="en-US"/>
              </w:rPr>
            </w:pPr>
            <w:r w:rsidRPr="002B067D">
              <w:rPr>
                <w:rFonts w:ascii="Arial Narrow" w:hAnsi="Arial Narrow"/>
                <w:sz w:val="20"/>
                <w:lang w:eastAsia="en-US"/>
              </w:rPr>
              <w:t>Participation rate (ITT analysis)</w:t>
            </w:r>
          </w:p>
        </w:tc>
        <w:tc>
          <w:tcPr>
            <w:tcW w:w="677" w:type="pct"/>
          </w:tcPr>
          <w:p w14:paraId="606DDACC" w14:textId="77777777" w:rsidR="007C6C75" w:rsidRPr="002B067D" w:rsidRDefault="007C6C75" w:rsidP="007C6C75">
            <w:pPr>
              <w:keepNext/>
              <w:keepLines/>
              <w:widowControl w:val="0"/>
              <w:adjustRightInd w:val="0"/>
              <w:spacing w:before="40" w:after="40"/>
              <w:jc w:val="center"/>
              <w:textAlignment w:val="baseline"/>
              <w:rPr>
                <w:rFonts w:ascii="Arial Narrow" w:hAnsi="Arial Narrow" w:cs="Arial"/>
                <w:sz w:val="20"/>
                <w:lang w:eastAsia="en-US"/>
              </w:rPr>
            </w:pPr>
            <w:r>
              <w:rPr>
                <w:rFonts w:ascii="Arial Narrow" w:hAnsi="Arial Narrow" w:cs="Arial"/>
                <w:sz w:val="20"/>
                <w:lang w:eastAsia="en-US"/>
              </w:rPr>
              <w:t xml:space="preserve">n=223,095; </w:t>
            </w:r>
            <w:r>
              <w:rPr>
                <w:rFonts w:ascii="Arial Narrow" w:hAnsi="Arial Narrow" w:cs="Arial"/>
                <w:sz w:val="20"/>
                <w:lang w:eastAsia="en-US"/>
              </w:rPr>
              <w:br/>
              <w:t>k=</w:t>
            </w:r>
            <w:r w:rsidRPr="002B067D">
              <w:rPr>
                <w:rFonts w:ascii="Arial Narrow" w:hAnsi="Arial Narrow" w:cs="Arial"/>
                <w:sz w:val="20"/>
                <w:lang w:eastAsia="en-US"/>
              </w:rPr>
              <w:t>24</w:t>
            </w:r>
          </w:p>
        </w:tc>
        <w:tc>
          <w:tcPr>
            <w:tcW w:w="550" w:type="pct"/>
          </w:tcPr>
          <w:p w14:paraId="716FA224" w14:textId="77777777" w:rsidR="007C6C75" w:rsidRPr="002B067D" w:rsidRDefault="007C6C75" w:rsidP="007C6C75">
            <w:pPr>
              <w:keepNext/>
              <w:keepLines/>
              <w:widowControl w:val="0"/>
              <w:adjustRightInd w:val="0"/>
              <w:spacing w:before="40" w:after="40"/>
              <w:jc w:val="center"/>
              <w:textAlignment w:val="baseline"/>
              <w:rPr>
                <w:rFonts w:ascii="Arial Narrow" w:hAnsi="Arial Narrow" w:cs="Arial"/>
                <w:sz w:val="20"/>
                <w:lang w:eastAsia="en-US"/>
              </w:rPr>
            </w:pPr>
            <w:r w:rsidRPr="002B067D">
              <w:rPr>
                <w:rFonts w:ascii="Cambria Math" w:hAnsi="Cambria Math"/>
                <w:color w:val="00B050"/>
                <w:sz w:val="20"/>
                <w:lang w:eastAsia="en-US"/>
              </w:rPr>
              <w:t>⨁⨁</w:t>
            </w:r>
            <w:r w:rsidRPr="002B067D">
              <w:rPr>
                <w:rFonts w:ascii="Cambria Math" w:hAnsi="Cambria Math" w:cs="Cambria Math"/>
                <w:color w:val="C00000"/>
                <w:sz w:val="20"/>
                <w:lang w:eastAsia="en-US"/>
              </w:rPr>
              <w:t>⨀⨀</w:t>
            </w:r>
          </w:p>
        </w:tc>
        <w:tc>
          <w:tcPr>
            <w:tcW w:w="708" w:type="pct"/>
          </w:tcPr>
          <w:p w14:paraId="62AC3DB5" w14:textId="77777777" w:rsidR="007C6C75" w:rsidRPr="002B067D" w:rsidRDefault="007C6C75" w:rsidP="007C6C75">
            <w:pPr>
              <w:keepNext/>
              <w:keepLines/>
              <w:widowControl w:val="0"/>
              <w:adjustRightInd w:val="0"/>
              <w:spacing w:before="40" w:after="40"/>
              <w:jc w:val="center"/>
              <w:textAlignment w:val="baseline"/>
              <w:rPr>
                <w:rFonts w:ascii="Arial Narrow" w:hAnsi="Arial Narrow"/>
                <w:sz w:val="20"/>
                <w:lang w:eastAsia="en-US"/>
              </w:rPr>
            </w:pPr>
            <w:r w:rsidRPr="002B067D">
              <w:rPr>
                <w:rFonts w:ascii="Arial Narrow" w:hAnsi="Arial Narrow"/>
                <w:sz w:val="20"/>
                <w:lang w:eastAsia="en-US"/>
              </w:rPr>
              <w:t xml:space="preserve">2.07 </w:t>
            </w:r>
            <w:r>
              <w:rPr>
                <w:rFonts w:ascii="Arial Narrow" w:hAnsi="Arial Narrow"/>
                <w:sz w:val="20"/>
                <w:lang w:eastAsia="en-US"/>
              </w:rPr>
              <w:br/>
            </w:r>
            <w:r w:rsidRPr="002B067D">
              <w:rPr>
                <w:rFonts w:ascii="Arial Narrow" w:hAnsi="Arial Narrow"/>
                <w:sz w:val="20"/>
                <w:lang w:eastAsia="en-US"/>
              </w:rPr>
              <w:t>(1.78-2.41)</w:t>
            </w:r>
          </w:p>
        </w:tc>
        <w:tc>
          <w:tcPr>
            <w:tcW w:w="707" w:type="pct"/>
          </w:tcPr>
          <w:p w14:paraId="04C821B3" w14:textId="77777777" w:rsidR="007C6C75" w:rsidRPr="002B067D" w:rsidRDefault="007C6C75" w:rsidP="007C6C75">
            <w:pPr>
              <w:keepNext/>
              <w:keepLines/>
              <w:widowControl w:val="0"/>
              <w:adjustRightInd w:val="0"/>
              <w:spacing w:before="40" w:after="40"/>
              <w:jc w:val="center"/>
              <w:textAlignment w:val="baseline"/>
              <w:rPr>
                <w:rFonts w:ascii="Arial Narrow" w:hAnsi="Arial Narrow" w:cs="Arial"/>
                <w:sz w:val="20"/>
                <w:lang w:eastAsia="en-US"/>
              </w:rPr>
            </w:pPr>
            <w:r w:rsidRPr="002B067D">
              <w:rPr>
                <w:rFonts w:ascii="Arial Narrow" w:hAnsi="Arial Narrow" w:cs="Arial"/>
                <w:sz w:val="20"/>
                <w:lang w:eastAsia="en-US"/>
              </w:rPr>
              <w:t xml:space="preserve">14% </w:t>
            </w:r>
            <w:r>
              <w:rPr>
                <w:rFonts w:ascii="Arial Narrow" w:hAnsi="Arial Narrow" w:cs="Arial"/>
                <w:sz w:val="20"/>
                <w:lang w:eastAsia="en-US"/>
              </w:rPr>
              <w:br/>
            </w:r>
            <w:r w:rsidRPr="002B067D">
              <w:rPr>
                <w:rFonts w:ascii="Arial Narrow" w:hAnsi="Arial Narrow" w:cs="Arial"/>
                <w:sz w:val="20"/>
                <w:lang w:eastAsia="en-US"/>
              </w:rPr>
              <w:t>(11</w:t>
            </w:r>
            <w:r>
              <w:rPr>
                <w:rFonts w:ascii="Arial Narrow" w:hAnsi="Arial Narrow" w:cs="Arial"/>
                <w:sz w:val="20"/>
                <w:lang w:eastAsia="en-US"/>
              </w:rPr>
              <w:t>%</w:t>
            </w:r>
            <w:r w:rsidRPr="002B067D">
              <w:rPr>
                <w:rFonts w:ascii="Arial Narrow" w:hAnsi="Arial Narrow" w:cs="Arial"/>
                <w:sz w:val="20"/>
                <w:lang w:eastAsia="en-US"/>
              </w:rPr>
              <w:t>-16%)</w:t>
            </w:r>
          </w:p>
        </w:tc>
        <w:tc>
          <w:tcPr>
            <w:tcW w:w="1544" w:type="pct"/>
          </w:tcPr>
          <w:p w14:paraId="0CC17472" w14:textId="77777777" w:rsidR="007C6C75" w:rsidRPr="002B067D" w:rsidRDefault="007C6C75" w:rsidP="007C6C75">
            <w:pPr>
              <w:keepNext/>
              <w:keepLines/>
              <w:widowControl w:val="0"/>
              <w:adjustRightInd w:val="0"/>
              <w:spacing w:before="40" w:after="40"/>
              <w:textAlignment w:val="baseline"/>
              <w:rPr>
                <w:rFonts w:ascii="Arial Narrow" w:hAnsi="Arial Narrow"/>
                <w:sz w:val="20"/>
                <w:szCs w:val="22"/>
                <w:lang w:eastAsia="en-US"/>
              </w:rPr>
            </w:pPr>
            <w:r w:rsidRPr="002B067D">
              <w:rPr>
                <w:rFonts w:ascii="Arial Narrow" w:hAnsi="Arial Narrow"/>
                <w:sz w:val="20"/>
                <w:szCs w:val="22"/>
                <w:lang w:eastAsia="en-US"/>
              </w:rPr>
              <w:t>Downgraded by 2 points overall due to some concerns about the methodological quality of the studies (risk of bias), concerns about the inconsistency, and some concerns about the indirectness.</w:t>
            </w:r>
          </w:p>
        </w:tc>
      </w:tr>
    </w:tbl>
    <w:p w14:paraId="44D0E623" w14:textId="77777777" w:rsidR="007C6C75" w:rsidRDefault="007C6C75" w:rsidP="007C6C75">
      <w:pPr>
        <w:pStyle w:val="Tablenotes1"/>
        <w:spacing w:after="0"/>
      </w:pPr>
      <w:r>
        <w:t>CI =</w:t>
      </w:r>
      <w:r w:rsidRPr="002B067D">
        <w:t xml:space="preserve"> confidence interval; </w:t>
      </w:r>
      <w:r>
        <w:t xml:space="preserve">ITT = intention-to-treat; </w:t>
      </w:r>
      <w:r w:rsidRPr="002B067D">
        <w:t>RD</w:t>
      </w:r>
      <w:r>
        <w:t xml:space="preserve"> =</w:t>
      </w:r>
      <w:r w:rsidRPr="002B067D">
        <w:t xml:space="preserve"> risk difference; RR</w:t>
      </w:r>
      <w:r>
        <w:t xml:space="preserve"> =</w:t>
      </w:r>
      <w:r w:rsidRPr="002B067D">
        <w:t xml:space="preserve"> risk ratio</w:t>
      </w:r>
      <w:r w:rsidRPr="002B067D">
        <w:br/>
        <w:t>Effect estimates obtained from meta-analysis using random effects model</w:t>
      </w:r>
    </w:p>
    <w:p w14:paraId="1D199C5E" w14:textId="77777777" w:rsidR="007C6C75" w:rsidRPr="002B067D" w:rsidRDefault="007C6C75" w:rsidP="007C6C75">
      <w:pPr>
        <w:pStyle w:val="Tablenotes1"/>
      </w:pPr>
      <w:r>
        <w:t>Source: DCAR, Table 3</w:t>
      </w:r>
    </w:p>
    <w:p w14:paraId="7A9078D8" w14:textId="77777777" w:rsidR="007C6C75" w:rsidRDefault="007C6C75" w:rsidP="007C6C75">
      <w:r>
        <w:t>The DCAR’s meta-analysis found that r</w:t>
      </w:r>
      <w:r w:rsidRPr="00D52E28">
        <w:t>elative participation rate and participation difference estimates were affected by the study invitation scenario</w:t>
      </w:r>
      <w:r>
        <w:t>. The three invitation scenarios were:</w:t>
      </w:r>
    </w:p>
    <w:p w14:paraId="1378E73D" w14:textId="5F84C51A" w:rsidR="007C6C75" w:rsidRDefault="007C6C75" w:rsidP="007C6C75">
      <w:pPr>
        <w:pStyle w:val="ListParagraph"/>
        <w:numPr>
          <w:ilvl w:val="0"/>
          <w:numId w:val="28"/>
        </w:numPr>
        <w:spacing w:after="0"/>
      </w:pPr>
      <w:r>
        <w:t>opt-out studies in which all participants assigned to the intervention arm received a s</w:t>
      </w:r>
      <w:r w:rsidR="00E5603B">
        <w:t>elf-collection kit in the mail;</w:t>
      </w:r>
    </w:p>
    <w:p w14:paraId="204BD0E0" w14:textId="77777777" w:rsidR="007C6C75" w:rsidRDefault="007C6C75" w:rsidP="007C6C75">
      <w:pPr>
        <w:pStyle w:val="ListParagraph"/>
        <w:numPr>
          <w:ilvl w:val="0"/>
          <w:numId w:val="28"/>
        </w:numPr>
        <w:spacing w:after="0"/>
      </w:pPr>
      <w:r>
        <w:t>opt-out studies where participants were given an option to order or pick-up a self-collection kit; or</w:t>
      </w:r>
    </w:p>
    <w:p w14:paraId="5EE24D14" w14:textId="41870B3B" w:rsidR="007C6C75" w:rsidRDefault="007C6C75" w:rsidP="007C6C75">
      <w:pPr>
        <w:pStyle w:val="ListParagraph"/>
        <w:numPr>
          <w:ilvl w:val="0"/>
          <w:numId w:val="28"/>
        </w:numPr>
        <w:spacing w:after="0"/>
      </w:pPr>
      <w:proofErr w:type="gramStart"/>
      <w:r>
        <w:t>opt-in</w:t>
      </w:r>
      <w:proofErr w:type="gramEnd"/>
      <w:r>
        <w:t xml:space="preserve"> studies in which study participants were enrolled into the study prior to being randomised.</w:t>
      </w:r>
    </w:p>
    <w:p w14:paraId="2AB3E750" w14:textId="46D9F8D9" w:rsidR="007C6C75" w:rsidRDefault="007C6C75" w:rsidP="00C86AF6">
      <w:pPr>
        <w:spacing w:before="240"/>
      </w:pPr>
      <w:r>
        <w:t xml:space="preserve">Relative participation was </w:t>
      </w:r>
      <w:r w:rsidRPr="00CB224E">
        <w:t xml:space="preserve">highest in the scenarios where participants had to first sign up for a trial. In these studies </w:t>
      </w:r>
      <w:r>
        <w:t>(k</w:t>
      </w:r>
      <w:r w:rsidRPr="00CB224E">
        <w:t>=5), individuals assigned to self-collection arm were 2.17 times (95% CI</w:t>
      </w:r>
      <w:r w:rsidR="00861E90">
        <w:t>:</w:t>
      </w:r>
      <w:r w:rsidRPr="00CB224E">
        <w:t xml:space="preserve"> 1.28 to 3.68) more likely to participate in cervical screening</w:t>
      </w:r>
      <w:r w:rsidRPr="00D52E28">
        <w:t xml:space="preserve"> (</w:t>
      </w:r>
      <w:r w:rsidR="00A10F05">
        <w:fldChar w:fldCharType="begin"/>
      </w:r>
      <w:r w:rsidR="00A10F05">
        <w:instrText xml:space="preserve"> REF _Ref54356300 </w:instrText>
      </w:r>
      <w:r w:rsidR="00A10F05">
        <w:fldChar w:fldCharType="separate"/>
      </w:r>
      <w:r>
        <w:t xml:space="preserve">Table </w:t>
      </w:r>
      <w:r>
        <w:rPr>
          <w:noProof/>
        </w:rPr>
        <w:t>5</w:t>
      </w:r>
      <w:r w:rsidR="00A10F05">
        <w:rPr>
          <w:noProof/>
        </w:rPr>
        <w:fldChar w:fldCharType="end"/>
      </w:r>
      <w:r w:rsidRPr="00D52E28">
        <w:t>).</w:t>
      </w:r>
      <w:r>
        <w:t xml:space="preserve"> </w:t>
      </w:r>
      <w:r w:rsidRPr="00D52E28">
        <w:t>Similar findings were observed for participation difference.</w:t>
      </w:r>
    </w:p>
    <w:p w14:paraId="52BDA2E1" w14:textId="77777777" w:rsidR="007C6C75" w:rsidRDefault="007C6C75" w:rsidP="007C6C75">
      <w:pPr>
        <w:pStyle w:val="Caption"/>
        <w:jc w:val="left"/>
      </w:pPr>
      <w:bookmarkStart w:id="12" w:name="_Ref54356300"/>
      <w:bookmarkStart w:id="13" w:name="_Toc59631524"/>
      <w:r>
        <w:t xml:space="preserve">Table </w:t>
      </w:r>
      <w:r w:rsidR="00A10F05">
        <w:fldChar w:fldCharType="begin"/>
      </w:r>
      <w:r w:rsidR="00A10F05">
        <w:instrText xml:space="preserve"> SEQ Table \* ARABIC </w:instrText>
      </w:r>
      <w:r w:rsidR="00A10F05">
        <w:fldChar w:fldCharType="separate"/>
      </w:r>
      <w:r>
        <w:rPr>
          <w:noProof/>
        </w:rPr>
        <w:t>5</w:t>
      </w:r>
      <w:r w:rsidR="00A10F05">
        <w:rPr>
          <w:noProof/>
        </w:rPr>
        <w:fldChar w:fldCharType="end"/>
      </w:r>
      <w:bookmarkEnd w:id="12"/>
      <w:r>
        <w:tab/>
        <w:t>Relative participation and participation difference in self-collection versus clinician collection by invitation scenario</w:t>
      </w:r>
      <w:bookmarkEnd w:id="13"/>
    </w:p>
    <w:tbl>
      <w:tblPr>
        <w:tblStyle w:val="TableGrid1"/>
        <w:tblW w:w="5000" w:type="pct"/>
        <w:tblLook w:val="04A0" w:firstRow="1" w:lastRow="0" w:firstColumn="1" w:lastColumn="0" w:noHBand="0" w:noVBand="1"/>
        <w:tblCaption w:val="Relative participation and participation difference in self-collection versus clinician collection by invitation scenario "/>
        <w:tblDescription w:val="This table presents the pooled estimates of relative participation rate, and participation difference between self-collection versus clinician collection, by invitation scenario "/>
      </w:tblPr>
      <w:tblGrid>
        <w:gridCol w:w="2335"/>
        <w:gridCol w:w="2389"/>
        <w:gridCol w:w="2052"/>
        <w:gridCol w:w="2240"/>
      </w:tblGrid>
      <w:tr w:rsidR="007C6C75" w:rsidRPr="000A1599" w14:paraId="2E0FE898" w14:textId="77777777" w:rsidTr="00895339">
        <w:trPr>
          <w:tblHeader/>
        </w:trPr>
        <w:tc>
          <w:tcPr>
            <w:tcW w:w="1295" w:type="pct"/>
          </w:tcPr>
          <w:p w14:paraId="501E8221" w14:textId="77777777" w:rsidR="007C6C75" w:rsidRPr="000A1599" w:rsidRDefault="007C6C75" w:rsidP="007C6C75">
            <w:pPr>
              <w:pStyle w:val="TableHeading"/>
            </w:pPr>
            <w:r>
              <w:t>Invitation scenario</w:t>
            </w:r>
          </w:p>
        </w:tc>
        <w:tc>
          <w:tcPr>
            <w:tcW w:w="1325" w:type="pct"/>
          </w:tcPr>
          <w:p w14:paraId="3D731783" w14:textId="77777777" w:rsidR="007C6C75" w:rsidRPr="000A1599" w:rsidRDefault="007C6C75" w:rsidP="007C6C75">
            <w:pPr>
              <w:pStyle w:val="TableHeading"/>
              <w:ind w:left="0" w:firstLine="0"/>
              <w:jc w:val="center"/>
            </w:pPr>
            <w:r>
              <w:t>Number of participants, studies</w:t>
            </w:r>
          </w:p>
        </w:tc>
        <w:tc>
          <w:tcPr>
            <w:tcW w:w="1138" w:type="pct"/>
          </w:tcPr>
          <w:p w14:paraId="0359C92C" w14:textId="77777777" w:rsidR="007C6C75" w:rsidRPr="000A1599" w:rsidRDefault="007C6C75" w:rsidP="007C6C75">
            <w:pPr>
              <w:pStyle w:val="TableHeading"/>
              <w:ind w:left="0" w:firstLine="0"/>
              <w:jc w:val="center"/>
            </w:pPr>
            <w:r>
              <w:t>Relative participation (95% CI)</w:t>
            </w:r>
          </w:p>
        </w:tc>
        <w:tc>
          <w:tcPr>
            <w:tcW w:w="1242" w:type="pct"/>
          </w:tcPr>
          <w:p w14:paraId="26874286" w14:textId="77777777" w:rsidR="007C6C75" w:rsidRPr="000A1599" w:rsidRDefault="007C6C75" w:rsidP="007C6C75">
            <w:pPr>
              <w:pStyle w:val="TableHeading"/>
              <w:ind w:left="0" w:firstLine="0"/>
              <w:jc w:val="center"/>
            </w:pPr>
            <w:r>
              <w:t>Participation difference (95% CI)</w:t>
            </w:r>
          </w:p>
        </w:tc>
      </w:tr>
      <w:tr w:rsidR="007C6C75" w:rsidRPr="00B4161F" w14:paraId="48A4270A" w14:textId="77777777" w:rsidTr="00895339">
        <w:tc>
          <w:tcPr>
            <w:tcW w:w="1295" w:type="pct"/>
          </w:tcPr>
          <w:p w14:paraId="335AE7DC" w14:textId="77777777" w:rsidR="007C6C75" w:rsidRPr="00F43F76" w:rsidRDefault="007C6C75" w:rsidP="007C6C75">
            <w:pPr>
              <w:pStyle w:val="TableText0"/>
              <w:keepLines/>
              <w:rPr>
                <w:szCs w:val="20"/>
              </w:rPr>
            </w:pPr>
            <w:r>
              <w:rPr>
                <w:szCs w:val="20"/>
              </w:rPr>
              <w:t>All sent a kit</w:t>
            </w:r>
          </w:p>
        </w:tc>
        <w:tc>
          <w:tcPr>
            <w:tcW w:w="1325" w:type="pct"/>
          </w:tcPr>
          <w:p w14:paraId="417DB831" w14:textId="77777777" w:rsidR="007C6C75" w:rsidRPr="00F43F76" w:rsidRDefault="007C6C75" w:rsidP="007C6C75">
            <w:pPr>
              <w:pStyle w:val="TableText0"/>
              <w:keepLines/>
              <w:jc w:val="center"/>
              <w:rPr>
                <w:rFonts w:cs="Arial"/>
                <w:szCs w:val="20"/>
              </w:rPr>
            </w:pPr>
            <w:r>
              <w:rPr>
                <w:rFonts w:cs="Arial"/>
                <w:szCs w:val="20"/>
              </w:rPr>
              <w:t>n=153,706; k=18</w:t>
            </w:r>
          </w:p>
        </w:tc>
        <w:tc>
          <w:tcPr>
            <w:tcW w:w="1138" w:type="pct"/>
          </w:tcPr>
          <w:p w14:paraId="0F0FFE67" w14:textId="77777777" w:rsidR="007C6C75" w:rsidRPr="00F43F76" w:rsidRDefault="007C6C75" w:rsidP="007C6C75">
            <w:pPr>
              <w:pStyle w:val="TableText0"/>
              <w:keepLines/>
              <w:jc w:val="center"/>
              <w:rPr>
                <w:rFonts w:cs="Arial"/>
                <w:szCs w:val="20"/>
              </w:rPr>
            </w:pPr>
            <w:r>
              <w:rPr>
                <w:rFonts w:cs="Arial"/>
                <w:szCs w:val="20"/>
              </w:rPr>
              <w:t>2.15 (1.82 – 2.54)</w:t>
            </w:r>
          </w:p>
        </w:tc>
        <w:tc>
          <w:tcPr>
            <w:tcW w:w="1242" w:type="pct"/>
          </w:tcPr>
          <w:p w14:paraId="739F7DA5" w14:textId="77777777" w:rsidR="007C6C75" w:rsidRPr="00F43F76" w:rsidRDefault="007C6C75" w:rsidP="007C6C75">
            <w:pPr>
              <w:pStyle w:val="TableText0"/>
              <w:keepLines/>
              <w:jc w:val="center"/>
              <w:rPr>
                <w:szCs w:val="20"/>
              </w:rPr>
            </w:pPr>
            <w:r>
              <w:rPr>
                <w:szCs w:val="20"/>
              </w:rPr>
              <w:t>13% (10-15%)</w:t>
            </w:r>
          </w:p>
        </w:tc>
      </w:tr>
      <w:tr w:rsidR="007C6C75" w:rsidRPr="00B4161F" w14:paraId="2AAC18C4" w14:textId="77777777" w:rsidTr="00895339">
        <w:tc>
          <w:tcPr>
            <w:tcW w:w="1295" w:type="pct"/>
          </w:tcPr>
          <w:p w14:paraId="5C7A8D76" w14:textId="77777777" w:rsidR="007C6C75" w:rsidRDefault="007C6C75" w:rsidP="007C6C75">
            <w:pPr>
              <w:pStyle w:val="TableText0"/>
              <w:keepLines/>
              <w:rPr>
                <w:szCs w:val="20"/>
              </w:rPr>
            </w:pPr>
            <w:r>
              <w:rPr>
                <w:szCs w:val="20"/>
              </w:rPr>
              <w:t>Option to order a kit</w:t>
            </w:r>
          </w:p>
        </w:tc>
        <w:tc>
          <w:tcPr>
            <w:tcW w:w="1325" w:type="pct"/>
          </w:tcPr>
          <w:p w14:paraId="6491D81C" w14:textId="77777777" w:rsidR="007C6C75" w:rsidRPr="00F43F76" w:rsidRDefault="007C6C75" w:rsidP="007C6C75">
            <w:pPr>
              <w:pStyle w:val="TableText0"/>
              <w:keepLines/>
              <w:jc w:val="center"/>
              <w:rPr>
                <w:rFonts w:cs="Arial"/>
                <w:szCs w:val="20"/>
              </w:rPr>
            </w:pPr>
            <w:r>
              <w:rPr>
                <w:rFonts w:cs="Arial"/>
                <w:szCs w:val="20"/>
              </w:rPr>
              <w:t>n=67,720; k=8</w:t>
            </w:r>
          </w:p>
        </w:tc>
        <w:tc>
          <w:tcPr>
            <w:tcW w:w="1138" w:type="pct"/>
          </w:tcPr>
          <w:p w14:paraId="4A1C87C2" w14:textId="77777777" w:rsidR="007C6C75" w:rsidRPr="00F43F76" w:rsidRDefault="007C6C75" w:rsidP="007C6C75">
            <w:pPr>
              <w:pStyle w:val="TableText0"/>
              <w:keepLines/>
              <w:jc w:val="center"/>
              <w:rPr>
                <w:rFonts w:cs="Arial"/>
                <w:szCs w:val="20"/>
              </w:rPr>
            </w:pPr>
            <w:r>
              <w:rPr>
                <w:rFonts w:cs="Arial"/>
                <w:szCs w:val="20"/>
              </w:rPr>
              <w:t>1.88 (1.35 – 2.62)</w:t>
            </w:r>
          </w:p>
        </w:tc>
        <w:tc>
          <w:tcPr>
            <w:tcW w:w="1242" w:type="pct"/>
          </w:tcPr>
          <w:p w14:paraId="4390F24C" w14:textId="77777777" w:rsidR="007C6C75" w:rsidRPr="00F43F76" w:rsidRDefault="007C6C75" w:rsidP="007C6C75">
            <w:pPr>
              <w:pStyle w:val="TableText0"/>
              <w:keepLines/>
              <w:jc w:val="center"/>
              <w:rPr>
                <w:szCs w:val="20"/>
              </w:rPr>
            </w:pPr>
            <w:r>
              <w:rPr>
                <w:szCs w:val="20"/>
              </w:rPr>
              <w:t>8% (4-13%)</w:t>
            </w:r>
          </w:p>
        </w:tc>
      </w:tr>
      <w:tr w:rsidR="007C6C75" w:rsidRPr="00B4161F" w14:paraId="6093B4CE" w14:textId="77777777" w:rsidTr="00895339">
        <w:tc>
          <w:tcPr>
            <w:tcW w:w="1295" w:type="pct"/>
          </w:tcPr>
          <w:p w14:paraId="273ED1CD" w14:textId="77777777" w:rsidR="007C6C75" w:rsidRDefault="007C6C75" w:rsidP="007C6C75">
            <w:pPr>
              <w:pStyle w:val="TableText0"/>
              <w:keepLines/>
              <w:rPr>
                <w:szCs w:val="20"/>
              </w:rPr>
            </w:pPr>
            <w:r>
              <w:rPr>
                <w:szCs w:val="20"/>
              </w:rPr>
              <w:t>Opt-in studies</w:t>
            </w:r>
          </w:p>
        </w:tc>
        <w:tc>
          <w:tcPr>
            <w:tcW w:w="1325" w:type="pct"/>
          </w:tcPr>
          <w:p w14:paraId="30035A99" w14:textId="77777777" w:rsidR="007C6C75" w:rsidRPr="00F43F76" w:rsidRDefault="007C6C75" w:rsidP="007C6C75">
            <w:pPr>
              <w:pStyle w:val="TableText0"/>
              <w:keepLines/>
              <w:jc w:val="center"/>
              <w:rPr>
                <w:rFonts w:cs="Arial"/>
                <w:szCs w:val="20"/>
              </w:rPr>
            </w:pPr>
            <w:r>
              <w:rPr>
                <w:rFonts w:cs="Arial"/>
                <w:szCs w:val="20"/>
              </w:rPr>
              <w:t>n=1,669; k=5</w:t>
            </w:r>
          </w:p>
        </w:tc>
        <w:tc>
          <w:tcPr>
            <w:tcW w:w="1138" w:type="pct"/>
          </w:tcPr>
          <w:p w14:paraId="0BB7711C" w14:textId="77777777" w:rsidR="007C6C75" w:rsidRPr="00F43F76" w:rsidRDefault="007C6C75" w:rsidP="007C6C75">
            <w:pPr>
              <w:pStyle w:val="TableText0"/>
              <w:keepLines/>
              <w:jc w:val="center"/>
              <w:rPr>
                <w:rFonts w:cs="Arial"/>
                <w:szCs w:val="20"/>
              </w:rPr>
            </w:pPr>
            <w:r>
              <w:rPr>
                <w:rFonts w:cs="Arial"/>
                <w:szCs w:val="20"/>
              </w:rPr>
              <w:t>2.17 (1.28 – 3.68)</w:t>
            </w:r>
          </w:p>
        </w:tc>
        <w:tc>
          <w:tcPr>
            <w:tcW w:w="1242" w:type="pct"/>
          </w:tcPr>
          <w:p w14:paraId="177AE444" w14:textId="77777777" w:rsidR="007C6C75" w:rsidRPr="00F43F76" w:rsidRDefault="007C6C75" w:rsidP="007C6C75">
            <w:pPr>
              <w:pStyle w:val="TableText0"/>
              <w:keepLines/>
              <w:jc w:val="center"/>
              <w:rPr>
                <w:szCs w:val="20"/>
              </w:rPr>
            </w:pPr>
            <w:r>
              <w:rPr>
                <w:szCs w:val="20"/>
              </w:rPr>
              <w:t>35% (7-63%)</w:t>
            </w:r>
          </w:p>
        </w:tc>
      </w:tr>
    </w:tbl>
    <w:p w14:paraId="1D8C3434" w14:textId="77777777" w:rsidR="007C6C75" w:rsidRDefault="007C6C75" w:rsidP="007C6C75">
      <w:pPr>
        <w:pStyle w:val="Tablenotes"/>
      </w:pPr>
      <w:r>
        <w:t>CI = confidence interval</w:t>
      </w:r>
      <w:r>
        <w:br/>
        <w:t>Effect estimates obtained from meta-analysis using random effects model</w:t>
      </w:r>
    </w:p>
    <w:p w14:paraId="0273AB61" w14:textId="1A48A792" w:rsidR="007C6C75" w:rsidRDefault="007C6C75" w:rsidP="00C86AF6">
      <w:pPr>
        <w:pStyle w:val="Tablenotes"/>
      </w:pPr>
      <w:r>
        <w:t>Source: DCAR, Table 4</w:t>
      </w:r>
    </w:p>
    <w:p w14:paraId="2A8252A6" w14:textId="77777777" w:rsidR="007C6C75" w:rsidRDefault="007C6C75" w:rsidP="00C86AF6">
      <w:pPr>
        <w:spacing w:before="240"/>
      </w:pPr>
      <w:r>
        <w:t xml:space="preserve">The DCAR noted that this result differed from that of </w:t>
      </w:r>
      <w:proofErr w:type="spellStart"/>
      <w:r>
        <w:t>Arbyn</w:t>
      </w:r>
      <w:proofErr w:type="spellEnd"/>
      <w:r>
        <w:t xml:space="preserve"> </w:t>
      </w:r>
      <w:r>
        <w:rPr>
          <w:i/>
        </w:rPr>
        <w:t>et al.</w:t>
      </w:r>
      <w:r>
        <w:t xml:space="preserve"> (2018)’s meta-analysis, which reported no statistically significant difference in relative participation or participation difference by invitation scenario amongst ITT studies. The DCAR suggested this difference may be attributable to differences in study selection, and inclusion of more recent studies in the DCAR’s meta-analysis.</w:t>
      </w:r>
    </w:p>
    <w:p w14:paraId="64A97CCD" w14:textId="77777777" w:rsidR="007C6C75" w:rsidRDefault="007C6C75" w:rsidP="006A5D63">
      <w:pPr>
        <w:pStyle w:val="Heading2"/>
      </w:pPr>
      <w:r>
        <w:t>Adherence to follow-up</w:t>
      </w:r>
    </w:p>
    <w:p w14:paraId="5525B4CA" w14:textId="72677A95" w:rsidR="007C6C75" w:rsidRDefault="007C6C75" w:rsidP="007C6C75">
      <w:r>
        <w:t xml:space="preserve">The DCAR also conducted a meta-analysis to examine adherence to follow-up amongst people </w:t>
      </w:r>
      <w:r w:rsidRPr="00A81436">
        <w:t>with an HPV positive result on a self-collected vaginal sample</w:t>
      </w:r>
      <w:r>
        <w:t xml:space="preserve">. </w:t>
      </w:r>
      <w:r w:rsidRPr="00A81436">
        <w:t xml:space="preserve">The </w:t>
      </w:r>
      <w:r>
        <w:t xml:space="preserve">DCAR found </w:t>
      </w:r>
      <w:r w:rsidRPr="00A81436">
        <w:t>that of all the people who provided a self-collected vaginal sample for H</w:t>
      </w:r>
      <w:r>
        <w:t>PV testing, 80.8% (95% CI</w:t>
      </w:r>
      <w:r w:rsidR="00861E90">
        <w:t>:</w:t>
      </w:r>
      <w:r>
        <w:t xml:space="preserve"> 75.5%-</w:t>
      </w:r>
      <w:r w:rsidRPr="00A81436">
        <w:t>85.1%) people followed up with the health-care provider to complete cervical screening</w:t>
      </w:r>
      <w:r>
        <w:t>, though inter-study heterogeneity in this analysis was high (</w:t>
      </w:r>
      <w:r w:rsidRPr="00FC23DF">
        <w:rPr>
          <w:i/>
        </w:rPr>
        <w:t>I</w:t>
      </w:r>
      <w:r w:rsidRPr="00FC23DF">
        <w:rPr>
          <w:vertAlign w:val="superscript"/>
        </w:rPr>
        <w:t>2</w:t>
      </w:r>
      <w:r>
        <w:t xml:space="preserve"> = 93%).</w:t>
      </w:r>
    </w:p>
    <w:p w14:paraId="22958DF0" w14:textId="1470AE85" w:rsidR="00F37B9C" w:rsidRDefault="007C6C75" w:rsidP="002F4063">
      <w:r>
        <w:t>This follow-up adherence rate is</w:t>
      </w:r>
      <w:r w:rsidRPr="00A81436">
        <w:t xml:space="preserve"> similar to the </w:t>
      </w:r>
      <w:r>
        <w:t>80.6% (95% CI</w:t>
      </w:r>
      <w:r w:rsidR="00861E90">
        <w:t>:</w:t>
      </w:r>
      <w:r>
        <w:t xml:space="preserve"> 67.0%-</w:t>
      </w:r>
      <w:r w:rsidRPr="00A81436">
        <w:t>91.5%)</w:t>
      </w:r>
      <w:r>
        <w:t xml:space="preserve"> follow-up adherence rate reported in </w:t>
      </w:r>
      <w:proofErr w:type="spellStart"/>
      <w:r>
        <w:t>Arbyn</w:t>
      </w:r>
      <w:proofErr w:type="spellEnd"/>
      <w:r>
        <w:t xml:space="preserve"> </w:t>
      </w:r>
      <w:r>
        <w:rPr>
          <w:i/>
        </w:rPr>
        <w:t>et al.</w:t>
      </w:r>
      <w:r>
        <w:t xml:space="preserve"> (2018)’s meta-analysis. Though it is higher than the 62% follow-up rate for self-collected samples observed in</w:t>
      </w:r>
      <w:r w:rsidRPr="002D5EC8">
        <w:t xml:space="preserve"> NCSP activity data since the commencement of self-collected HPV testing in December 2017</w:t>
      </w:r>
      <w:r>
        <w:t xml:space="preserve"> under the current restrictive access policy.</w:t>
      </w:r>
    </w:p>
    <w:p w14:paraId="5E7300E2" w14:textId="77777777" w:rsidR="00BC1364" w:rsidRDefault="00BC1364" w:rsidP="002F4063">
      <w:pPr>
        <w:pStyle w:val="Heading1"/>
      </w:pPr>
      <w:r w:rsidRPr="00F715D1">
        <w:t>Economic evaluation</w:t>
      </w:r>
    </w:p>
    <w:p w14:paraId="7CF5CFFD" w14:textId="7A520F83" w:rsidR="007C6C75" w:rsidRPr="007C6C75" w:rsidRDefault="007C6C75" w:rsidP="007C6C75">
      <w:r>
        <w:t xml:space="preserve">An economic analysis was not in-scope for the DCAR, and so was not </w:t>
      </w:r>
      <w:r w:rsidR="00A040FD">
        <w:t>undertaken</w:t>
      </w:r>
      <w:r>
        <w:t>.</w:t>
      </w:r>
    </w:p>
    <w:p w14:paraId="7D3920B5" w14:textId="77777777" w:rsidR="00BC1364" w:rsidRPr="00F715D1" w:rsidRDefault="00BC1364" w:rsidP="002F4063">
      <w:pPr>
        <w:pStyle w:val="Heading1"/>
      </w:pPr>
      <w:r w:rsidRPr="00F715D1">
        <w:t>Financial/budgetary impacts</w:t>
      </w:r>
    </w:p>
    <w:p w14:paraId="13A8AD14" w14:textId="77777777" w:rsidR="007C6C75" w:rsidRDefault="007C6C75" w:rsidP="006A5D63">
      <w:pPr>
        <w:pStyle w:val="Heading2"/>
      </w:pPr>
      <w:r>
        <w:t>Utilisation</w:t>
      </w:r>
    </w:p>
    <w:p w14:paraId="49048C57" w14:textId="77777777" w:rsidR="007C6C75" w:rsidRDefault="007C6C75" w:rsidP="007C6C75">
      <w:r>
        <w:t>The DCAR stated that total cervical screening participation would be expected to increase under the proposed expanded eligibility criteria, from 690,000 in 2021 to 758,000 in 2025, compared with utilisation increasing from 687,000 to 739,000 under current eligibility criteria over the same period. This results in a predicted overall net increase in participation of approximately 0.5 percentage points in 2021, increasing to 2.5 percentage points in 2025. The proportion of self-collected primary screening would also be anticipated to increase from 1.3% in 2021 up to 6.6% in 2025 if the proposed expansion of self-collection is supported, compared with 0.4% in 2021 increasing to 2.1% in 2025 under current eligibility criteria (</w:t>
      </w:r>
      <w:r>
        <w:fldChar w:fldCharType="begin"/>
      </w:r>
      <w:r>
        <w:instrText xml:space="preserve"> REF _Ref59187866 \h </w:instrText>
      </w:r>
      <w:r>
        <w:fldChar w:fldCharType="separate"/>
      </w:r>
      <w:r>
        <w:t xml:space="preserve">Table </w:t>
      </w:r>
      <w:r>
        <w:rPr>
          <w:noProof/>
        </w:rPr>
        <w:t>6</w:t>
      </w:r>
      <w:r>
        <w:fldChar w:fldCharType="end"/>
      </w:r>
      <w:r>
        <w:t>). Estimates of self-collection utilisation were based on historical NCSP participation data for the period December 2017 to June 2020.</w:t>
      </w:r>
    </w:p>
    <w:p w14:paraId="4E88C8A9" w14:textId="77777777" w:rsidR="007C6C75" w:rsidRDefault="007C6C75" w:rsidP="007C6C75">
      <w:pPr>
        <w:pStyle w:val="Caption"/>
      </w:pPr>
      <w:bookmarkStart w:id="14" w:name="_Ref59187866"/>
      <w:bookmarkStart w:id="15" w:name="_Toc59631526"/>
      <w:r>
        <w:t xml:space="preserve">Table </w:t>
      </w:r>
      <w:r w:rsidR="00A10F05">
        <w:fldChar w:fldCharType="begin"/>
      </w:r>
      <w:r w:rsidR="00A10F05">
        <w:instrText xml:space="preserve"> SEQ Table \* ARABIC </w:instrText>
      </w:r>
      <w:r w:rsidR="00A10F05">
        <w:fldChar w:fldCharType="separate"/>
      </w:r>
      <w:r>
        <w:rPr>
          <w:noProof/>
        </w:rPr>
        <w:t>6</w:t>
      </w:r>
      <w:r w:rsidR="00A10F05">
        <w:rPr>
          <w:noProof/>
        </w:rPr>
        <w:fldChar w:fldCharType="end"/>
      </w:r>
      <w:bookmarkEnd w:id="14"/>
      <w:r>
        <w:tab/>
      </w:r>
      <w:r w:rsidRPr="007A78A2">
        <w:t>5-year net imp</w:t>
      </w:r>
      <w:r>
        <w:t xml:space="preserve">lications for </w:t>
      </w:r>
      <w:r w:rsidRPr="007A78A2">
        <w:t>NCSP participation: proposed an</w:t>
      </w:r>
      <w:r>
        <w:t>d current eligibility criteria</w:t>
      </w:r>
      <w:r w:rsidRPr="007A78A2">
        <w:t xml:space="preserve"> </w:t>
      </w:r>
      <w:r>
        <w:t>(</w:t>
      </w:r>
      <w:r w:rsidRPr="007A78A2">
        <w:t>number and %</w:t>
      </w:r>
      <w:bookmarkEnd w:id="15"/>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095"/>
        <w:gridCol w:w="1095"/>
        <w:gridCol w:w="1096"/>
        <w:gridCol w:w="1095"/>
        <w:gridCol w:w="1096"/>
      </w:tblGrid>
      <w:tr w:rsidR="007C6C75" w:rsidRPr="007A78A2" w14:paraId="601FD876" w14:textId="77777777" w:rsidTr="007C6C75">
        <w:trPr>
          <w:trHeight w:val="270"/>
          <w:tblHeader/>
        </w:trPr>
        <w:tc>
          <w:tcPr>
            <w:tcW w:w="1963" w:type="pct"/>
            <w:tcBorders>
              <w:bottom w:val="single" w:sz="4" w:space="0" w:color="auto"/>
            </w:tcBorders>
            <w:shd w:val="clear" w:color="auto" w:fill="auto"/>
            <w:noWrap/>
            <w:vAlign w:val="bottom"/>
            <w:hideMark/>
          </w:tcPr>
          <w:p w14:paraId="7086DA2D" w14:textId="77777777" w:rsidR="007C6C75" w:rsidRPr="007A78A2" w:rsidRDefault="007C6C75" w:rsidP="007C6C75">
            <w:pPr>
              <w:spacing w:before="40" w:after="40"/>
              <w:rPr>
                <w:rFonts w:ascii="Arial Narrow" w:hAnsi="Arial Narrow" w:cs="Calibri"/>
                <w:b/>
                <w:bCs/>
                <w:color w:val="000000"/>
                <w:sz w:val="20"/>
              </w:rPr>
            </w:pPr>
            <w:r w:rsidRPr="007A78A2">
              <w:rPr>
                <w:rFonts w:ascii="Arial Narrow" w:hAnsi="Arial Narrow" w:cs="Calibri"/>
                <w:b/>
                <w:bCs/>
                <w:color w:val="000000"/>
                <w:sz w:val="20"/>
              </w:rPr>
              <w:t>Item</w:t>
            </w:r>
          </w:p>
        </w:tc>
        <w:tc>
          <w:tcPr>
            <w:tcW w:w="607" w:type="pct"/>
            <w:tcBorders>
              <w:bottom w:val="single" w:sz="4" w:space="0" w:color="auto"/>
            </w:tcBorders>
            <w:shd w:val="clear" w:color="auto" w:fill="auto"/>
            <w:noWrap/>
            <w:vAlign w:val="center"/>
            <w:hideMark/>
          </w:tcPr>
          <w:p w14:paraId="006CE7F0"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2021</w:t>
            </w:r>
          </w:p>
        </w:tc>
        <w:tc>
          <w:tcPr>
            <w:tcW w:w="607" w:type="pct"/>
            <w:tcBorders>
              <w:bottom w:val="single" w:sz="4" w:space="0" w:color="auto"/>
            </w:tcBorders>
            <w:shd w:val="clear" w:color="auto" w:fill="auto"/>
            <w:noWrap/>
            <w:vAlign w:val="center"/>
            <w:hideMark/>
          </w:tcPr>
          <w:p w14:paraId="6D0A91C4"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2022</w:t>
            </w:r>
          </w:p>
        </w:tc>
        <w:tc>
          <w:tcPr>
            <w:tcW w:w="608" w:type="pct"/>
            <w:tcBorders>
              <w:bottom w:val="single" w:sz="4" w:space="0" w:color="auto"/>
            </w:tcBorders>
            <w:shd w:val="clear" w:color="auto" w:fill="auto"/>
            <w:noWrap/>
            <w:vAlign w:val="center"/>
            <w:hideMark/>
          </w:tcPr>
          <w:p w14:paraId="4986F328"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2023</w:t>
            </w:r>
          </w:p>
        </w:tc>
        <w:tc>
          <w:tcPr>
            <w:tcW w:w="607" w:type="pct"/>
            <w:tcBorders>
              <w:bottom w:val="single" w:sz="4" w:space="0" w:color="auto"/>
            </w:tcBorders>
            <w:shd w:val="clear" w:color="auto" w:fill="auto"/>
            <w:noWrap/>
            <w:vAlign w:val="center"/>
            <w:hideMark/>
          </w:tcPr>
          <w:p w14:paraId="592B1A93"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2024</w:t>
            </w:r>
          </w:p>
        </w:tc>
        <w:tc>
          <w:tcPr>
            <w:tcW w:w="608" w:type="pct"/>
            <w:tcBorders>
              <w:bottom w:val="single" w:sz="4" w:space="0" w:color="auto"/>
            </w:tcBorders>
            <w:shd w:val="clear" w:color="auto" w:fill="auto"/>
            <w:noWrap/>
            <w:vAlign w:val="center"/>
            <w:hideMark/>
          </w:tcPr>
          <w:p w14:paraId="65A75975"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2025</w:t>
            </w:r>
          </w:p>
        </w:tc>
      </w:tr>
      <w:tr w:rsidR="007C6C75" w:rsidRPr="007A78A2" w14:paraId="21524CA5" w14:textId="77777777" w:rsidTr="007C6C7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037B" w14:textId="77777777" w:rsidR="007C6C75" w:rsidRPr="007A78A2" w:rsidRDefault="007C6C75" w:rsidP="007C6C75">
            <w:pPr>
              <w:spacing w:before="40" w:after="40"/>
              <w:rPr>
                <w:rFonts w:ascii="Arial Narrow" w:hAnsi="Arial Narrow" w:cs="Calibri"/>
                <w:b/>
                <w:bCs/>
                <w:color w:val="000000"/>
                <w:sz w:val="20"/>
              </w:rPr>
            </w:pPr>
            <w:r w:rsidRPr="007A78A2">
              <w:rPr>
                <w:rFonts w:ascii="Arial Narrow" w:hAnsi="Arial Narrow" w:cs="Calibri"/>
                <w:b/>
                <w:bCs/>
                <w:color w:val="000000"/>
                <w:sz w:val="20"/>
              </w:rPr>
              <w:t>Participant numbers by HPV test collection method</w:t>
            </w:r>
            <w:r>
              <w:rPr>
                <w:rFonts w:ascii="Arial Narrow" w:hAnsi="Arial Narrow" w:cs="Calibri"/>
                <w:b/>
                <w:bCs/>
                <w:color w:val="000000"/>
                <w:sz w:val="20"/>
              </w:rPr>
              <w:t xml:space="preserve"> (MBS item number)</w:t>
            </w:r>
          </w:p>
        </w:tc>
      </w:tr>
      <w:tr w:rsidR="007C6C75" w:rsidRPr="007A78A2" w14:paraId="5D5EFC25" w14:textId="77777777" w:rsidTr="007C6C75">
        <w:trPr>
          <w:trHeight w:val="270"/>
        </w:trPr>
        <w:tc>
          <w:tcPr>
            <w:tcW w:w="1963" w:type="pct"/>
            <w:tcBorders>
              <w:top w:val="single" w:sz="4" w:space="0" w:color="auto"/>
            </w:tcBorders>
            <w:shd w:val="clear" w:color="auto" w:fill="auto"/>
            <w:noWrap/>
            <w:vAlign w:val="bottom"/>
            <w:hideMark/>
          </w:tcPr>
          <w:p w14:paraId="6D5309F0" w14:textId="77777777" w:rsidR="007C6C75" w:rsidRPr="004C6B70" w:rsidRDefault="007C6C75" w:rsidP="007C6C75">
            <w:pPr>
              <w:spacing w:before="40" w:after="40"/>
              <w:rPr>
                <w:rFonts w:ascii="Arial Narrow" w:hAnsi="Arial Narrow" w:cs="Calibri"/>
                <w:b/>
                <w:color w:val="000000"/>
                <w:sz w:val="20"/>
              </w:rPr>
            </w:pPr>
            <w:r w:rsidRPr="004C6B70">
              <w:rPr>
                <w:rFonts w:ascii="Arial Narrow" w:hAnsi="Arial Narrow" w:cs="Calibri"/>
                <w:b/>
                <w:color w:val="000000"/>
                <w:sz w:val="20"/>
              </w:rPr>
              <w:t>Proposed</w:t>
            </w:r>
          </w:p>
        </w:tc>
        <w:tc>
          <w:tcPr>
            <w:tcW w:w="607" w:type="pct"/>
            <w:tcBorders>
              <w:top w:val="single" w:sz="4" w:space="0" w:color="auto"/>
            </w:tcBorders>
            <w:shd w:val="clear" w:color="auto" w:fill="auto"/>
            <w:noWrap/>
            <w:vAlign w:val="center"/>
            <w:hideMark/>
          </w:tcPr>
          <w:p w14:paraId="25B13EA4"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tcBorders>
              <w:top w:val="single" w:sz="4" w:space="0" w:color="auto"/>
            </w:tcBorders>
            <w:shd w:val="clear" w:color="auto" w:fill="auto"/>
            <w:noWrap/>
            <w:vAlign w:val="center"/>
            <w:hideMark/>
          </w:tcPr>
          <w:p w14:paraId="1BBCD633"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8" w:type="pct"/>
            <w:tcBorders>
              <w:top w:val="single" w:sz="4" w:space="0" w:color="auto"/>
            </w:tcBorders>
            <w:shd w:val="clear" w:color="auto" w:fill="auto"/>
            <w:noWrap/>
            <w:vAlign w:val="center"/>
            <w:hideMark/>
          </w:tcPr>
          <w:p w14:paraId="367213FB"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tcBorders>
              <w:top w:val="single" w:sz="4" w:space="0" w:color="auto"/>
            </w:tcBorders>
            <w:shd w:val="clear" w:color="auto" w:fill="auto"/>
            <w:noWrap/>
            <w:vAlign w:val="center"/>
            <w:hideMark/>
          </w:tcPr>
          <w:p w14:paraId="5175598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8" w:type="pct"/>
            <w:tcBorders>
              <w:top w:val="single" w:sz="4" w:space="0" w:color="auto"/>
            </w:tcBorders>
            <w:shd w:val="clear" w:color="auto" w:fill="auto"/>
            <w:noWrap/>
            <w:vAlign w:val="center"/>
            <w:hideMark/>
          </w:tcPr>
          <w:p w14:paraId="1DF8659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r>
      <w:tr w:rsidR="007C6C75" w:rsidRPr="007A78A2" w14:paraId="0FC54AFA" w14:textId="77777777" w:rsidTr="007C6C75">
        <w:trPr>
          <w:trHeight w:val="270"/>
        </w:trPr>
        <w:tc>
          <w:tcPr>
            <w:tcW w:w="1963" w:type="pct"/>
            <w:shd w:val="clear" w:color="auto" w:fill="auto"/>
            <w:vAlign w:val="bottom"/>
            <w:hideMark/>
          </w:tcPr>
          <w:p w14:paraId="1FFBF58E"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Clinician (73070)</w:t>
            </w:r>
          </w:p>
        </w:tc>
        <w:tc>
          <w:tcPr>
            <w:tcW w:w="607" w:type="pct"/>
            <w:shd w:val="clear" w:color="auto" w:fill="auto"/>
            <w:noWrap/>
            <w:vAlign w:val="center"/>
            <w:hideMark/>
          </w:tcPr>
          <w:p w14:paraId="20080175"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681,121</w:t>
            </w:r>
          </w:p>
        </w:tc>
        <w:tc>
          <w:tcPr>
            <w:tcW w:w="607" w:type="pct"/>
            <w:shd w:val="clear" w:color="auto" w:fill="auto"/>
            <w:noWrap/>
            <w:vAlign w:val="center"/>
            <w:hideMark/>
          </w:tcPr>
          <w:p w14:paraId="6E2CBA2C"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689,304</w:t>
            </w:r>
          </w:p>
        </w:tc>
        <w:tc>
          <w:tcPr>
            <w:tcW w:w="608" w:type="pct"/>
            <w:shd w:val="clear" w:color="auto" w:fill="auto"/>
            <w:noWrap/>
            <w:vAlign w:val="center"/>
            <w:hideMark/>
          </w:tcPr>
          <w:p w14:paraId="44EF0D90"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696,884</w:t>
            </w:r>
          </w:p>
        </w:tc>
        <w:tc>
          <w:tcPr>
            <w:tcW w:w="607" w:type="pct"/>
            <w:shd w:val="clear" w:color="auto" w:fill="auto"/>
            <w:noWrap/>
            <w:vAlign w:val="center"/>
            <w:hideMark/>
          </w:tcPr>
          <w:p w14:paraId="21E8369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703,399</w:t>
            </w:r>
          </w:p>
        </w:tc>
        <w:tc>
          <w:tcPr>
            <w:tcW w:w="608" w:type="pct"/>
            <w:shd w:val="clear" w:color="auto" w:fill="auto"/>
            <w:noWrap/>
            <w:vAlign w:val="center"/>
            <w:hideMark/>
          </w:tcPr>
          <w:p w14:paraId="6482FA32"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708,122</w:t>
            </w:r>
          </w:p>
        </w:tc>
      </w:tr>
      <w:tr w:rsidR="007C6C75" w:rsidRPr="007A78A2" w14:paraId="298424BB" w14:textId="77777777" w:rsidTr="007C6C75">
        <w:trPr>
          <w:trHeight w:val="270"/>
        </w:trPr>
        <w:tc>
          <w:tcPr>
            <w:tcW w:w="1963" w:type="pct"/>
            <w:shd w:val="clear" w:color="auto" w:fill="auto"/>
            <w:vAlign w:val="bottom"/>
            <w:hideMark/>
          </w:tcPr>
          <w:p w14:paraId="1EDA0122"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Self-collected (73071)</w:t>
            </w:r>
          </w:p>
        </w:tc>
        <w:tc>
          <w:tcPr>
            <w:tcW w:w="607" w:type="pct"/>
            <w:shd w:val="clear" w:color="auto" w:fill="auto"/>
            <w:noWrap/>
            <w:vAlign w:val="center"/>
            <w:hideMark/>
          </w:tcPr>
          <w:p w14:paraId="2C6A448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9,146</w:t>
            </w:r>
          </w:p>
        </w:tc>
        <w:tc>
          <w:tcPr>
            <w:tcW w:w="607" w:type="pct"/>
            <w:shd w:val="clear" w:color="auto" w:fill="auto"/>
            <w:noWrap/>
            <w:vAlign w:val="center"/>
            <w:hideMark/>
          </w:tcPr>
          <w:p w14:paraId="03D4AED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13,980</w:t>
            </w:r>
          </w:p>
        </w:tc>
        <w:tc>
          <w:tcPr>
            <w:tcW w:w="608" w:type="pct"/>
            <w:shd w:val="clear" w:color="auto" w:fill="auto"/>
            <w:noWrap/>
            <w:vAlign w:val="center"/>
            <w:hideMark/>
          </w:tcPr>
          <w:p w14:paraId="11442AE0"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21,354</w:t>
            </w:r>
          </w:p>
        </w:tc>
        <w:tc>
          <w:tcPr>
            <w:tcW w:w="607" w:type="pct"/>
            <w:shd w:val="clear" w:color="auto" w:fill="auto"/>
            <w:noWrap/>
            <w:vAlign w:val="center"/>
            <w:hideMark/>
          </w:tcPr>
          <w:p w14:paraId="7F2D92C3"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32,600</w:t>
            </w:r>
          </w:p>
        </w:tc>
        <w:tc>
          <w:tcPr>
            <w:tcW w:w="608" w:type="pct"/>
            <w:shd w:val="clear" w:color="auto" w:fill="auto"/>
            <w:noWrap/>
            <w:vAlign w:val="center"/>
            <w:hideMark/>
          </w:tcPr>
          <w:p w14:paraId="1264364F"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49,726</w:t>
            </w:r>
          </w:p>
        </w:tc>
      </w:tr>
      <w:tr w:rsidR="007C6C75" w:rsidRPr="007A78A2" w14:paraId="58DC49A2" w14:textId="77777777" w:rsidTr="007C6C75">
        <w:trPr>
          <w:trHeight w:val="270"/>
        </w:trPr>
        <w:tc>
          <w:tcPr>
            <w:tcW w:w="1963" w:type="pct"/>
            <w:shd w:val="clear" w:color="auto" w:fill="auto"/>
            <w:vAlign w:val="bottom"/>
            <w:hideMark/>
          </w:tcPr>
          <w:p w14:paraId="4D81DDF8" w14:textId="77777777" w:rsidR="007C6C75" w:rsidRPr="004C6B70" w:rsidRDefault="007C6C75" w:rsidP="007C6C75">
            <w:pPr>
              <w:spacing w:before="40" w:after="40"/>
              <w:rPr>
                <w:rFonts w:ascii="Arial Narrow" w:hAnsi="Arial Narrow" w:cs="Calibri"/>
                <w:b/>
                <w:color w:val="000000"/>
                <w:sz w:val="20"/>
              </w:rPr>
            </w:pPr>
            <w:r w:rsidRPr="004C6B70">
              <w:rPr>
                <w:rFonts w:ascii="Arial Narrow" w:hAnsi="Arial Narrow" w:cs="Calibri"/>
                <w:b/>
                <w:color w:val="000000"/>
                <w:sz w:val="20"/>
              </w:rPr>
              <w:t>Total</w:t>
            </w:r>
          </w:p>
        </w:tc>
        <w:tc>
          <w:tcPr>
            <w:tcW w:w="607" w:type="pct"/>
            <w:shd w:val="clear" w:color="auto" w:fill="auto"/>
            <w:noWrap/>
            <w:vAlign w:val="center"/>
            <w:hideMark/>
          </w:tcPr>
          <w:p w14:paraId="0A2D4A3D"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690,267</w:t>
            </w:r>
          </w:p>
        </w:tc>
        <w:tc>
          <w:tcPr>
            <w:tcW w:w="607" w:type="pct"/>
            <w:shd w:val="clear" w:color="auto" w:fill="auto"/>
            <w:noWrap/>
            <w:vAlign w:val="center"/>
            <w:hideMark/>
          </w:tcPr>
          <w:p w14:paraId="0685C328"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703,284</w:t>
            </w:r>
          </w:p>
        </w:tc>
        <w:tc>
          <w:tcPr>
            <w:tcW w:w="608" w:type="pct"/>
            <w:shd w:val="clear" w:color="auto" w:fill="auto"/>
            <w:noWrap/>
            <w:vAlign w:val="center"/>
            <w:hideMark/>
          </w:tcPr>
          <w:p w14:paraId="549C8376"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718,238</w:t>
            </w:r>
          </w:p>
        </w:tc>
        <w:tc>
          <w:tcPr>
            <w:tcW w:w="607" w:type="pct"/>
            <w:shd w:val="clear" w:color="auto" w:fill="auto"/>
            <w:noWrap/>
            <w:vAlign w:val="center"/>
            <w:hideMark/>
          </w:tcPr>
          <w:p w14:paraId="136C2CF9"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735,999</w:t>
            </w:r>
          </w:p>
        </w:tc>
        <w:tc>
          <w:tcPr>
            <w:tcW w:w="608" w:type="pct"/>
            <w:shd w:val="clear" w:color="auto" w:fill="auto"/>
            <w:noWrap/>
            <w:vAlign w:val="center"/>
            <w:hideMark/>
          </w:tcPr>
          <w:p w14:paraId="3805FD89"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757,848</w:t>
            </w:r>
          </w:p>
        </w:tc>
      </w:tr>
      <w:tr w:rsidR="007C6C75" w:rsidRPr="007A78A2" w14:paraId="193CA834" w14:textId="77777777" w:rsidTr="007C6C75">
        <w:trPr>
          <w:trHeight w:val="270"/>
        </w:trPr>
        <w:tc>
          <w:tcPr>
            <w:tcW w:w="1963" w:type="pct"/>
            <w:shd w:val="clear" w:color="auto" w:fill="auto"/>
            <w:noWrap/>
            <w:vAlign w:val="bottom"/>
            <w:hideMark/>
          </w:tcPr>
          <w:p w14:paraId="1601B607" w14:textId="77777777" w:rsidR="007C6C75" w:rsidRPr="004C6B70" w:rsidRDefault="007C6C75" w:rsidP="007C6C75">
            <w:pPr>
              <w:spacing w:before="40" w:after="40"/>
              <w:rPr>
                <w:rFonts w:ascii="Arial Narrow" w:hAnsi="Arial Narrow" w:cs="Calibri"/>
                <w:b/>
                <w:color w:val="000000"/>
                <w:sz w:val="20"/>
              </w:rPr>
            </w:pPr>
            <w:r w:rsidRPr="004C6B70">
              <w:rPr>
                <w:rFonts w:ascii="Arial Narrow" w:hAnsi="Arial Narrow" w:cs="Calibri"/>
                <w:b/>
                <w:color w:val="000000"/>
                <w:sz w:val="20"/>
              </w:rPr>
              <w:t>Current</w:t>
            </w:r>
          </w:p>
        </w:tc>
        <w:tc>
          <w:tcPr>
            <w:tcW w:w="607" w:type="pct"/>
            <w:shd w:val="clear" w:color="auto" w:fill="auto"/>
            <w:noWrap/>
            <w:vAlign w:val="center"/>
            <w:hideMark/>
          </w:tcPr>
          <w:p w14:paraId="5AB0ECC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shd w:val="clear" w:color="auto" w:fill="auto"/>
            <w:noWrap/>
            <w:vAlign w:val="center"/>
            <w:hideMark/>
          </w:tcPr>
          <w:p w14:paraId="50787E03"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8" w:type="pct"/>
            <w:shd w:val="clear" w:color="auto" w:fill="auto"/>
            <w:noWrap/>
            <w:vAlign w:val="center"/>
            <w:hideMark/>
          </w:tcPr>
          <w:p w14:paraId="39870C43"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shd w:val="clear" w:color="auto" w:fill="auto"/>
            <w:noWrap/>
            <w:vAlign w:val="center"/>
            <w:hideMark/>
          </w:tcPr>
          <w:p w14:paraId="0CEE31A5"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8" w:type="pct"/>
            <w:shd w:val="clear" w:color="auto" w:fill="auto"/>
            <w:noWrap/>
            <w:vAlign w:val="center"/>
            <w:hideMark/>
          </w:tcPr>
          <w:p w14:paraId="28F34F79"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r>
      <w:tr w:rsidR="007C6C75" w:rsidRPr="007A78A2" w14:paraId="6A7806E8" w14:textId="77777777" w:rsidTr="007C6C75">
        <w:trPr>
          <w:trHeight w:val="270"/>
        </w:trPr>
        <w:tc>
          <w:tcPr>
            <w:tcW w:w="1963" w:type="pct"/>
            <w:shd w:val="clear" w:color="auto" w:fill="auto"/>
            <w:vAlign w:val="bottom"/>
            <w:hideMark/>
          </w:tcPr>
          <w:p w14:paraId="470DA529"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Clinician (73070)</w:t>
            </w:r>
          </w:p>
        </w:tc>
        <w:tc>
          <w:tcPr>
            <w:tcW w:w="607" w:type="pct"/>
            <w:shd w:val="clear" w:color="auto" w:fill="auto"/>
            <w:noWrap/>
            <w:vAlign w:val="center"/>
            <w:hideMark/>
          </w:tcPr>
          <w:p w14:paraId="718600AA"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684,030</w:t>
            </w:r>
          </w:p>
        </w:tc>
        <w:tc>
          <w:tcPr>
            <w:tcW w:w="607" w:type="pct"/>
            <w:shd w:val="clear" w:color="auto" w:fill="auto"/>
            <w:noWrap/>
            <w:vAlign w:val="center"/>
            <w:hideMark/>
          </w:tcPr>
          <w:p w14:paraId="3CD473BE"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693,730</w:t>
            </w:r>
          </w:p>
        </w:tc>
        <w:tc>
          <w:tcPr>
            <w:tcW w:w="608" w:type="pct"/>
            <w:shd w:val="clear" w:color="auto" w:fill="auto"/>
            <w:noWrap/>
            <w:vAlign w:val="center"/>
            <w:hideMark/>
          </w:tcPr>
          <w:p w14:paraId="3D690EC6"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703,615</w:t>
            </w:r>
          </w:p>
        </w:tc>
        <w:tc>
          <w:tcPr>
            <w:tcW w:w="607" w:type="pct"/>
            <w:shd w:val="clear" w:color="auto" w:fill="auto"/>
            <w:noWrap/>
            <w:vAlign w:val="center"/>
            <w:hideMark/>
          </w:tcPr>
          <w:p w14:paraId="0268981A"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713,634</w:t>
            </w:r>
          </w:p>
        </w:tc>
        <w:tc>
          <w:tcPr>
            <w:tcW w:w="608" w:type="pct"/>
            <w:shd w:val="clear" w:color="auto" w:fill="auto"/>
            <w:noWrap/>
            <w:vAlign w:val="center"/>
            <w:hideMark/>
          </w:tcPr>
          <w:p w14:paraId="019FCC94"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723,680</w:t>
            </w:r>
          </w:p>
        </w:tc>
      </w:tr>
      <w:tr w:rsidR="007C6C75" w:rsidRPr="007A78A2" w14:paraId="2C5432E7" w14:textId="77777777" w:rsidTr="007C6C75">
        <w:trPr>
          <w:trHeight w:val="270"/>
        </w:trPr>
        <w:tc>
          <w:tcPr>
            <w:tcW w:w="1963" w:type="pct"/>
            <w:shd w:val="clear" w:color="auto" w:fill="auto"/>
            <w:vAlign w:val="bottom"/>
            <w:hideMark/>
          </w:tcPr>
          <w:p w14:paraId="19ADEB83"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Self-collected (73071)</w:t>
            </w:r>
          </w:p>
        </w:tc>
        <w:tc>
          <w:tcPr>
            <w:tcW w:w="607" w:type="pct"/>
            <w:shd w:val="clear" w:color="auto" w:fill="auto"/>
            <w:noWrap/>
            <w:vAlign w:val="center"/>
            <w:hideMark/>
          </w:tcPr>
          <w:p w14:paraId="4030C34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2,878</w:t>
            </w:r>
          </w:p>
        </w:tc>
        <w:tc>
          <w:tcPr>
            <w:tcW w:w="607" w:type="pct"/>
            <w:shd w:val="clear" w:color="auto" w:fill="auto"/>
            <w:noWrap/>
            <w:vAlign w:val="center"/>
            <w:hideMark/>
          </w:tcPr>
          <w:p w14:paraId="29C04799"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4,379</w:t>
            </w:r>
          </w:p>
        </w:tc>
        <w:tc>
          <w:tcPr>
            <w:tcW w:w="608" w:type="pct"/>
            <w:shd w:val="clear" w:color="auto" w:fill="auto"/>
            <w:noWrap/>
            <w:vAlign w:val="center"/>
            <w:hideMark/>
          </w:tcPr>
          <w:p w14:paraId="5087730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6,661</w:t>
            </w:r>
          </w:p>
        </w:tc>
        <w:tc>
          <w:tcPr>
            <w:tcW w:w="607" w:type="pct"/>
            <w:shd w:val="clear" w:color="auto" w:fill="auto"/>
            <w:noWrap/>
            <w:vAlign w:val="center"/>
            <w:hideMark/>
          </w:tcPr>
          <w:p w14:paraId="7754A11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10,133</w:t>
            </w:r>
          </w:p>
        </w:tc>
        <w:tc>
          <w:tcPr>
            <w:tcW w:w="608" w:type="pct"/>
            <w:shd w:val="clear" w:color="auto" w:fill="auto"/>
            <w:noWrap/>
            <w:vAlign w:val="center"/>
            <w:hideMark/>
          </w:tcPr>
          <w:p w14:paraId="04B4EF7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15,400</w:t>
            </w:r>
          </w:p>
        </w:tc>
      </w:tr>
      <w:tr w:rsidR="007C6C75" w:rsidRPr="007A78A2" w14:paraId="25754926" w14:textId="77777777" w:rsidTr="007C6C75">
        <w:trPr>
          <w:trHeight w:val="270"/>
        </w:trPr>
        <w:tc>
          <w:tcPr>
            <w:tcW w:w="1963" w:type="pct"/>
            <w:tcBorders>
              <w:bottom w:val="single" w:sz="4" w:space="0" w:color="auto"/>
            </w:tcBorders>
            <w:shd w:val="clear" w:color="auto" w:fill="auto"/>
            <w:vAlign w:val="bottom"/>
            <w:hideMark/>
          </w:tcPr>
          <w:p w14:paraId="35318D01" w14:textId="77777777" w:rsidR="007C6C75" w:rsidRPr="004C6B70" w:rsidRDefault="007C6C75" w:rsidP="007C6C75">
            <w:pPr>
              <w:spacing w:before="40" w:after="40"/>
              <w:rPr>
                <w:rFonts w:ascii="Arial Narrow" w:hAnsi="Arial Narrow" w:cs="Calibri"/>
                <w:b/>
                <w:color w:val="000000"/>
                <w:sz w:val="20"/>
              </w:rPr>
            </w:pPr>
            <w:r w:rsidRPr="004C6B70">
              <w:rPr>
                <w:rFonts w:ascii="Arial Narrow" w:hAnsi="Arial Narrow" w:cs="Calibri"/>
                <w:b/>
                <w:color w:val="000000"/>
                <w:sz w:val="20"/>
              </w:rPr>
              <w:t>Total</w:t>
            </w:r>
          </w:p>
        </w:tc>
        <w:tc>
          <w:tcPr>
            <w:tcW w:w="607" w:type="pct"/>
            <w:tcBorders>
              <w:bottom w:val="single" w:sz="4" w:space="0" w:color="auto"/>
            </w:tcBorders>
            <w:shd w:val="clear" w:color="auto" w:fill="auto"/>
            <w:noWrap/>
            <w:vAlign w:val="center"/>
            <w:hideMark/>
          </w:tcPr>
          <w:p w14:paraId="48FB24F9"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686,908</w:t>
            </w:r>
          </w:p>
        </w:tc>
        <w:tc>
          <w:tcPr>
            <w:tcW w:w="607" w:type="pct"/>
            <w:tcBorders>
              <w:bottom w:val="single" w:sz="4" w:space="0" w:color="auto"/>
            </w:tcBorders>
            <w:shd w:val="clear" w:color="auto" w:fill="auto"/>
            <w:noWrap/>
            <w:vAlign w:val="center"/>
            <w:hideMark/>
          </w:tcPr>
          <w:p w14:paraId="65C6347A"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698,109</w:t>
            </w:r>
          </w:p>
        </w:tc>
        <w:tc>
          <w:tcPr>
            <w:tcW w:w="608" w:type="pct"/>
            <w:tcBorders>
              <w:bottom w:val="single" w:sz="4" w:space="0" w:color="auto"/>
            </w:tcBorders>
            <w:shd w:val="clear" w:color="auto" w:fill="auto"/>
            <w:noWrap/>
            <w:vAlign w:val="center"/>
            <w:hideMark/>
          </w:tcPr>
          <w:p w14:paraId="7FD82C38"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710,276</w:t>
            </w:r>
          </w:p>
        </w:tc>
        <w:tc>
          <w:tcPr>
            <w:tcW w:w="607" w:type="pct"/>
            <w:tcBorders>
              <w:bottom w:val="single" w:sz="4" w:space="0" w:color="auto"/>
            </w:tcBorders>
            <w:shd w:val="clear" w:color="auto" w:fill="auto"/>
            <w:noWrap/>
            <w:vAlign w:val="center"/>
            <w:hideMark/>
          </w:tcPr>
          <w:p w14:paraId="232562DF"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723,767</w:t>
            </w:r>
          </w:p>
        </w:tc>
        <w:tc>
          <w:tcPr>
            <w:tcW w:w="608" w:type="pct"/>
            <w:tcBorders>
              <w:bottom w:val="single" w:sz="4" w:space="0" w:color="auto"/>
            </w:tcBorders>
            <w:shd w:val="clear" w:color="auto" w:fill="auto"/>
            <w:noWrap/>
            <w:vAlign w:val="center"/>
            <w:hideMark/>
          </w:tcPr>
          <w:p w14:paraId="6C4EC8AB" w14:textId="77777777" w:rsidR="007C6C75" w:rsidRPr="004C6B70" w:rsidRDefault="007C6C75" w:rsidP="007C6C75">
            <w:pPr>
              <w:spacing w:before="40" w:after="40"/>
              <w:jc w:val="center"/>
              <w:rPr>
                <w:rFonts w:ascii="Arial Narrow" w:hAnsi="Arial Narrow" w:cs="Calibri"/>
                <w:b/>
                <w:color w:val="000000"/>
                <w:sz w:val="20"/>
              </w:rPr>
            </w:pPr>
            <w:r w:rsidRPr="004C6B70">
              <w:rPr>
                <w:rFonts w:ascii="Arial Narrow" w:hAnsi="Arial Narrow" w:cs="Calibri"/>
                <w:b/>
                <w:color w:val="000000"/>
                <w:sz w:val="20"/>
              </w:rPr>
              <w:t>739,080</w:t>
            </w:r>
          </w:p>
        </w:tc>
      </w:tr>
      <w:tr w:rsidR="007C6C75" w:rsidRPr="007A78A2" w14:paraId="2748E995" w14:textId="77777777" w:rsidTr="007C6C75">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088E"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b/>
                <w:bCs/>
                <w:color w:val="000000"/>
                <w:sz w:val="20"/>
              </w:rPr>
              <w:t>Participant % share by HPV test collection method</w:t>
            </w:r>
            <w:r>
              <w:rPr>
                <w:rFonts w:ascii="Arial Narrow" w:hAnsi="Arial Narrow" w:cs="Calibri"/>
                <w:b/>
                <w:bCs/>
                <w:color w:val="000000"/>
                <w:sz w:val="20"/>
              </w:rPr>
              <w:t xml:space="preserve"> (MBS item number)</w:t>
            </w:r>
          </w:p>
        </w:tc>
      </w:tr>
      <w:tr w:rsidR="007C6C75" w:rsidRPr="007A78A2" w14:paraId="2B508208" w14:textId="77777777" w:rsidTr="007C6C75">
        <w:trPr>
          <w:trHeight w:val="270"/>
        </w:trPr>
        <w:tc>
          <w:tcPr>
            <w:tcW w:w="1963" w:type="pct"/>
            <w:tcBorders>
              <w:top w:val="single" w:sz="4" w:space="0" w:color="auto"/>
            </w:tcBorders>
            <w:shd w:val="clear" w:color="auto" w:fill="auto"/>
            <w:noWrap/>
            <w:vAlign w:val="bottom"/>
            <w:hideMark/>
          </w:tcPr>
          <w:p w14:paraId="3335C33C" w14:textId="77777777" w:rsidR="007C6C75" w:rsidRPr="007A78A2" w:rsidRDefault="007C6C75" w:rsidP="007C6C75">
            <w:pPr>
              <w:spacing w:before="40" w:after="40"/>
              <w:rPr>
                <w:rFonts w:ascii="Arial Narrow" w:hAnsi="Arial Narrow" w:cs="Calibri"/>
                <w:b/>
                <w:bCs/>
                <w:color w:val="000000"/>
                <w:sz w:val="20"/>
              </w:rPr>
            </w:pPr>
            <w:r w:rsidRPr="007A78A2">
              <w:rPr>
                <w:rFonts w:ascii="Arial Narrow" w:hAnsi="Arial Narrow" w:cs="Calibri"/>
                <w:b/>
                <w:bCs/>
                <w:color w:val="000000"/>
                <w:sz w:val="20"/>
              </w:rPr>
              <w:t>Proposed</w:t>
            </w:r>
          </w:p>
        </w:tc>
        <w:tc>
          <w:tcPr>
            <w:tcW w:w="607" w:type="pct"/>
            <w:tcBorders>
              <w:top w:val="single" w:sz="4" w:space="0" w:color="auto"/>
            </w:tcBorders>
            <w:shd w:val="clear" w:color="auto" w:fill="auto"/>
            <w:noWrap/>
            <w:vAlign w:val="center"/>
            <w:hideMark/>
          </w:tcPr>
          <w:p w14:paraId="308FA0E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tcBorders>
              <w:top w:val="single" w:sz="4" w:space="0" w:color="auto"/>
            </w:tcBorders>
            <w:shd w:val="clear" w:color="auto" w:fill="auto"/>
            <w:noWrap/>
            <w:vAlign w:val="center"/>
            <w:hideMark/>
          </w:tcPr>
          <w:p w14:paraId="111D6C8E"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tcBorders>
              <w:top w:val="single" w:sz="4" w:space="0" w:color="auto"/>
            </w:tcBorders>
            <w:shd w:val="clear" w:color="auto" w:fill="auto"/>
            <w:noWrap/>
            <w:vAlign w:val="center"/>
            <w:hideMark/>
          </w:tcPr>
          <w:p w14:paraId="30DA4FD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tcBorders>
              <w:top w:val="single" w:sz="4" w:space="0" w:color="auto"/>
            </w:tcBorders>
            <w:shd w:val="clear" w:color="auto" w:fill="auto"/>
            <w:noWrap/>
            <w:vAlign w:val="center"/>
            <w:hideMark/>
          </w:tcPr>
          <w:p w14:paraId="4236A7A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8" w:type="pct"/>
            <w:tcBorders>
              <w:top w:val="single" w:sz="4" w:space="0" w:color="auto"/>
            </w:tcBorders>
            <w:shd w:val="clear" w:color="auto" w:fill="auto"/>
            <w:noWrap/>
            <w:vAlign w:val="center"/>
            <w:hideMark/>
          </w:tcPr>
          <w:p w14:paraId="45CB823F"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r>
      <w:tr w:rsidR="007C6C75" w:rsidRPr="007A78A2" w14:paraId="594C256E" w14:textId="77777777" w:rsidTr="007C6C75">
        <w:trPr>
          <w:trHeight w:val="270"/>
        </w:trPr>
        <w:tc>
          <w:tcPr>
            <w:tcW w:w="1963" w:type="pct"/>
            <w:shd w:val="clear" w:color="auto" w:fill="auto"/>
            <w:vAlign w:val="bottom"/>
            <w:hideMark/>
          </w:tcPr>
          <w:p w14:paraId="4A9929E6"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Clinician (73070)</w:t>
            </w:r>
          </w:p>
        </w:tc>
        <w:tc>
          <w:tcPr>
            <w:tcW w:w="607" w:type="pct"/>
            <w:shd w:val="clear" w:color="auto" w:fill="auto"/>
            <w:noWrap/>
            <w:vAlign w:val="center"/>
            <w:hideMark/>
          </w:tcPr>
          <w:p w14:paraId="70E930D9"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98.7%</w:t>
            </w:r>
          </w:p>
        </w:tc>
        <w:tc>
          <w:tcPr>
            <w:tcW w:w="607" w:type="pct"/>
            <w:shd w:val="clear" w:color="auto" w:fill="auto"/>
            <w:noWrap/>
            <w:vAlign w:val="center"/>
            <w:hideMark/>
          </w:tcPr>
          <w:p w14:paraId="3D03DBEF"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98.0%</w:t>
            </w:r>
          </w:p>
        </w:tc>
        <w:tc>
          <w:tcPr>
            <w:tcW w:w="607" w:type="pct"/>
            <w:shd w:val="clear" w:color="auto" w:fill="auto"/>
            <w:noWrap/>
            <w:vAlign w:val="center"/>
            <w:hideMark/>
          </w:tcPr>
          <w:p w14:paraId="58193744"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97.0%</w:t>
            </w:r>
          </w:p>
        </w:tc>
        <w:tc>
          <w:tcPr>
            <w:tcW w:w="607" w:type="pct"/>
            <w:shd w:val="clear" w:color="auto" w:fill="auto"/>
            <w:noWrap/>
            <w:vAlign w:val="center"/>
            <w:hideMark/>
          </w:tcPr>
          <w:p w14:paraId="5A6A0491"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95.6%</w:t>
            </w:r>
          </w:p>
        </w:tc>
        <w:tc>
          <w:tcPr>
            <w:tcW w:w="608" w:type="pct"/>
            <w:shd w:val="clear" w:color="auto" w:fill="auto"/>
            <w:noWrap/>
            <w:vAlign w:val="center"/>
            <w:hideMark/>
          </w:tcPr>
          <w:p w14:paraId="303E18DA"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93.4%</w:t>
            </w:r>
          </w:p>
        </w:tc>
      </w:tr>
      <w:tr w:rsidR="007C6C75" w:rsidRPr="007A78A2" w14:paraId="4D3D2F5E" w14:textId="77777777" w:rsidTr="007C6C75">
        <w:trPr>
          <w:trHeight w:val="270"/>
        </w:trPr>
        <w:tc>
          <w:tcPr>
            <w:tcW w:w="1963" w:type="pct"/>
            <w:shd w:val="clear" w:color="auto" w:fill="auto"/>
            <w:vAlign w:val="bottom"/>
            <w:hideMark/>
          </w:tcPr>
          <w:p w14:paraId="5944DCAE"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Self-collected (73071)</w:t>
            </w:r>
          </w:p>
        </w:tc>
        <w:tc>
          <w:tcPr>
            <w:tcW w:w="607" w:type="pct"/>
            <w:shd w:val="clear" w:color="auto" w:fill="auto"/>
            <w:noWrap/>
            <w:vAlign w:val="center"/>
            <w:hideMark/>
          </w:tcPr>
          <w:p w14:paraId="41D2D262"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1.3%</w:t>
            </w:r>
          </w:p>
        </w:tc>
        <w:tc>
          <w:tcPr>
            <w:tcW w:w="607" w:type="pct"/>
            <w:shd w:val="clear" w:color="auto" w:fill="auto"/>
            <w:noWrap/>
            <w:vAlign w:val="center"/>
            <w:hideMark/>
          </w:tcPr>
          <w:p w14:paraId="4FDDC4E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2.0%</w:t>
            </w:r>
          </w:p>
        </w:tc>
        <w:tc>
          <w:tcPr>
            <w:tcW w:w="607" w:type="pct"/>
            <w:shd w:val="clear" w:color="auto" w:fill="auto"/>
            <w:noWrap/>
            <w:vAlign w:val="center"/>
            <w:hideMark/>
          </w:tcPr>
          <w:p w14:paraId="09D7C0D1"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3.0%</w:t>
            </w:r>
          </w:p>
        </w:tc>
        <w:tc>
          <w:tcPr>
            <w:tcW w:w="607" w:type="pct"/>
            <w:shd w:val="clear" w:color="auto" w:fill="auto"/>
            <w:noWrap/>
            <w:vAlign w:val="center"/>
            <w:hideMark/>
          </w:tcPr>
          <w:p w14:paraId="350CBECF"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4.4%</w:t>
            </w:r>
          </w:p>
        </w:tc>
        <w:tc>
          <w:tcPr>
            <w:tcW w:w="608" w:type="pct"/>
            <w:shd w:val="clear" w:color="auto" w:fill="auto"/>
            <w:noWrap/>
            <w:vAlign w:val="center"/>
            <w:hideMark/>
          </w:tcPr>
          <w:p w14:paraId="4500DD78"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6.6%</w:t>
            </w:r>
          </w:p>
        </w:tc>
      </w:tr>
      <w:tr w:rsidR="007C6C75" w:rsidRPr="007A78A2" w14:paraId="4EAE9622" w14:textId="77777777" w:rsidTr="007C6C75">
        <w:trPr>
          <w:trHeight w:val="270"/>
        </w:trPr>
        <w:tc>
          <w:tcPr>
            <w:tcW w:w="1963" w:type="pct"/>
            <w:shd w:val="clear" w:color="auto" w:fill="auto"/>
            <w:vAlign w:val="bottom"/>
            <w:hideMark/>
          </w:tcPr>
          <w:p w14:paraId="3F4EFCC5" w14:textId="77777777" w:rsidR="007C6C75" w:rsidRPr="007A78A2" w:rsidRDefault="007C6C75" w:rsidP="007C6C75">
            <w:pPr>
              <w:spacing w:before="40" w:after="40"/>
              <w:rPr>
                <w:rFonts w:ascii="Arial Narrow" w:hAnsi="Arial Narrow" w:cs="Calibri"/>
                <w:b/>
                <w:bCs/>
                <w:color w:val="000000"/>
                <w:sz w:val="20"/>
              </w:rPr>
            </w:pPr>
            <w:r w:rsidRPr="007A78A2">
              <w:rPr>
                <w:rFonts w:ascii="Arial Narrow" w:hAnsi="Arial Narrow" w:cs="Calibri"/>
                <w:b/>
                <w:bCs/>
                <w:color w:val="000000"/>
                <w:sz w:val="20"/>
              </w:rPr>
              <w:t>Total</w:t>
            </w:r>
          </w:p>
        </w:tc>
        <w:tc>
          <w:tcPr>
            <w:tcW w:w="607" w:type="pct"/>
            <w:shd w:val="clear" w:color="auto" w:fill="auto"/>
            <w:noWrap/>
            <w:vAlign w:val="center"/>
            <w:hideMark/>
          </w:tcPr>
          <w:p w14:paraId="5443E051"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7" w:type="pct"/>
            <w:shd w:val="clear" w:color="auto" w:fill="auto"/>
            <w:noWrap/>
            <w:vAlign w:val="center"/>
            <w:hideMark/>
          </w:tcPr>
          <w:p w14:paraId="4B015998"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7" w:type="pct"/>
            <w:shd w:val="clear" w:color="auto" w:fill="auto"/>
            <w:noWrap/>
            <w:vAlign w:val="center"/>
            <w:hideMark/>
          </w:tcPr>
          <w:p w14:paraId="0DD6F1B7"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7" w:type="pct"/>
            <w:shd w:val="clear" w:color="auto" w:fill="auto"/>
            <w:noWrap/>
            <w:vAlign w:val="center"/>
            <w:hideMark/>
          </w:tcPr>
          <w:p w14:paraId="0A03B6A0"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8" w:type="pct"/>
            <w:shd w:val="clear" w:color="auto" w:fill="auto"/>
            <w:noWrap/>
            <w:vAlign w:val="center"/>
            <w:hideMark/>
          </w:tcPr>
          <w:p w14:paraId="4B81D3FE"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r>
      <w:tr w:rsidR="007C6C75" w:rsidRPr="007A78A2" w14:paraId="05A449A3" w14:textId="77777777" w:rsidTr="007C6C75">
        <w:trPr>
          <w:trHeight w:val="270"/>
        </w:trPr>
        <w:tc>
          <w:tcPr>
            <w:tcW w:w="1963" w:type="pct"/>
            <w:shd w:val="clear" w:color="auto" w:fill="auto"/>
            <w:noWrap/>
            <w:vAlign w:val="bottom"/>
            <w:hideMark/>
          </w:tcPr>
          <w:p w14:paraId="1AC26E8B" w14:textId="77777777" w:rsidR="007C6C75" w:rsidRPr="007A78A2" w:rsidRDefault="007C6C75" w:rsidP="007C6C75">
            <w:pPr>
              <w:spacing w:before="40" w:after="40"/>
              <w:rPr>
                <w:rFonts w:ascii="Arial Narrow" w:hAnsi="Arial Narrow" w:cs="Calibri"/>
                <w:b/>
                <w:bCs/>
                <w:color w:val="000000"/>
                <w:sz w:val="20"/>
              </w:rPr>
            </w:pPr>
            <w:r w:rsidRPr="007A78A2">
              <w:rPr>
                <w:rFonts w:ascii="Arial Narrow" w:hAnsi="Arial Narrow" w:cs="Calibri"/>
                <w:b/>
                <w:bCs/>
                <w:color w:val="000000"/>
                <w:sz w:val="20"/>
              </w:rPr>
              <w:t>Current</w:t>
            </w:r>
          </w:p>
        </w:tc>
        <w:tc>
          <w:tcPr>
            <w:tcW w:w="607" w:type="pct"/>
            <w:shd w:val="clear" w:color="auto" w:fill="auto"/>
            <w:noWrap/>
            <w:vAlign w:val="center"/>
            <w:hideMark/>
          </w:tcPr>
          <w:p w14:paraId="30179C52"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shd w:val="clear" w:color="auto" w:fill="auto"/>
            <w:noWrap/>
            <w:vAlign w:val="center"/>
            <w:hideMark/>
          </w:tcPr>
          <w:p w14:paraId="14D4B6C1"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shd w:val="clear" w:color="auto" w:fill="auto"/>
            <w:noWrap/>
            <w:vAlign w:val="center"/>
            <w:hideMark/>
          </w:tcPr>
          <w:p w14:paraId="3F73D019"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7" w:type="pct"/>
            <w:shd w:val="clear" w:color="auto" w:fill="auto"/>
            <w:noWrap/>
            <w:vAlign w:val="center"/>
            <w:hideMark/>
          </w:tcPr>
          <w:p w14:paraId="59031B95"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c>
          <w:tcPr>
            <w:tcW w:w="608" w:type="pct"/>
            <w:shd w:val="clear" w:color="auto" w:fill="auto"/>
            <w:noWrap/>
            <w:vAlign w:val="center"/>
            <w:hideMark/>
          </w:tcPr>
          <w:p w14:paraId="67460E6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 </w:t>
            </w:r>
          </w:p>
        </w:tc>
      </w:tr>
      <w:tr w:rsidR="007C6C75" w:rsidRPr="007A78A2" w14:paraId="038BAD2F" w14:textId="77777777" w:rsidTr="007C6C75">
        <w:trPr>
          <w:trHeight w:val="270"/>
        </w:trPr>
        <w:tc>
          <w:tcPr>
            <w:tcW w:w="1963" w:type="pct"/>
            <w:shd w:val="clear" w:color="auto" w:fill="auto"/>
            <w:vAlign w:val="bottom"/>
            <w:hideMark/>
          </w:tcPr>
          <w:p w14:paraId="0AA9A41F"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Clinician (73070)</w:t>
            </w:r>
          </w:p>
        </w:tc>
        <w:tc>
          <w:tcPr>
            <w:tcW w:w="607" w:type="pct"/>
            <w:shd w:val="clear" w:color="auto" w:fill="auto"/>
            <w:noWrap/>
            <w:vAlign w:val="center"/>
            <w:hideMark/>
          </w:tcPr>
          <w:p w14:paraId="2909EBB1"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99.6%</w:t>
            </w:r>
          </w:p>
        </w:tc>
        <w:tc>
          <w:tcPr>
            <w:tcW w:w="607" w:type="pct"/>
            <w:shd w:val="clear" w:color="auto" w:fill="auto"/>
            <w:noWrap/>
            <w:vAlign w:val="center"/>
            <w:hideMark/>
          </w:tcPr>
          <w:p w14:paraId="7CA3A224"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99.4%</w:t>
            </w:r>
          </w:p>
        </w:tc>
        <w:tc>
          <w:tcPr>
            <w:tcW w:w="607" w:type="pct"/>
            <w:shd w:val="clear" w:color="auto" w:fill="auto"/>
            <w:noWrap/>
            <w:vAlign w:val="center"/>
            <w:hideMark/>
          </w:tcPr>
          <w:p w14:paraId="2C902BCD"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99.1%</w:t>
            </w:r>
          </w:p>
        </w:tc>
        <w:tc>
          <w:tcPr>
            <w:tcW w:w="607" w:type="pct"/>
            <w:shd w:val="clear" w:color="auto" w:fill="auto"/>
            <w:noWrap/>
            <w:vAlign w:val="center"/>
            <w:hideMark/>
          </w:tcPr>
          <w:p w14:paraId="31ED2087"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98.6%</w:t>
            </w:r>
          </w:p>
        </w:tc>
        <w:tc>
          <w:tcPr>
            <w:tcW w:w="608" w:type="pct"/>
            <w:shd w:val="clear" w:color="auto" w:fill="auto"/>
            <w:noWrap/>
            <w:vAlign w:val="center"/>
            <w:hideMark/>
          </w:tcPr>
          <w:p w14:paraId="7105B8B3"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97.9%</w:t>
            </w:r>
          </w:p>
        </w:tc>
      </w:tr>
      <w:tr w:rsidR="007C6C75" w:rsidRPr="007A78A2" w14:paraId="696B9E58" w14:textId="77777777" w:rsidTr="007C6C75">
        <w:trPr>
          <w:trHeight w:val="270"/>
        </w:trPr>
        <w:tc>
          <w:tcPr>
            <w:tcW w:w="1963" w:type="pct"/>
            <w:shd w:val="clear" w:color="auto" w:fill="auto"/>
            <w:vAlign w:val="bottom"/>
            <w:hideMark/>
          </w:tcPr>
          <w:p w14:paraId="207F84D2" w14:textId="77777777" w:rsidR="007C6C75" w:rsidRPr="007A78A2" w:rsidRDefault="007C6C75" w:rsidP="007C6C75">
            <w:pPr>
              <w:spacing w:before="40" w:after="40"/>
              <w:rPr>
                <w:rFonts w:ascii="Arial Narrow" w:hAnsi="Arial Narrow" w:cs="Calibri"/>
                <w:color w:val="000000"/>
                <w:sz w:val="20"/>
              </w:rPr>
            </w:pPr>
            <w:r w:rsidRPr="007A78A2">
              <w:rPr>
                <w:rFonts w:ascii="Arial Narrow" w:hAnsi="Arial Narrow" w:cs="Calibri"/>
                <w:color w:val="000000"/>
                <w:sz w:val="20"/>
              </w:rPr>
              <w:t>Self-collected (73071)</w:t>
            </w:r>
          </w:p>
        </w:tc>
        <w:tc>
          <w:tcPr>
            <w:tcW w:w="607" w:type="pct"/>
            <w:shd w:val="clear" w:color="auto" w:fill="auto"/>
            <w:noWrap/>
            <w:vAlign w:val="center"/>
            <w:hideMark/>
          </w:tcPr>
          <w:p w14:paraId="57172E3A"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0.4%</w:t>
            </w:r>
          </w:p>
        </w:tc>
        <w:tc>
          <w:tcPr>
            <w:tcW w:w="607" w:type="pct"/>
            <w:shd w:val="clear" w:color="auto" w:fill="auto"/>
            <w:noWrap/>
            <w:vAlign w:val="center"/>
            <w:hideMark/>
          </w:tcPr>
          <w:p w14:paraId="2F553AEB"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0.6%</w:t>
            </w:r>
          </w:p>
        </w:tc>
        <w:tc>
          <w:tcPr>
            <w:tcW w:w="607" w:type="pct"/>
            <w:shd w:val="clear" w:color="auto" w:fill="auto"/>
            <w:noWrap/>
            <w:vAlign w:val="center"/>
            <w:hideMark/>
          </w:tcPr>
          <w:p w14:paraId="73C206A9"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0.9%</w:t>
            </w:r>
          </w:p>
        </w:tc>
        <w:tc>
          <w:tcPr>
            <w:tcW w:w="607" w:type="pct"/>
            <w:shd w:val="clear" w:color="auto" w:fill="auto"/>
            <w:noWrap/>
            <w:vAlign w:val="center"/>
            <w:hideMark/>
          </w:tcPr>
          <w:p w14:paraId="7586718F"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1.4%</w:t>
            </w:r>
          </w:p>
        </w:tc>
        <w:tc>
          <w:tcPr>
            <w:tcW w:w="608" w:type="pct"/>
            <w:shd w:val="clear" w:color="auto" w:fill="auto"/>
            <w:noWrap/>
            <w:vAlign w:val="center"/>
            <w:hideMark/>
          </w:tcPr>
          <w:p w14:paraId="41BF7801" w14:textId="77777777" w:rsidR="007C6C75" w:rsidRPr="007A78A2" w:rsidRDefault="007C6C75" w:rsidP="007C6C75">
            <w:pPr>
              <w:spacing w:before="40" w:after="40"/>
              <w:jc w:val="center"/>
              <w:rPr>
                <w:rFonts w:ascii="Arial Narrow" w:hAnsi="Arial Narrow" w:cs="Calibri"/>
                <w:color w:val="000000"/>
                <w:sz w:val="20"/>
              </w:rPr>
            </w:pPr>
            <w:r w:rsidRPr="007A78A2">
              <w:rPr>
                <w:rFonts w:ascii="Arial Narrow" w:hAnsi="Arial Narrow" w:cs="Calibri"/>
                <w:color w:val="000000"/>
                <w:sz w:val="20"/>
              </w:rPr>
              <w:t>2.1%</w:t>
            </w:r>
          </w:p>
        </w:tc>
      </w:tr>
      <w:tr w:rsidR="007C6C75" w:rsidRPr="007A78A2" w14:paraId="3359B9C6" w14:textId="77777777" w:rsidTr="007C6C75">
        <w:trPr>
          <w:trHeight w:val="270"/>
        </w:trPr>
        <w:tc>
          <w:tcPr>
            <w:tcW w:w="1963" w:type="pct"/>
            <w:shd w:val="clear" w:color="auto" w:fill="auto"/>
            <w:vAlign w:val="bottom"/>
            <w:hideMark/>
          </w:tcPr>
          <w:p w14:paraId="60A689F5" w14:textId="77777777" w:rsidR="007C6C75" w:rsidRPr="007A78A2" w:rsidRDefault="007C6C75" w:rsidP="007C6C75">
            <w:pPr>
              <w:spacing w:before="40" w:after="40"/>
              <w:rPr>
                <w:rFonts w:ascii="Arial Narrow" w:hAnsi="Arial Narrow" w:cs="Calibri"/>
                <w:b/>
                <w:bCs/>
                <w:color w:val="000000"/>
                <w:sz w:val="20"/>
              </w:rPr>
            </w:pPr>
            <w:r w:rsidRPr="007A78A2">
              <w:rPr>
                <w:rFonts w:ascii="Arial Narrow" w:hAnsi="Arial Narrow" w:cs="Calibri"/>
                <w:b/>
                <w:bCs/>
                <w:color w:val="000000"/>
                <w:sz w:val="20"/>
              </w:rPr>
              <w:t>Total</w:t>
            </w:r>
          </w:p>
        </w:tc>
        <w:tc>
          <w:tcPr>
            <w:tcW w:w="607" w:type="pct"/>
            <w:shd w:val="clear" w:color="auto" w:fill="auto"/>
            <w:noWrap/>
            <w:vAlign w:val="center"/>
            <w:hideMark/>
          </w:tcPr>
          <w:p w14:paraId="70075CBC"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7" w:type="pct"/>
            <w:shd w:val="clear" w:color="auto" w:fill="auto"/>
            <w:noWrap/>
            <w:vAlign w:val="center"/>
            <w:hideMark/>
          </w:tcPr>
          <w:p w14:paraId="657D853E"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7" w:type="pct"/>
            <w:shd w:val="clear" w:color="auto" w:fill="auto"/>
            <w:noWrap/>
            <w:vAlign w:val="center"/>
            <w:hideMark/>
          </w:tcPr>
          <w:p w14:paraId="1B6D7990"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7" w:type="pct"/>
            <w:shd w:val="clear" w:color="auto" w:fill="auto"/>
            <w:noWrap/>
            <w:vAlign w:val="center"/>
            <w:hideMark/>
          </w:tcPr>
          <w:p w14:paraId="51DD3B37"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c>
          <w:tcPr>
            <w:tcW w:w="608" w:type="pct"/>
            <w:shd w:val="clear" w:color="auto" w:fill="auto"/>
            <w:noWrap/>
            <w:vAlign w:val="center"/>
            <w:hideMark/>
          </w:tcPr>
          <w:p w14:paraId="2F3585C6" w14:textId="77777777" w:rsidR="007C6C75" w:rsidRPr="007A78A2" w:rsidRDefault="007C6C75" w:rsidP="007C6C75">
            <w:pPr>
              <w:spacing w:before="40" w:after="40"/>
              <w:jc w:val="center"/>
              <w:rPr>
                <w:rFonts w:ascii="Arial Narrow" w:hAnsi="Arial Narrow" w:cs="Calibri"/>
                <w:b/>
                <w:bCs/>
                <w:color w:val="000000"/>
                <w:sz w:val="20"/>
              </w:rPr>
            </w:pPr>
            <w:r w:rsidRPr="007A78A2">
              <w:rPr>
                <w:rFonts w:ascii="Arial Narrow" w:hAnsi="Arial Narrow" w:cs="Calibri"/>
                <w:b/>
                <w:bCs/>
                <w:color w:val="000000"/>
                <w:sz w:val="20"/>
              </w:rPr>
              <w:t>100.0%</w:t>
            </w:r>
          </w:p>
        </w:tc>
      </w:tr>
    </w:tbl>
    <w:p w14:paraId="1438A74A" w14:textId="77777777" w:rsidR="007C6C75" w:rsidRDefault="007C6C75" w:rsidP="007C6C75">
      <w:pPr>
        <w:pStyle w:val="Tablenotes"/>
        <w:rPr>
          <w:szCs w:val="16"/>
        </w:rPr>
      </w:pPr>
      <w:r>
        <w:rPr>
          <w:szCs w:val="18"/>
        </w:rPr>
        <w:t xml:space="preserve">HPV = human papillomavirus, MBS = Medicare Benefits Schedule, </w:t>
      </w:r>
      <w:r w:rsidRPr="000808A1">
        <w:rPr>
          <w:szCs w:val="16"/>
        </w:rPr>
        <w:t>NCSP</w:t>
      </w:r>
      <w:r>
        <w:rPr>
          <w:szCs w:val="16"/>
        </w:rPr>
        <w:t xml:space="preserve"> </w:t>
      </w:r>
      <w:r w:rsidRPr="000808A1">
        <w:rPr>
          <w:szCs w:val="16"/>
        </w:rPr>
        <w:t>=</w:t>
      </w:r>
      <w:r>
        <w:rPr>
          <w:szCs w:val="16"/>
        </w:rPr>
        <w:t xml:space="preserve"> </w:t>
      </w:r>
      <w:r w:rsidRPr="000808A1">
        <w:rPr>
          <w:szCs w:val="16"/>
        </w:rPr>
        <w:t>National Cervical Screening Program</w:t>
      </w:r>
      <w:r>
        <w:rPr>
          <w:szCs w:val="16"/>
        </w:rPr>
        <w:t>.</w:t>
      </w:r>
    </w:p>
    <w:p w14:paraId="4ABA16FA" w14:textId="5269D5C9" w:rsidR="007C6C75" w:rsidRDefault="007C6C75" w:rsidP="00C86AF6">
      <w:pPr>
        <w:pStyle w:val="Tablenotes"/>
      </w:pPr>
      <w:r>
        <w:rPr>
          <w:szCs w:val="16"/>
        </w:rPr>
        <w:t>Source: DCAR, Table 6</w:t>
      </w:r>
    </w:p>
    <w:p w14:paraId="601054BA" w14:textId="600182A3" w:rsidR="007C6C75" w:rsidRPr="00937A4C" w:rsidRDefault="007C6C75" w:rsidP="007C6C75">
      <w:r>
        <w:t>The DCAR stated that</w:t>
      </w:r>
      <w:r w:rsidR="00DB32A6">
        <w:t>,</w:t>
      </w:r>
      <w:r>
        <w:t xml:space="preserve"> if expanded eligibility for sample self-collection is supported, then b</w:t>
      </w:r>
      <w:r w:rsidRPr="00153334">
        <w:t xml:space="preserve">etween 2021 and 2025 there would be between 2,900 and 15,600 </w:t>
      </w:r>
      <w:r>
        <w:t>fewer</w:t>
      </w:r>
      <w:r w:rsidRPr="00153334">
        <w:t xml:space="preserve"> utilisations associated with clinician-collected HPV</w:t>
      </w:r>
      <w:r>
        <w:t xml:space="preserve"> tests</w:t>
      </w:r>
      <w:r w:rsidRPr="00153334">
        <w:t xml:space="preserve"> (</w:t>
      </w:r>
      <w:r>
        <w:t xml:space="preserve">MBS </w:t>
      </w:r>
      <w:r w:rsidRPr="00153334">
        <w:t xml:space="preserve">item 73070) and an additional 6,300 to 34,300 utilisations associated with self-collected </w:t>
      </w:r>
      <w:r>
        <w:t>tests</w:t>
      </w:r>
      <w:r w:rsidRPr="00153334">
        <w:t xml:space="preserve"> (</w:t>
      </w:r>
      <w:r>
        <w:t xml:space="preserve">MBS </w:t>
      </w:r>
      <w:r w:rsidRPr="00153334">
        <w:t>item 73071), with a net impact on primary screening item utilisation between 3,400 and 18,800 over this period (</w:t>
      </w:r>
      <w:r w:rsidRPr="00153334">
        <w:fldChar w:fldCharType="begin"/>
      </w:r>
      <w:r w:rsidRPr="00153334">
        <w:instrText xml:space="preserve"> REF _Ref59187914 \h </w:instrText>
      </w:r>
      <w:r w:rsidRPr="00153334">
        <w:fldChar w:fldCharType="separate"/>
      </w:r>
      <w:r>
        <w:t xml:space="preserve">Table </w:t>
      </w:r>
      <w:r>
        <w:rPr>
          <w:noProof/>
        </w:rPr>
        <w:t>7</w:t>
      </w:r>
      <w:r w:rsidRPr="00153334">
        <w:fldChar w:fldCharType="end"/>
      </w:r>
      <w:r w:rsidRPr="00153334">
        <w:t>).</w:t>
      </w:r>
      <w:r>
        <w:t xml:space="preserve"> </w:t>
      </w:r>
      <w:r w:rsidR="00DB32A6">
        <w:t>T</w:t>
      </w:r>
      <w:r w:rsidRPr="00937A4C">
        <w:t xml:space="preserve">he increase in overall participation </w:t>
      </w:r>
      <w:r>
        <w:t>would also be</w:t>
      </w:r>
      <w:r w:rsidRPr="00937A4C">
        <w:t xml:space="preserve"> accompanied by </w:t>
      </w:r>
      <w:r>
        <w:t xml:space="preserve">changes in the utilisation of other </w:t>
      </w:r>
      <w:r w:rsidRPr="00937A4C">
        <w:t xml:space="preserve">professional attendance items. LBC testing </w:t>
      </w:r>
      <w:r>
        <w:t>would</w:t>
      </w:r>
      <w:r w:rsidRPr="00937A4C">
        <w:t xml:space="preserve"> increase marginally; while for self-collecting participants who test HPV positive there </w:t>
      </w:r>
      <w:r>
        <w:t>would</w:t>
      </w:r>
      <w:r w:rsidRPr="00937A4C">
        <w:t xml:space="preserve"> be a reduction in the follow-up LBC testing due to the lower assumed follow-up rate (approximately 62%). Overall, this would be offset by the additional screening participants proceeding to colposcopy from a positive HPV test only (and thus requiring an LBC test as part of colposcopy).</w:t>
      </w:r>
    </w:p>
    <w:p w14:paraId="6D8F5097" w14:textId="77777777" w:rsidR="007C6C75" w:rsidRPr="00D04C84" w:rsidRDefault="007C6C75" w:rsidP="007C6C75">
      <w:pPr>
        <w:pStyle w:val="Caption"/>
        <w:rPr>
          <w:lang w:val="fr-FR"/>
        </w:rPr>
      </w:pPr>
      <w:bookmarkStart w:id="16" w:name="_Ref59187914"/>
      <w:bookmarkStart w:id="17" w:name="_Toc59631527"/>
      <w:r w:rsidRPr="00D04C84">
        <w:rPr>
          <w:lang w:val="fr-FR"/>
        </w:rPr>
        <w:t xml:space="preserve">Table </w:t>
      </w:r>
      <w:r>
        <w:fldChar w:fldCharType="begin"/>
      </w:r>
      <w:r w:rsidRPr="00D04C84">
        <w:rPr>
          <w:lang w:val="fr-FR"/>
        </w:rPr>
        <w:instrText xml:space="preserve"> SEQ Table \* ARABIC </w:instrText>
      </w:r>
      <w:r>
        <w:fldChar w:fldCharType="separate"/>
      </w:r>
      <w:r w:rsidRPr="00D04C84">
        <w:rPr>
          <w:noProof/>
          <w:lang w:val="fr-FR"/>
        </w:rPr>
        <w:t>7</w:t>
      </w:r>
      <w:r>
        <w:rPr>
          <w:noProof/>
        </w:rPr>
        <w:fldChar w:fldCharType="end"/>
      </w:r>
      <w:bookmarkEnd w:id="16"/>
      <w:r w:rsidRPr="00D04C84">
        <w:rPr>
          <w:lang w:val="fr-FR"/>
        </w:rPr>
        <w:tab/>
        <w:t>Net MBS item utilisation implications</w:t>
      </w:r>
      <w:bookmarkEnd w:id="17"/>
    </w:p>
    <w:tbl>
      <w:tblPr>
        <w:tblStyle w:val="TableGrid"/>
        <w:tblW w:w="5000" w:type="pct"/>
        <w:tblLayout w:type="fixed"/>
        <w:tblLook w:val="04A0" w:firstRow="1" w:lastRow="0" w:firstColumn="1" w:lastColumn="0" w:noHBand="0" w:noVBand="1"/>
        <w:tblDescription w:val="Net MBS item utilisation implications"/>
      </w:tblPr>
      <w:tblGrid>
        <w:gridCol w:w="3824"/>
        <w:gridCol w:w="1038"/>
        <w:gridCol w:w="1039"/>
        <w:gridCol w:w="1039"/>
        <w:gridCol w:w="1039"/>
        <w:gridCol w:w="1037"/>
      </w:tblGrid>
      <w:tr w:rsidR="007C6C75" w:rsidRPr="000808A1" w14:paraId="309D1026" w14:textId="77777777" w:rsidTr="007C6C75">
        <w:trPr>
          <w:cantSplit/>
          <w:tblHeader/>
        </w:trPr>
        <w:tc>
          <w:tcPr>
            <w:tcW w:w="2121" w:type="pct"/>
            <w:vAlign w:val="center"/>
          </w:tcPr>
          <w:p w14:paraId="2E1395B6" w14:textId="77777777" w:rsidR="007C6C75" w:rsidRPr="000808A1" w:rsidRDefault="007C6C75" w:rsidP="007C6C75">
            <w:pPr>
              <w:keepNext/>
              <w:keepLines/>
              <w:spacing w:before="40" w:after="40"/>
              <w:rPr>
                <w:rFonts w:ascii="Arial Narrow" w:hAnsi="Arial Narrow"/>
                <w:b/>
                <w:sz w:val="20"/>
              </w:rPr>
            </w:pPr>
            <w:r>
              <w:rPr>
                <w:rFonts w:ascii="Arial Narrow" w:hAnsi="Arial Narrow"/>
                <w:b/>
                <w:sz w:val="20"/>
              </w:rPr>
              <w:t>MBS item</w:t>
            </w:r>
          </w:p>
        </w:tc>
        <w:tc>
          <w:tcPr>
            <w:tcW w:w="576" w:type="pct"/>
            <w:vAlign w:val="center"/>
          </w:tcPr>
          <w:p w14:paraId="40632D7A" w14:textId="77777777" w:rsidR="007C6C75" w:rsidRPr="000808A1" w:rsidRDefault="007C6C75" w:rsidP="007C6C75">
            <w:pPr>
              <w:keepNext/>
              <w:keepLines/>
              <w:spacing w:before="40" w:after="40"/>
              <w:jc w:val="center"/>
              <w:rPr>
                <w:rFonts w:ascii="Arial Narrow" w:hAnsi="Arial Narrow"/>
                <w:b/>
                <w:bCs/>
                <w:sz w:val="20"/>
              </w:rPr>
            </w:pPr>
            <w:r w:rsidRPr="000808A1">
              <w:rPr>
                <w:rFonts w:ascii="Arial Narrow" w:hAnsi="Arial Narrow"/>
                <w:b/>
                <w:bCs/>
                <w:sz w:val="20"/>
              </w:rPr>
              <w:t>2021</w:t>
            </w:r>
          </w:p>
        </w:tc>
        <w:tc>
          <w:tcPr>
            <w:tcW w:w="576" w:type="pct"/>
            <w:vAlign w:val="center"/>
          </w:tcPr>
          <w:p w14:paraId="37D46A4D" w14:textId="77777777" w:rsidR="007C6C75" w:rsidRPr="000808A1" w:rsidRDefault="007C6C75" w:rsidP="007C6C75">
            <w:pPr>
              <w:keepNext/>
              <w:keepLines/>
              <w:spacing w:before="40" w:after="40"/>
              <w:jc w:val="center"/>
              <w:rPr>
                <w:rFonts w:ascii="Arial Narrow" w:hAnsi="Arial Narrow"/>
                <w:b/>
                <w:bCs/>
                <w:sz w:val="20"/>
              </w:rPr>
            </w:pPr>
            <w:r w:rsidRPr="000808A1">
              <w:rPr>
                <w:rFonts w:ascii="Arial Narrow" w:hAnsi="Arial Narrow"/>
                <w:b/>
                <w:bCs/>
                <w:sz w:val="20"/>
              </w:rPr>
              <w:t>2022</w:t>
            </w:r>
          </w:p>
        </w:tc>
        <w:tc>
          <w:tcPr>
            <w:tcW w:w="576" w:type="pct"/>
            <w:vAlign w:val="center"/>
          </w:tcPr>
          <w:p w14:paraId="6AFEE2AA" w14:textId="77777777" w:rsidR="007C6C75" w:rsidRPr="000808A1" w:rsidRDefault="007C6C75" w:rsidP="007C6C75">
            <w:pPr>
              <w:keepNext/>
              <w:keepLines/>
              <w:spacing w:before="40" w:after="40"/>
              <w:jc w:val="center"/>
              <w:rPr>
                <w:rFonts w:ascii="Arial Narrow" w:hAnsi="Arial Narrow"/>
                <w:b/>
                <w:bCs/>
                <w:sz w:val="20"/>
              </w:rPr>
            </w:pPr>
            <w:r w:rsidRPr="000808A1">
              <w:rPr>
                <w:rFonts w:ascii="Arial Narrow" w:hAnsi="Arial Narrow"/>
                <w:b/>
                <w:bCs/>
                <w:sz w:val="20"/>
              </w:rPr>
              <w:t>2023</w:t>
            </w:r>
          </w:p>
        </w:tc>
        <w:tc>
          <w:tcPr>
            <w:tcW w:w="576" w:type="pct"/>
            <w:vAlign w:val="center"/>
          </w:tcPr>
          <w:p w14:paraId="4F4A73AA" w14:textId="77777777" w:rsidR="007C6C75" w:rsidRPr="000808A1" w:rsidRDefault="007C6C75" w:rsidP="007C6C75">
            <w:pPr>
              <w:keepNext/>
              <w:keepLines/>
              <w:spacing w:before="40" w:after="40"/>
              <w:jc w:val="center"/>
              <w:rPr>
                <w:rFonts w:ascii="Arial Narrow" w:hAnsi="Arial Narrow"/>
                <w:b/>
                <w:bCs/>
                <w:sz w:val="20"/>
              </w:rPr>
            </w:pPr>
            <w:r w:rsidRPr="000808A1">
              <w:rPr>
                <w:rFonts w:ascii="Arial Narrow" w:hAnsi="Arial Narrow"/>
                <w:b/>
                <w:bCs/>
                <w:sz w:val="20"/>
              </w:rPr>
              <w:t>2024</w:t>
            </w:r>
          </w:p>
        </w:tc>
        <w:tc>
          <w:tcPr>
            <w:tcW w:w="576" w:type="pct"/>
            <w:vAlign w:val="center"/>
          </w:tcPr>
          <w:p w14:paraId="76442DC7" w14:textId="77777777" w:rsidR="007C6C75" w:rsidRPr="000808A1" w:rsidRDefault="007C6C75" w:rsidP="007C6C75">
            <w:pPr>
              <w:keepNext/>
              <w:keepLines/>
              <w:spacing w:before="40" w:after="40"/>
              <w:jc w:val="center"/>
              <w:rPr>
                <w:rFonts w:ascii="Arial Narrow" w:hAnsi="Arial Narrow"/>
                <w:b/>
                <w:bCs/>
                <w:sz w:val="20"/>
              </w:rPr>
            </w:pPr>
            <w:r w:rsidRPr="000808A1">
              <w:rPr>
                <w:rFonts w:ascii="Arial Narrow" w:hAnsi="Arial Narrow"/>
                <w:b/>
                <w:bCs/>
                <w:sz w:val="20"/>
              </w:rPr>
              <w:t>2025</w:t>
            </w:r>
          </w:p>
        </w:tc>
      </w:tr>
      <w:tr w:rsidR="007C6C75" w:rsidRPr="000808A1" w14:paraId="5E90E359" w14:textId="77777777" w:rsidTr="007C6C75">
        <w:trPr>
          <w:cantSplit/>
        </w:trPr>
        <w:tc>
          <w:tcPr>
            <w:tcW w:w="2121" w:type="pct"/>
            <w:vAlign w:val="center"/>
          </w:tcPr>
          <w:p w14:paraId="1481482A" w14:textId="77777777" w:rsidR="007C6C75" w:rsidRPr="000808A1" w:rsidRDefault="007C6C75" w:rsidP="007C6C75">
            <w:pPr>
              <w:keepNext/>
              <w:keepLines/>
              <w:spacing w:before="40" w:after="40"/>
              <w:rPr>
                <w:rFonts w:ascii="Arial Narrow" w:hAnsi="Arial Narrow"/>
                <w:sz w:val="20"/>
              </w:rPr>
            </w:pPr>
            <w:r>
              <w:rPr>
                <w:rFonts w:ascii="Arial Narrow" w:hAnsi="Arial Narrow" w:cs="Calibri"/>
                <w:color w:val="000000"/>
                <w:sz w:val="20"/>
              </w:rPr>
              <w:t>Clinician-collected primary HPV test (73070)</w:t>
            </w:r>
          </w:p>
        </w:tc>
        <w:tc>
          <w:tcPr>
            <w:tcW w:w="576" w:type="pct"/>
            <w:vAlign w:val="center"/>
          </w:tcPr>
          <w:p w14:paraId="3EBA3C3D"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-2,909</w:t>
            </w:r>
          </w:p>
        </w:tc>
        <w:tc>
          <w:tcPr>
            <w:tcW w:w="576" w:type="pct"/>
            <w:vAlign w:val="center"/>
          </w:tcPr>
          <w:p w14:paraId="09A5C6DB"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-4,426</w:t>
            </w:r>
          </w:p>
        </w:tc>
        <w:tc>
          <w:tcPr>
            <w:tcW w:w="576" w:type="pct"/>
            <w:vAlign w:val="center"/>
          </w:tcPr>
          <w:p w14:paraId="37CA791B"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-6,731</w:t>
            </w:r>
          </w:p>
        </w:tc>
        <w:tc>
          <w:tcPr>
            <w:tcW w:w="576" w:type="pct"/>
            <w:vAlign w:val="center"/>
          </w:tcPr>
          <w:p w14:paraId="6D94C777"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-10,235</w:t>
            </w:r>
          </w:p>
        </w:tc>
        <w:tc>
          <w:tcPr>
            <w:tcW w:w="576" w:type="pct"/>
            <w:vAlign w:val="center"/>
          </w:tcPr>
          <w:p w14:paraId="7FB50515"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-15,558</w:t>
            </w:r>
          </w:p>
        </w:tc>
      </w:tr>
      <w:tr w:rsidR="007C6C75" w:rsidRPr="000808A1" w14:paraId="1D7DB0DC" w14:textId="77777777" w:rsidTr="007C6C75">
        <w:trPr>
          <w:cantSplit/>
        </w:trPr>
        <w:tc>
          <w:tcPr>
            <w:tcW w:w="2121" w:type="pct"/>
            <w:vAlign w:val="center"/>
          </w:tcPr>
          <w:p w14:paraId="776EBCBF" w14:textId="77777777" w:rsidR="007C6C75" w:rsidRPr="000808A1" w:rsidDel="00822BEA" w:rsidRDefault="007C6C75" w:rsidP="007C6C75">
            <w:pPr>
              <w:keepNext/>
              <w:keepLines/>
              <w:spacing w:before="40" w:after="40"/>
              <w:rPr>
                <w:rFonts w:ascii="Arial Narrow" w:hAnsi="Arial Narrow"/>
                <w:sz w:val="20"/>
              </w:rPr>
            </w:pPr>
            <w:r>
              <w:rPr>
                <w:rFonts w:ascii="Arial Narrow" w:hAnsi="Arial Narrow" w:cs="Calibri"/>
                <w:color w:val="000000"/>
                <w:sz w:val="20"/>
              </w:rPr>
              <w:t>Self-collected primary HPV test (73071)</w:t>
            </w:r>
          </w:p>
        </w:tc>
        <w:tc>
          <w:tcPr>
            <w:tcW w:w="576" w:type="pct"/>
            <w:vAlign w:val="center"/>
          </w:tcPr>
          <w:p w14:paraId="6E4BEF68"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6,268</w:t>
            </w:r>
          </w:p>
        </w:tc>
        <w:tc>
          <w:tcPr>
            <w:tcW w:w="576" w:type="pct"/>
            <w:vAlign w:val="center"/>
          </w:tcPr>
          <w:p w14:paraId="722C6B14"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9,601</w:t>
            </w:r>
          </w:p>
        </w:tc>
        <w:tc>
          <w:tcPr>
            <w:tcW w:w="576" w:type="pct"/>
            <w:vAlign w:val="center"/>
          </w:tcPr>
          <w:p w14:paraId="2D14D9AD"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14,693</w:t>
            </w:r>
          </w:p>
        </w:tc>
        <w:tc>
          <w:tcPr>
            <w:tcW w:w="576" w:type="pct"/>
            <w:vAlign w:val="center"/>
          </w:tcPr>
          <w:p w14:paraId="13EF7B9F"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22,467</w:t>
            </w:r>
          </w:p>
        </w:tc>
        <w:tc>
          <w:tcPr>
            <w:tcW w:w="576" w:type="pct"/>
            <w:vAlign w:val="center"/>
          </w:tcPr>
          <w:p w14:paraId="656637F5"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34,326</w:t>
            </w:r>
          </w:p>
        </w:tc>
      </w:tr>
      <w:tr w:rsidR="007C6C75" w:rsidRPr="000808A1" w14:paraId="6644D581" w14:textId="77777777" w:rsidTr="007C6C75">
        <w:trPr>
          <w:cantSplit/>
        </w:trPr>
        <w:tc>
          <w:tcPr>
            <w:tcW w:w="2121" w:type="pct"/>
            <w:vAlign w:val="center"/>
          </w:tcPr>
          <w:p w14:paraId="79F6AF40" w14:textId="77777777" w:rsidR="007C6C75" w:rsidRPr="000808A1" w:rsidDel="00822BEA" w:rsidRDefault="007C6C75" w:rsidP="007C6C75">
            <w:pPr>
              <w:keepNext/>
              <w:keepLines/>
              <w:spacing w:before="40" w:after="40"/>
              <w:rPr>
                <w:rFonts w:ascii="Arial Narrow" w:hAnsi="Arial Narrow"/>
                <w:sz w:val="20"/>
              </w:rPr>
            </w:pPr>
            <w:r>
              <w:rPr>
                <w:rFonts w:ascii="Arial Narrow" w:hAnsi="Arial Narrow" w:cs="Calibri"/>
                <w:color w:val="000000"/>
                <w:sz w:val="20"/>
              </w:rPr>
              <w:t>Follow-up HPV test (73072)</w:t>
            </w:r>
          </w:p>
        </w:tc>
        <w:tc>
          <w:tcPr>
            <w:tcW w:w="576" w:type="pct"/>
            <w:vAlign w:val="center"/>
          </w:tcPr>
          <w:p w14:paraId="07AE2775"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-2</w:t>
            </w:r>
          </w:p>
        </w:tc>
        <w:tc>
          <w:tcPr>
            <w:tcW w:w="576" w:type="pct"/>
            <w:vAlign w:val="center"/>
          </w:tcPr>
          <w:p w14:paraId="3F2C7B10"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279</w:t>
            </w:r>
          </w:p>
        </w:tc>
        <w:tc>
          <w:tcPr>
            <w:tcW w:w="576" w:type="pct"/>
            <w:vAlign w:val="center"/>
          </w:tcPr>
          <w:p w14:paraId="2879DA33"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452</w:t>
            </w:r>
          </w:p>
        </w:tc>
        <w:tc>
          <w:tcPr>
            <w:tcW w:w="576" w:type="pct"/>
            <w:vAlign w:val="center"/>
          </w:tcPr>
          <w:p w14:paraId="65B491A5"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696</w:t>
            </w:r>
          </w:p>
        </w:tc>
        <w:tc>
          <w:tcPr>
            <w:tcW w:w="576" w:type="pct"/>
            <w:vAlign w:val="center"/>
          </w:tcPr>
          <w:p w14:paraId="5B444CD8" w14:textId="77777777" w:rsidR="007C6C75" w:rsidRPr="005A6618" w:rsidRDefault="007C6C75" w:rsidP="007C6C75">
            <w:pPr>
              <w:keepNext/>
              <w:keepLines/>
              <w:spacing w:before="40" w:after="40"/>
              <w:jc w:val="center"/>
              <w:rPr>
                <w:rFonts w:ascii="Arial Narrow" w:hAnsi="Arial Narrow"/>
                <w:sz w:val="20"/>
              </w:rPr>
            </w:pPr>
            <w:r>
              <w:rPr>
                <w:rFonts w:ascii="Arial Narrow" w:hAnsi="Arial Narrow" w:cs="Calibri"/>
                <w:color w:val="000000"/>
                <w:sz w:val="20"/>
              </w:rPr>
              <w:t>1,068</w:t>
            </w:r>
          </w:p>
        </w:tc>
      </w:tr>
      <w:tr w:rsidR="007C6C75" w:rsidRPr="000808A1" w14:paraId="02ED6B3E" w14:textId="77777777" w:rsidTr="007C6C75">
        <w:trPr>
          <w:cantSplit/>
        </w:trPr>
        <w:tc>
          <w:tcPr>
            <w:tcW w:w="2121" w:type="pct"/>
            <w:vAlign w:val="center"/>
          </w:tcPr>
          <w:p w14:paraId="79BFAA4C" w14:textId="77777777" w:rsidR="007C6C75" w:rsidRPr="000808A1" w:rsidRDefault="007C6C75" w:rsidP="007C6C75">
            <w:pPr>
              <w:keepNext/>
              <w:spacing w:before="40" w:after="40"/>
              <w:rPr>
                <w:rFonts w:ascii="Arial Narrow" w:hAnsi="Arial Narrow"/>
                <w:sz w:val="20"/>
              </w:rPr>
            </w:pPr>
            <w:r>
              <w:rPr>
                <w:rFonts w:ascii="Arial Narrow" w:hAnsi="Arial Narrow" w:cs="Calibri"/>
                <w:color w:val="000000"/>
                <w:sz w:val="20"/>
              </w:rPr>
              <w:t>Test-of-cure (hysterectomy) (73074)</w:t>
            </w:r>
          </w:p>
        </w:tc>
        <w:tc>
          <w:tcPr>
            <w:tcW w:w="576" w:type="pct"/>
            <w:vAlign w:val="center"/>
          </w:tcPr>
          <w:p w14:paraId="48F53027"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0</w:t>
            </w:r>
          </w:p>
        </w:tc>
        <w:tc>
          <w:tcPr>
            <w:tcW w:w="576" w:type="pct"/>
            <w:vAlign w:val="center"/>
          </w:tcPr>
          <w:p w14:paraId="01451C77"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1</w:t>
            </w:r>
          </w:p>
        </w:tc>
        <w:tc>
          <w:tcPr>
            <w:tcW w:w="576" w:type="pct"/>
            <w:vAlign w:val="center"/>
          </w:tcPr>
          <w:p w14:paraId="5361C1F8"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3</w:t>
            </w:r>
          </w:p>
        </w:tc>
        <w:tc>
          <w:tcPr>
            <w:tcW w:w="576" w:type="pct"/>
            <w:vAlign w:val="center"/>
          </w:tcPr>
          <w:p w14:paraId="685B1E89"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4</w:t>
            </w:r>
          </w:p>
        </w:tc>
        <w:tc>
          <w:tcPr>
            <w:tcW w:w="576" w:type="pct"/>
            <w:vAlign w:val="center"/>
          </w:tcPr>
          <w:p w14:paraId="0AAF521A"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6</w:t>
            </w:r>
          </w:p>
        </w:tc>
      </w:tr>
      <w:tr w:rsidR="007C6C75" w:rsidRPr="000808A1" w14:paraId="199E5F84" w14:textId="77777777" w:rsidTr="007C6C75">
        <w:trPr>
          <w:cantSplit/>
        </w:trPr>
        <w:tc>
          <w:tcPr>
            <w:tcW w:w="2121" w:type="pct"/>
            <w:vAlign w:val="center"/>
          </w:tcPr>
          <w:p w14:paraId="6937DB0D" w14:textId="77777777" w:rsidR="007C6C75" w:rsidRPr="000808A1" w:rsidDel="00822BEA" w:rsidRDefault="007C6C75" w:rsidP="007C6C75">
            <w:pPr>
              <w:keepNext/>
              <w:spacing w:before="40" w:after="40"/>
              <w:rPr>
                <w:rFonts w:ascii="Arial Narrow" w:hAnsi="Arial Narrow"/>
                <w:sz w:val="20"/>
              </w:rPr>
            </w:pPr>
            <w:r>
              <w:rPr>
                <w:rFonts w:ascii="Arial Narrow" w:hAnsi="Arial Narrow" w:cs="Calibri"/>
                <w:color w:val="000000"/>
                <w:sz w:val="20"/>
              </w:rPr>
              <w:t>HPV re-test (unsatisfactory) (73075)</w:t>
            </w:r>
          </w:p>
        </w:tc>
        <w:tc>
          <w:tcPr>
            <w:tcW w:w="576" w:type="pct"/>
            <w:vAlign w:val="center"/>
          </w:tcPr>
          <w:p w14:paraId="1EDB5E0A"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186</w:t>
            </w:r>
          </w:p>
        </w:tc>
        <w:tc>
          <w:tcPr>
            <w:tcW w:w="576" w:type="pct"/>
            <w:vAlign w:val="center"/>
          </w:tcPr>
          <w:p w14:paraId="60B367B8"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285</w:t>
            </w:r>
          </w:p>
        </w:tc>
        <w:tc>
          <w:tcPr>
            <w:tcW w:w="576" w:type="pct"/>
            <w:vAlign w:val="center"/>
          </w:tcPr>
          <w:p w14:paraId="5D9EDFA0"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436</w:t>
            </w:r>
          </w:p>
        </w:tc>
        <w:tc>
          <w:tcPr>
            <w:tcW w:w="576" w:type="pct"/>
            <w:vAlign w:val="center"/>
          </w:tcPr>
          <w:p w14:paraId="32F5D88A"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667</w:t>
            </w:r>
          </w:p>
        </w:tc>
        <w:tc>
          <w:tcPr>
            <w:tcW w:w="576" w:type="pct"/>
            <w:vAlign w:val="center"/>
          </w:tcPr>
          <w:p w14:paraId="1C80F0B0"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1,019</w:t>
            </w:r>
          </w:p>
        </w:tc>
      </w:tr>
      <w:tr w:rsidR="007C6C75" w:rsidRPr="000808A1" w14:paraId="6DB29922" w14:textId="77777777" w:rsidTr="007C6C75">
        <w:trPr>
          <w:cantSplit/>
        </w:trPr>
        <w:tc>
          <w:tcPr>
            <w:tcW w:w="2121" w:type="pct"/>
            <w:vAlign w:val="center"/>
          </w:tcPr>
          <w:p w14:paraId="6BC2FAAE" w14:textId="77777777" w:rsidR="007C6C75" w:rsidRPr="000808A1" w:rsidDel="00822BEA" w:rsidRDefault="007C6C75" w:rsidP="007C6C75">
            <w:pPr>
              <w:keepNext/>
              <w:spacing w:before="40" w:after="40"/>
              <w:rPr>
                <w:rFonts w:ascii="Arial Narrow" w:hAnsi="Arial Narrow"/>
                <w:sz w:val="20"/>
              </w:rPr>
            </w:pPr>
            <w:r>
              <w:rPr>
                <w:rFonts w:ascii="Arial Narrow" w:hAnsi="Arial Narrow" w:cs="Calibri"/>
                <w:color w:val="000000"/>
                <w:sz w:val="20"/>
              </w:rPr>
              <w:t>LBC test (including unsatisfactory) (73076)</w:t>
            </w:r>
          </w:p>
        </w:tc>
        <w:tc>
          <w:tcPr>
            <w:tcW w:w="576" w:type="pct"/>
            <w:vAlign w:val="center"/>
          </w:tcPr>
          <w:p w14:paraId="3217DA1A"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52</w:t>
            </w:r>
          </w:p>
        </w:tc>
        <w:tc>
          <w:tcPr>
            <w:tcW w:w="576" w:type="pct"/>
            <w:vAlign w:val="center"/>
          </w:tcPr>
          <w:p w14:paraId="5816D8B5" w14:textId="77777777" w:rsidR="007C6C75" w:rsidRPr="00306E19" w:rsidRDefault="007C6C75" w:rsidP="007C6C75">
            <w:pPr>
              <w:keepNext/>
              <w:spacing w:before="40" w:after="40"/>
              <w:jc w:val="center"/>
              <w:rPr>
                <w:rFonts w:ascii="Arial Narrow" w:hAnsi="Arial Narrow"/>
                <w:sz w:val="20"/>
              </w:rPr>
            </w:pPr>
            <w:r>
              <w:rPr>
                <w:rFonts w:ascii="Arial Narrow" w:hAnsi="Arial Narrow" w:cs="Calibri"/>
                <w:color w:val="000000"/>
                <w:sz w:val="20"/>
              </w:rPr>
              <w:t>-7</w:t>
            </w:r>
          </w:p>
        </w:tc>
        <w:tc>
          <w:tcPr>
            <w:tcW w:w="576" w:type="pct"/>
            <w:vAlign w:val="center"/>
          </w:tcPr>
          <w:p w14:paraId="7F84799B"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17</w:t>
            </w:r>
          </w:p>
        </w:tc>
        <w:tc>
          <w:tcPr>
            <w:tcW w:w="576" w:type="pct"/>
            <w:vAlign w:val="center"/>
          </w:tcPr>
          <w:p w14:paraId="183A380E"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35</w:t>
            </w:r>
          </w:p>
        </w:tc>
        <w:tc>
          <w:tcPr>
            <w:tcW w:w="576" w:type="pct"/>
            <w:vAlign w:val="center"/>
          </w:tcPr>
          <w:p w14:paraId="0C853799"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59</w:t>
            </w:r>
          </w:p>
        </w:tc>
      </w:tr>
      <w:tr w:rsidR="007C6C75" w:rsidRPr="000808A1" w14:paraId="45E35DE9" w14:textId="77777777" w:rsidTr="007C6C75">
        <w:trPr>
          <w:cantSplit/>
        </w:trPr>
        <w:tc>
          <w:tcPr>
            <w:tcW w:w="2121" w:type="pct"/>
            <w:vAlign w:val="center"/>
          </w:tcPr>
          <w:p w14:paraId="77A9A229" w14:textId="77777777" w:rsidR="007C6C75" w:rsidRPr="000808A1" w:rsidRDefault="007C6C75" w:rsidP="007C6C75">
            <w:pPr>
              <w:keepNext/>
              <w:spacing w:before="40" w:after="40"/>
              <w:rPr>
                <w:rFonts w:ascii="Arial Narrow" w:hAnsi="Arial Narrow"/>
                <w:sz w:val="20"/>
              </w:rPr>
            </w:pPr>
            <w:r>
              <w:rPr>
                <w:rFonts w:ascii="Arial Narrow" w:hAnsi="Arial Narrow" w:cs="Calibri"/>
                <w:color w:val="000000"/>
                <w:sz w:val="20"/>
              </w:rPr>
              <w:t>Professional attendance items</w:t>
            </w:r>
          </w:p>
        </w:tc>
        <w:tc>
          <w:tcPr>
            <w:tcW w:w="576" w:type="pct"/>
            <w:vAlign w:val="center"/>
          </w:tcPr>
          <w:p w14:paraId="41BF05FE" w14:textId="77777777" w:rsidR="007C6C75" w:rsidRPr="005A6618" w:rsidRDefault="007C6C75" w:rsidP="007C6C75">
            <w:pPr>
              <w:keepNext/>
              <w:spacing w:before="40" w:after="40"/>
              <w:jc w:val="center"/>
              <w:rPr>
                <w:rFonts w:ascii="Arial Narrow" w:hAnsi="Arial Narrow" w:cs="Arial"/>
                <w:color w:val="000000"/>
                <w:sz w:val="20"/>
              </w:rPr>
            </w:pPr>
            <w:r>
              <w:rPr>
                <w:rFonts w:ascii="Arial Narrow" w:hAnsi="Arial Narrow" w:cs="Calibri"/>
                <w:color w:val="000000"/>
                <w:sz w:val="20"/>
              </w:rPr>
              <w:t>3,545</w:t>
            </w:r>
          </w:p>
        </w:tc>
        <w:tc>
          <w:tcPr>
            <w:tcW w:w="576" w:type="pct"/>
            <w:vAlign w:val="center"/>
          </w:tcPr>
          <w:p w14:paraId="5855A7EE" w14:textId="77777777" w:rsidR="007C6C75" w:rsidRPr="005A6618" w:rsidRDefault="007C6C75" w:rsidP="007C6C75">
            <w:pPr>
              <w:keepNext/>
              <w:spacing w:before="40" w:after="40"/>
              <w:jc w:val="center"/>
              <w:rPr>
                <w:rFonts w:ascii="Arial Narrow" w:hAnsi="Arial Narrow" w:cs="Arial"/>
                <w:color w:val="000000"/>
                <w:sz w:val="20"/>
              </w:rPr>
            </w:pPr>
            <w:r>
              <w:rPr>
                <w:rFonts w:ascii="Arial Narrow" w:hAnsi="Arial Narrow" w:cs="Calibri"/>
                <w:color w:val="000000"/>
                <w:sz w:val="20"/>
              </w:rPr>
              <w:t>5,743</w:t>
            </w:r>
          </w:p>
        </w:tc>
        <w:tc>
          <w:tcPr>
            <w:tcW w:w="576" w:type="pct"/>
            <w:vAlign w:val="center"/>
          </w:tcPr>
          <w:p w14:paraId="69183A50" w14:textId="77777777" w:rsidR="007C6C75" w:rsidRPr="005A6618" w:rsidRDefault="007C6C75" w:rsidP="007C6C75">
            <w:pPr>
              <w:keepNext/>
              <w:spacing w:before="40" w:after="40"/>
              <w:jc w:val="center"/>
              <w:rPr>
                <w:rFonts w:ascii="Arial Narrow" w:hAnsi="Arial Narrow" w:cs="Arial"/>
                <w:color w:val="000000"/>
                <w:sz w:val="20"/>
              </w:rPr>
            </w:pPr>
            <w:r>
              <w:rPr>
                <w:rFonts w:ascii="Arial Narrow" w:hAnsi="Arial Narrow" w:cs="Calibri"/>
                <w:color w:val="000000"/>
                <w:sz w:val="20"/>
              </w:rPr>
              <w:t>8,857</w:t>
            </w:r>
          </w:p>
        </w:tc>
        <w:tc>
          <w:tcPr>
            <w:tcW w:w="576" w:type="pct"/>
            <w:vAlign w:val="center"/>
          </w:tcPr>
          <w:p w14:paraId="6181FBA2" w14:textId="77777777" w:rsidR="007C6C75" w:rsidRPr="005A6618" w:rsidRDefault="007C6C75" w:rsidP="007C6C75">
            <w:pPr>
              <w:keepNext/>
              <w:spacing w:before="40" w:after="40"/>
              <w:jc w:val="center"/>
              <w:rPr>
                <w:rFonts w:ascii="Arial Narrow" w:hAnsi="Arial Narrow" w:cs="Arial"/>
                <w:color w:val="000000"/>
                <w:sz w:val="20"/>
              </w:rPr>
            </w:pPr>
            <w:r>
              <w:rPr>
                <w:rFonts w:ascii="Arial Narrow" w:hAnsi="Arial Narrow" w:cs="Calibri"/>
                <w:color w:val="000000"/>
                <w:sz w:val="20"/>
              </w:rPr>
              <w:t>13,605</w:t>
            </w:r>
          </w:p>
        </w:tc>
        <w:tc>
          <w:tcPr>
            <w:tcW w:w="576" w:type="pct"/>
            <w:vAlign w:val="center"/>
          </w:tcPr>
          <w:p w14:paraId="529F5742" w14:textId="77777777" w:rsidR="007C6C75" w:rsidRPr="005A6618" w:rsidRDefault="007C6C75" w:rsidP="007C6C75">
            <w:pPr>
              <w:keepNext/>
              <w:spacing w:before="40" w:after="40"/>
              <w:jc w:val="center"/>
              <w:rPr>
                <w:rFonts w:ascii="Arial Narrow" w:hAnsi="Arial Narrow" w:cs="Arial"/>
                <w:color w:val="000000"/>
                <w:sz w:val="20"/>
              </w:rPr>
            </w:pPr>
            <w:r>
              <w:rPr>
                <w:rFonts w:ascii="Arial Narrow" w:hAnsi="Arial Narrow" w:cs="Calibri"/>
                <w:color w:val="000000"/>
                <w:sz w:val="20"/>
              </w:rPr>
              <w:t>20,869</w:t>
            </w:r>
          </w:p>
        </w:tc>
      </w:tr>
      <w:tr w:rsidR="007C6C75" w:rsidRPr="000808A1" w14:paraId="0FA8E453" w14:textId="77777777" w:rsidTr="007C6C75">
        <w:trPr>
          <w:cantSplit/>
        </w:trPr>
        <w:tc>
          <w:tcPr>
            <w:tcW w:w="2121" w:type="pct"/>
            <w:vAlign w:val="center"/>
          </w:tcPr>
          <w:p w14:paraId="3E9692CE" w14:textId="77777777" w:rsidR="007C6C75" w:rsidRPr="000808A1" w:rsidDel="00822BEA" w:rsidRDefault="007C6C75" w:rsidP="007C6C75">
            <w:pPr>
              <w:keepNext/>
              <w:spacing w:before="40" w:after="40"/>
              <w:rPr>
                <w:rFonts w:ascii="Arial Narrow" w:hAnsi="Arial Narrow"/>
                <w:sz w:val="20"/>
              </w:rPr>
            </w:pPr>
            <w:r>
              <w:rPr>
                <w:rFonts w:ascii="Arial Narrow" w:hAnsi="Arial Narrow" w:cs="Calibri"/>
                <w:color w:val="000000"/>
                <w:sz w:val="20"/>
              </w:rPr>
              <w:t>PEI specimen collection (73938)</w:t>
            </w:r>
          </w:p>
        </w:tc>
        <w:tc>
          <w:tcPr>
            <w:tcW w:w="576" w:type="pct"/>
            <w:vAlign w:val="center"/>
          </w:tcPr>
          <w:p w14:paraId="318AB68A"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3,546</w:t>
            </w:r>
          </w:p>
        </w:tc>
        <w:tc>
          <w:tcPr>
            <w:tcW w:w="576" w:type="pct"/>
            <w:vAlign w:val="center"/>
          </w:tcPr>
          <w:p w14:paraId="31898D79"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5,744</w:t>
            </w:r>
          </w:p>
        </w:tc>
        <w:tc>
          <w:tcPr>
            <w:tcW w:w="576" w:type="pct"/>
            <w:vAlign w:val="center"/>
          </w:tcPr>
          <w:p w14:paraId="05051D6C"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8,858</w:t>
            </w:r>
          </w:p>
        </w:tc>
        <w:tc>
          <w:tcPr>
            <w:tcW w:w="576" w:type="pct"/>
            <w:vAlign w:val="center"/>
          </w:tcPr>
          <w:p w14:paraId="30467022"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13,607</w:t>
            </w:r>
          </w:p>
        </w:tc>
        <w:tc>
          <w:tcPr>
            <w:tcW w:w="576" w:type="pct"/>
            <w:vAlign w:val="center"/>
          </w:tcPr>
          <w:p w14:paraId="19488F29"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20,872</w:t>
            </w:r>
          </w:p>
        </w:tc>
      </w:tr>
      <w:tr w:rsidR="007C6C75" w:rsidRPr="000808A1" w14:paraId="4371FC77" w14:textId="77777777" w:rsidTr="007C6C75">
        <w:trPr>
          <w:cantSplit/>
        </w:trPr>
        <w:tc>
          <w:tcPr>
            <w:tcW w:w="2121" w:type="pct"/>
            <w:vAlign w:val="center"/>
          </w:tcPr>
          <w:p w14:paraId="5D4C021E" w14:textId="77777777" w:rsidR="007C6C75" w:rsidRPr="000808A1" w:rsidDel="00822BEA" w:rsidRDefault="007C6C75" w:rsidP="007C6C75">
            <w:pPr>
              <w:keepNext/>
              <w:spacing w:before="40" w:after="40"/>
              <w:rPr>
                <w:rFonts w:ascii="Arial Narrow" w:hAnsi="Arial Narrow"/>
                <w:sz w:val="20"/>
              </w:rPr>
            </w:pPr>
            <w:r>
              <w:rPr>
                <w:rFonts w:ascii="Arial Narrow" w:hAnsi="Arial Narrow" w:cs="Calibri"/>
                <w:color w:val="000000"/>
                <w:sz w:val="20"/>
              </w:rPr>
              <w:t>BBI associated with specimen collection (74998)</w:t>
            </w:r>
          </w:p>
        </w:tc>
        <w:tc>
          <w:tcPr>
            <w:tcW w:w="576" w:type="pct"/>
            <w:vAlign w:val="center"/>
          </w:tcPr>
          <w:p w14:paraId="47FA1B0E"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3,546</w:t>
            </w:r>
          </w:p>
        </w:tc>
        <w:tc>
          <w:tcPr>
            <w:tcW w:w="576" w:type="pct"/>
            <w:vAlign w:val="center"/>
          </w:tcPr>
          <w:p w14:paraId="60ECBFFA" w14:textId="77777777" w:rsidR="007C6C75" w:rsidRPr="00306E19" w:rsidRDefault="007C6C75" w:rsidP="007C6C75">
            <w:pPr>
              <w:keepNext/>
              <w:spacing w:before="40" w:after="40"/>
              <w:jc w:val="center"/>
              <w:rPr>
                <w:rFonts w:ascii="Arial Narrow" w:hAnsi="Arial Narrow"/>
                <w:sz w:val="20"/>
              </w:rPr>
            </w:pPr>
            <w:r>
              <w:rPr>
                <w:rFonts w:ascii="Arial Narrow" w:hAnsi="Arial Narrow" w:cs="Calibri"/>
                <w:color w:val="000000"/>
                <w:sz w:val="20"/>
              </w:rPr>
              <w:t>5,744</w:t>
            </w:r>
          </w:p>
        </w:tc>
        <w:tc>
          <w:tcPr>
            <w:tcW w:w="576" w:type="pct"/>
            <w:vAlign w:val="center"/>
          </w:tcPr>
          <w:p w14:paraId="758DB621"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8,858</w:t>
            </w:r>
          </w:p>
        </w:tc>
        <w:tc>
          <w:tcPr>
            <w:tcW w:w="576" w:type="pct"/>
            <w:vAlign w:val="center"/>
          </w:tcPr>
          <w:p w14:paraId="589107CC"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13,607</w:t>
            </w:r>
          </w:p>
        </w:tc>
        <w:tc>
          <w:tcPr>
            <w:tcW w:w="576" w:type="pct"/>
            <w:vAlign w:val="center"/>
          </w:tcPr>
          <w:p w14:paraId="4EE50808" w14:textId="77777777" w:rsidR="007C6C75" w:rsidRPr="005A6618" w:rsidRDefault="007C6C75" w:rsidP="007C6C75">
            <w:pPr>
              <w:keepNext/>
              <w:spacing w:before="40" w:after="40"/>
              <w:jc w:val="center"/>
              <w:rPr>
                <w:rFonts w:ascii="Arial Narrow" w:hAnsi="Arial Narrow"/>
                <w:sz w:val="20"/>
              </w:rPr>
            </w:pPr>
            <w:r>
              <w:rPr>
                <w:rFonts w:ascii="Arial Narrow" w:hAnsi="Arial Narrow" w:cs="Calibri"/>
                <w:color w:val="000000"/>
                <w:sz w:val="20"/>
              </w:rPr>
              <w:t>20,872</w:t>
            </w:r>
          </w:p>
        </w:tc>
      </w:tr>
    </w:tbl>
    <w:p w14:paraId="06EF27BE" w14:textId="77777777" w:rsidR="007C6C75" w:rsidRDefault="007C6C75" w:rsidP="007C6C75">
      <w:pPr>
        <w:pStyle w:val="Tablenotes"/>
      </w:pPr>
      <w:r>
        <w:t xml:space="preserve">Results may be subject to rounding. </w:t>
      </w:r>
    </w:p>
    <w:p w14:paraId="1FD45494" w14:textId="77777777" w:rsidR="007C6C75" w:rsidRDefault="007C6C75" w:rsidP="007C6C75">
      <w:pPr>
        <w:pStyle w:val="Tablenotes"/>
        <w:rPr>
          <w:szCs w:val="18"/>
        </w:rPr>
      </w:pPr>
      <w:r>
        <w:t>BBI = bulk billing incentive, HPV = human papillomavirus, LBC = liquid-based cytology,</w:t>
      </w:r>
      <w:r w:rsidRPr="00D672AE">
        <w:rPr>
          <w:szCs w:val="16"/>
        </w:rPr>
        <w:t xml:space="preserve"> </w:t>
      </w:r>
      <w:r>
        <w:rPr>
          <w:szCs w:val="16"/>
        </w:rPr>
        <w:t>MBS = Medicare</w:t>
      </w:r>
      <w:r w:rsidRPr="000808A1">
        <w:rPr>
          <w:szCs w:val="16"/>
        </w:rPr>
        <w:t xml:space="preserve"> Benefits Schedule</w:t>
      </w:r>
      <w:r>
        <w:rPr>
          <w:szCs w:val="16"/>
        </w:rPr>
        <w:t>,</w:t>
      </w:r>
      <w:r w:rsidRPr="00D672AE">
        <w:rPr>
          <w:szCs w:val="16"/>
        </w:rPr>
        <w:t xml:space="preserve"> </w:t>
      </w:r>
      <w:r w:rsidRPr="000808A1">
        <w:rPr>
          <w:szCs w:val="16"/>
        </w:rPr>
        <w:t>NCSP</w:t>
      </w:r>
      <w:r>
        <w:rPr>
          <w:szCs w:val="16"/>
        </w:rPr>
        <w:t xml:space="preserve"> </w:t>
      </w:r>
      <w:r w:rsidRPr="000808A1">
        <w:rPr>
          <w:szCs w:val="16"/>
        </w:rPr>
        <w:t>=</w:t>
      </w:r>
      <w:r>
        <w:rPr>
          <w:szCs w:val="16"/>
        </w:rPr>
        <w:t xml:space="preserve"> </w:t>
      </w:r>
      <w:r w:rsidRPr="000808A1">
        <w:rPr>
          <w:szCs w:val="16"/>
        </w:rPr>
        <w:t>National Cervical Screening Program</w:t>
      </w:r>
      <w:r>
        <w:t xml:space="preserve">, </w:t>
      </w:r>
      <w:r>
        <w:rPr>
          <w:szCs w:val="18"/>
        </w:rPr>
        <w:t>PEI = patient episode initiation.</w:t>
      </w:r>
    </w:p>
    <w:p w14:paraId="2FBD8038" w14:textId="77777777" w:rsidR="007C6C75" w:rsidRPr="00FE40D5" w:rsidRDefault="007C6C75" w:rsidP="007C6C75">
      <w:pPr>
        <w:pStyle w:val="Tablenotes"/>
        <w:rPr>
          <w:szCs w:val="18"/>
        </w:rPr>
      </w:pPr>
      <w:r>
        <w:rPr>
          <w:szCs w:val="18"/>
        </w:rPr>
        <w:t>Source: DCAR, Table 7.</w:t>
      </w:r>
    </w:p>
    <w:p w14:paraId="557A510C" w14:textId="267A1574" w:rsidR="007C6C75" w:rsidRDefault="007C6C75" w:rsidP="006A5D63">
      <w:pPr>
        <w:pStyle w:val="Heading2"/>
      </w:pPr>
      <w:r>
        <w:t>Financial implications</w:t>
      </w:r>
    </w:p>
    <w:p w14:paraId="6E2D6E9B" w14:textId="52A39C6D" w:rsidR="00C86AF6" w:rsidRPr="00C86AF6" w:rsidRDefault="007C6C75" w:rsidP="00C86AF6">
      <w:r>
        <w:t xml:space="preserve">The DCAR </w:t>
      </w:r>
      <w:r w:rsidRPr="000808A1">
        <w:t xml:space="preserve">forecast </w:t>
      </w:r>
      <w:r>
        <w:t>that expanding the</w:t>
      </w:r>
      <w:r w:rsidRPr="000808A1">
        <w:t xml:space="preserve"> eligibility criteria </w:t>
      </w:r>
      <w:r>
        <w:t>would</w:t>
      </w:r>
      <w:r w:rsidRPr="000808A1">
        <w:t xml:space="preserve"> cost the MBS an additional $</w:t>
      </w:r>
      <w:r>
        <w:t>350</w:t>
      </w:r>
      <w:r w:rsidRPr="000808A1">
        <w:t>,000 to $2.1</w:t>
      </w:r>
      <w:r>
        <w:t xml:space="preserve"> </w:t>
      </w:r>
      <w:r w:rsidRPr="000808A1">
        <w:t>m</w:t>
      </w:r>
      <w:r>
        <w:t>illion</w:t>
      </w:r>
      <w:r w:rsidRPr="000808A1">
        <w:t xml:space="preserve"> </w:t>
      </w:r>
      <w:r>
        <w:t>per annum</w:t>
      </w:r>
      <w:r w:rsidRPr="000808A1">
        <w:t xml:space="preserve"> over the first five years</w:t>
      </w:r>
      <w:r>
        <w:t xml:space="preserve"> (</w:t>
      </w:r>
      <w:r>
        <w:fldChar w:fldCharType="begin"/>
      </w:r>
      <w:r>
        <w:instrText xml:space="preserve"> REF _Ref55830444 \h </w:instrText>
      </w:r>
      <w:r>
        <w:fldChar w:fldCharType="separate"/>
      </w:r>
      <w:r>
        <w:t xml:space="preserve">Table </w:t>
      </w:r>
      <w:r w:rsidR="00362A44">
        <w:t>8</w:t>
      </w:r>
      <w:r>
        <w:fldChar w:fldCharType="end"/>
      </w:r>
      <w:r>
        <w:t>)</w:t>
      </w:r>
      <w:r w:rsidRPr="000808A1">
        <w:t xml:space="preserve">. This is driven primarily by </w:t>
      </w:r>
      <w:r>
        <w:t xml:space="preserve">the </w:t>
      </w:r>
      <w:r w:rsidRPr="000808A1">
        <w:t>growth in HPV test</w:t>
      </w:r>
      <w:r>
        <w:t xml:space="preserve">ing on </w:t>
      </w:r>
      <w:r w:rsidRPr="000808A1">
        <w:t>self-collected</w:t>
      </w:r>
      <w:r>
        <w:t xml:space="preserve"> vaginal samples</w:t>
      </w:r>
      <w:r w:rsidRPr="000808A1">
        <w:t xml:space="preserve"> (item 73071), with accompanying growth in attendance items</w:t>
      </w:r>
      <w:r>
        <w:t>, with self-collecting participants requiring additional professional attendance consultations for LBC testing</w:t>
      </w:r>
      <w:r w:rsidRPr="000808A1">
        <w:t>.</w:t>
      </w:r>
      <w:r>
        <w:t xml:space="preserve"> With approximately 77% of all the forecast treatments for p-HSIL/HSIL (pre-cancerous lesion) patients undertaken on MBS items in outpatient settings, additional treatment of patients does not have significant incremental financial implications. This highlights the importance of early detection and treatment in minimising longer-term cancer treatment costs.</w:t>
      </w:r>
      <w:bookmarkStart w:id="18" w:name="_Ref55830444"/>
      <w:bookmarkStart w:id="19" w:name="_Toc59631528"/>
      <w:r w:rsidR="00C86AF6">
        <w:br w:type="page"/>
      </w:r>
    </w:p>
    <w:p w14:paraId="76CA32B9" w14:textId="196C6362" w:rsidR="007C6C75" w:rsidRDefault="007C6C75" w:rsidP="007C6C75">
      <w:pPr>
        <w:pStyle w:val="Caption"/>
      </w:pPr>
      <w:r>
        <w:t xml:space="preserve">Table </w:t>
      </w:r>
      <w:r w:rsidR="00362A44">
        <w:t>8</w:t>
      </w:r>
      <w:bookmarkEnd w:id="18"/>
      <w:r>
        <w:tab/>
        <w:t>Net MBS financial implicat</w:t>
      </w:r>
      <w:bookmarkEnd w:id="19"/>
      <w:r>
        <w:t>ions</w:t>
      </w:r>
    </w:p>
    <w:tbl>
      <w:tblPr>
        <w:tblStyle w:val="TableGrid"/>
        <w:tblW w:w="9016" w:type="dxa"/>
        <w:tblLayout w:type="fixed"/>
        <w:tblLook w:val="04A0" w:firstRow="1" w:lastRow="0" w:firstColumn="1" w:lastColumn="0" w:noHBand="0" w:noVBand="1"/>
        <w:tblDescription w:val="Net MBS financial implications"/>
      </w:tblPr>
      <w:tblGrid>
        <w:gridCol w:w="3539"/>
        <w:gridCol w:w="1095"/>
        <w:gridCol w:w="1095"/>
        <w:gridCol w:w="1096"/>
        <w:gridCol w:w="1095"/>
        <w:gridCol w:w="1096"/>
      </w:tblGrid>
      <w:tr w:rsidR="007C6C75" w:rsidRPr="0042290C" w14:paraId="213A1B03" w14:textId="77777777" w:rsidTr="007C6C75">
        <w:trPr>
          <w:trHeight w:val="290"/>
          <w:tblHeader/>
        </w:trPr>
        <w:tc>
          <w:tcPr>
            <w:tcW w:w="3539" w:type="dxa"/>
            <w:tcBorders>
              <w:bottom w:val="single" w:sz="4" w:space="0" w:color="auto"/>
            </w:tcBorders>
            <w:noWrap/>
            <w:vAlign w:val="center"/>
            <w:hideMark/>
          </w:tcPr>
          <w:p w14:paraId="4608C80F" w14:textId="77777777" w:rsidR="007C6C75" w:rsidRPr="0042290C" w:rsidRDefault="007C6C75" w:rsidP="007C6C75">
            <w:pPr>
              <w:spacing w:before="40" w:after="40"/>
              <w:rPr>
                <w:rFonts w:ascii="Arial Narrow" w:hAnsi="Arial Narrow" w:cs="Calibri"/>
                <w:b/>
                <w:bCs/>
                <w:color w:val="000000"/>
                <w:sz w:val="20"/>
              </w:rPr>
            </w:pPr>
            <w:r>
              <w:rPr>
                <w:rFonts w:ascii="Arial Narrow" w:hAnsi="Arial Narrow" w:cs="Calibri"/>
                <w:b/>
                <w:bCs/>
                <w:color w:val="000000"/>
                <w:sz w:val="20"/>
              </w:rPr>
              <w:t>MBS i</w:t>
            </w:r>
            <w:r w:rsidRPr="0042290C">
              <w:rPr>
                <w:rFonts w:ascii="Arial Narrow" w:hAnsi="Arial Narrow" w:cs="Calibri"/>
                <w:b/>
                <w:bCs/>
                <w:color w:val="000000"/>
                <w:sz w:val="20"/>
              </w:rPr>
              <w:t>tem</w:t>
            </w:r>
          </w:p>
        </w:tc>
        <w:tc>
          <w:tcPr>
            <w:tcW w:w="1095" w:type="dxa"/>
            <w:tcBorders>
              <w:bottom w:val="single" w:sz="4" w:space="0" w:color="auto"/>
            </w:tcBorders>
            <w:noWrap/>
            <w:vAlign w:val="center"/>
            <w:hideMark/>
          </w:tcPr>
          <w:p w14:paraId="59EFD42B" w14:textId="77777777" w:rsidR="007C6C75" w:rsidRPr="0042290C" w:rsidRDefault="007C6C75" w:rsidP="007C6C75">
            <w:pPr>
              <w:spacing w:before="40" w:after="40"/>
              <w:jc w:val="center"/>
              <w:rPr>
                <w:rFonts w:ascii="Arial Narrow" w:hAnsi="Arial Narrow" w:cs="Calibri"/>
                <w:b/>
                <w:bCs/>
                <w:color w:val="000000"/>
                <w:sz w:val="20"/>
              </w:rPr>
            </w:pPr>
            <w:r w:rsidRPr="0042290C">
              <w:rPr>
                <w:rFonts w:ascii="Arial Narrow" w:hAnsi="Arial Narrow" w:cs="Calibri"/>
                <w:b/>
                <w:bCs/>
                <w:color w:val="000000"/>
                <w:sz w:val="20"/>
              </w:rPr>
              <w:t>2021</w:t>
            </w:r>
          </w:p>
        </w:tc>
        <w:tc>
          <w:tcPr>
            <w:tcW w:w="1095" w:type="dxa"/>
            <w:tcBorders>
              <w:bottom w:val="single" w:sz="4" w:space="0" w:color="auto"/>
            </w:tcBorders>
            <w:noWrap/>
            <w:vAlign w:val="center"/>
            <w:hideMark/>
          </w:tcPr>
          <w:p w14:paraId="60AB64F6" w14:textId="77777777" w:rsidR="007C6C75" w:rsidRPr="0042290C" w:rsidRDefault="007C6C75" w:rsidP="007C6C75">
            <w:pPr>
              <w:spacing w:before="40" w:after="40"/>
              <w:jc w:val="center"/>
              <w:rPr>
                <w:rFonts w:ascii="Arial Narrow" w:hAnsi="Arial Narrow" w:cs="Calibri"/>
                <w:b/>
                <w:bCs/>
                <w:color w:val="000000"/>
                <w:sz w:val="20"/>
              </w:rPr>
            </w:pPr>
            <w:r w:rsidRPr="0042290C">
              <w:rPr>
                <w:rFonts w:ascii="Arial Narrow" w:hAnsi="Arial Narrow" w:cs="Calibri"/>
                <w:b/>
                <w:bCs/>
                <w:color w:val="000000"/>
                <w:sz w:val="20"/>
              </w:rPr>
              <w:t>2022</w:t>
            </w:r>
          </w:p>
        </w:tc>
        <w:tc>
          <w:tcPr>
            <w:tcW w:w="1096" w:type="dxa"/>
            <w:tcBorders>
              <w:bottom w:val="single" w:sz="4" w:space="0" w:color="auto"/>
            </w:tcBorders>
            <w:noWrap/>
            <w:vAlign w:val="center"/>
            <w:hideMark/>
          </w:tcPr>
          <w:p w14:paraId="2A4D2E6D" w14:textId="77777777" w:rsidR="007C6C75" w:rsidRPr="0042290C" w:rsidRDefault="007C6C75" w:rsidP="007C6C75">
            <w:pPr>
              <w:spacing w:before="40" w:after="40"/>
              <w:jc w:val="center"/>
              <w:rPr>
                <w:rFonts w:ascii="Arial Narrow" w:hAnsi="Arial Narrow" w:cs="Calibri"/>
                <w:b/>
                <w:bCs/>
                <w:color w:val="000000"/>
                <w:sz w:val="20"/>
              </w:rPr>
            </w:pPr>
            <w:r w:rsidRPr="0042290C">
              <w:rPr>
                <w:rFonts w:ascii="Arial Narrow" w:hAnsi="Arial Narrow" w:cs="Calibri"/>
                <w:b/>
                <w:bCs/>
                <w:color w:val="000000"/>
                <w:sz w:val="20"/>
              </w:rPr>
              <w:t>2023</w:t>
            </w:r>
          </w:p>
        </w:tc>
        <w:tc>
          <w:tcPr>
            <w:tcW w:w="1095" w:type="dxa"/>
            <w:tcBorders>
              <w:bottom w:val="single" w:sz="4" w:space="0" w:color="auto"/>
            </w:tcBorders>
            <w:noWrap/>
            <w:vAlign w:val="center"/>
            <w:hideMark/>
          </w:tcPr>
          <w:p w14:paraId="6DFAC524" w14:textId="77777777" w:rsidR="007C6C75" w:rsidRPr="0042290C" w:rsidRDefault="007C6C75" w:rsidP="007C6C75">
            <w:pPr>
              <w:spacing w:before="40" w:after="40"/>
              <w:jc w:val="center"/>
              <w:rPr>
                <w:rFonts w:ascii="Arial Narrow" w:hAnsi="Arial Narrow" w:cs="Calibri"/>
                <w:b/>
                <w:bCs/>
                <w:color w:val="000000"/>
                <w:sz w:val="20"/>
              </w:rPr>
            </w:pPr>
            <w:r w:rsidRPr="0042290C">
              <w:rPr>
                <w:rFonts w:ascii="Arial Narrow" w:hAnsi="Arial Narrow" w:cs="Calibri"/>
                <w:b/>
                <w:bCs/>
                <w:color w:val="000000"/>
                <w:sz w:val="20"/>
              </w:rPr>
              <w:t>2024</w:t>
            </w:r>
          </w:p>
        </w:tc>
        <w:tc>
          <w:tcPr>
            <w:tcW w:w="1096" w:type="dxa"/>
            <w:tcBorders>
              <w:bottom w:val="single" w:sz="4" w:space="0" w:color="auto"/>
            </w:tcBorders>
            <w:noWrap/>
            <w:vAlign w:val="center"/>
            <w:hideMark/>
          </w:tcPr>
          <w:p w14:paraId="4869E319" w14:textId="77777777" w:rsidR="007C6C75" w:rsidRPr="0042290C" w:rsidRDefault="007C6C75" w:rsidP="007C6C75">
            <w:pPr>
              <w:spacing w:before="40" w:after="40"/>
              <w:jc w:val="center"/>
              <w:rPr>
                <w:rFonts w:ascii="Arial Narrow" w:hAnsi="Arial Narrow" w:cs="Calibri"/>
                <w:b/>
                <w:bCs/>
                <w:color w:val="000000"/>
                <w:sz w:val="20"/>
              </w:rPr>
            </w:pPr>
            <w:r w:rsidRPr="0042290C">
              <w:rPr>
                <w:rFonts w:ascii="Arial Narrow" w:hAnsi="Arial Narrow" w:cs="Calibri"/>
                <w:b/>
                <w:bCs/>
                <w:color w:val="000000"/>
                <w:sz w:val="20"/>
              </w:rPr>
              <w:t>2025</w:t>
            </w:r>
          </w:p>
        </w:tc>
      </w:tr>
      <w:tr w:rsidR="007C6C75" w:rsidRPr="0042290C" w14:paraId="07F580FE" w14:textId="77777777" w:rsidTr="007C6C75">
        <w:trPr>
          <w:trHeight w:val="290"/>
        </w:trPr>
        <w:tc>
          <w:tcPr>
            <w:tcW w:w="9016" w:type="dxa"/>
            <w:gridSpan w:val="6"/>
            <w:tcBorders>
              <w:top w:val="single" w:sz="4" w:space="0" w:color="auto"/>
              <w:left w:val="single" w:sz="4" w:space="0" w:color="auto"/>
              <w:bottom w:val="single" w:sz="4" w:space="0" w:color="auto"/>
              <w:right w:val="single" w:sz="4" w:space="0" w:color="auto"/>
            </w:tcBorders>
            <w:noWrap/>
            <w:vAlign w:val="center"/>
            <w:hideMark/>
          </w:tcPr>
          <w:p w14:paraId="4D2B0F44" w14:textId="77777777" w:rsidR="007C6C75" w:rsidRPr="0042290C" w:rsidRDefault="007C6C75" w:rsidP="007C6C75">
            <w:pPr>
              <w:spacing w:before="40" w:after="40"/>
              <w:rPr>
                <w:rFonts w:ascii="Arial Narrow" w:hAnsi="Arial Narrow" w:cs="Calibri"/>
                <w:b/>
                <w:bCs/>
                <w:color w:val="000000"/>
                <w:sz w:val="20"/>
              </w:rPr>
            </w:pPr>
            <w:r w:rsidRPr="0042290C">
              <w:rPr>
                <w:rFonts w:ascii="Arial Narrow" w:hAnsi="Arial Narrow" w:cs="Calibri"/>
                <w:b/>
                <w:bCs/>
                <w:color w:val="000000"/>
                <w:sz w:val="20"/>
              </w:rPr>
              <w:t xml:space="preserve">NCSP MBS financial </w:t>
            </w:r>
            <w:r>
              <w:rPr>
                <w:rFonts w:ascii="Arial Narrow" w:hAnsi="Arial Narrow" w:cs="Calibri"/>
                <w:b/>
                <w:bCs/>
                <w:color w:val="000000"/>
                <w:sz w:val="20"/>
              </w:rPr>
              <w:t>implications</w:t>
            </w:r>
          </w:p>
        </w:tc>
      </w:tr>
      <w:tr w:rsidR="007C6C75" w:rsidRPr="0042290C" w14:paraId="4EC348A4" w14:textId="77777777" w:rsidTr="007C6C75">
        <w:trPr>
          <w:trHeight w:val="20"/>
        </w:trPr>
        <w:tc>
          <w:tcPr>
            <w:tcW w:w="3539" w:type="dxa"/>
            <w:tcBorders>
              <w:top w:val="single" w:sz="4" w:space="0" w:color="auto"/>
            </w:tcBorders>
            <w:vAlign w:val="center"/>
            <w:hideMark/>
          </w:tcPr>
          <w:p w14:paraId="70624937"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Clinician-collected primary HPV test (73070)</w:t>
            </w:r>
          </w:p>
        </w:tc>
        <w:tc>
          <w:tcPr>
            <w:tcW w:w="1095" w:type="dxa"/>
            <w:tcBorders>
              <w:top w:val="single" w:sz="4" w:space="0" w:color="auto"/>
            </w:tcBorders>
            <w:noWrap/>
            <w:vAlign w:val="center"/>
            <w:hideMark/>
          </w:tcPr>
          <w:p w14:paraId="059FC4F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-$86,542</w:t>
            </w:r>
          </w:p>
        </w:tc>
        <w:tc>
          <w:tcPr>
            <w:tcW w:w="1095" w:type="dxa"/>
            <w:tcBorders>
              <w:top w:val="single" w:sz="4" w:space="0" w:color="auto"/>
            </w:tcBorders>
            <w:noWrap/>
            <w:vAlign w:val="center"/>
            <w:hideMark/>
          </w:tcPr>
          <w:p w14:paraId="5D54B0B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-$131,674</w:t>
            </w:r>
          </w:p>
        </w:tc>
        <w:tc>
          <w:tcPr>
            <w:tcW w:w="1096" w:type="dxa"/>
            <w:tcBorders>
              <w:top w:val="single" w:sz="4" w:space="0" w:color="auto"/>
            </w:tcBorders>
            <w:noWrap/>
            <w:vAlign w:val="center"/>
            <w:hideMark/>
          </w:tcPr>
          <w:p w14:paraId="150C4D0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-$200,247</w:t>
            </w:r>
          </w:p>
        </w:tc>
        <w:tc>
          <w:tcPr>
            <w:tcW w:w="1095" w:type="dxa"/>
            <w:tcBorders>
              <w:top w:val="single" w:sz="4" w:space="0" w:color="auto"/>
            </w:tcBorders>
            <w:noWrap/>
            <w:vAlign w:val="center"/>
            <w:hideMark/>
          </w:tcPr>
          <w:p w14:paraId="13F3B24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-$304,491</w:t>
            </w:r>
          </w:p>
        </w:tc>
        <w:tc>
          <w:tcPr>
            <w:tcW w:w="1096" w:type="dxa"/>
            <w:tcBorders>
              <w:top w:val="single" w:sz="4" w:space="0" w:color="auto"/>
            </w:tcBorders>
            <w:noWrap/>
            <w:vAlign w:val="center"/>
            <w:hideMark/>
          </w:tcPr>
          <w:p w14:paraId="070B1222"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-$462,851</w:t>
            </w:r>
          </w:p>
        </w:tc>
      </w:tr>
      <w:tr w:rsidR="007C6C75" w:rsidRPr="0042290C" w14:paraId="5AB18112" w14:textId="77777777" w:rsidTr="007C6C75">
        <w:trPr>
          <w:trHeight w:val="20"/>
        </w:trPr>
        <w:tc>
          <w:tcPr>
            <w:tcW w:w="3539" w:type="dxa"/>
            <w:vAlign w:val="center"/>
            <w:hideMark/>
          </w:tcPr>
          <w:p w14:paraId="34C68E73"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Self-collected primary HPV test (73071)</w:t>
            </w:r>
          </w:p>
        </w:tc>
        <w:tc>
          <w:tcPr>
            <w:tcW w:w="1095" w:type="dxa"/>
            <w:noWrap/>
            <w:vAlign w:val="center"/>
            <w:hideMark/>
          </w:tcPr>
          <w:p w14:paraId="4053A792"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$186,473</w:t>
            </w:r>
          </w:p>
        </w:tc>
        <w:tc>
          <w:tcPr>
            <w:tcW w:w="1095" w:type="dxa"/>
            <w:noWrap/>
            <w:vAlign w:val="center"/>
            <w:hideMark/>
          </w:tcPr>
          <w:p w14:paraId="6450650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$285,635</w:t>
            </w:r>
          </w:p>
        </w:tc>
        <w:tc>
          <w:tcPr>
            <w:tcW w:w="1096" w:type="dxa"/>
            <w:noWrap/>
            <w:vAlign w:val="center"/>
            <w:hideMark/>
          </w:tcPr>
          <w:p w14:paraId="7B419BD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$437,118</w:t>
            </w:r>
          </w:p>
        </w:tc>
        <w:tc>
          <w:tcPr>
            <w:tcW w:w="1095" w:type="dxa"/>
            <w:noWrap/>
            <w:vAlign w:val="center"/>
            <w:hideMark/>
          </w:tcPr>
          <w:p w14:paraId="1F041AB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$668,408</w:t>
            </w:r>
          </w:p>
        </w:tc>
        <w:tc>
          <w:tcPr>
            <w:tcW w:w="1096" w:type="dxa"/>
            <w:noWrap/>
            <w:vAlign w:val="center"/>
            <w:hideMark/>
          </w:tcPr>
          <w:p w14:paraId="7B828EE9"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$1,021,198</w:t>
            </w:r>
          </w:p>
        </w:tc>
      </w:tr>
      <w:tr w:rsidR="007C6C75" w:rsidRPr="0042290C" w14:paraId="161B3D4A" w14:textId="77777777" w:rsidTr="007C6C75">
        <w:trPr>
          <w:trHeight w:val="20"/>
        </w:trPr>
        <w:tc>
          <w:tcPr>
            <w:tcW w:w="3539" w:type="dxa"/>
            <w:vAlign w:val="center"/>
            <w:hideMark/>
          </w:tcPr>
          <w:p w14:paraId="66B17644"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Follow-up HPV test (73072)</w:t>
            </w:r>
          </w:p>
        </w:tc>
        <w:tc>
          <w:tcPr>
            <w:tcW w:w="1095" w:type="dxa"/>
            <w:noWrap/>
            <w:vAlign w:val="center"/>
            <w:hideMark/>
          </w:tcPr>
          <w:p w14:paraId="4112E9AB"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-$43</w:t>
            </w:r>
          </w:p>
        </w:tc>
        <w:tc>
          <w:tcPr>
            <w:tcW w:w="1095" w:type="dxa"/>
            <w:noWrap/>
            <w:vAlign w:val="center"/>
            <w:hideMark/>
          </w:tcPr>
          <w:p w14:paraId="0D9B0C3B"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$8,322</w:t>
            </w:r>
          </w:p>
        </w:tc>
        <w:tc>
          <w:tcPr>
            <w:tcW w:w="1096" w:type="dxa"/>
            <w:noWrap/>
            <w:vAlign w:val="center"/>
            <w:hideMark/>
          </w:tcPr>
          <w:p w14:paraId="1030F560"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$13,485</w:t>
            </w:r>
          </w:p>
        </w:tc>
        <w:tc>
          <w:tcPr>
            <w:tcW w:w="1095" w:type="dxa"/>
            <w:noWrap/>
            <w:vAlign w:val="center"/>
            <w:hideMark/>
          </w:tcPr>
          <w:p w14:paraId="4142115B"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$20,692</w:t>
            </w:r>
          </w:p>
        </w:tc>
        <w:tc>
          <w:tcPr>
            <w:tcW w:w="1096" w:type="dxa"/>
            <w:noWrap/>
            <w:vAlign w:val="center"/>
            <w:hideMark/>
          </w:tcPr>
          <w:p w14:paraId="1EA0B3B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$31,743</w:t>
            </w:r>
          </w:p>
        </w:tc>
      </w:tr>
      <w:tr w:rsidR="007C6C75" w:rsidRPr="0042290C" w14:paraId="2987E5FF" w14:textId="77777777" w:rsidTr="007C6C75">
        <w:trPr>
          <w:trHeight w:val="20"/>
        </w:trPr>
        <w:tc>
          <w:tcPr>
            <w:tcW w:w="3539" w:type="dxa"/>
            <w:vAlign w:val="center"/>
            <w:hideMark/>
          </w:tcPr>
          <w:p w14:paraId="2E0AF023"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Test of cure hysterectomy (73074)</w:t>
            </w:r>
          </w:p>
        </w:tc>
        <w:tc>
          <w:tcPr>
            <w:tcW w:w="1095" w:type="dxa"/>
            <w:noWrap/>
            <w:vAlign w:val="center"/>
            <w:hideMark/>
          </w:tcPr>
          <w:p w14:paraId="74AB47A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$0</w:t>
            </w:r>
          </w:p>
        </w:tc>
        <w:tc>
          <w:tcPr>
            <w:tcW w:w="1095" w:type="dxa"/>
            <w:noWrap/>
            <w:vAlign w:val="center"/>
            <w:hideMark/>
          </w:tcPr>
          <w:p w14:paraId="69E8C2CF"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$30</w:t>
            </w:r>
          </w:p>
        </w:tc>
        <w:tc>
          <w:tcPr>
            <w:tcW w:w="1096" w:type="dxa"/>
            <w:noWrap/>
            <w:vAlign w:val="center"/>
            <w:hideMark/>
          </w:tcPr>
          <w:p w14:paraId="218663D5"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$60</w:t>
            </w:r>
          </w:p>
        </w:tc>
        <w:tc>
          <w:tcPr>
            <w:tcW w:w="1095" w:type="dxa"/>
            <w:noWrap/>
            <w:vAlign w:val="center"/>
            <w:hideMark/>
          </w:tcPr>
          <w:p w14:paraId="3BB093AF"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$149</w:t>
            </w:r>
          </w:p>
        </w:tc>
        <w:tc>
          <w:tcPr>
            <w:tcW w:w="1096" w:type="dxa"/>
            <w:noWrap/>
            <w:vAlign w:val="center"/>
            <w:hideMark/>
          </w:tcPr>
          <w:p w14:paraId="001E67F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$208</w:t>
            </w:r>
          </w:p>
        </w:tc>
      </w:tr>
      <w:tr w:rsidR="007C6C75" w:rsidRPr="0042290C" w14:paraId="00C68CDD" w14:textId="77777777" w:rsidTr="007C6C75">
        <w:trPr>
          <w:trHeight w:val="20"/>
        </w:trPr>
        <w:tc>
          <w:tcPr>
            <w:tcW w:w="3539" w:type="dxa"/>
            <w:vAlign w:val="center"/>
            <w:hideMark/>
          </w:tcPr>
          <w:p w14:paraId="5D8F2AFF"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HPV re-test (unsatisfactory) (73075)</w:t>
            </w:r>
          </w:p>
        </w:tc>
        <w:tc>
          <w:tcPr>
            <w:tcW w:w="1095" w:type="dxa"/>
            <w:noWrap/>
            <w:vAlign w:val="center"/>
            <w:hideMark/>
          </w:tcPr>
          <w:p w14:paraId="58716C2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$6,268</w:t>
            </w:r>
          </w:p>
        </w:tc>
        <w:tc>
          <w:tcPr>
            <w:tcW w:w="1095" w:type="dxa"/>
            <w:noWrap/>
            <w:vAlign w:val="center"/>
            <w:hideMark/>
          </w:tcPr>
          <w:p w14:paraId="124FD7A3"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$9,601</w:t>
            </w:r>
          </w:p>
        </w:tc>
        <w:tc>
          <w:tcPr>
            <w:tcW w:w="1096" w:type="dxa"/>
            <w:noWrap/>
            <w:vAlign w:val="center"/>
            <w:hideMark/>
          </w:tcPr>
          <w:p w14:paraId="1C10412A"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$14,693</w:t>
            </w:r>
          </w:p>
        </w:tc>
        <w:tc>
          <w:tcPr>
            <w:tcW w:w="1095" w:type="dxa"/>
            <w:noWrap/>
            <w:vAlign w:val="center"/>
            <w:hideMark/>
          </w:tcPr>
          <w:p w14:paraId="36A09D8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$22,467</w:t>
            </w:r>
          </w:p>
        </w:tc>
        <w:tc>
          <w:tcPr>
            <w:tcW w:w="1096" w:type="dxa"/>
            <w:noWrap/>
            <w:vAlign w:val="center"/>
            <w:hideMark/>
          </w:tcPr>
          <w:p w14:paraId="4AC849D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$34,326</w:t>
            </w:r>
          </w:p>
        </w:tc>
      </w:tr>
      <w:tr w:rsidR="007C6C75" w:rsidRPr="0042290C" w14:paraId="671E328A" w14:textId="77777777" w:rsidTr="007C6C75">
        <w:trPr>
          <w:trHeight w:val="20"/>
        </w:trPr>
        <w:tc>
          <w:tcPr>
            <w:tcW w:w="3539" w:type="dxa"/>
            <w:vAlign w:val="center"/>
            <w:hideMark/>
          </w:tcPr>
          <w:p w14:paraId="5C16AB23"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LBC test (including unsatisfactory) (73076)</w:t>
            </w:r>
          </w:p>
        </w:tc>
        <w:tc>
          <w:tcPr>
            <w:tcW w:w="1095" w:type="dxa"/>
            <w:noWrap/>
            <w:vAlign w:val="center"/>
            <w:hideMark/>
          </w:tcPr>
          <w:p w14:paraId="6CB04809"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$2,034</w:t>
            </w:r>
          </w:p>
        </w:tc>
        <w:tc>
          <w:tcPr>
            <w:tcW w:w="1095" w:type="dxa"/>
            <w:noWrap/>
            <w:vAlign w:val="center"/>
            <w:hideMark/>
          </w:tcPr>
          <w:p w14:paraId="41C88345"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-$262</w:t>
            </w:r>
          </w:p>
        </w:tc>
        <w:tc>
          <w:tcPr>
            <w:tcW w:w="1096" w:type="dxa"/>
            <w:noWrap/>
            <w:vAlign w:val="center"/>
            <w:hideMark/>
          </w:tcPr>
          <w:p w14:paraId="4460CD9A"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$677</w:t>
            </w:r>
          </w:p>
        </w:tc>
        <w:tc>
          <w:tcPr>
            <w:tcW w:w="1095" w:type="dxa"/>
            <w:noWrap/>
            <w:vAlign w:val="center"/>
            <w:hideMark/>
          </w:tcPr>
          <w:p w14:paraId="50BC5720"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$1,367</w:t>
            </w:r>
          </w:p>
        </w:tc>
        <w:tc>
          <w:tcPr>
            <w:tcW w:w="1096" w:type="dxa"/>
            <w:noWrap/>
            <w:vAlign w:val="center"/>
            <w:hideMark/>
          </w:tcPr>
          <w:p w14:paraId="646739B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$2,305</w:t>
            </w:r>
          </w:p>
        </w:tc>
      </w:tr>
      <w:tr w:rsidR="007C6C75" w:rsidRPr="0042290C" w14:paraId="7314ED9B" w14:textId="77777777" w:rsidTr="007C6C75">
        <w:trPr>
          <w:trHeight w:val="20"/>
        </w:trPr>
        <w:tc>
          <w:tcPr>
            <w:tcW w:w="3539" w:type="dxa"/>
            <w:vAlign w:val="center"/>
            <w:hideMark/>
          </w:tcPr>
          <w:p w14:paraId="0C85CB27"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Professional attendance items</w:t>
            </w:r>
          </w:p>
        </w:tc>
        <w:tc>
          <w:tcPr>
            <w:tcW w:w="1095" w:type="dxa"/>
            <w:noWrap/>
            <w:vAlign w:val="center"/>
            <w:hideMark/>
          </w:tcPr>
          <w:p w14:paraId="03CF43AE"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$160,060</w:t>
            </w:r>
          </w:p>
        </w:tc>
        <w:tc>
          <w:tcPr>
            <w:tcW w:w="1095" w:type="dxa"/>
            <w:noWrap/>
            <w:vAlign w:val="center"/>
            <w:hideMark/>
          </w:tcPr>
          <w:p w14:paraId="416419A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$254,508</w:t>
            </w:r>
          </w:p>
        </w:tc>
        <w:tc>
          <w:tcPr>
            <w:tcW w:w="1096" w:type="dxa"/>
            <w:noWrap/>
            <w:vAlign w:val="center"/>
            <w:hideMark/>
          </w:tcPr>
          <w:p w14:paraId="3838819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$392,699</w:t>
            </w:r>
          </w:p>
        </w:tc>
        <w:tc>
          <w:tcPr>
            <w:tcW w:w="1095" w:type="dxa"/>
            <w:noWrap/>
            <w:vAlign w:val="center"/>
            <w:hideMark/>
          </w:tcPr>
          <w:p w14:paraId="6AD075F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$603,455</w:t>
            </w:r>
          </w:p>
        </w:tc>
        <w:tc>
          <w:tcPr>
            <w:tcW w:w="1096" w:type="dxa"/>
            <w:noWrap/>
            <w:vAlign w:val="center"/>
            <w:hideMark/>
          </w:tcPr>
          <w:p w14:paraId="5A4A651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$925,944</w:t>
            </w:r>
          </w:p>
        </w:tc>
      </w:tr>
      <w:tr w:rsidR="007C6C75" w:rsidRPr="0042290C" w14:paraId="7A79C675" w14:textId="77777777" w:rsidTr="007C6C75">
        <w:trPr>
          <w:trHeight w:val="20"/>
        </w:trPr>
        <w:tc>
          <w:tcPr>
            <w:tcW w:w="3539" w:type="dxa"/>
            <w:vAlign w:val="center"/>
            <w:hideMark/>
          </w:tcPr>
          <w:p w14:paraId="04EC53BD"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PEI specimen collection (73938)</w:t>
            </w:r>
          </w:p>
        </w:tc>
        <w:tc>
          <w:tcPr>
            <w:tcW w:w="1095" w:type="dxa"/>
            <w:noWrap/>
            <w:vAlign w:val="center"/>
            <w:hideMark/>
          </w:tcPr>
          <w:p w14:paraId="79553A05"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$24,106</w:t>
            </w:r>
          </w:p>
        </w:tc>
        <w:tc>
          <w:tcPr>
            <w:tcW w:w="1095" w:type="dxa"/>
            <w:noWrap/>
            <w:vAlign w:val="center"/>
            <w:hideMark/>
          </w:tcPr>
          <w:p w14:paraId="559FD32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$39,054</w:t>
            </w:r>
          </w:p>
        </w:tc>
        <w:tc>
          <w:tcPr>
            <w:tcW w:w="1096" w:type="dxa"/>
            <w:noWrap/>
            <w:vAlign w:val="center"/>
            <w:hideMark/>
          </w:tcPr>
          <w:p w14:paraId="6F73F9B2"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$60,227</w:t>
            </w:r>
          </w:p>
        </w:tc>
        <w:tc>
          <w:tcPr>
            <w:tcW w:w="1095" w:type="dxa"/>
            <w:noWrap/>
            <w:vAlign w:val="center"/>
            <w:hideMark/>
          </w:tcPr>
          <w:p w14:paraId="4F3F17E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$92,516</w:t>
            </w:r>
          </w:p>
        </w:tc>
        <w:tc>
          <w:tcPr>
            <w:tcW w:w="1096" w:type="dxa"/>
            <w:noWrap/>
            <w:vAlign w:val="center"/>
            <w:hideMark/>
          </w:tcPr>
          <w:p w14:paraId="4284C4A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$141,913</w:t>
            </w:r>
          </w:p>
        </w:tc>
      </w:tr>
      <w:tr w:rsidR="007C6C75" w:rsidRPr="0042290C" w14:paraId="7D068158" w14:textId="77777777" w:rsidTr="007C6C75">
        <w:trPr>
          <w:trHeight w:val="20"/>
        </w:trPr>
        <w:tc>
          <w:tcPr>
            <w:tcW w:w="3539" w:type="dxa"/>
            <w:vAlign w:val="center"/>
            <w:hideMark/>
          </w:tcPr>
          <w:p w14:paraId="2CBF7DC0" w14:textId="77777777" w:rsidR="007C6C75" w:rsidRPr="0042290C" w:rsidRDefault="007C6C75" w:rsidP="007C6C75">
            <w:pPr>
              <w:spacing w:before="40" w:after="40"/>
              <w:rPr>
                <w:rFonts w:ascii="Arial Narrow" w:hAnsi="Arial Narrow" w:cs="Calibri"/>
                <w:color w:val="000000"/>
                <w:sz w:val="20"/>
              </w:rPr>
            </w:pPr>
            <w:r w:rsidRPr="0042290C">
              <w:rPr>
                <w:rFonts w:ascii="Arial Narrow" w:hAnsi="Arial Narrow" w:cs="Calibri"/>
                <w:color w:val="000000"/>
                <w:sz w:val="20"/>
              </w:rPr>
              <w:t>BBI associated with specimen collection (74998)</w:t>
            </w:r>
          </w:p>
        </w:tc>
        <w:tc>
          <w:tcPr>
            <w:tcW w:w="1095" w:type="dxa"/>
            <w:noWrap/>
            <w:vAlign w:val="center"/>
            <w:hideMark/>
          </w:tcPr>
          <w:p w14:paraId="4948035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$6,026</w:t>
            </w:r>
          </w:p>
        </w:tc>
        <w:tc>
          <w:tcPr>
            <w:tcW w:w="1095" w:type="dxa"/>
            <w:noWrap/>
            <w:vAlign w:val="center"/>
            <w:hideMark/>
          </w:tcPr>
          <w:p w14:paraId="6AB5239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$9,763</w:t>
            </w:r>
          </w:p>
        </w:tc>
        <w:tc>
          <w:tcPr>
            <w:tcW w:w="1096" w:type="dxa"/>
            <w:noWrap/>
            <w:vAlign w:val="center"/>
            <w:hideMark/>
          </w:tcPr>
          <w:p w14:paraId="4222D21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$15,057</w:t>
            </w:r>
          </w:p>
        </w:tc>
        <w:tc>
          <w:tcPr>
            <w:tcW w:w="1095" w:type="dxa"/>
            <w:noWrap/>
            <w:vAlign w:val="center"/>
            <w:hideMark/>
          </w:tcPr>
          <w:p w14:paraId="4CE2705B"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$23,130</w:t>
            </w:r>
          </w:p>
        </w:tc>
        <w:tc>
          <w:tcPr>
            <w:tcW w:w="1096" w:type="dxa"/>
            <w:noWrap/>
            <w:vAlign w:val="center"/>
            <w:hideMark/>
          </w:tcPr>
          <w:p w14:paraId="25FD2F2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$35,477</w:t>
            </w:r>
          </w:p>
        </w:tc>
      </w:tr>
      <w:tr w:rsidR="007C6C75" w:rsidRPr="0042290C" w14:paraId="10061949" w14:textId="77777777" w:rsidTr="007C6C75">
        <w:trPr>
          <w:trHeight w:val="20"/>
        </w:trPr>
        <w:tc>
          <w:tcPr>
            <w:tcW w:w="3539" w:type="dxa"/>
            <w:tcBorders>
              <w:bottom w:val="single" w:sz="4" w:space="0" w:color="auto"/>
            </w:tcBorders>
            <w:noWrap/>
            <w:vAlign w:val="center"/>
            <w:hideMark/>
          </w:tcPr>
          <w:p w14:paraId="7D9D042D" w14:textId="77777777" w:rsidR="007C6C75" w:rsidRPr="0042290C" w:rsidRDefault="007C6C75" w:rsidP="007C6C75">
            <w:pPr>
              <w:spacing w:before="40" w:after="40"/>
              <w:rPr>
                <w:rFonts w:ascii="Arial Narrow" w:hAnsi="Arial Narrow" w:cs="Calibri"/>
                <w:b/>
                <w:bCs/>
                <w:color w:val="000000"/>
                <w:sz w:val="20"/>
              </w:rPr>
            </w:pPr>
            <w:r w:rsidRPr="0042290C">
              <w:rPr>
                <w:rFonts w:ascii="Arial Narrow" w:hAnsi="Arial Narrow" w:cs="Calibri"/>
                <w:b/>
                <w:bCs/>
                <w:color w:val="000000"/>
                <w:sz w:val="20"/>
              </w:rPr>
              <w:t>Total</w:t>
            </w:r>
          </w:p>
        </w:tc>
        <w:tc>
          <w:tcPr>
            <w:tcW w:w="1095" w:type="dxa"/>
            <w:tcBorders>
              <w:bottom w:val="single" w:sz="4" w:space="0" w:color="auto"/>
            </w:tcBorders>
            <w:noWrap/>
            <w:vAlign w:val="center"/>
            <w:hideMark/>
          </w:tcPr>
          <w:p w14:paraId="0BB63241"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$298,383</w:t>
            </w:r>
          </w:p>
        </w:tc>
        <w:tc>
          <w:tcPr>
            <w:tcW w:w="1095" w:type="dxa"/>
            <w:tcBorders>
              <w:bottom w:val="single" w:sz="4" w:space="0" w:color="auto"/>
            </w:tcBorders>
            <w:noWrap/>
            <w:vAlign w:val="center"/>
            <w:hideMark/>
          </w:tcPr>
          <w:p w14:paraId="67B29D7C"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$474,977</w:t>
            </w:r>
          </w:p>
        </w:tc>
        <w:tc>
          <w:tcPr>
            <w:tcW w:w="1096" w:type="dxa"/>
            <w:tcBorders>
              <w:bottom w:val="single" w:sz="4" w:space="0" w:color="auto"/>
            </w:tcBorders>
            <w:noWrap/>
            <w:vAlign w:val="center"/>
            <w:hideMark/>
          </w:tcPr>
          <w:p w14:paraId="4A508EE3"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$733,770</w:t>
            </w:r>
          </w:p>
        </w:tc>
        <w:tc>
          <w:tcPr>
            <w:tcW w:w="1095" w:type="dxa"/>
            <w:tcBorders>
              <w:bottom w:val="single" w:sz="4" w:space="0" w:color="auto"/>
            </w:tcBorders>
            <w:noWrap/>
            <w:vAlign w:val="center"/>
            <w:hideMark/>
          </w:tcPr>
          <w:p w14:paraId="0F868970"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$1,127,692</w:t>
            </w:r>
          </w:p>
        </w:tc>
        <w:tc>
          <w:tcPr>
            <w:tcW w:w="1096" w:type="dxa"/>
            <w:tcBorders>
              <w:bottom w:val="single" w:sz="4" w:space="0" w:color="auto"/>
            </w:tcBorders>
            <w:noWrap/>
            <w:vAlign w:val="center"/>
            <w:hideMark/>
          </w:tcPr>
          <w:p w14:paraId="3753418A"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$1,730,262</w:t>
            </w:r>
          </w:p>
        </w:tc>
      </w:tr>
      <w:tr w:rsidR="007C6C75" w:rsidRPr="001B7715" w14:paraId="33D1E26F" w14:textId="77777777" w:rsidTr="007C6C75">
        <w:trPr>
          <w:trHeight w:val="20"/>
        </w:trPr>
        <w:tc>
          <w:tcPr>
            <w:tcW w:w="9016" w:type="dxa"/>
            <w:gridSpan w:val="6"/>
            <w:tcBorders>
              <w:top w:val="single" w:sz="4" w:space="0" w:color="auto"/>
              <w:left w:val="single" w:sz="4" w:space="0" w:color="auto"/>
              <w:bottom w:val="single" w:sz="4" w:space="0" w:color="auto"/>
              <w:right w:val="single" w:sz="4" w:space="0" w:color="auto"/>
            </w:tcBorders>
            <w:noWrap/>
            <w:vAlign w:val="center"/>
            <w:hideMark/>
          </w:tcPr>
          <w:p w14:paraId="5504CA4E" w14:textId="77777777" w:rsidR="007C6C75" w:rsidRPr="001B7715" w:rsidRDefault="007C6C75" w:rsidP="007C6C75">
            <w:pPr>
              <w:spacing w:before="40" w:after="40"/>
              <w:rPr>
                <w:rFonts w:ascii="Arial Narrow" w:hAnsi="Arial Narrow" w:cs="Calibri"/>
                <w:color w:val="000000"/>
                <w:lang w:val="fr-FR"/>
              </w:rPr>
            </w:pPr>
            <w:r w:rsidRPr="001B7715">
              <w:rPr>
                <w:rFonts w:ascii="Arial Narrow" w:hAnsi="Arial Narrow" w:cs="Calibri"/>
                <w:b/>
                <w:bCs/>
                <w:color w:val="000000"/>
                <w:sz w:val="20"/>
                <w:lang w:val="fr-FR"/>
              </w:rPr>
              <w:t xml:space="preserve">Post-NCSP MBS </w:t>
            </w:r>
            <w:proofErr w:type="spellStart"/>
            <w:r w:rsidRPr="001B7715">
              <w:rPr>
                <w:rFonts w:ascii="Arial Narrow" w:hAnsi="Arial Narrow" w:cs="Calibri"/>
                <w:b/>
                <w:bCs/>
                <w:color w:val="000000"/>
                <w:sz w:val="20"/>
                <w:lang w:val="fr-FR"/>
              </w:rPr>
              <w:t>financial</w:t>
            </w:r>
            <w:proofErr w:type="spellEnd"/>
            <w:r w:rsidRPr="001B7715">
              <w:rPr>
                <w:rFonts w:ascii="Arial Narrow" w:hAnsi="Arial Narrow" w:cs="Calibri"/>
                <w:b/>
                <w:bCs/>
                <w:color w:val="000000"/>
                <w:sz w:val="20"/>
                <w:lang w:val="fr-FR"/>
              </w:rPr>
              <w:t xml:space="preserve"> implications</w:t>
            </w:r>
          </w:p>
        </w:tc>
      </w:tr>
      <w:tr w:rsidR="007C6C75" w:rsidRPr="0042290C" w14:paraId="7DDB09FB" w14:textId="77777777" w:rsidTr="007C6C75">
        <w:trPr>
          <w:trHeight w:val="20"/>
        </w:trPr>
        <w:tc>
          <w:tcPr>
            <w:tcW w:w="3539" w:type="dxa"/>
            <w:tcBorders>
              <w:top w:val="single" w:sz="4" w:space="0" w:color="auto"/>
            </w:tcBorders>
            <w:vAlign w:val="center"/>
            <w:hideMark/>
          </w:tcPr>
          <w:p w14:paraId="15E89CD6"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LBC test (HPV positive presenting patients) (73076)</w:t>
            </w:r>
          </w:p>
        </w:tc>
        <w:tc>
          <w:tcPr>
            <w:tcW w:w="1095" w:type="dxa"/>
            <w:tcBorders>
              <w:top w:val="single" w:sz="4" w:space="0" w:color="auto"/>
            </w:tcBorders>
            <w:vAlign w:val="center"/>
            <w:hideMark/>
          </w:tcPr>
          <w:p w14:paraId="17D56F6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$7,859</w:t>
            </w:r>
          </w:p>
        </w:tc>
        <w:tc>
          <w:tcPr>
            <w:tcW w:w="1095" w:type="dxa"/>
            <w:tcBorders>
              <w:top w:val="single" w:sz="4" w:space="0" w:color="auto"/>
            </w:tcBorders>
            <w:vAlign w:val="center"/>
            <w:hideMark/>
          </w:tcPr>
          <w:p w14:paraId="7220461E"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$18,494</w:t>
            </w:r>
          </w:p>
        </w:tc>
        <w:tc>
          <w:tcPr>
            <w:tcW w:w="1096" w:type="dxa"/>
            <w:tcBorders>
              <w:top w:val="single" w:sz="4" w:space="0" w:color="auto"/>
            </w:tcBorders>
            <w:vAlign w:val="center"/>
            <w:hideMark/>
          </w:tcPr>
          <w:p w14:paraId="5B2EDC7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$28,308</w:t>
            </w:r>
          </w:p>
        </w:tc>
        <w:tc>
          <w:tcPr>
            <w:tcW w:w="1095" w:type="dxa"/>
            <w:tcBorders>
              <w:top w:val="single" w:sz="4" w:space="0" w:color="auto"/>
            </w:tcBorders>
            <w:vAlign w:val="center"/>
            <w:hideMark/>
          </w:tcPr>
          <w:p w14:paraId="2FCCACE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$43,245</w:t>
            </w:r>
          </w:p>
        </w:tc>
        <w:tc>
          <w:tcPr>
            <w:tcW w:w="1096" w:type="dxa"/>
            <w:tcBorders>
              <w:top w:val="single" w:sz="4" w:space="0" w:color="auto"/>
            </w:tcBorders>
            <w:vAlign w:val="center"/>
            <w:hideMark/>
          </w:tcPr>
          <w:p w14:paraId="5A11F46E"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$66,118</w:t>
            </w:r>
          </w:p>
        </w:tc>
      </w:tr>
      <w:tr w:rsidR="007C6C75" w:rsidRPr="0042290C" w14:paraId="61835B6C" w14:textId="77777777" w:rsidTr="007C6C75">
        <w:trPr>
          <w:trHeight w:val="20"/>
        </w:trPr>
        <w:tc>
          <w:tcPr>
            <w:tcW w:w="3539" w:type="dxa"/>
            <w:tcBorders>
              <w:top w:val="single" w:sz="4" w:space="0" w:color="auto"/>
            </w:tcBorders>
            <w:vAlign w:val="center"/>
          </w:tcPr>
          <w:p w14:paraId="571AE336"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Specialist consultation: initial (104)</w:t>
            </w:r>
          </w:p>
        </w:tc>
        <w:tc>
          <w:tcPr>
            <w:tcW w:w="1095" w:type="dxa"/>
            <w:tcBorders>
              <w:top w:val="single" w:sz="4" w:space="0" w:color="auto"/>
            </w:tcBorders>
            <w:vAlign w:val="center"/>
          </w:tcPr>
          <w:p w14:paraId="3D8B605D" w14:textId="77777777" w:rsidR="007C6C75"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$9,450</w:t>
            </w:r>
          </w:p>
        </w:tc>
        <w:tc>
          <w:tcPr>
            <w:tcW w:w="1095" w:type="dxa"/>
            <w:tcBorders>
              <w:top w:val="single" w:sz="4" w:space="0" w:color="auto"/>
            </w:tcBorders>
            <w:vAlign w:val="center"/>
          </w:tcPr>
          <w:p w14:paraId="26FCB025" w14:textId="77777777" w:rsidR="007C6C75"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$18,059</w:t>
            </w:r>
          </w:p>
        </w:tc>
        <w:tc>
          <w:tcPr>
            <w:tcW w:w="1096" w:type="dxa"/>
            <w:tcBorders>
              <w:top w:val="single" w:sz="4" w:space="0" w:color="auto"/>
            </w:tcBorders>
            <w:vAlign w:val="center"/>
          </w:tcPr>
          <w:p w14:paraId="46FE458C" w14:textId="77777777" w:rsidR="007C6C75"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$27,898</w:t>
            </w:r>
          </w:p>
        </w:tc>
        <w:tc>
          <w:tcPr>
            <w:tcW w:w="1095" w:type="dxa"/>
            <w:tcBorders>
              <w:top w:val="single" w:sz="4" w:space="0" w:color="auto"/>
            </w:tcBorders>
            <w:vAlign w:val="center"/>
          </w:tcPr>
          <w:p w14:paraId="23BED7FD" w14:textId="77777777" w:rsidR="007C6C75"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$42,720</w:t>
            </w:r>
          </w:p>
        </w:tc>
        <w:tc>
          <w:tcPr>
            <w:tcW w:w="1096" w:type="dxa"/>
            <w:tcBorders>
              <w:top w:val="single" w:sz="4" w:space="0" w:color="auto"/>
            </w:tcBorders>
            <w:vAlign w:val="center"/>
          </w:tcPr>
          <w:p w14:paraId="6B70CD5D" w14:textId="77777777" w:rsidR="007C6C75"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$65,634</w:t>
            </w:r>
          </w:p>
        </w:tc>
      </w:tr>
      <w:tr w:rsidR="007C6C75" w:rsidRPr="0042290C" w14:paraId="4EB21A63" w14:textId="77777777" w:rsidTr="007C6C75">
        <w:trPr>
          <w:trHeight w:val="20"/>
        </w:trPr>
        <w:tc>
          <w:tcPr>
            <w:tcW w:w="3539" w:type="dxa"/>
            <w:vAlign w:val="center"/>
            <w:hideMark/>
          </w:tcPr>
          <w:p w14:paraId="07573B25"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Specialist consultation: subsequent (105)</w:t>
            </w:r>
          </w:p>
        </w:tc>
        <w:tc>
          <w:tcPr>
            <w:tcW w:w="1095" w:type="dxa"/>
            <w:vAlign w:val="center"/>
            <w:hideMark/>
          </w:tcPr>
          <w:p w14:paraId="3884A60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$727</w:t>
            </w:r>
          </w:p>
        </w:tc>
        <w:tc>
          <w:tcPr>
            <w:tcW w:w="1095" w:type="dxa"/>
            <w:vAlign w:val="center"/>
            <w:hideMark/>
          </w:tcPr>
          <w:p w14:paraId="53E30F9F"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$1,301</w:t>
            </w:r>
          </w:p>
        </w:tc>
        <w:tc>
          <w:tcPr>
            <w:tcW w:w="1096" w:type="dxa"/>
            <w:vAlign w:val="center"/>
            <w:hideMark/>
          </w:tcPr>
          <w:p w14:paraId="48DB2ADE"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$1,913</w:t>
            </w:r>
          </w:p>
        </w:tc>
        <w:tc>
          <w:tcPr>
            <w:tcW w:w="1095" w:type="dxa"/>
            <w:vAlign w:val="center"/>
            <w:hideMark/>
          </w:tcPr>
          <w:p w14:paraId="1B0853E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$2,869</w:t>
            </w:r>
          </w:p>
        </w:tc>
        <w:tc>
          <w:tcPr>
            <w:tcW w:w="1096" w:type="dxa"/>
            <w:vAlign w:val="center"/>
            <w:hideMark/>
          </w:tcPr>
          <w:p w14:paraId="298782CF"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$4,437</w:t>
            </w:r>
          </w:p>
        </w:tc>
      </w:tr>
      <w:tr w:rsidR="007C6C75" w:rsidRPr="0042290C" w14:paraId="2A6079D8" w14:textId="77777777" w:rsidTr="007C6C75">
        <w:trPr>
          <w:trHeight w:val="20"/>
        </w:trPr>
        <w:tc>
          <w:tcPr>
            <w:tcW w:w="3539" w:type="dxa"/>
            <w:vAlign w:val="center"/>
            <w:hideMark/>
          </w:tcPr>
          <w:p w14:paraId="21AB23FB"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Colposcopy (35614)</w:t>
            </w:r>
          </w:p>
        </w:tc>
        <w:tc>
          <w:tcPr>
            <w:tcW w:w="1095" w:type="dxa"/>
            <w:vAlign w:val="center"/>
            <w:hideMark/>
          </w:tcPr>
          <w:p w14:paraId="3D9009C2"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$4,088</w:t>
            </w:r>
          </w:p>
        </w:tc>
        <w:tc>
          <w:tcPr>
            <w:tcW w:w="1095" w:type="dxa"/>
            <w:vAlign w:val="center"/>
            <w:hideMark/>
          </w:tcPr>
          <w:p w14:paraId="59D32C72"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$7,812</w:t>
            </w:r>
          </w:p>
        </w:tc>
        <w:tc>
          <w:tcPr>
            <w:tcW w:w="1096" w:type="dxa"/>
            <w:vAlign w:val="center"/>
            <w:hideMark/>
          </w:tcPr>
          <w:p w14:paraId="155CEA82"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$12,068</w:t>
            </w:r>
          </w:p>
        </w:tc>
        <w:tc>
          <w:tcPr>
            <w:tcW w:w="1095" w:type="dxa"/>
            <w:vAlign w:val="center"/>
            <w:hideMark/>
          </w:tcPr>
          <w:p w14:paraId="289D2F95"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$18,480</w:t>
            </w:r>
          </w:p>
        </w:tc>
        <w:tc>
          <w:tcPr>
            <w:tcW w:w="1096" w:type="dxa"/>
            <w:vAlign w:val="center"/>
            <w:hideMark/>
          </w:tcPr>
          <w:p w14:paraId="31371D01"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$28,392</w:t>
            </w:r>
          </w:p>
        </w:tc>
      </w:tr>
      <w:tr w:rsidR="007C6C75" w:rsidRPr="0042290C" w14:paraId="6237BBAD" w14:textId="77777777" w:rsidTr="007C6C75">
        <w:trPr>
          <w:trHeight w:val="20"/>
        </w:trPr>
        <w:tc>
          <w:tcPr>
            <w:tcW w:w="3539" w:type="dxa"/>
            <w:vAlign w:val="center"/>
            <w:hideMark/>
          </w:tcPr>
          <w:p w14:paraId="522F1C13"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Biopsy (35608)</w:t>
            </w:r>
          </w:p>
        </w:tc>
        <w:tc>
          <w:tcPr>
            <w:tcW w:w="1095" w:type="dxa"/>
            <w:vAlign w:val="center"/>
            <w:hideMark/>
          </w:tcPr>
          <w:p w14:paraId="7454DF1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$8,191</w:t>
            </w:r>
          </w:p>
        </w:tc>
        <w:tc>
          <w:tcPr>
            <w:tcW w:w="1095" w:type="dxa"/>
            <w:vAlign w:val="center"/>
            <w:hideMark/>
          </w:tcPr>
          <w:p w14:paraId="7700500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$15,652</w:t>
            </w:r>
          </w:p>
        </w:tc>
        <w:tc>
          <w:tcPr>
            <w:tcW w:w="1096" w:type="dxa"/>
            <w:vAlign w:val="center"/>
            <w:hideMark/>
          </w:tcPr>
          <w:p w14:paraId="620BC79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$24,179</w:t>
            </w:r>
          </w:p>
        </w:tc>
        <w:tc>
          <w:tcPr>
            <w:tcW w:w="1095" w:type="dxa"/>
            <w:vAlign w:val="center"/>
            <w:hideMark/>
          </w:tcPr>
          <w:p w14:paraId="78F4764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$37,026</w:t>
            </w:r>
          </w:p>
        </w:tc>
        <w:tc>
          <w:tcPr>
            <w:tcW w:w="1096" w:type="dxa"/>
            <w:vAlign w:val="center"/>
            <w:hideMark/>
          </w:tcPr>
          <w:p w14:paraId="556A186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$56,885</w:t>
            </w:r>
          </w:p>
        </w:tc>
      </w:tr>
      <w:tr w:rsidR="007C6C75" w:rsidRPr="0042290C" w14:paraId="152F3E94" w14:textId="77777777" w:rsidTr="007C6C75">
        <w:trPr>
          <w:trHeight w:val="20"/>
        </w:trPr>
        <w:tc>
          <w:tcPr>
            <w:tcW w:w="3539" w:type="dxa"/>
            <w:vAlign w:val="center"/>
            <w:hideMark/>
          </w:tcPr>
          <w:p w14:paraId="0F27D0E4"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Biopsy examination (72823)</w:t>
            </w:r>
          </w:p>
        </w:tc>
        <w:tc>
          <w:tcPr>
            <w:tcW w:w="1095" w:type="dxa"/>
            <w:vAlign w:val="center"/>
            <w:hideMark/>
          </w:tcPr>
          <w:p w14:paraId="058563AB"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$7,599</w:t>
            </w:r>
          </w:p>
        </w:tc>
        <w:tc>
          <w:tcPr>
            <w:tcW w:w="1095" w:type="dxa"/>
            <w:vAlign w:val="center"/>
            <w:hideMark/>
          </w:tcPr>
          <w:p w14:paraId="694D4A5F"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$14,455</w:t>
            </w:r>
          </w:p>
        </w:tc>
        <w:tc>
          <w:tcPr>
            <w:tcW w:w="1096" w:type="dxa"/>
            <w:vAlign w:val="center"/>
            <w:hideMark/>
          </w:tcPr>
          <w:p w14:paraId="552B01A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$22,467</w:t>
            </w:r>
          </w:p>
        </w:tc>
        <w:tc>
          <w:tcPr>
            <w:tcW w:w="1095" w:type="dxa"/>
            <w:vAlign w:val="center"/>
            <w:hideMark/>
          </w:tcPr>
          <w:p w14:paraId="6DEAD65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$34,196</w:t>
            </w:r>
          </w:p>
        </w:tc>
        <w:tc>
          <w:tcPr>
            <w:tcW w:w="1096" w:type="dxa"/>
            <w:vAlign w:val="center"/>
            <w:hideMark/>
          </w:tcPr>
          <w:p w14:paraId="652D47FA"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$52,699</w:t>
            </w:r>
          </w:p>
        </w:tc>
      </w:tr>
      <w:tr w:rsidR="007C6C75" w:rsidRPr="0042290C" w14:paraId="2EF7FFD8" w14:textId="77777777" w:rsidTr="007C6C75">
        <w:trPr>
          <w:trHeight w:val="20"/>
        </w:trPr>
        <w:tc>
          <w:tcPr>
            <w:tcW w:w="3539" w:type="dxa"/>
            <w:vAlign w:val="center"/>
            <w:hideMark/>
          </w:tcPr>
          <w:p w14:paraId="508077CD"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Biopsy examination (72824)</w:t>
            </w:r>
          </w:p>
        </w:tc>
        <w:tc>
          <w:tcPr>
            <w:tcW w:w="1095" w:type="dxa"/>
            <w:vAlign w:val="center"/>
            <w:hideMark/>
          </w:tcPr>
          <w:p w14:paraId="6B80CA9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$6,488</w:t>
            </w:r>
          </w:p>
        </w:tc>
        <w:tc>
          <w:tcPr>
            <w:tcW w:w="1095" w:type="dxa"/>
            <w:vAlign w:val="center"/>
            <w:hideMark/>
          </w:tcPr>
          <w:p w14:paraId="46E9CC64"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$12,496</w:t>
            </w:r>
          </w:p>
        </w:tc>
        <w:tc>
          <w:tcPr>
            <w:tcW w:w="1096" w:type="dxa"/>
            <w:vAlign w:val="center"/>
            <w:hideMark/>
          </w:tcPr>
          <w:p w14:paraId="1252ECC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$19,104</w:t>
            </w:r>
          </w:p>
        </w:tc>
        <w:tc>
          <w:tcPr>
            <w:tcW w:w="1095" w:type="dxa"/>
            <w:vAlign w:val="center"/>
            <w:hideMark/>
          </w:tcPr>
          <w:p w14:paraId="1252369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$29,557</w:t>
            </w:r>
          </w:p>
        </w:tc>
        <w:tc>
          <w:tcPr>
            <w:tcW w:w="1096" w:type="dxa"/>
            <w:vAlign w:val="center"/>
            <w:hideMark/>
          </w:tcPr>
          <w:p w14:paraId="7705A781"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$45,176</w:t>
            </w:r>
          </w:p>
        </w:tc>
      </w:tr>
      <w:tr w:rsidR="007C6C75" w:rsidRPr="0042290C" w14:paraId="29E015C5" w14:textId="77777777" w:rsidTr="007C6C75">
        <w:trPr>
          <w:trHeight w:val="20"/>
        </w:trPr>
        <w:tc>
          <w:tcPr>
            <w:tcW w:w="3539" w:type="dxa"/>
            <w:vAlign w:val="center"/>
            <w:hideMark/>
          </w:tcPr>
          <w:p w14:paraId="7B1EBE3B"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PEI biopsy (73926)</w:t>
            </w:r>
          </w:p>
        </w:tc>
        <w:tc>
          <w:tcPr>
            <w:tcW w:w="1095" w:type="dxa"/>
            <w:vAlign w:val="center"/>
            <w:hideMark/>
          </w:tcPr>
          <w:p w14:paraId="6574E98C"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$1,155</w:t>
            </w:r>
          </w:p>
        </w:tc>
        <w:tc>
          <w:tcPr>
            <w:tcW w:w="1095" w:type="dxa"/>
            <w:vAlign w:val="center"/>
            <w:hideMark/>
          </w:tcPr>
          <w:p w14:paraId="51309379"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$2,191</w:t>
            </w:r>
          </w:p>
        </w:tc>
        <w:tc>
          <w:tcPr>
            <w:tcW w:w="1096" w:type="dxa"/>
            <w:vAlign w:val="center"/>
            <w:hideMark/>
          </w:tcPr>
          <w:p w14:paraId="4F966D3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$3,367</w:t>
            </w:r>
          </w:p>
        </w:tc>
        <w:tc>
          <w:tcPr>
            <w:tcW w:w="1095" w:type="dxa"/>
            <w:vAlign w:val="center"/>
            <w:hideMark/>
          </w:tcPr>
          <w:p w14:paraId="58E88BCE"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$5,145</w:t>
            </w:r>
          </w:p>
        </w:tc>
        <w:tc>
          <w:tcPr>
            <w:tcW w:w="1096" w:type="dxa"/>
            <w:vAlign w:val="center"/>
            <w:hideMark/>
          </w:tcPr>
          <w:p w14:paraId="6C4839D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$7,910</w:t>
            </w:r>
          </w:p>
        </w:tc>
      </w:tr>
      <w:tr w:rsidR="007C6C75" w:rsidRPr="0042290C" w14:paraId="022F8885" w14:textId="77777777" w:rsidTr="007C6C75">
        <w:trPr>
          <w:trHeight w:val="20"/>
        </w:trPr>
        <w:tc>
          <w:tcPr>
            <w:tcW w:w="3539" w:type="dxa"/>
            <w:vAlign w:val="center"/>
            <w:hideMark/>
          </w:tcPr>
          <w:p w14:paraId="14AFFB9D"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Large loop excision of transformation zone treatment (35647)</w:t>
            </w:r>
          </w:p>
        </w:tc>
        <w:tc>
          <w:tcPr>
            <w:tcW w:w="1095" w:type="dxa"/>
            <w:vAlign w:val="center"/>
            <w:hideMark/>
          </w:tcPr>
          <w:p w14:paraId="3E546FBB"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$1,156</w:t>
            </w:r>
          </w:p>
        </w:tc>
        <w:tc>
          <w:tcPr>
            <w:tcW w:w="1095" w:type="dxa"/>
            <w:vAlign w:val="center"/>
            <w:hideMark/>
          </w:tcPr>
          <w:p w14:paraId="484F2D87"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$2,065</w:t>
            </w:r>
          </w:p>
        </w:tc>
        <w:tc>
          <w:tcPr>
            <w:tcW w:w="1096" w:type="dxa"/>
            <w:vAlign w:val="center"/>
            <w:hideMark/>
          </w:tcPr>
          <w:p w14:paraId="209270A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$2,974</w:t>
            </w:r>
          </w:p>
        </w:tc>
        <w:tc>
          <w:tcPr>
            <w:tcW w:w="1095" w:type="dxa"/>
            <w:vAlign w:val="center"/>
            <w:hideMark/>
          </w:tcPr>
          <w:p w14:paraId="2CF8A3F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$4,460</w:t>
            </w:r>
          </w:p>
        </w:tc>
        <w:tc>
          <w:tcPr>
            <w:tcW w:w="1096" w:type="dxa"/>
            <w:vAlign w:val="center"/>
            <w:hideMark/>
          </w:tcPr>
          <w:p w14:paraId="59B7FB4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$6,856</w:t>
            </w:r>
          </w:p>
        </w:tc>
      </w:tr>
      <w:tr w:rsidR="007C6C75" w:rsidRPr="0042290C" w14:paraId="207E060B" w14:textId="77777777" w:rsidTr="007C6C75">
        <w:trPr>
          <w:trHeight w:val="20"/>
        </w:trPr>
        <w:tc>
          <w:tcPr>
            <w:tcW w:w="3539" w:type="dxa"/>
            <w:vAlign w:val="center"/>
            <w:hideMark/>
          </w:tcPr>
          <w:p w14:paraId="749512DB"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Large loop excision diathermy (35648)</w:t>
            </w:r>
          </w:p>
        </w:tc>
        <w:tc>
          <w:tcPr>
            <w:tcW w:w="1095" w:type="dxa"/>
            <w:vAlign w:val="center"/>
            <w:hideMark/>
          </w:tcPr>
          <w:p w14:paraId="160152C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$120</w:t>
            </w:r>
          </w:p>
        </w:tc>
        <w:tc>
          <w:tcPr>
            <w:tcW w:w="1095" w:type="dxa"/>
            <w:vAlign w:val="center"/>
            <w:hideMark/>
          </w:tcPr>
          <w:p w14:paraId="4BD14009"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$120</w:t>
            </w:r>
          </w:p>
        </w:tc>
        <w:tc>
          <w:tcPr>
            <w:tcW w:w="1096" w:type="dxa"/>
            <w:vAlign w:val="center"/>
            <w:hideMark/>
          </w:tcPr>
          <w:p w14:paraId="3592656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$240</w:t>
            </w:r>
          </w:p>
        </w:tc>
        <w:tc>
          <w:tcPr>
            <w:tcW w:w="1095" w:type="dxa"/>
            <w:vAlign w:val="center"/>
            <w:hideMark/>
          </w:tcPr>
          <w:p w14:paraId="4C48C283"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$481</w:t>
            </w:r>
          </w:p>
        </w:tc>
        <w:tc>
          <w:tcPr>
            <w:tcW w:w="1096" w:type="dxa"/>
            <w:vAlign w:val="center"/>
            <w:hideMark/>
          </w:tcPr>
          <w:p w14:paraId="1E5AE7DF"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$601</w:t>
            </w:r>
          </w:p>
        </w:tc>
      </w:tr>
      <w:tr w:rsidR="007C6C75" w:rsidRPr="0042290C" w14:paraId="2FE37533" w14:textId="77777777" w:rsidTr="007C6C75">
        <w:trPr>
          <w:trHeight w:val="20"/>
        </w:trPr>
        <w:tc>
          <w:tcPr>
            <w:tcW w:w="3539" w:type="dxa"/>
            <w:vAlign w:val="center"/>
            <w:hideMark/>
          </w:tcPr>
          <w:p w14:paraId="1DBA9809" w14:textId="77777777" w:rsidR="007C6C75" w:rsidRPr="0042290C" w:rsidRDefault="007C6C75" w:rsidP="007C6C75">
            <w:pPr>
              <w:spacing w:before="40" w:after="40"/>
              <w:rPr>
                <w:rFonts w:ascii="Arial Narrow" w:hAnsi="Arial Narrow" w:cs="Calibri"/>
                <w:color w:val="000000"/>
                <w:sz w:val="20"/>
              </w:rPr>
            </w:pPr>
            <w:r>
              <w:rPr>
                <w:rFonts w:ascii="Arial Narrow" w:hAnsi="Arial Narrow" w:cs="Calibri"/>
                <w:color w:val="000000"/>
                <w:sz w:val="20"/>
              </w:rPr>
              <w:t>Biopsy examination (72830)</w:t>
            </w:r>
          </w:p>
        </w:tc>
        <w:tc>
          <w:tcPr>
            <w:tcW w:w="1095" w:type="dxa"/>
            <w:vAlign w:val="center"/>
            <w:hideMark/>
          </w:tcPr>
          <w:p w14:paraId="1A67420D"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$5,209</w:t>
            </w:r>
          </w:p>
        </w:tc>
        <w:tc>
          <w:tcPr>
            <w:tcW w:w="1095" w:type="dxa"/>
            <w:vAlign w:val="center"/>
            <w:hideMark/>
          </w:tcPr>
          <w:p w14:paraId="065DA9B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$9,321</w:t>
            </w:r>
          </w:p>
        </w:tc>
        <w:tc>
          <w:tcPr>
            <w:tcW w:w="1096" w:type="dxa"/>
            <w:vAlign w:val="center"/>
            <w:hideMark/>
          </w:tcPr>
          <w:p w14:paraId="5244A5C6"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$13,707</w:t>
            </w:r>
          </w:p>
        </w:tc>
        <w:tc>
          <w:tcPr>
            <w:tcW w:w="1095" w:type="dxa"/>
            <w:vAlign w:val="center"/>
            <w:hideMark/>
          </w:tcPr>
          <w:p w14:paraId="2E988408"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$20,562</w:t>
            </w:r>
          </w:p>
        </w:tc>
        <w:tc>
          <w:tcPr>
            <w:tcW w:w="1096" w:type="dxa"/>
            <w:vAlign w:val="center"/>
            <w:hideMark/>
          </w:tcPr>
          <w:p w14:paraId="2C0DFE59" w14:textId="77777777" w:rsidR="007C6C75" w:rsidRPr="0042290C"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$31,802</w:t>
            </w:r>
          </w:p>
        </w:tc>
      </w:tr>
      <w:tr w:rsidR="007C6C75" w:rsidRPr="0042290C" w14:paraId="4B44AB04" w14:textId="77777777" w:rsidTr="007C6C75">
        <w:trPr>
          <w:trHeight w:val="20"/>
        </w:trPr>
        <w:tc>
          <w:tcPr>
            <w:tcW w:w="3539" w:type="dxa"/>
            <w:noWrap/>
            <w:vAlign w:val="center"/>
            <w:hideMark/>
          </w:tcPr>
          <w:p w14:paraId="4413E956" w14:textId="77777777" w:rsidR="007C6C75" w:rsidRPr="0042290C" w:rsidRDefault="007C6C75" w:rsidP="007C6C75">
            <w:pPr>
              <w:spacing w:before="40" w:after="40"/>
              <w:rPr>
                <w:rFonts w:ascii="Arial Narrow" w:hAnsi="Arial Narrow" w:cs="Calibri"/>
                <w:b/>
                <w:bCs/>
                <w:color w:val="000000"/>
                <w:sz w:val="20"/>
              </w:rPr>
            </w:pPr>
            <w:r w:rsidRPr="0042290C">
              <w:rPr>
                <w:rFonts w:ascii="Arial Narrow" w:hAnsi="Arial Narrow" w:cs="Calibri"/>
                <w:b/>
                <w:bCs/>
                <w:color w:val="000000"/>
                <w:sz w:val="20"/>
              </w:rPr>
              <w:t>Total</w:t>
            </w:r>
          </w:p>
        </w:tc>
        <w:tc>
          <w:tcPr>
            <w:tcW w:w="1095" w:type="dxa"/>
            <w:noWrap/>
            <w:vAlign w:val="center"/>
            <w:hideMark/>
          </w:tcPr>
          <w:p w14:paraId="4AEB70D7"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$52,043</w:t>
            </w:r>
          </w:p>
        </w:tc>
        <w:tc>
          <w:tcPr>
            <w:tcW w:w="1095" w:type="dxa"/>
            <w:noWrap/>
            <w:vAlign w:val="center"/>
            <w:hideMark/>
          </w:tcPr>
          <w:p w14:paraId="4554D7D3"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$101,965</w:t>
            </w:r>
          </w:p>
        </w:tc>
        <w:tc>
          <w:tcPr>
            <w:tcW w:w="1096" w:type="dxa"/>
            <w:noWrap/>
            <w:vAlign w:val="center"/>
            <w:hideMark/>
          </w:tcPr>
          <w:p w14:paraId="62E88CD2"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$156,225</w:t>
            </w:r>
          </w:p>
        </w:tc>
        <w:tc>
          <w:tcPr>
            <w:tcW w:w="1095" w:type="dxa"/>
            <w:noWrap/>
            <w:vAlign w:val="center"/>
            <w:hideMark/>
          </w:tcPr>
          <w:p w14:paraId="0E6F45F5"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$238,741</w:t>
            </w:r>
          </w:p>
        </w:tc>
        <w:tc>
          <w:tcPr>
            <w:tcW w:w="1096" w:type="dxa"/>
            <w:noWrap/>
            <w:vAlign w:val="center"/>
            <w:hideMark/>
          </w:tcPr>
          <w:p w14:paraId="5DDB9088" w14:textId="77777777" w:rsidR="007C6C75" w:rsidRPr="0042290C"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$366,510</w:t>
            </w:r>
          </w:p>
        </w:tc>
      </w:tr>
      <w:tr w:rsidR="007C6C75" w:rsidRPr="0042290C" w14:paraId="35FE720C" w14:textId="77777777" w:rsidTr="007C6C75">
        <w:trPr>
          <w:trHeight w:val="20"/>
        </w:trPr>
        <w:tc>
          <w:tcPr>
            <w:tcW w:w="3539" w:type="dxa"/>
            <w:vAlign w:val="center"/>
            <w:hideMark/>
          </w:tcPr>
          <w:p w14:paraId="24618ABA" w14:textId="77777777" w:rsidR="007C6C75" w:rsidRPr="0042290C" w:rsidRDefault="007C6C75" w:rsidP="007C6C75">
            <w:pPr>
              <w:spacing w:before="40" w:after="40"/>
              <w:rPr>
                <w:rFonts w:ascii="Arial Narrow" w:hAnsi="Arial Narrow" w:cs="Calibri"/>
                <w:b/>
                <w:bCs/>
                <w:color w:val="000000"/>
                <w:sz w:val="20"/>
              </w:rPr>
            </w:pPr>
            <w:r>
              <w:rPr>
                <w:rFonts w:ascii="Arial Narrow" w:hAnsi="Arial Narrow" w:cs="Calibri"/>
                <w:b/>
                <w:bCs/>
                <w:color w:val="000000"/>
                <w:sz w:val="20"/>
              </w:rPr>
              <w:t>Financial i</w:t>
            </w:r>
            <w:r w:rsidRPr="0042290C">
              <w:rPr>
                <w:rFonts w:ascii="Arial Narrow" w:hAnsi="Arial Narrow" w:cs="Calibri"/>
                <w:b/>
                <w:bCs/>
                <w:color w:val="000000"/>
                <w:sz w:val="20"/>
              </w:rPr>
              <w:t>mplications for the MBS</w:t>
            </w:r>
          </w:p>
        </w:tc>
        <w:tc>
          <w:tcPr>
            <w:tcW w:w="1095" w:type="dxa"/>
            <w:noWrap/>
            <w:vAlign w:val="center"/>
            <w:hideMark/>
          </w:tcPr>
          <w:p w14:paraId="4D13C5FB" w14:textId="77777777" w:rsidR="007C6C75" w:rsidRPr="00C44324" w:rsidRDefault="007C6C75" w:rsidP="007C6C75">
            <w:pPr>
              <w:spacing w:before="40" w:after="40"/>
              <w:jc w:val="center"/>
              <w:rPr>
                <w:rFonts w:ascii="Arial Narrow" w:hAnsi="Arial Narrow" w:cs="Calibri"/>
                <w:b/>
                <w:bCs/>
                <w:color w:val="000000"/>
                <w:sz w:val="20"/>
              </w:rPr>
            </w:pPr>
            <w:r w:rsidRPr="00C44324">
              <w:rPr>
                <w:rFonts w:ascii="Arial Narrow" w:hAnsi="Arial Narrow" w:cs="Calibri"/>
                <w:b/>
                <w:bCs/>
                <w:color w:val="000000"/>
                <w:sz w:val="20"/>
              </w:rPr>
              <w:t>$350,426</w:t>
            </w:r>
          </w:p>
        </w:tc>
        <w:tc>
          <w:tcPr>
            <w:tcW w:w="1095" w:type="dxa"/>
            <w:noWrap/>
            <w:vAlign w:val="center"/>
            <w:hideMark/>
          </w:tcPr>
          <w:p w14:paraId="0A9F01CF" w14:textId="77777777" w:rsidR="007C6C75" w:rsidRPr="00C44324" w:rsidRDefault="007C6C75" w:rsidP="007C6C75">
            <w:pPr>
              <w:spacing w:before="40" w:after="40"/>
              <w:jc w:val="center"/>
              <w:rPr>
                <w:rFonts w:ascii="Arial Narrow" w:hAnsi="Arial Narrow" w:cs="Calibri"/>
                <w:b/>
                <w:bCs/>
                <w:color w:val="000000"/>
                <w:sz w:val="20"/>
              </w:rPr>
            </w:pPr>
            <w:r w:rsidRPr="00C44324">
              <w:rPr>
                <w:rFonts w:ascii="Arial Narrow" w:hAnsi="Arial Narrow" w:cs="Calibri"/>
                <w:b/>
                <w:bCs/>
                <w:color w:val="000000"/>
                <w:sz w:val="20"/>
              </w:rPr>
              <w:t>$576,942</w:t>
            </w:r>
          </w:p>
        </w:tc>
        <w:tc>
          <w:tcPr>
            <w:tcW w:w="1096" w:type="dxa"/>
            <w:noWrap/>
            <w:vAlign w:val="center"/>
            <w:hideMark/>
          </w:tcPr>
          <w:p w14:paraId="11150A97" w14:textId="77777777" w:rsidR="007C6C75" w:rsidRPr="00C44324" w:rsidRDefault="007C6C75" w:rsidP="007C6C75">
            <w:pPr>
              <w:spacing w:before="40" w:after="40"/>
              <w:jc w:val="center"/>
              <w:rPr>
                <w:rFonts w:ascii="Arial Narrow" w:hAnsi="Arial Narrow" w:cs="Calibri"/>
                <w:b/>
                <w:bCs/>
                <w:color w:val="000000"/>
                <w:sz w:val="20"/>
              </w:rPr>
            </w:pPr>
            <w:r w:rsidRPr="00C44324">
              <w:rPr>
                <w:rFonts w:ascii="Arial Narrow" w:hAnsi="Arial Narrow" w:cs="Calibri"/>
                <w:b/>
                <w:bCs/>
                <w:color w:val="000000"/>
                <w:sz w:val="20"/>
              </w:rPr>
              <w:t>$889,995</w:t>
            </w:r>
          </w:p>
        </w:tc>
        <w:tc>
          <w:tcPr>
            <w:tcW w:w="1095" w:type="dxa"/>
            <w:noWrap/>
            <w:vAlign w:val="center"/>
            <w:hideMark/>
          </w:tcPr>
          <w:p w14:paraId="6F43F2A8" w14:textId="77777777" w:rsidR="007C6C75" w:rsidRPr="00C44324" w:rsidRDefault="007C6C75" w:rsidP="007C6C75">
            <w:pPr>
              <w:spacing w:before="40" w:after="40"/>
              <w:jc w:val="center"/>
              <w:rPr>
                <w:rFonts w:ascii="Arial Narrow" w:hAnsi="Arial Narrow" w:cs="Calibri"/>
                <w:b/>
                <w:bCs/>
                <w:color w:val="000000"/>
                <w:sz w:val="20"/>
              </w:rPr>
            </w:pPr>
            <w:r w:rsidRPr="00C44324">
              <w:rPr>
                <w:rFonts w:ascii="Arial Narrow" w:hAnsi="Arial Narrow" w:cs="Calibri"/>
                <w:b/>
                <w:bCs/>
                <w:color w:val="000000"/>
                <w:sz w:val="20"/>
              </w:rPr>
              <w:t>$1,366,433</w:t>
            </w:r>
          </w:p>
        </w:tc>
        <w:tc>
          <w:tcPr>
            <w:tcW w:w="1096" w:type="dxa"/>
            <w:noWrap/>
            <w:vAlign w:val="center"/>
            <w:hideMark/>
          </w:tcPr>
          <w:p w14:paraId="1CC112E4" w14:textId="77777777" w:rsidR="007C6C75" w:rsidRPr="00C44324" w:rsidRDefault="007C6C75" w:rsidP="007C6C75">
            <w:pPr>
              <w:spacing w:before="40" w:after="40"/>
              <w:jc w:val="center"/>
              <w:rPr>
                <w:rFonts w:ascii="Arial Narrow" w:hAnsi="Arial Narrow" w:cs="Calibri"/>
                <w:b/>
                <w:bCs/>
                <w:color w:val="000000"/>
                <w:sz w:val="20"/>
              </w:rPr>
            </w:pPr>
            <w:r w:rsidRPr="00C44324">
              <w:rPr>
                <w:rFonts w:ascii="Arial Narrow" w:hAnsi="Arial Narrow" w:cs="Calibri"/>
                <w:b/>
                <w:bCs/>
                <w:color w:val="000000"/>
                <w:sz w:val="20"/>
              </w:rPr>
              <w:t>$2,096,772</w:t>
            </w:r>
          </w:p>
        </w:tc>
      </w:tr>
    </w:tbl>
    <w:p w14:paraId="7D69F931" w14:textId="77777777" w:rsidR="007C6C75" w:rsidRDefault="007C6C75" w:rsidP="007C6C75">
      <w:pPr>
        <w:pStyle w:val="Tablenotes"/>
        <w:rPr>
          <w:szCs w:val="16"/>
        </w:rPr>
      </w:pPr>
      <w:r>
        <w:t xml:space="preserve">BBI = bulk-billing incentive, </w:t>
      </w:r>
      <w:r w:rsidRPr="000808A1">
        <w:rPr>
          <w:szCs w:val="16"/>
        </w:rPr>
        <w:t>MBS</w:t>
      </w:r>
      <w:r>
        <w:rPr>
          <w:szCs w:val="16"/>
        </w:rPr>
        <w:t xml:space="preserve"> </w:t>
      </w:r>
      <w:r w:rsidRPr="000808A1">
        <w:rPr>
          <w:szCs w:val="16"/>
        </w:rPr>
        <w:t>=</w:t>
      </w:r>
      <w:r>
        <w:rPr>
          <w:szCs w:val="16"/>
        </w:rPr>
        <w:t xml:space="preserve"> Medicare</w:t>
      </w:r>
      <w:r w:rsidRPr="000808A1">
        <w:rPr>
          <w:szCs w:val="16"/>
        </w:rPr>
        <w:t xml:space="preserve"> Benefits Schedule, NCSP</w:t>
      </w:r>
      <w:r>
        <w:rPr>
          <w:szCs w:val="16"/>
        </w:rPr>
        <w:t xml:space="preserve"> </w:t>
      </w:r>
      <w:r w:rsidRPr="000808A1">
        <w:rPr>
          <w:szCs w:val="16"/>
        </w:rPr>
        <w:t>=</w:t>
      </w:r>
      <w:r>
        <w:rPr>
          <w:szCs w:val="16"/>
        </w:rPr>
        <w:t xml:space="preserve"> </w:t>
      </w:r>
      <w:r w:rsidRPr="000808A1">
        <w:rPr>
          <w:szCs w:val="16"/>
        </w:rPr>
        <w:t>National Cervical Screening Program</w:t>
      </w:r>
      <w:r>
        <w:rPr>
          <w:szCs w:val="16"/>
        </w:rPr>
        <w:t>, PEI = patient episode initiation.</w:t>
      </w:r>
    </w:p>
    <w:p w14:paraId="72ACEF8E" w14:textId="28D5258F" w:rsidR="007C6C75" w:rsidRPr="00C86AF6" w:rsidRDefault="007C6C75" w:rsidP="00C86AF6">
      <w:pPr>
        <w:pStyle w:val="Tablenotes"/>
        <w:rPr>
          <w:szCs w:val="16"/>
        </w:rPr>
      </w:pPr>
      <w:r>
        <w:rPr>
          <w:szCs w:val="16"/>
        </w:rPr>
        <w:t>Source: DCAR, Table 8.</w:t>
      </w:r>
    </w:p>
    <w:p w14:paraId="6B24D903" w14:textId="583B8E5F" w:rsidR="00C86AF6" w:rsidRPr="00C86AF6" w:rsidRDefault="007C6C75" w:rsidP="00C86AF6">
      <w:pPr>
        <w:spacing w:before="240"/>
      </w:pPr>
      <w:r>
        <w:t xml:space="preserve">The DCAR </w:t>
      </w:r>
      <w:r w:rsidR="00A040FD">
        <w:t xml:space="preserve">assumed </w:t>
      </w:r>
      <w:r>
        <w:t>that approximately 23% of treatment occur</w:t>
      </w:r>
      <w:r w:rsidR="00A040FD">
        <w:t>s</w:t>
      </w:r>
      <w:r>
        <w:t xml:space="preserve"> in hospital settings. Only 5% of all treatment and 22% of inpatient treatment is assumed to be hysterectomy, the costliest of all treatment options. With the remaining inpatient treatments being cone biopsy and ablation therapy, this results in costs to other G</w:t>
      </w:r>
      <w:r w:rsidRPr="000808A1">
        <w:t>overnment health spending</w:t>
      </w:r>
      <w:r>
        <w:t xml:space="preserve"> through</w:t>
      </w:r>
      <w:r w:rsidRPr="000808A1">
        <w:t xml:space="preserve"> treatment of patients</w:t>
      </w:r>
      <w:r>
        <w:t xml:space="preserve"> increasing from $17,000 in 2021, to $105,000 in 2025 (</w:t>
      </w:r>
      <w:r>
        <w:fldChar w:fldCharType="begin"/>
      </w:r>
      <w:r>
        <w:instrText xml:space="preserve"> REF _Ref55834907 \h </w:instrText>
      </w:r>
      <w:r>
        <w:fldChar w:fldCharType="separate"/>
      </w:r>
      <w:r w:rsidRPr="00BC4E2E">
        <w:t xml:space="preserve">Table </w:t>
      </w:r>
      <w:r w:rsidR="00362A44">
        <w:t>9</w:t>
      </w:r>
      <w:r>
        <w:fldChar w:fldCharType="end"/>
      </w:r>
      <w:r w:rsidR="009C5D5E">
        <w:t>).</w:t>
      </w:r>
      <w:bookmarkStart w:id="20" w:name="_Ref55834907"/>
      <w:bookmarkStart w:id="21" w:name="_Toc59631529"/>
      <w:r w:rsidR="00C86AF6">
        <w:br w:type="page"/>
      </w:r>
    </w:p>
    <w:p w14:paraId="13B43119" w14:textId="19802BA0" w:rsidR="007C6C75" w:rsidRDefault="007C6C75" w:rsidP="007C6C75">
      <w:pPr>
        <w:pStyle w:val="Caption"/>
      </w:pPr>
      <w:r w:rsidRPr="00BC4E2E">
        <w:t xml:space="preserve">Table </w:t>
      </w:r>
      <w:bookmarkEnd w:id="20"/>
      <w:r w:rsidR="00D909C5">
        <w:t>9</w:t>
      </w:r>
      <w:r>
        <w:tab/>
        <w:t>Other net health care system costs</w:t>
      </w:r>
      <w:bookmarkEnd w:id="21"/>
    </w:p>
    <w:tbl>
      <w:tblPr>
        <w:tblStyle w:val="TableGrid"/>
        <w:tblW w:w="5000" w:type="pct"/>
        <w:tblLook w:val="04A0" w:firstRow="1" w:lastRow="0" w:firstColumn="1" w:lastColumn="0" w:noHBand="0" w:noVBand="1"/>
        <w:tblDescription w:val="Other net health care system costs"/>
      </w:tblPr>
      <w:tblGrid>
        <w:gridCol w:w="3782"/>
        <w:gridCol w:w="1046"/>
        <w:gridCol w:w="1046"/>
        <w:gridCol w:w="1048"/>
        <w:gridCol w:w="1046"/>
        <w:gridCol w:w="1048"/>
      </w:tblGrid>
      <w:tr w:rsidR="007C6C75" w:rsidRPr="00E17727" w14:paraId="3F5A53DD" w14:textId="77777777" w:rsidTr="007C6C75">
        <w:trPr>
          <w:trHeight w:val="20"/>
          <w:tblHeader/>
        </w:trPr>
        <w:tc>
          <w:tcPr>
            <w:tcW w:w="2097" w:type="pct"/>
            <w:tcBorders>
              <w:bottom w:val="single" w:sz="4" w:space="0" w:color="auto"/>
            </w:tcBorders>
            <w:noWrap/>
            <w:vAlign w:val="center"/>
            <w:hideMark/>
          </w:tcPr>
          <w:p w14:paraId="02CC3BF7" w14:textId="77777777" w:rsidR="007C6C75" w:rsidRPr="00E17727" w:rsidRDefault="007C6C75" w:rsidP="007C6C75">
            <w:pPr>
              <w:spacing w:before="40" w:after="40"/>
              <w:rPr>
                <w:rFonts w:ascii="Arial Narrow" w:hAnsi="Arial Narrow" w:cs="Calibri"/>
                <w:b/>
                <w:bCs/>
                <w:color w:val="000000"/>
                <w:sz w:val="20"/>
              </w:rPr>
            </w:pPr>
            <w:r w:rsidRPr="00E17727">
              <w:rPr>
                <w:rFonts w:ascii="Arial Narrow" w:hAnsi="Arial Narrow" w:cs="Calibri"/>
                <w:b/>
                <w:bCs/>
                <w:color w:val="000000"/>
                <w:sz w:val="20"/>
              </w:rPr>
              <w:t>Item</w:t>
            </w:r>
          </w:p>
        </w:tc>
        <w:tc>
          <w:tcPr>
            <w:tcW w:w="580" w:type="pct"/>
            <w:tcBorders>
              <w:bottom w:val="single" w:sz="4" w:space="0" w:color="auto"/>
            </w:tcBorders>
            <w:noWrap/>
            <w:vAlign w:val="center"/>
            <w:hideMark/>
          </w:tcPr>
          <w:p w14:paraId="702528D3"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2021</w:t>
            </w:r>
          </w:p>
        </w:tc>
        <w:tc>
          <w:tcPr>
            <w:tcW w:w="580" w:type="pct"/>
            <w:tcBorders>
              <w:bottom w:val="single" w:sz="4" w:space="0" w:color="auto"/>
            </w:tcBorders>
            <w:noWrap/>
            <w:vAlign w:val="center"/>
            <w:hideMark/>
          </w:tcPr>
          <w:p w14:paraId="5C9C2C66"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2022</w:t>
            </w:r>
          </w:p>
        </w:tc>
        <w:tc>
          <w:tcPr>
            <w:tcW w:w="581" w:type="pct"/>
            <w:tcBorders>
              <w:bottom w:val="single" w:sz="4" w:space="0" w:color="auto"/>
            </w:tcBorders>
            <w:noWrap/>
            <w:vAlign w:val="center"/>
            <w:hideMark/>
          </w:tcPr>
          <w:p w14:paraId="6E603EA9"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2023</w:t>
            </w:r>
          </w:p>
        </w:tc>
        <w:tc>
          <w:tcPr>
            <w:tcW w:w="580" w:type="pct"/>
            <w:tcBorders>
              <w:bottom w:val="single" w:sz="4" w:space="0" w:color="auto"/>
            </w:tcBorders>
            <w:noWrap/>
            <w:vAlign w:val="center"/>
            <w:hideMark/>
          </w:tcPr>
          <w:p w14:paraId="7D50D207"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2024</w:t>
            </w:r>
          </w:p>
        </w:tc>
        <w:tc>
          <w:tcPr>
            <w:tcW w:w="581" w:type="pct"/>
            <w:tcBorders>
              <w:bottom w:val="single" w:sz="4" w:space="0" w:color="auto"/>
            </w:tcBorders>
            <w:noWrap/>
            <w:vAlign w:val="center"/>
            <w:hideMark/>
          </w:tcPr>
          <w:p w14:paraId="20964178"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2025</w:t>
            </w:r>
          </w:p>
        </w:tc>
      </w:tr>
      <w:tr w:rsidR="007C6C75" w:rsidRPr="00E17727" w14:paraId="55576816" w14:textId="77777777" w:rsidTr="007C6C75">
        <w:trPr>
          <w:trHeight w:val="20"/>
        </w:trPr>
        <w:tc>
          <w:tcPr>
            <w:tcW w:w="2097" w:type="pct"/>
            <w:tcBorders>
              <w:top w:val="single" w:sz="4" w:space="0" w:color="auto"/>
              <w:left w:val="single" w:sz="4" w:space="0" w:color="auto"/>
              <w:bottom w:val="single" w:sz="4" w:space="0" w:color="auto"/>
              <w:right w:val="nil"/>
            </w:tcBorders>
            <w:noWrap/>
            <w:vAlign w:val="center"/>
          </w:tcPr>
          <w:p w14:paraId="075012C4" w14:textId="77777777" w:rsidR="007C6C75" w:rsidRPr="00E17727" w:rsidRDefault="007C6C75" w:rsidP="007C6C75">
            <w:pPr>
              <w:spacing w:before="40" w:after="40"/>
              <w:rPr>
                <w:rFonts w:ascii="Arial Narrow" w:hAnsi="Arial Narrow" w:cs="Calibri"/>
                <w:b/>
                <w:bCs/>
                <w:color w:val="000000"/>
                <w:sz w:val="20"/>
              </w:rPr>
            </w:pPr>
            <w:r w:rsidRPr="00E17727">
              <w:rPr>
                <w:rFonts w:ascii="Arial Narrow" w:hAnsi="Arial Narrow" w:cs="Calibri"/>
                <w:b/>
                <w:bCs/>
                <w:color w:val="000000"/>
                <w:sz w:val="20"/>
              </w:rPr>
              <w:t>Current</w:t>
            </w:r>
          </w:p>
        </w:tc>
        <w:tc>
          <w:tcPr>
            <w:tcW w:w="580" w:type="pct"/>
            <w:tcBorders>
              <w:top w:val="single" w:sz="4" w:space="0" w:color="auto"/>
              <w:left w:val="nil"/>
              <w:bottom w:val="single" w:sz="4" w:space="0" w:color="auto"/>
              <w:right w:val="nil"/>
            </w:tcBorders>
            <w:noWrap/>
            <w:vAlign w:val="center"/>
          </w:tcPr>
          <w:p w14:paraId="25EC95A3"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0" w:type="pct"/>
            <w:tcBorders>
              <w:top w:val="single" w:sz="4" w:space="0" w:color="auto"/>
              <w:left w:val="nil"/>
              <w:bottom w:val="single" w:sz="4" w:space="0" w:color="auto"/>
              <w:right w:val="nil"/>
            </w:tcBorders>
            <w:noWrap/>
            <w:vAlign w:val="center"/>
          </w:tcPr>
          <w:p w14:paraId="00355D0B"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1" w:type="pct"/>
            <w:tcBorders>
              <w:top w:val="single" w:sz="4" w:space="0" w:color="auto"/>
              <w:left w:val="nil"/>
              <w:bottom w:val="single" w:sz="4" w:space="0" w:color="auto"/>
              <w:right w:val="nil"/>
            </w:tcBorders>
            <w:noWrap/>
            <w:vAlign w:val="center"/>
          </w:tcPr>
          <w:p w14:paraId="1A3F25C5"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0" w:type="pct"/>
            <w:tcBorders>
              <w:top w:val="single" w:sz="4" w:space="0" w:color="auto"/>
              <w:left w:val="nil"/>
              <w:bottom w:val="single" w:sz="4" w:space="0" w:color="auto"/>
              <w:right w:val="nil"/>
            </w:tcBorders>
            <w:noWrap/>
            <w:vAlign w:val="center"/>
          </w:tcPr>
          <w:p w14:paraId="0398C7F2"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1" w:type="pct"/>
            <w:tcBorders>
              <w:top w:val="single" w:sz="4" w:space="0" w:color="auto"/>
              <w:left w:val="nil"/>
              <w:bottom w:val="single" w:sz="4" w:space="0" w:color="auto"/>
              <w:right w:val="single" w:sz="4" w:space="0" w:color="auto"/>
            </w:tcBorders>
            <w:noWrap/>
            <w:vAlign w:val="center"/>
          </w:tcPr>
          <w:p w14:paraId="173B3470"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r>
      <w:tr w:rsidR="007C6C75" w:rsidRPr="00E17727" w14:paraId="139B4633" w14:textId="77777777" w:rsidTr="007C6C75">
        <w:trPr>
          <w:trHeight w:val="20"/>
        </w:trPr>
        <w:tc>
          <w:tcPr>
            <w:tcW w:w="2097" w:type="pct"/>
            <w:tcBorders>
              <w:top w:val="single" w:sz="4" w:space="0" w:color="auto"/>
            </w:tcBorders>
            <w:vAlign w:val="center"/>
          </w:tcPr>
          <w:p w14:paraId="1540F742" w14:textId="77777777" w:rsidR="007C6C75" w:rsidRPr="00E17727" w:rsidRDefault="007C6C75" w:rsidP="007C6C75">
            <w:pPr>
              <w:spacing w:before="40" w:after="40"/>
              <w:rPr>
                <w:rFonts w:ascii="Arial Narrow" w:hAnsi="Arial Narrow" w:cs="Calibri"/>
                <w:color w:val="000000"/>
                <w:sz w:val="20"/>
              </w:rPr>
            </w:pPr>
            <w:r w:rsidRPr="00E17727">
              <w:rPr>
                <w:rFonts w:ascii="Arial Narrow" w:hAnsi="Arial Narrow" w:cs="Calibri"/>
                <w:color w:val="000000"/>
                <w:sz w:val="20"/>
              </w:rPr>
              <w:t>Treatment</w:t>
            </w:r>
          </w:p>
        </w:tc>
        <w:tc>
          <w:tcPr>
            <w:tcW w:w="580" w:type="pct"/>
            <w:tcBorders>
              <w:top w:val="single" w:sz="4" w:space="0" w:color="auto"/>
            </w:tcBorders>
            <w:vAlign w:val="center"/>
          </w:tcPr>
          <w:p w14:paraId="785A4DCE"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$6,188,343</w:t>
            </w:r>
          </w:p>
        </w:tc>
        <w:tc>
          <w:tcPr>
            <w:tcW w:w="580" w:type="pct"/>
            <w:tcBorders>
              <w:top w:val="single" w:sz="4" w:space="0" w:color="auto"/>
            </w:tcBorders>
            <w:vAlign w:val="center"/>
          </w:tcPr>
          <w:p w14:paraId="3B67C5D5"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$6,286,470</w:t>
            </w:r>
          </w:p>
        </w:tc>
        <w:tc>
          <w:tcPr>
            <w:tcW w:w="581" w:type="pct"/>
            <w:tcBorders>
              <w:top w:val="single" w:sz="4" w:space="0" w:color="auto"/>
            </w:tcBorders>
            <w:vAlign w:val="center"/>
          </w:tcPr>
          <w:p w14:paraId="171D48BC"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$6,391,865</w:t>
            </w:r>
          </w:p>
        </w:tc>
        <w:tc>
          <w:tcPr>
            <w:tcW w:w="580" w:type="pct"/>
            <w:tcBorders>
              <w:top w:val="single" w:sz="4" w:space="0" w:color="auto"/>
            </w:tcBorders>
            <w:vAlign w:val="center"/>
          </w:tcPr>
          <w:p w14:paraId="597C0B4B"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$6,506,346</w:t>
            </w:r>
          </w:p>
        </w:tc>
        <w:tc>
          <w:tcPr>
            <w:tcW w:w="581" w:type="pct"/>
            <w:tcBorders>
              <w:top w:val="single" w:sz="4" w:space="0" w:color="auto"/>
            </w:tcBorders>
            <w:vAlign w:val="center"/>
          </w:tcPr>
          <w:p w14:paraId="06CA2287"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$6,633,547</w:t>
            </w:r>
          </w:p>
        </w:tc>
      </w:tr>
      <w:tr w:rsidR="007C6C75" w:rsidRPr="00E17727" w14:paraId="59A83AB3" w14:textId="77777777" w:rsidTr="007C6C75">
        <w:trPr>
          <w:trHeight w:val="20"/>
        </w:trPr>
        <w:tc>
          <w:tcPr>
            <w:tcW w:w="2097" w:type="pct"/>
            <w:tcBorders>
              <w:bottom w:val="single" w:sz="4" w:space="0" w:color="auto"/>
            </w:tcBorders>
            <w:vAlign w:val="center"/>
          </w:tcPr>
          <w:p w14:paraId="46E0CBFF" w14:textId="77777777" w:rsidR="007C6C75" w:rsidRPr="00E17727" w:rsidRDefault="007C6C75" w:rsidP="007C6C75">
            <w:pPr>
              <w:spacing w:before="40" w:after="40"/>
              <w:rPr>
                <w:rFonts w:ascii="Arial Narrow" w:hAnsi="Arial Narrow" w:cs="Calibri"/>
                <w:b/>
                <w:bCs/>
                <w:color w:val="000000"/>
                <w:sz w:val="20"/>
              </w:rPr>
            </w:pPr>
            <w:r w:rsidRPr="00E17727">
              <w:rPr>
                <w:rFonts w:ascii="Arial Narrow" w:hAnsi="Arial Narrow" w:cs="Calibri"/>
                <w:b/>
                <w:bCs/>
                <w:color w:val="000000"/>
                <w:sz w:val="20"/>
              </w:rPr>
              <w:t>Total other gove</w:t>
            </w:r>
            <w:r>
              <w:rPr>
                <w:rFonts w:ascii="Arial Narrow" w:hAnsi="Arial Narrow" w:cs="Calibri"/>
                <w:b/>
                <w:bCs/>
                <w:color w:val="000000"/>
                <w:sz w:val="20"/>
              </w:rPr>
              <w:t xml:space="preserve">rnment </w:t>
            </w:r>
            <w:r w:rsidRPr="00E17727">
              <w:rPr>
                <w:rFonts w:ascii="Arial Narrow" w:hAnsi="Arial Narrow" w:cs="Calibri"/>
                <w:b/>
                <w:bCs/>
                <w:color w:val="000000"/>
                <w:sz w:val="20"/>
              </w:rPr>
              <w:t>health budget costs</w:t>
            </w:r>
          </w:p>
        </w:tc>
        <w:tc>
          <w:tcPr>
            <w:tcW w:w="580" w:type="pct"/>
            <w:tcBorders>
              <w:bottom w:val="single" w:sz="4" w:space="0" w:color="auto"/>
            </w:tcBorders>
            <w:vAlign w:val="center"/>
          </w:tcPr>
          <w:p w14:paraId="38FEDBB1"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$6,188,343</w:t>
            </w:r>
          </w:p>
        </w:tc>
        <w:tc>
          <w:tcPr>
            <w:tcW w:w="580" w:type="pct"/>
            <w:tcBorders>
              <w:bottom w:val="single" w:sz="4" w:space="0" w:color="auto"/>
            </w:tcBorders>
            <w:vAlign w:val="center"/>
          </w:tcPr>
          <w:p w14:paraId="243ED7EA"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$6,286,470</w:t>
            </w:r>
          </w:p>
        </w:tc>
        <w:tc>
          <w:tcPr>
            <w:tcW w:w="581" w:type="pct"/>
            <w:tcBorders>
              <w:bottom w:val="single" w:sz="4" w:space="0" w:color="auto"/>
            </w:tcBorders>
            <w:vAlign w:val="center"/>
          </w:tcPr>
          <w:p w14:paraId="19EDF1D8"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$6,391,865</w:t>
            </w:r>
          </w:p>
        </w:tc>
        <w:tc>
          <w:tcPr>
            <w:tcW w:w="580" w:type="pct"/>
            <w:tcBorders>
              <w:bottom w:val="single" w:sz="4" w:space="0" w:color="auto"/>
            </w:tcBorders>
            <w:vAlign w:val="center"/>
          </w:tcPr>
          <w:p w14:paraId="5863AA08"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$6,506,346</w:t>
            </w:r>
          </w:p>
        </w:tc>
        <w:tc>
          <w:tcPr>
            <w:tcW w:w="581" w:type="pct"/>
            <w:tcBorders>
              <w:bottom w:val="single" w:sz="4" w:space="0" w:color="auto"/>
            </w:tcBorders>
            <w:vAlign w:val="center"/>
          </w:tcPr>
          <w:p w14:paraId="027EE873"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$6,633,547</w:t>
            </w:r>
          </w:p>
        </w:tc>
      </w:tr>
      <w:tr w:rsidR="007C6C75" w:rsidRPr="00E17727" w14:paraId="76BD13A0" w14:textId="77777777" w:rsidTr="007C6C75">
        <w:trPr>
          <w:trHeight w:val="20"/>
        </w:trPr>
        <w:tc>
          <w:tcPr>
            <w:tcW w:w="2097" w:type="pct"/>
            <w:tcBorders>
              <w:top w:val="single" w:sz="4" w:space="0" w:color="auto"/>
              <w:left w:val="single" w:sz="4" w:space="0" w:color="auto"/>
              <w:bottom w:val="single" w:sz="4" w:space="0" w:color="auto"/>
              <w:right w:val="nil"/>
            </w:tcBorders>
            <w:noWrap/>
            <w:vAlign w:val="center"/>
            <w:hideMark/>
          </w:tcPr>
          <w:p w14:paraId="25E0C457" w14:textId="77777777" w:rsidR="007C6C75" w:rsidRPr="00E17727" w:rsidRDefault="007C6C75" w:rsidP="007C6C75">
            <w:pPr>
              <w:spacing w:before="40" w:after="40"/>
              <w:rPr>
                <w:rFonts w:ascii="Arial Narrow" w:hAnsi="Arial Narrow" w:cs="Calibri"/>
                <w:b/>
                <w:bCs/>
                <w:color w:val="000000"/>
                <w:sz w:val="20"/>
              </w:rPr>
            </w:pPr>
            <w:r w:rsidRPr="00E17727">
              <w:rPr>
                <w:rFonts w:ascii="Arial Narrow" w:hAnsi="Arial Narrow" w:cs="Calibri"/>
                <w:b/>
                <w:bCs/>
                <w:color w:val="000000"/>
                <w:sz w:val="20"/>
              </w:rPr>
              <w:t>Proposed</w:t>
            </w:r>
          </w:p>
        </w:tc>
        <w:tc>
          <w:tcPr>
            <w:tcW w:w="580" w:type="pct"/>
            <w:tcBorders>
              <w:top w:val="single" w:sz="4" w:space="0" w:color="auto"/>
              <w:left w:val="nil"/>
              <w:bottom w:val="single" w:sz="4" w:space="0" w:color="auto"/>
              <w:right w:val="nil"/>
            </w:tcBorders>
            <w:noWrap/>
            <w:vAlign w:val="center"/>
            <w:hideMark/>
          </w:tcPr>
          <w:p w14:paraId="3AD909E2" w14:textId="77777777" w:rsidR="007C6C75" w:rsidRPr="00E17727" w:rsidRDefault="007C6C75" w:rsidP="007C6C75">
            <w:pPr>
              <w:spacing w:before="40" w:after="40"/>
              <w:rPr>
                <w:rFonts w:cs="Calibri"/>
                <w:color w:val="000000"/>
              </w:rPr>
            </w:pPr>
            <w:r w:rsidRPr="00E17727">
              <w:rPr>
                <w:rFonts w:cs="Calibri"/>
                <w:color w:val="000000"/>
              </w:rPr>
              <w:t> </w:t>
            </w:r>
          </w:p>
        </w:tc>
        <w:tc>
          <w:tcPr>
            <w:tcW w:w="580" w:type="pct"/>
            <w:tcBorders>
              <w:top w:val="single" w:sz="4" w:space="0" w:color="auto"/>
              <w:left w:val="nil"/>
              <w:bottom w:val="single" w:sz="4" w:space="0" w:color="auto"/>
              <w:right w:val="nil"/>
            </w:tcBorders>
            <w:noWrap/>
            <w:vAlign w:val="center"/>
            <w:hideMark/>
          </w:tcPr>
          <w:p w14:paraId="335CF97F" w14:textId="77777777" w:rsidR="007C6C75" w:rsidRPr="00E17727" w:rsidRDefault="007C6C75" w:rsidP="007C6C75">
            <w:pPr>
              <w:spacing w:before="40" w:after="40"/>
              <w:rPr>
                <w:rFonts w:cs="Calibri"/>
                <w:color w:val="000000"/>
              </w:rPr>
            </w:pPr>
            <w:r w:rsidRPr="00E17727">
              <w:rPr>
                <w:rFonts w:cs="Calibri"/>
                <w:color w:val="000000"/>
              </w:rPr>
              <w:t> </w:t>
            </w:r>
          </w:p>
        </w:tc>
        <w:tc>
          <w:tcPr>
            <w:tcW w:w="581" w:type="pct"/>
            <w:tcBorders>
              <w:top w:val="single" w:sz="4" w:space="0" w:color="auto"/>
              <w:left w:val="nil"/>
              <w:bottom w:val="single" w:sz="4" w:space="0" w:color="auto"/>
              <w:right w:val="nil"/>
            </w:tcBorders>
            <w:noWrap/>
            <w:vAlign w:val="center"/>
            <w:hideMark/>
          </w:tcPr>
          <w:p w14:paraId="10DC412D" w14:textId="77777777" w:rsidR="007C6C75" w:rsidRPr="00E17727" w:rsidRDefault="007C6C75" w:rsidP="007C6C75">
            <w:pPr>
              <w:spacing w:before="40" w:after="40"/>
              <w:rPr>
                <w:rFonts w:cs="Calibri"/>
                <w:color w:val="000000"/>
              </w:rPr>
            </w:pPr>
            <w:r w:rsidRPr="00E17727">
              <w:rPr>
                <w:rFonts w:cs="Calibri"/>
                <w:color w:val="000000"/>
              </w:rPr>
              <w:t> </w:t>
            </w:r>
          </w:p>
        </w:tc>
        <w:tc>
          <w:tcPr>
            <w:tcW w:w="580" w:type="pct"/>
            <w:tcBorders>
              <w:top w:val="single" w:sz="4" w:space="0" w:color="auto"/>
              <w:left w:val="nil"/>
              <w:bottom w:val="single" w:sz="4" w:space="0" w:color="auto"/>
              <w:right w:val="nil"/>
            </w:tcBorders>
            <w:noWrap/>
            <w:vAlign w:val="center"/>
            <w:hideMark/>
          </w:tcPr>
          <w:p w14:paraId="6CBD0C20" w14:textId="77777777" w:rsidR="007C6C75" w:rsidRPr="00E17727" w:rsidRDefault="007C6C75" w:rsidP="007C6C75">
            <w:pPr>
              <w:spacing w:before="40" w:after="40"/>
              <w:rPr>
                <w:rFonts w:cs="Calibri"/>
                <w:color w:val="000000"/>
              </w:rPr>
            </w:pPr>
            <w:r w:rsidRPr="00E17727">
              <w:rPr>
                <w:rFonts w:cs="Calibri"/>
                <w:color w:val="000000"/>
              </w:rPr>
              <w:t> </w:t>
            </w:r>
          </w:p>
        </w:tc>
        <w:tc>
          <w:tcPr>
            <w:tcW w:w="581" w:type="pct"/>
            <w:tcBorders>
              <w:top w:val="single" w:sz="4" w:space="0" w:color="auto"/>
              <w:left w:val="nil"/>
              <w:bottom w:val="single" w:sz="4" w:space="0" w:color="auto"/>
              <w:right w:val="single" w:sz="4" w:space="0" w:color="auto"/>
            </w:tcBorders>
            <w:noWrap/>
            <w:vAlign w:val="center"/>
            <w:hideMark/>
          </w:tcPr>
          <w:p w14:paraId="2B870AFB" w14:textId="77777777" w:rsidR="007C6C75" w:rsidRPr="00E17727" w:rsidRDefault="007C6C75" w:rsidP="007C6C75">
            <w:pPr>
              <w:spacing w:before="40" w:after="40"/>
              <w:rPr>
                <w:rFonts w:cs="Calibri"/>
                <w:color w:val="000000"/>
              </w:rPr>
            </w:pPr>
            <w:r w:rsidRPr="00E17727">
              <w:rPr>
                <w:rFonts w:cs="Calibri"/>
                <w:color w:val="000000"/>
              </w:rPr>
              <w:t> </w:t>
            </w:r>
          </w:p>
        </w:tc>
      </w:tr>
      <w:tr w:rsidR="007C6C75" w:rsidRPr="00E17727" w14:paraId="662898A7" w14:textId="77777777" w:rsidTr="007C6C75">
        <w:trPr>
          <w:trHeight w:val="20"/>
        </w:trPr>
        <w:tc>
          <w:tcPr>
            <w:tcW w:w="2097" w:type="pct"/>
            <w:tcBorders>
              <w:top w:val="single" w:sz="4" w:space="0" w:color="auto"/>
            </w:tcBorders>
            <w:vAlign w:val="center"/>
            <w:hideMark/>
          </w:tcPr>
          <w:p w14:paraId="4EA6D62A" w14:textId="77777777" w:rsidR="007C6C75" w:rsidRPr="00E17727" w:rsidRDefault="007C6C75" w:rsidP="007C6C75">
            <w:pPr>
              <w:spacing w:before="40" w:after="40"/>
              <w:rPr>
                <w:rFonts w:ascii="Arial Narrow" w:hAnsi="Arial Narrow" w:cs="Calibri"/>
                <w:color w:val="000000"/>
                <w:sz w:val="20"/>
              </w:rPr>
            </w:pPr>
            <w:r w:rsidRPr="00E17727">
              <w:rPr>
                <w:rFonts w:ascii="Arial Narrow" w:hAnsi="Arial Narrow" w:cs="Calibri"/>
                <w:color w:val="000000"/>
                <w:sz w:val="20"/>
              </w:rPr>
              <w:t>Treatment</w:t>
            </w:r>
          </w:p>
        </w:tc>
        <w:tc>
          <w:tcPr>
            <w:tcW w:w="580" w:type="pct"/>
            <w:tcBorders>
              <w:top w:val="single" w:sz="4" w:space="0" w:color="auto"/>
            </w:tcBorders>
            <w:vAlign w:val="center"/>
            <w:hideMark/>
          </w:tcPr>
          <w:p w14:paraId="7172D89B"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$6,205,606</w:t>
            </w:r>
          </w:p>
        </w:tc>
        <w:tc>
          <w:tcPr>
            <w:tcW w:w="580" w:type="pct"/>
            <w:tcBorders>
              <w:top w:val="single" w:sz="4" w:space="0" w:color="auto"/>
            </w:tcBorders>
            <w:vAlign w:val="center"/>
            <w:hideMark/>
          </w:tcPr>
          <w:p w14:paraId="5DEC99DC"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$6,317,361</w:t>
            </w:r>
          </w:p>
        </w:tc>
        <w:tc>
          <w:tcPr>
            <w:tcW w:w="581" w:type="pct"/>
            <w:tcBorders>
              <w:top w:val="single" w:sz="4" w:space="0" w:color="auto"/>
            </w:tcBorders>
            <w:vAlign w:val="center"/>
            <w:hideMark/>
          </w:tcPr>
          <w:p w14:paraId="58D767F5"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$6,437,294</w:t>
            </w:r>
          </w:p>
        </w:tc>
        <w:tc>
          <w:tcPr>
            <w:tcW w:w="580" w:type="pct"/>
            <w:tcBorders>
              <w:top w:val="single" w:sz="4" w:space="0" w:color="auto"/>
            </w:tcBorders>
            <w:vAlign w:val="center"/>
            <w:hideMark/>
          </w:tcPr>
          <w:p w14:paraId="5ABC1671"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$6,574,490</w:t>
            </w:r>
          </w:p>
        </w:tc>
        <w:tc>
          <w:tcPr>
            <w:tcW w:w="581" w:type="pct"/>
            <w:tcBorders>
              <w:top w:val="single" w:sz="4" w:space="0" w:color="auto"/>
            </w:tcBorders>
            <w:vAlign w:val="center"/>
            <w:hideMark/>
          </w:tcPr>
          <w:p w14:paraId="7CB5D13A"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$6,738,943</w:t>
            </w:r>
          </w:p>
        </w:tc>
      </w:tr>
      <w:tr w:rsidR="007C6C75" w:rsidRPr="00E17727" w14:paraId="1F8519EB" w14:textId="77777777" w:rsidTr="007C6C75">
        <w:trPr>
          <w:trHeight w:val="20"/>
        </w:trPr>
        <w:tc>
          <w:tcPr>
            <w:tcW w:w="2097" w:type="pct"/>
            <w:tcBorders>
              <w:bottom w:val="single" w:sz="4" w:space="0" w:color="auto"/>
            </w:tcBorders>
            <w:vAlign w:val="center"/>
            <w:hideMark/>
          </w:tcPr>
          <w:p w14:paraId="3E751ECD" w14:textId="77777777" w:rsidR="007C6C75" w:rsidRPr="00E17727" w:rsidRDefault="007C6C75" w:rsidP="007C6C75">
            <w:pPr>
              <w:spacing w:before="40" w:after="40"/>
              <w:rPr>
                <w:rFonts w:ascii="Arial Narrow" w:hAnsi="Arial Narrow" w:cs="Calibri"/>
                <w:b/>
                <w:bCs/>
                <w:color w:val="000000"/>
                <w:sz w:val="20"/>
              </w:rPr>
            </w:pPr>
            <w:r w:rsidRPr="00E17727">
              <w:rPr>
                <w:rFonts w:ascii="Arial Narrow" w:hAnsi="Arial Narrow" w:cs="Calibri"/>
                <w:b/>
                <w:bCs/>
                <w:color w:val="000000"/>
                <w:sz w:val="20"/>
              </w:rPr>
              <w:t>Total other gove</w:t>
            </w:r>
            <w:r>
              <w:rPr>
                <w:rFonts w:ascii="Arial Narrow" w:hAnsi="Arial Narrow" w:cs="Calibri"/>
                <w:b/>
                <w:bCs/>
                <w:color w:val="000000"/>
                <w:sz w:val="20"/>
              </w:rPr>
              <w:t xml:space="preserve">rnment </w:t>
            </w:r>
            <w:r w:rsidRPr="00E17727">
              <w:rPr>
                <w:rFonts w:ascii="Arial Narrow" w:hAnsi="Arial Narrow" w:cs="Calibri"/>
                <w:b/>
                <w:bCs/>
                <w:color w:val="000000"/>
                <w:sz w:val="20"/>
              </w:rPr>
              <w:t>health budget costs</w:t>
            </w:r>
          </w:p>
        </w:tc>
        <w:tc>
          <w:tcPr>
            <w:tcW w:w="580" w:type="pct"/>
            <w:tcBorders>
              <w:bottom w:val="single" w:sz="4" w:space="0" w:color="auto"/>
            </w:tcBorders>
            <w:vAlign w:val="center"/>
            <w:hideMark/>
          </w:tcPr>
          <w:p w14:paraId="2E2B7A09"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$6,205,606</w:t>
            </w:r>
          </w:p>
        </w:tc>
        <w:tc>
          <w:tcPr>
            <w:tcW w:w="580" w:type="pct"/>
            <w:tcBorders>
              <w:bottom w:val="single" w:sz="4" w:space="0" w:color="auto"/>
            </w:tcBorders>
            <w:vAlign w:val="center"/>
            <w:hideMark/>
          </w:tcPr>
          <w:p w14:paraId="54F583C2"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$6,317,361</w:t>
            </w:r>
          </w:p>
        </w:tc>
        <w:tc>
          <w:tcPr>
            <w:tcW w:w="581" w:type="pct"/>
            <w:tcBorders>
              <w:bottom w:val="single" w:sz="4" w:space="0" w:color="auto"/>
            </w:tcBorders>
            <w:vAlign w:val="center"/>
            <w:hideMark/>
          </w:tcPr>
          <w:p w14:paraId="69CC972B"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$6,437,294</w:t>
            </w:r>
          </w:p>
        </w:tc>
        <w:tc>
          <w:tcPr>
            <w:tcW w:w="580" w:type="pct"/>
            <w:tcBorders>
              <w:bottom w:val="single" w:sz="4" w:space="0" w:color="auto"/>
            </w:tcBorders>
            <w:vAlign w:val="center"/>
            <w:hideMark/>
          </w:tcPr>
          <w:p w14:paraId="68D049D3"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$6,574,490</w:t>
            </w:r>
          </w:p>
        </w:tc>
        <w:tc>
          <w:tcPr>
            <w:tcW w:w="581" w:type="pct"/>
            <w:tcBorders>
              <w:bottom w:val="single" w:sz="4" w:space="0" w:color="auto"/>
            </w:tcBorders>
            <w:vAlign w:val="center"/>
            <w:hideMark/>
          </w:tcPr>
          <w:p w14:paraId="19AD1180"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$6,738,943</w:t>
            </w:r>
          </w:p>
        </w:tc>
      </w:tr>
      <w:tr w:rsidR="007C6C75" w:rsidRPr="00E17727" w14:paraId="556A2CB0" w14:textId="77777777" w:rsidTr="007C6C75">
        <w:trPr>
          <w:trHeight w:val="20"/>
        </w:trPr>
        <w:tc>
          <w:tcPr>
            <w:tcW w:w="2097" w:type="pct"/>
            <w:tcBorders>
              <w:top w:val="single" w:sz="4" w:space="0" w:color="auto"/>
              <w:left w:val="single" w:sz="4" w:space="0" w:color="auto"/>
              <w:bottom w:val="single" w:sz="4" w:space="0" w:color="auto"/>
              <w:right w:val="nil"/>
            </w:tcBorders>
            <w:noWrap/>
            <w:vAlign w:val="center"/>
            <w:hideMark/>
          </w:tcPr>
          <w:p w14:paraId="50400B9C" w14:textId="77777777" w:rsidR="007C6C75" w:rsidRPr="00E17727" w:rsidRDefault="007C6C75" w:rsidP="007C6C75">
            <w:pPr>
              <w:spacing w:before="40" w:after="40"/>
              <w:rPr>
                <w:rFonts w:ascii="Arial Narrow" w:hAnsi="Arial Narrow" w:cs="Calibri"/>
                <w:b/>
                <w:bCs/>
                <w:color w:val="000000"/>
                <w:sz w:val="20"/>
              </w:rPr>
            </w:pPr>
            <w:r w:rsidRPr="00E17727">
              <w:rPr>
                <w:rFonts w:ascii="Arial Narrow" w:hAnsi="Arial Narrow" w:cs="Calibri"/>
                <w:b/>
                <w:bCs/>
                <w:color w:val="000000"/>
                <w:sz w:val="20"/>
              </w:rPr>
              <w:t xml:space="preserve">Net </w:t>
            </w:r>
            <w:r>
              <w:rPr>
                <w:rFonts w:ascii="Arial Narrow" w:hAnsi="Arial Narrow" w:cs="Calibri"/>
                <w:b/>
                <w:bCs/>
                <w:color w:val="000000"/>
                <w:sz w:val="20"/>
              </w:rPr>
              <w:t>i</w:t>
            </w:r>
            <w:r w:rsidRPr="00E17727">
              <w:rPr>
                <w:rFonts w:ascii="Arial Narrow" w:hAnsi="Arial Narrow" w:cs="Calibri"/>
                <w:b/>
                <w:bCs/>
                <w:color w:val="000000"/>
                <w:sz w:val="20"/>
              </w:rPr>
              <w:t>mp</w:t>
            </w:r>
            <w:r>
              <w:rPr>
                <w:rFonts w:ascii="Arial Narrow" w:hAnsi="Arial Narrow" w:cs="Calibri"/>
                <w:b/>
                <w:bCs/>
                <w:color w:val="000000"/>
                <w:sz w:val="20"/>
              </w:rPr>
              <w:t>lications</w:t>
            </w:r>
          </w:p>
        </w:tc>
        <w:tc>
          <w:tcPr>
            <w:tcW w:w="580" w:type="pct"/>
            <w:tcBorders>
              <w:top w:val="single" w:sz="4" w:space="0" w:color="auto"/>
              <w:left w:val="nil"/>
              <w:bottom w:val="single" w:sz="4" w:space="0" w:color="auto"/>
              <w:right w:val="nil"/>
            </w:tcBorders>
            <w:noWrap/>
            <w:vAlign w:val="center"/>
            <w:hideMark/>
          </w:tcPr>
          <w:p w14:paraId="440A4533"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0" w:type="pct"/>
            <w:tcBorders>
              <w:top w:val="single" w:sz="4" w:space="0" w:color="auto"/>
              <w:left w:val="nil"/>
              <w:bottom w:val="single" w:sz="4" w:space="0" w:color="auto"/>
              <w:right w:val="nil"/>
            </w:tcBorders>
            <w:noWrap/>
            <w:vAlign w:val="center"/>
            <w:hideMark/>
          </w:tcPr>
          <w:p w14:paraId="590D9416"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1" w:type="pct"/>
            <w:tcBorders>
              <w:top w:val="single" w:sz="4" w:space="0" w:color="auto"/>
              <w:left w:val="nil"/>
              <w:bottom w:val="single" w:sz="4" w:space="0" w:color="auto"/>
              <w:right w:val="nil"/>
            </w:tcBorders>
            <w:noWrap/>
            <w:vAlign w:val="center"/>
            <w:hideMark/>
          </w:tcPr>
          <w:p w14:paraId="78F6F2AB"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0" w:type="pct"/>
            <w:tcBorders>
              <w:top w:val="single" w:sz="4" w:space="0" w:color="auto"/>
              <w:left w:val="nil"/>
              <w:bottom w:val="single" w:sz="4" w:space="0" w:color="auto"/>
              <w:right w:val="nil"/>
            </w:tcBorders>
            <w:noWrap/>
            <w:vAlign w:val="center"/>
            <w:hideMark/>
          </w:tcPr>
          <w:p w14:paraId="34C892CB"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c>
          <w:tcPr>
            <w:tcW w:w="581" w:type="pct"/>
            <w:tcBorders>
              <w:top w:val="single" w:sz="4" w:space="0" w:color="auto"/>
              <w:left w:val="nil"/>
              <w:bottom w:val="single" w:sz="4" w:space="0" w:color="auto"/>
              <w:right w:val="single" w:sz="4" w:space="0" w:color="auto"/>
            </w:tcBorders>
            <w:noWrap/>
            <w:vAlign w:val="center"/>
            <w:hideMark/>
          </w:tcPr>
          <w:p w14:paraId="0DB43537" w14:textId="77777777" w:rsidR="007C6C75" w:rsidRPr="00E17727" w:rsidRDefault="007C6C75" w:rsidP="007C6C75">
            <w:pPr>
              <w:spacing w:before="40" w:after="40"/>
              <w:jc w:val="center"/>
              <w:rPr>
                <w:rFonts w:ascii="Arial Narrow" w:hAnsi="Arial Narrow" w:cs="Calibri"/>
                <w:b/>
                <w:bCs/>
                <w:color w:val="000000"/>
                <w:sz w:val="20"/>
              </w:rPr>
            </w:pPr>
            <w:r w:rsidRPr="00E17727">
              <w:rPr>
                <w:rFonts w:ascii="Arial Narrow" w:hAnsi="Arial Narrow" w:cs="Calibri"/>
                <w:b/>
                <w:bCs/>
                <w:color w:val="000000"/>
                <w:sz w:val="20"/>
              </w:rPr>
              <w:t> </w:t>
            </w:r>
          </w:p>
        </w:tc>
      </w:tr>
      <w:tr w:rsidR="007C6C75" w:rsidRPr="00E17727" w14:paraId="050168EE" w14:textId="77777777" w:rsidTr="007C6C75">
        <w:trPr>
          <w:trHeight w:val="20"/>
        </w:trPr>
        <w:tc>
          <w:tcPr>
            <w:tcW w:w="2097" w:type="pct"/>
            <w:tcBorders>
              <w:top w:val="single" w:sz="4" w:space="0" w:color="auto"/>
            </w:tcBorders>
            <w:vAlign w:val="center"/>
            <w:hideMark/>
          </w:tcPr>
          <w:p w14:paraId="65412E22" w14:textId="77777777" w:rsidR="007C6C75" w:rsidRPr="00E17727" w:rsidRDefault="007C6C75" w:rsidP="007C6C75">
            <w:pPr>
              <w:spacing w:before="40" w:after="40"/>
              <w:rPr>
                <w:rFonts w:ascii="Arial Narrow" w:hAnsi="Arial Narrow" w:cs="Calibri"/>
                <w:color w:val="000000"/>
                <w:sz w:val="20"/>
              </w:rPr>
            </w:pPr>
            <w:r w:rsidRPr="00E17727">
              <w:rPr>
                <w:rFonts w:ascii="Arial Narrow" w:hAnsi="Arial Narrow" w:cs="Calibri"/>
                <w:color w:val="000000"/>
                <w:sz w:val="20"/>
              </w:rPr>
              <w:t>Treatment</w:t>
            </w:r>
          </w:p>
        </w:tc>
        <w:tc>
          <w:tcPr>
            <w:tcW w:w="580" w:type="pct"/>
            <w:tcBorders>
              <w:top w:val="single" w:sz="4" w:space="0" w:color="auto"/>
            </w:tcBorders>
            <w:vAlign w:val="center"/>
            <w:hideMark/>
          </w:tcPr>
          <w:p w14:paraId="1093B229"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$17,263</w:t>
            </w:r>
          </w:p>
        </w:tc>
        <w:tc>
          <w:tcPr>
            <w:tcW w:w="580" w:type="pct"/>
            <w:tcBorders>
              <w:top w:val="single" w:sz="4" w:space="0" w:color="auto"/>
            </w:tcBorders>
            <w:vAlign w:val="center"/>
            <w:hideMark/>
          </w:tcPr>
          <w:p w14:paraId="0D268047"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$30,892</w:t>
            </w:r>
          </w:p>
        </w:tc>
        <w:tc>
          <w:tcPr>
            <w:tcW w:w="581" w:type="pct"/>
            <w:tcBorders>
              <w:top w:val="single" w:sz="4" w:space="0" w:color="auto"/>
            </w:tcBorders>
            <w:vAlign w:val="center"/>
            <w:hideMark/>
          </w:tcPr>
          <w:p w14:paraId="1913CBCF"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$45,429</w:t>
            </w:r>
          </w:p>
        </w:tc>
        <w:tc>
          <w:tcPr>
            <w:tcW w:w="580" w:type="pct"/>
            <w:tcBorders>
              <w:top w:val="single" w:sz="4" w:space="0" w:color="auto"/>
            </w:tcBorders>
            <w:vAlign w:val="center"/>
            <w:hideMark/>
          </w:tcPr>
          <w:p w14:paraId="277E7787"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$68,144</w:t>
            </w:r>
          </w:p>
        </w:tc>
        <w:tc>
          <w:tcPr>
            <w:tcW w:w="581" w:type="pct"/>
            <w:tcBorders>
              <w:top w:val="single" w:sz="4" w:space="0" w:color="auto"/>
            </w:tcBorders>
            <w:vAlign w:val="center"/>
            <w:hideMark/>
          </w:tcPr>
          <w:p w14:paraId="39BC39C7" w14:textId="77777777" w:rsidR="007C6C75" w:rsidRPr="00E17727"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$105,395</w:t>
            </w:r>
          </w:p>
        </w:tc>
      </w:tr>
      <w:tr w:rsidR="007C6C75" w:rsidRPr="00E17727" w14:paraId="331CAF69" w14:textId="77777777" w:rsidTr="007C6C75">
        <w:trPr>
          <w:trHeight w:val="20"/>
        </w:trPr>
        <w:tc>
          <w:tcPr>
            <w:tcW w:w="2097" w:type="pct"/>
            <w:tcBorders>
              <w:bottom w:val="single" w:sz="4" w:space="0" w:color="auto"/>
            </w:tcBorders>
            <w:vAlign w:val="center"/>
            <w:hideMark/>
          </w:tcPr>
          <w:p w14:paraId="22231993" w14:textId="77777777" w:rsidR="007C6C75" w:rsidRPr="00E17727" w:rsidRDefault="007C6C75" w:rsidP="007C6C75">
            <w:pPr>
              <w:spacing w:before="40" w:after="40"/>
              <w:rPr>
                <w:rFonts w:ascii="Arial Narrow" w:hAnsi="Arial Narrow" w:cs="Calibri"/>
                <w:b/>
                <w:bCs/>
                <w:color w:val="000000"/>
                <w:sz w:val="20"/>
              </w:rPr>
            </w:pPr>
            <w:r>
              <w:rPr>
                <w:rFonts w:ascii="Arial Narrow" w:hAnsi="Arial Narrow" w:cs="Calibri"/>
                <w:b/>
                <w:bCs/>
                <w:color w:val="000000"/>
                <w:sz w:val="20"/>
              </w:rPr>
              <w:t>O</w:t>
            </w:r>
            <w:r w:rsidRPr="00E17727">
              <w:rPr>
                <w:rFonts w:ascii="Arial Narrow" w:hAnsi="Arial Narrow" w:cs="Calibri"/>
                <w:b/>
                <w:bCs/>
                <w:color w:val="000000"/>
                <w:sz w:val="20"/>
              </w:rPr>
              <w:t xml:space="preserve">ther </w:t>
            </w:r>
            <w:r>
              <w:rPr>
                <w:rFonts w:ascii="Arial Narrow" w:hAnsi="Arial Narrow" w:cs="Calibri"/>
                <w:b/>
                <w:bCs/>
                <w:color w:val="000000"/>
                <w:sz w:val="20"/>
              </w:rPr>
              <w:t xml:space="preserve">net </w:t>
            </w:r>
            <w:r w:rsidRPr="00E17727">
              <w:rPr>
                <w:rFonts w:ascii="Arial Narrow" w:hAnsi="Arial Narrow" w:cs="Calibri"/>
                <w:b/>
                <w:bCs/>
                <w:color w:val="000000"/>
                <w:sz w:val="20"/>
              </w:rPr>
              <w:t>gove</w:t>
            </w:r>
            <w:r>
              <w:rPr>
                <w:rFonts w:ascii="Arial Narrow" w:hAnsi="Arial Narrow" w:cs="Calibri"/>
                <w:b/>
                <w:bCs/>
                <w:color w:val="000000"/>
                <w:sz w:val="20"/>
              </w:rPr>
              <w:t xml:space="preserve">rnment </w:t>
            </w:r>
            <w:r w:rsidRPr="00E17727">
              <w:rPr>
                <w:rFonts w:ascii="Arial Narrow" w:hAnsi="Arial Narrow" w:cs="Calibri"/>
                <w:b/>
                <w:bCs/>
                <w:color w:val="000000"/>
                <w:sz w:val="20"/>
              </w:rPr>
              <w:t>health budget costs</w:t>
            </w:r>
          </w:p>
        </w:tc>
        <w:tc>
          <w:tcPr>
            <w:tcW w:w="580" w:type="pct"/>
            <w:tcBorders>
              <w:bottom w:val="single" w:sz="4" w:space="0" w:color="auto"/>
            </w:tcBorders>
            <w:vAlign w:val="center"/>
            <w:hideMark/>
          </w:tcPr>
          <w:p w14:paraId="3798EF33"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$17,263</w:t>
            </w:r>
          </w:p>
        </w:tc>
        <w:tc>
          <w:tcPr>
            <w:tcW w:w="580" w:type="pct"/>
            <w:tcBorders>
              <w:bottom w:val="single" w:sz="4" w:space="0" w:color="auto"/>
            </w:tcBorders>
            <w:vAlign w:val="center"/>
            <w:hideMark/>
          </w:tcPr>
          <w:p w14:paraId="011D465B"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$30,892</w:t>
            </w:r>
          </w:p>
        </w:tc>
        <w:tc>
          <w:tcPr>
            <w:tcW w:w="581" w:type="pct"/>
            <w:tcBorders>
              <w:bottom w:val="single" w:sz="4" w:space="0" w:color="auto"/>
            </w:tcBorders>
            <w:vAlign w:val="center"/>
            <w:hideMark/>
          </w:tcPr>
          <w:p w14:paraId="5B20C7D4"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$45,429</w:t>
            </w:r>
          </w:p>
        </w:tc>
        <w:tc>
          <w:tcPr>
            <w:tcW w:w="580" w:type="pct"/>
            <w:tcBorders>
              <w:bottom w:val="single" w:sz="4" w:space="0" w:color="auto"/>
            </w:tcBorders>
            <w:vAlign w:val="center"/>
            <w:hideMark/>
          </w:tcPr>
          <w:p w14:paraId="139F07C1"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$68,144</w:t>
            </w:r>
          </w:p>
        </w:tc>
        <w:tc>
          <w:tcPr>
            <w:tcW w:w="581" w:type="pct"/>
            <w:tcBorders>
              <w:bottom w:val="single" w:sz="4" w:space="0" w:color="auto"/>
            </w:tcBorders>
            <w:vAlign w:val="center"/>
            <w:hideMark/>
          </w:tcPr>
          <w:p w14:paraId="56F94018" w14:textId="77777777" w:rsidR="007C6C75" w:rsidRPr="00E17727" w:rsidRDefault="007C6C75" w:rsidP="007C6C75">
            <w:pPr>
              <w:spacing w:before="40" w:after="40"/>
              <w:jc w:val="center"/>
              <w:rPr>
                <w:rFonts w:ascii="Arial Narrow" w:hAnsi="Arial Narrow" w:cs="Calibri"/>
                <w:b/>
                <w:bCs/>
                <w:color w:val="000000"/>
                <w:sz w:val="20"/>
              </w:rPr>
            </w:pPr>
            <w:r>
              <w:rPr>
                <w:rFonts w:ascii="Arial Narrow" w:hAnsi="Arial Narrow" w:cs="Calibri"/>
                <w:b/>
                <w:bCs/>
                <w:color w:val="000000"/>
                <w:sz w:val="20"/>
              </w:rPr>
              <w:t>$105,395</w:t>
            </w:r>
          </w:p>
        </w:tc>
      </w:tr>
    </w:tbl>
    <w:p w14:paraId="1353F2BF" w14:textId="5B8CCAA0" w:rsidR="007C6C75" w:rsidRPr="00C86AF6" w:rsidRDefault="007C6C75" w:rsidP="00C86AF6">
      <w:pPr>
        <w:pStyle w:val="Tablenotes"/>
        <w:rPr>
          <w:szCs w:val="16"/>
        </w:rPr>
      </w:pPr>
      <w:r>
        <w:rPr>
          <w:szCs w:val="16"/>
        </w:rPr>
        <w:t>Source: DCAR, Table 9.</w:t>
      </w:r>
    </w:p>
    <w:p w14:paraId="169447F4" w14:textId="4C01E410" w:rsidR="007C6C75" w:rsidRDefault="007C6C75" w:rsidP="00C86AF6">
      <w:pPr>
        <w:spacing w:before="240"/>
      </w:pPr>
      <w:r>
        <w:t>The DCAR forecast that expanding eligibility for self-collected sampling would cost an additional $367,000 to $2.198 million per annum to the Australian health care system over the first five years (</w:t>
      </w:r>
      <w:r>
        <w:fldChar w:fldCharType="begin"/>
      </w:r>
      <w:r>
        <w:instrText xml:space="preserve"> REF _Ref55832415 \h </w:instrText>
      </w:r>
      <w:r>
        <w:fldChar w:fldCharType="separate"/>
      </w:r>
      <w:r>
        <w:t xml:space="preserve">Table </w:t>
      </w:r>
      <w:r>
        <w:rPr>
          <w:noProof/>
        </w:rPr>
        <w:t>1</w:t>
      </w:r>
      <w:r w:rsidR="00362A44">
        <w:rPr>
          <w:noProof/>
        </w:rPr>
        <w:t>0</w:t>
      </w:r>
      <w:r>
        <w:fldChar w:fldCharType="end"/>
      </w:r>
      <w:r w:rsidR="009C5D5E">
        <w:t>).</w:t>
      </w:r>
    </w:p>
    <w:p w14:paraId="519928D1" w14:textId="4EEA6000" w:rsidR="007C6C75" w:rsidRDefault="007C6C75" w:rsidP="007C6C75">
      <w:pPr>
        <w:pStyle w:val="Caption"/>
        <w:rPr>
          <w:sz w:val="18"/>
          <w:szCs w:val="16"/>
        </w:rPr>
      </w:pPr>
      <w:bookmarkStart w:id="22" w:name="_Ref55832415"/>
      <w:bookmarkStart w:id="23" w:name="_Toc59631530"/>
      <w:r>
        <w:t>Table</w:t>
      </w:r>
      <w:bookmarkEnd w:id="22"/>
      <w:r w:rsidR="00D909C5">
        <w:t xml:space="preserve"> 10</w:t>
      </w:r>
      <w:r>
        <w:tab/>
        <w:t>Overall net cost to the Australian health care system</w:t>
      </w:r>
      <w:bookmarkEnd w:id="23"/>
    </w:p>
    <w:tbl>
      <w:tblPr>
        <w:tblStyle w:val="TableGrid"/>
        <w:tblW w:w="5000" w:type="pct"/>
        <w:tblLook w:val="04A0" w:firstRow="1" w:lastRow="0" w:firstColumn="1" w:lastColumn="0" w:noHBand="0" w:noVBand="1"/>
        <w:tblDescription w:val="Overall net cost to the Australian health care system"/>
      </w:tblPr>
      <w:tblGrid>
        <w:gridCol w:w="3774"/>
        <w:gridCol w:w="1048"/>
        <w:gridCol w:w="1048"/>
        <w:gridCol w:w="1049"/>
        <w:gridCol w:w="1048"/>
        <w:gridCol w:w="1049"/>
      </w:tblGrid>
      <w:tr w:rsidR="007C6C75" w:rsidRPr="000808A1" w14:paraId="362C3D5D" w14:textId="77777777" w:rsidTr="007C6C75">
        <w:trPr>
          <w:tblHeader/>
        </w:trPr>
        <w:tc>
          <w:tcPr>
            <w:tcW w:w="2093" w:type="pct"/>
            <w:tcBorders>
              <w:bottom w:val="single" w:sz="4" w:space="0" w:color="auto"/>
            </w:tcBorders>
            <w:vAlign w:val="center"/>
          </w:tcPr>
          <w:p w14:paraId="7BBFB735" w14:textId="77777777" w:rsidR="007C6C75" w:rsidRPr="000808A1" w:rsidRDefault="007C6C75" w:rsidP="007C6C75">
            <w:pPr>
              <w:spacing w:before="40" w:after="40"/>
              <w:rPr>
                <w:rFonts w:ascii="Arial Narrow" w:hAnsi="Arial Narrow"/>
                <w:b/>
                <w:sz w:val="20"/>
              </w:rPr>
            </w:pPr>
            <w:r w:rsidRPr="000808A1">
              <w:rPr>
                <w:rFonts w:ascii="Arial Narrow" w:hAnsi="Arial Narrow"/>
                <w:b/>
                <w:sz w:val="20"/>
              </w:rPr>
              <w:t xml:space="preserve">Item </w:t>
            </w:r>
          </w:p>
        </w:tc>
        <w:tc>
          <w:tcPr>
            <w:tcW w:w="581" w:type="pct"/>
            <w:tcBorders>
              <w:bottom w:val="single" w:sz="4" w:space="0" w:color="auto"/>
            </w:tcBorders>
            <w:vAlign w:val="center"/>
          </w:tcPr>
          <w:p w14:paraId="04E471EE" w14:textId="77777777" w:rsidR="007C6C75" w:rsidRPr="000808A1" w:rsidRDefault="007C6C75" w:rsidP="007C6C75">
            <w:pPr>
              <w:spacing w:before="40" w:after="40"/>
              <w:jc w:val="center"/>
              <w:rPr>
                <w:rFonts w:ascii="Arial Narrow" w:hAnsi="Arial Narrow"/>
                <w:b/>
                <w:sz w:val="20"/>
              </w:rPr>
            </w:pPr>
            <w:r w:rsidRPr="000808A1">
              <w:rPr>
                <w:rFonts w:ascii="Arial Narrow" w:hAnsi="Arial Narrow"/>
                <w:b/>
                <w:sz w:val="20"/>
              </w:rPr>
              <w:t>2021</w:t>
            </w:r>
          </w:p>
        </w:tc>
        <w:tc>
          <w:tcPr>
            <w:tcW w:w="581" w:type="pct"/>
            <w:tcBorders>
              <w:bottom w:val="single" w:sz="4" w:space="0" w:color="auto"/>
            </w:tcBorders>
            <w:vAlign w:val="center"/>
          </w:tcPr>
          <w:p w14:paraId="4AF36CBC" w14:textId="77777777" w:rsidR="007C6C75" w:rsidRPr="000808A1" w:rsidRDefault="007C6C75" w:rsidP="007C6C75">
            <w:pPr>
              <w:spacing w:before="40" w:after="40"/>
              <w:jc w:val="center"/>
              <w:rPr>
                <w:rFonts w:ascii="Arial Narrow" w:hAnsi="Arial Narrow"/>
                <w:b/>
                <w:sz w:val="20"/>
              </w:rPr>
            </w:pPr>
            <w:r w:rsidRPr="000808A1">
              <w:rPr>
                <w:rFonts w:ascii="Arial Narrow" w:hAnsi="Arial Narrow"/>
                <w:b/>
                <w:sz w:val="20"/>
              </w:rPr>
              <w:t>2022</w:t>
            </w:r>
          </w:p>
        </w:tc>
        <w:tc>
          <w:tcPr>
            <w:tcW w:w="582" w:type="pct"/>
            <w:tcBorders>
              <w:bottom w:val="single" w:sz="4" w:space="0" w:color="auto"/>
            </w:tcBorders>
            <w:vAlign w:val="center"/>
          </w:tcPr>
          <w:p w14:paraId="779F47C1" w14:textId="77777777" w:rsidR="007C6C75" w:rsidRPr="000808A1" w:rsidRDefault="007C6C75" w:rsidP="007C6C75">
            <w:pPr>
              <w:spacing w:before="40" w:after="40"/>
              <w:jc w:val="center"/>
              <w:rPr>
                <w:rFonts w:ascii="Arial Narrow" w:hAnsi="Arial Narrow"/>
                <w:b/>
                <w:sz w:val="20"/>
              </w:rPr>
            </w:pPr>
            <w:r w:rsidRPr="000808A1">
              <w:rPr>
                <w:rFonts w:ascii="Arial Narrow" w:hAnsi="Arial Narrow"/>
                <w:b/>
                <w:sz w:val="20"/>
              </w:rPr>
              <w:t>2023</w:t>
            </w:r>
          </w:p>
        </w:tc>
        <w:tc>
          <w:tcPr>
            <w:tcW w:w="581" w:type="pct"/>
            <w:tcBorders>
              <w:bottom w:val="single" w:sz="4" w:space="0" w:color="auto"/>
            </w:tcBorders>
            <w:vAlign w:val="center"/>
          </w:tcPr>
          <w:p w14:paraId="3490A0B0" w14:textId="77777777" w:rsidR="007C6C75" w:rsidRPr="000808A1" w:rsidRDefault="007C6C75" w:rsidP="007C6C75">
            <w:pPr>
              <w:spacing w:before="40" w:after="40"/>
              <w:jc w:val="center"/>
              <w:rPr>
                <w:rFonts w:ascii="Arial Narrow" w:hAnsi="Arial Narrow"/>
                <w:b/>
                <w:sz w:val="20"/>
              </w:rPr>
            </w:pPr>
            <w:r w:rsidRPr="000808A1">
              <w:rPr>
                <w:rFonts w:ascii="Arial Narrow" w:hAnsi="Arial Narrow"/>
                <w:b/>
                <w:sz w:val="20"/>
              </w:rPr>
              <w:t>2024</w:t>
            </w:r>
          </w:p>
        </w:tc>
        <w:tc>
          <w:tcPr>
            <w:tcW w:w="582" w:type="pct"/>
            <w:tcBorders>
              <w:bottom w:val="single" w:sz="4" w:space="0" w:color="auto"/>
            </w:tcBorders>
            <w:vAlign w:val="center"/>
          </w:tcPr>
          <w:p w14:paraId="2B71573B" w14:textId="77777777" w:rsidR="007C6C75" w:rsidRPr="000808A1" w:rsidRDefault="007C6C75" w:rsidP="007C6C75">
            <w:pPr>
              <w:spacing w:before="40" w:after="40"/>
              <w:jc w:val="center"/>
              <w:rPr>
                <w:rFonts w:ascii="Arial Narrow" w:hAnsi="Arial Narrow"/>
                <w:b/>
                <w:sz w:val="20"/>
              </w:rPr>
            </w:pPr>
            <w:r w:rsidRPr="000808A1">
              <w:rPr>
                <w:rFonts w:ascii="Arial Narrow" w:hAnsi="Arial Narrow"/>
                <w:b/>
                <w:sz w:val="20"/>
              </w:rPr>
              <w:t>2025</w:t>
            </w:r>
          </w:p>
        </w:tc>
      </w:tr>
      <w:tr w:rsidR="007C6C75" w:rsidRPr="000808A1" w14:paraId="76EC9D73" w14:textId="77777777" w:rsidTr="007C6C75">
        <w:tc>
          <w:tcPr>
            <w:tcW w:w="2093" w:type="pct"/>
            <w:vAlign w:val="center"/>
          </w:tcPr>
          <w:p w14:paraId="5A3AE4D6" w14:textId="77777777" w:rsidR="007C6C75" w:rsidRPr="000808A1" w:rsidRDefault="007C6C75" w:rsidP="007C6C75">
            <w:pPr>
              <w:spacing w:before="40" w:after="40"/>
              <w:rPr>
                <w:rFonts w:ascii="Arial Narrow" w:hAnsi="Arial Narrow"/>
                <w:bCs/>
                <w:sz w:val="20"/>
              </w:rPr>
            </w:pPr>
            <w:r>
              <w:rPr>
                <w:rFonts w:ascii="Arial Narrow" w:hAnsi="Arial Narrow" w:cs="Arial"/>
                <w:bCs/>
                <w:color w:val="000000"/>
                <w:sz w:val="20"/>
              </w:rPr>
              <w:t>Net c</w:t>
            </w:r>
            <w:r w:rsidRPr="000808A1">
              <w:rPr>
                <w:rFonts w:ascii="Arial Narrow" w:hAnsi="Arial Narrow" w:cs="Arial"/>
                <w:bCs/>
                <w:color w:val="000000"/>
                <w:sz w:val="20"/>
              </w:rPr>
              <w:t>ost to the MBS</w:t>
            </w:r>
          </w:p>
        </w:tc>
        <w:tc>
          <w:tcPr>
            <w:tcW w:w="581" w:type="pct"/>
            <w:vAlign w:val="center"/>
          </w:tcPr>
          <w:p w14:paraId="2069CD98"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$349,691</w:t>
            </w:r>
          </w:p>
        </w:tc>
        <w:tc>
          <w:tcPr>
            <w:tcW w:w="581" w:type="pct"/>
            <w:vAlign w:val="center"/>
          </w:tcPr>
          <w:p w14:paraId="1601109F"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$575,813</w:t>
            </w:r>
          </w:p>
        </w:tc>
        <w:tc>
          <w:tcPr>
            <w:tcW w:w="582" w:type="pct"/>
            <w:vAlign w:val="center"/>
          </w:tcPr>
          <w:p w14:paraId="41E7536B"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$888,270</w:t>
            </w:r>
          </w:p>
        </w:tc>
        <w:tc>
          <w:tcPr>
            <w:tcW w:w="581" w:type="pct"/>
            <w:vAlign w:val="center"/>
          </w:tcPr>
          <w:p w14:paraId="6277F76D"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$1,363,796</w:t>
            </w:r>
          </w:p>
        </w:tc>
        <w:tc>
          <w:tcPr>
            <w:tcW w:w="582" w:type="pct"/>
            <w:vAlign w:val="center"/>
          </w:tcPr>
          <w:p w14:paraId="2F5BFC59"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$2,092,747</w:t>
            </w:r>
          </w:p>
        </w:tc>
      </w:tr>
      <w:tr w:rsidR="007C6C75" w:rsidRPr="000808A1" w14:paraId="777FE9B1" w14:textId="77777777" w:rsidTr="007C6C75">
        <w:tc>
          <w:tcPr>
            <w:tcW w:w="2093" w:type="pct"/>
            <w:vAlign w:val="center"/>
          </w:tcPr>
          <w:p w14:paraId="6E612AAD" w14:textId="77777777" w:rsidR="007C6C75" w:rsidRPr="000808A1" w:rsidRDefault="007C6C75" w:rsidP="007C6C75">
            <w:pPr>
              <w:spacing w:before="40" w:after="40"/>
              <w:rPr>
                <w:rFonts w:ascii="Arial Narrow" w:hAnsi="Arial Narrow"/>
                <w:bCs/>
                <w:sz w:val="20"/>
              </w:rPr>
            </w:pPr>
            <w:r>
              <w:rPr>
                <w:rFonts w:ascii="Arial Narrow" w:hAnsi="Arial Narrow" w:cs="Arial"/>
                <w:bCs/>
                <w:color w:val="000000"/>
                <w:sz w:val="20"/>
              </w:rPr>
              <w:t>Net c</w:t>
            </w:r>
            <w:r w:rsidRPr="000808A1">
              <w:rPr>
                <w:rFonts w:ascii="Arial Narrow" w:hAnsi="Arial Narrow" w:cs="Arial"/>
                <w:bCs/>
                <w:color w:val="000000"/>
                <w:sz w:val="20"/>
              </w:rPr>
              <w:t xml:space="preserve">ost to </w:t>
            </w:r>
            <w:r>
              <w:rPr>
                <w:rFonts w:ascii="Arial Narrow" w:hAnsi="Arial Narrow" w:cs="Arial"/>
                <w:bCs/>
                <w:color w:val="000000"/>
                <w:sz w:val="20"/>
              </w:rPr>
              <w:t>o</w:t>
            </w:r>
            <w:r w:rsidRPr="000808A1">
              <w:rPr>
                <w:rFonts w:ascii="Arial Narrow" w:hAnsi="Arial Narrow" w:cs="Arial"/>
                <w:bCs/>
                <w:color w:val="000000"/>
                <w:sz w:val="20"/>
              </w:rPr>
              <w:t>the</w:t>
            </w:r>
            <w:r>
              <w:rPr>
                <w:rFonts w:ascii="Arial Narrow" w:hAnsi="Arial Narrow" w:cs="Arial"/>
                <w:bCs/>
                <w:color w:val="000000"/>
                <w:sz w:val="20"/>
              </w:rPr>
              <w:t>r</w:t>
            </w:r>
            <w:r w:rsidRPr="000808A1">
              <w:rPr>
                <w:rFonts w:ascii="Arial Narrow" w:hAnsi="Arial Narrow" w:cs="Arial"/>
                <w:bCs/>
                <w:color w:val="000000"/>
                <w:sz w:val="20"/>
              </w:rPr>
              <w:t xml:space="preserve"> healthcare budget</w:t>
            </w:r>
            <w:r>
              <w:rPr>
                <w:rFonts w:ascii="Arial Narrow" w:hAnsi="Arial Narrow" w:cs="Arial"/>
                <w:bCs/>
                <w:color w:val="000000"/>
                <w:sz w:val="20"/>
              </w:rPr>
              <w:t>s</w:t>
            </w:r>
          </w:p>
        </w:tc>
        <w:tc>
          <w:tcPr>
            <w:tcW w:w="581" w:type="pct"/>
            <w:vAlign w:val="center"/>
          </w:tcPr>
          <w:p w14:paraId="20AF3040"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$17,263</w:t>
            </w:r>
          </w:p>
        </w:tc>
        <w:tc>
          <w:tcPr>
            <w:tcW w:w="581" w:type="pct"/>
            <w:vAlign w:val="center"/>
          </w:tcPr>
          <w:p w14:paraId="7BDAD566"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$30,892</w:t>
            </w:r>
          </w:p>
        </w:tc>
        <w:tc>
          <w:tcPr>
            <w:tcW w:w="582" w:type="pct"/>
            <w:vAlign w:val="center"/>
          </w:tcPr>
          <w:p w14:paraId="15399535"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$45,429</w:t>
            </w:r>
          </w:p>
        </w:tc>
        <w:tc>
          <w:tcPr>
            <w:tcW w:w="581" w:type="pct"/>
            <w:vAlign w:val="center"/>
          </w:tcPr>
          <w:p w14:paraId="5D1DBC23"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$68,144</w:t>
            </w:r>
          </w:p>
        </w:tc>
        <w:tc>
          <w:tcPr>
            <w:tcW w:w="582" w:type="pct"/>
            <w:vAlign w:val="center"/>
          </w:tcPr>
          <w:p w14:paraId="58C77928" w14:textId="77777777" w:rsidR="007C6C75" w:rsidRPr="000808A1" w:rsidRDefault="007C6C75" w:rsidP="007C6C75">
            <w:pPr>
              <w:spacing w:before="40" w:after="40"/>
              <w:jc w:val="center"/>
              <w:rPr>
                <w:rFonts w:ascii="Arial Narrow" w:hAnsi="Arial Narrow"/>
                <w:bCs/>
                <w:sz w:val="20"/>
              </w:rPr>
            </w:pPr>
            <w:r>
              <w:rPr>
                <w:rFonts w:ascii="Arial Narrow" w:hAnsi="Arial Narrow" w:cs="Calibri"/>
                <w:color w:val="000000"/>
                <w:sz w:val="20"/>
              </w:rPr>
              <w:t>$105,395</w:t>
            </w:r>
          </w:p>
        </w:tc>
      </w:tr>
      <w:tr w:rsidR="007C6C75" w:rsidRPr="000808A1" w14:paraId="4F59EB6F" w14:textId="77777777" w:rsidTr="007C6C75">
        <w:tc>
          <w:tcPr>
            <w:tcW w:w="2093" w:type="pct"/>
            <w:vAlign w:val="center"/>
          </w:tcPr>
          <w:p w14:paraId="0135164D" w14:textId="77777777" w:rsidR="007C6C75" w:rsidRPr="000808A1" w:rsidRDefault="007C6C75" w:rsidP="007C6C75">
            <w:pPr>
              <w:spacing w:before="40" w:after="40"/>
              <w:rPr>
                <w:rFonts w:ascii="Arial Narrow" w:hAnsi="Arial Narrow"/>
                <w:b/>
                <w:sz w:val="20"/>
              </w:rPr>
            </w:pPr>
            <w:r>
              <w:rPr>
                <w:rFonts w:ascii="Arial Narrow" w:hAnsi="Arial Narrow" w:cs="Arial"/>
                <w:b/>
                <w:color w:val="000000"/>
                <w:sz w:val="20"/>
              </w:rPr>
              <w:t>Net</w:t>
            </w:r>
            <w:r w:rsidRPr="000808A1">
              <w:rPr>
                <w:rFonts w:ascii="Arial Narrow" w:hAnsi="Arial Narrow" w:cs="Arial"/>
                <w:b/>
                <w:color w:val="000000"/>
                <w:sz w:val="20"/>
              </w:rPr>
              <w:t xml:space="preserve"> financial implications</w:t>
            </w:r>
            <w:r>
              <w:rPr>
                <w:rFonts w:ascii="Arial Narrow" w:hAnsi="Arial Narrow" w:cs="Arial"/>
                <w:b/>
                <w:color w:val="000000"/>
                <w:sz w:val="20"/>
              </w:rPr>
              <w:t xml:space="preserve"> for the Australian health care system</w:t>
            </w:r>
          </w:p>
        </w:tc>
        <w:tc>
          <w:tcPr>
            <w:tcW w:w="581" w:type="pct"/>
            <w:vAlign w:val="center"/>
          </w:tcPr>
          <w:p w14:paraId="6CA54A22" w14:textId="77777777" w:rsidR="007C6C75" w:rsidRPr="000808A1" w:rsidRDefault="007C6C75" w:rsidP="007C6C75">
            <w:pPr>
              <w:spacing w:before="40" w:after="40"/>
              <w:jc w:val="center"/>
              <w:rPr>
                <w:rFonts w:ascii="Arial Narrow" w:hAnsi="Arial Narrow"/>
                <w:b/>
                <w:sz w:val="20"/>
              </w:rPr>
            </w:pPr>
            <w:r>
              <w:rPr>
                <w:rFonts w:ascii="Arial Narrow" w:hAnsi="Arial Narrow" w:cs="Calibri"/>
                <w:b/>
                <w:bCs/>
                <w:color w:val="000000"/>
                <w:sz w:val="20"/>
              </w:rPr>
              <w:t>$366,954</w:t>
            </w:r>
          </w:p>
        </w:tc>
        <w:tc>
          <w:tcPr>
            <w:tcW w:w="581" w:type="pct"/>
            <w:vAlign w:val="center"/>
          </w:tcPr>
          <w:p w14:paraId="1C19E31B" w14:textId="77777777" w:rsidR="007C6C75" w:rsidRPr="000808A1" w:rsidRDefault="007C6C75" w:rsidP="007C6C75">
            <w:pPr>
              <w:spacing w:before="40" w:after="40"/>
              <w:jc w:val="center"/>
              <w:rPr>
                <w:rFonts w:ascii="Arial Narrow" w:hAnsi="Arial Narrow"/>
                <w:b/>
                <w:sz w:val="20"/>
              </w:rPr>
            </w:pPr>
            <w:r>
              <w:rPr>
                <w:rFonts w:ascii="Arial Narrow" w:hAnsi="Arial Narrow" w:cs="Calibri"/>
                <w:b/>
                <w:bCs/>
                <w:color w:val="000000"/>
                <w:sz w:val="20"/>
              </w:rPr>
              <w:t>$606,705</w:t>
            </w:r>
          </w:p>
        </w:tc>
        <w:tc>
          <w:tcPr>
            <w:tcW w:w="582" w:type="pct"/>
            <w:vAlign w:val="center"/>
          </w:tcPr>
          <w:p w14:paraId="282A3F47" w14:textId="77777777" w:rsidR="007C6C75" w:rsidRPr="000808A1" w:rsidRDefault="007C6C75" w:rsidP="007C6C75">
            <w:pPr>
              <w:spacing w:before="40" w:after="40"/>
              <w:jc w:val="center"/>
              <w:rPr>
                <w:rFonts w:ascii="Arial Narrow" w:hAnsi="Arial Narrow"/>
                <w:b/>
                <w:sz w:val="20"/>
              </w:rPr>
            </w:pPr>
            <w:r>
              <w:rPr>
                <w:rFonts w:ascii="Arial Narrow" w:hAnsi="Arial Narrow" w:cs="Calibri"/>
                <w:b/>
                <w:bCs/>
                <w:color w:val="000000"/>
                <w:sz w:val="20"/>
              </w:rPr>
              <w:t>$933,699</w:t>
            </w:r>
          </w:p>
        </w:tc>
        <w:tc>
          <w:tcPr>
            <w:tcW w:w="581" w:type="pct"/>
            <w:vAlign w:val="center"/>
          </w:tcPr>
          <w:p w14:paraId="77CA50AB" w14:textId="77777777" w:rsidR="007C6C75" w:rsidRPr="000808A1" w:rsidRDefault="007C6C75" w:rsidP="007C6C75">
            <w:pPr>
              <w:spacing w:before="40" w:after="40"/>
              <w:jc w:val="center"/>
              <w:rPr>
                <w:rFonts w:ascii="Arial Narrow" w:hAnsi="Arial Narrow"/>
                <w:b/>
                <w:sz w:val="20"/>
              </w:rPr>
            </w:pPr>
            <w:r>
              <w:rPr>
                <w:rFonts w:ascii="Arial Narrow" w:hAnsi="Arial Narrow" w:cs="Calibri"/>
                <w:b/>
                <w:bCs/>
                <w:color w:val="000000"/>
                <w:sz w:val="20"/>
              </w:rPr>
              <w:t>$1,431,940</w:t>
            </w:r>
          </w:p>
        </w:tc>
        <w:tc>
          <w:tcPr>
            <w:tcW w:w="582" w:type="pct"/>
            <w:vAlign w:val="center"/>
          </w:tcPr>
          <w:p w14:paraId="2785B412" w14:textId="77777777" w:rsidR="007C6C75" w:rsidRPr="000808A1" w:rsidRDefault="007C6C75" w:rsidP="007C6C75">
            <w:pPr>
              <w:spacing w:before="40" w:after="40"/>
              <w:jc w:val="center"/>
              <w:rPr>
                <w:rFonts w:ascii="Arial Narrow" w:hAnsi="Arial Narrow"/>
                <w:b/>
                <w:sz w:val="20"/>
              </w:rPr>
            </w:pPr>
            <w:r>
              <w:rPr>
                <w:rFonts w:ascii="Arial Narrow" w:hAnsi="Arial Narrow" w:cs="Calibri"/>
                <w:b/>
                <w:bCs/>
                <w:color w:val="000000"/>
                <w:sz w:val="20"/>
              </w:rPr>
              <w:t>$2,198,142</w:t>
            </w:r>
          </w:p>
        </w:tc>
      </w:tr>
    </w:tbl>
    <w:p w14:paraId="47A9D372" w14:textId="77777777" w:rsidR="007C6C75" w:rsidRDefault="007C6C75" w:rsidP="007C6C75">
      <w:pPr>
        <w:pStyle w:val="Tablenotes"/>
      </w:pPr>
      <w:r w:rsidRPr="000808A1">
        <w:t>MBS</w:t>
      </w:r>
      <w:r>
        <w:t xml:space="preserve"> </w:t>
      </w:r>
      <w:r w:rsidRPr="000808A1">
        <w:t>=</w:t>
      </w:r>
      <w:r>
        <w:t xml:space="preserve"> </w:t>
      </w:r>
      <w:r w:rsidRPr="000808A1">
        <w:t>M</w:t>
      </w:r>
      <w:r>
        <w:t>edicare</w:t>
      </w:r>
      <w:r w:rsidRPr="000808A1">
        <w:t xml:space="preserve"> Benefits Schedule</w:t>
      </w:r>
    </w:p>
    <w:p w14:paraId="7901081C" w14:textId="18C0E550" w:rsidR="009C5D5E" w:rsidRPr="00C86AF6" w:rsidRDefault="007C6C75" w:rsidP="00C86AF6">
      <w:pPr>
        <w:pStyle w:val="Tablenotes"/>
        <w:rPr>
          <w:szCs w:val="16"/>
        </w:rPr>
      </w:pPr>
      <w:r>
        <w:rPr>
          <w:szCs w:val="16"/>
        </w:rPr>
        <w:t>Source: DCAR, Table 10.</w:t>
      </w:r>
    </w:p>
    <w:p w14:paraId="25ED2331" w14:textId="37C6B872" w:rsidR="007C6C75" w:rsidRDefault="007C6C75" w:rsidP="00C86AF6">
      <w:pPr>
        <w:spacing w:before="240"/>
      </w:pPr>
      <w:r>
        <w:t>The DCAR stated that the weighted average cost of screening for participants self-collecting is slightly lower than for those clinician-collecting</w:t>
      </w:r>
      <w:r w:rsidR="00A040FD">
        <w:t>, $95.10 compared to $96.79</w:t>
      </w:r>
      <w:r>
        <w:t xml:space="preserve"> (</w:t>
      </w:r>
      <w:r w:rsidR="00A10F05">
        <w:fldChar w:fldCharType="begin"/>
      </w:r>
      <w:r w:rsidR="00A10F05">
        <w:instrText xml:space="preserve"> REF _Ref59188175 </w:instrText>
      </w:r>
      <w:r w:rsidR="00A10F05">
        <w:fldChar w:fldCharType="separate"/>
      </w:r>
      <w:r>
        <w:t xml:space="preserve">Table </w:t>
      </w:r>
      <w:r>
        <w:rPr>
          <w:noProof/>
        </w:rPr>
        <w:t>1</w:t>
      </w:r>
      <w:r w:rsidR="00362A44">
        <w:rPr>
          <w:noProof/>
        </w:rPr>
        <w:t>1</w:t>
      </w:r>
      <w:r w:rsidR="00A10F05">
        <w:rPr>
          <w:noProof/>
        </w:rPr>
        <w:fldChar w:fldCharType="end"/>
      </w:r>
      <w:r>
        <w:t xml:space="preserve">). However, the DCAR noted that this analysis assumes </w:t>
      </w:r>
      <w:r w:rsidRPr="000C2D27">
        <w:t>that self-collecting participants only follow up on a positive HPV non-16/18 result approximately 62% of the time</w:t>
      </w:r>
      <w:r>
        <w:t xml:space="preserve"> (based on NCSP activity data).</w:t>
      </w:r>
      <w:r w:rsidRPr="000C2D27">
        <w:t xml:space="preserve"> </w:t>
      </w:r>
      <w:r>
        <w:t>I</w:t>
      </w:r>
      <w:r w:rsidRPr="000C2D27">
        <w:t xml:space="preserve">f </w:t>
      </w:r>
      <w:r>
        <w:t>the follow-up rate was</w:t>
      </w:r>
      <w:r w:rsidRPr="000C2D27">
        <w:t xml:space="preserve"> 80.7% </w:t>
      </w:r>
      <w:r>
        <w:t>(</w:t>
      </w:r>
      <w:r w:rsidRPr="000C2D27">
        <w:t xml:space="preserve">as </w:t>
      </w:r>
      <w:r>
        <w:t>found in the DCAR’s meta-analysis) then</w:t>
      </w:r>
      <w:r w:rsidRPr="000C2D27">
        <w:t xml:space="preserve"> th</w:t>
      </w:r>
      <w:r w:rsidR="00A040FD">
        <w:t xml:space="preserve">e weighted average cost of screening per </w:t>
      </w:r>
      <w:r w:rsidR="00D31027">
        <w:t xml:space="preserve">self-collected </w:t>
      </w:r>
      <w:r w:rsidR="00A040FD">
        <w:t>participant</w:t>
      </w:r>
      <w:r w:rsidRPr="000C2D27">
        <w:t xml:space="preserve"> would increase to $97.18</w:t>
      </w:r>
      <w:r>
        <w:t>;</w:t>
      </w:r>
      <w:r w:rsidRPr="000C2D27">
        <w:t xml:space="preserve"> if </w:t>
      </w:r>
      <w:r>
        <w:t>follow-up</w:t>
      </w:r>
      <w:r w:rsidRPr="000C2D27">
        <w:t xml:space="preserve"> were 100% </w:t>
      </w:r>
      <w:r>
        <w:t>(</w:t>
      </w:r>
      <w:r w:rsidRPr="000C2D27">
        <w:t>as per a clinician-collected HPV test</w:t>
      </w:r>
      <w:r>
        <w:t>)</w:t>
      </w:r>
      <w:r w:rsidRPr="000C2D27">
        <w:t>,</w:t>
      </w:r>
      <w:r>
        <w:t xml:space="preserve"> then</w:t>
      </w:r>
      <w:r w:rsidRPr="000C2D27">
        <w:t xml:space="preserve"> the </w:t>
      </w:r>
      <w:r w:rsidR="00A040FD">
        <w:t xml:space="preserve">weighted average </w:t>
      </w:r>
      <w:r w:rsidRPr="000C2D27">
        <w:t xml:space="preserve">cost for self-collected participants </w:t>
      </w:r>
      <w:r>
        <w:t>would be</w:t>
      </w:r>
      <w:r w:rsidRPr="000C2D27">
        <w:t xml:space="preserve"> $99.35.</w:t>
      </w:r>
    </w:p>
    <w:p w14:paraId="156BCD98" w14:textId="74AEBB74" w:rsidR="007C6C75" w:rsidRDefault="007C6C75" w:rsidP="007C6C75">
      <w:pPr>
        <w:pStyle w:val="Caption"/>
      </w:pPr>
      <w:bookmarkStart w:id="24" w:name="_Ref59188175"/>
      <w:bookmarkStart w:id="25" w:name="_Toc59631531"/>
      <w:r>
        <w:t>Table</w:t>
      </w:r>
      <w:bookmarkEnd w:id="24"/>
      <w:r w:rsidR="00D909C5">
        <w:t xml:space="preserve"> 11</w:t>
      </w:r>
      <w:r>
        <w:rPr>
          <w:noProof/>
        </w:rPr>
        <w:tab/>
      </w:r>
      <w:r>
        <w:t>Summary: Weighted-average cost of primary screening – clinician-collected vs. self-collected</w:t>
      </w:r>
      <w:bookmarkEnd w:id="25"/>
    </w:p>
    <w:tbl>
      <w:tblPr>
        <w:tblStyle w:val="TableGrid1"/>
        <w:tblW w:w="5000" w:type="pct"/>
        <w:tblLook w:val="04A0" w:firstRow="1" w:lastRow="0" w:firstColumn="1" w:lastColumn="0" w:noHBand="0" w:noVBand="1"/>
        <w:tblDescription w:val="Summary: Weighted-average cost of primary screening – clinician-collected vs. self-collected"/>
      </w:tblPr>
      <w:tblGrid>
        <w:gridCol w:w="1732"/>
        <w:gridCol w:w="1147"/>
        <w:gridCol w:w="1147"/>
        <w:gridCol w:w="1147"/>
        <w:gridCol w:w="1556"/>
        <w:gridCol w:w="1147"/>
        <w:gridCol w:w="1140"/>
      </w:tblGrid>
      <w:tr w:rsidR="007C6C75" w:rsidRPr="00FE40D5" w14:paraId="437CD071" w14:textId="77777777" w:rsidTr="00442390">
        <w:trPr>
          <w:trHeight w:val="290"/>
          <w:tblHeader/>
        </w:trPr>
        <w:tc>
          <w:tcPr>
            <w:tcW w:w="961" w:type="pct"/>
            <w:noWrap/>
            <w:hideMark/>
          </w:tcPr>
          <w:p w14:paraId="63BAFBEF" w14:textId="77777777" w:rsidR="007C6C75" w:rsidRPr="00287079" w:rsidRDefault="007C6C75" w:rsidP="007C6C75">
            <w:pPr>
              <w:spacing w:before="40" w:after="40"/>
              <w:rPr>
                <w:rFonts w:ascii="Arial Narrow" w:hAnsi="Arial Narrow" w:cs="Calibri"/>
                <w:b/>
                <w:bCs/>
                <w:color w:val="000000"/>
                <w:sz w:val="20"/>
              </w:rPr>
            </w:pPr>
            <w:r w:rsidRPr="00287079">
              <w:rPr>
                <w:rFonts w:ascii="Arial Narrow" w:hAnsi="Arial Narrow" w:cs="Calibri"/>
                <w:b/>
                <w:bCs/>
                <w:color w:val="000000"/>
                <w:sz w:val="20"/>
              </w:rPr>
              <w:t>Item</w:t>
            </w:r>
          </w:p>
        </w:tc>
        <w:tc>
          <w:tcPr>
            <w:tcW w:w="636" w:type="pct"/>
            <w:noWrap/>
            <w:hideMark/>
          </w:tcPr>
          <w:p w14:paraId="175FF71D" w14:textId="77777777" w:rsidR="007C6C75" w:rsidRPr="0093519A" w:rsidRDefault="007C6C75" w:rsidP="007C6C75">
            <w:pPr>
              <w:spacing w:before="40" w:after="40"/>
              <w:jc w:val="center"/>
              <w:rPr>
                <w:rFonts w:ascii="Arial Narrow" w:hAnsi="Arial Narrow" w:cs="Calibri"/>
                <w:b/>
                <w:bCs/>
                <w:color w:val="000000"/>
                <w:sz w:val="20"/>
              </w:rPr>
            </w:pPr>
            <w:r w:rsidRPr="0093519A">
              <w:rPr>
                <w:rFonts w:ascii="Arial Narrow" w:hAnsi="Arial Narrow" w:cs="Calibri"/>
                <w:b/>
                <w:bCs/>
                <w:color w:val="000000"/>
                <w:sz w:val="20"/>
              </w:rPr>
              <w:t>Total</w:t>
            </w:r>
          </w:p>
        </w:tc>
        <w:tc>
          <w:tcPr>
            <w:tcW w:w="636" w:type="pct"/>
            <w:noWrap/>
            <w:hideMark/>
          </w:tcPr>
          <w:p w14:paraId="5797CD9A" w14:textId="77777777" w:rsidR="007C6C75" w:rsidRPr="00405BDA" w:rsidRDefault="007C6C75" w:rsidP="007C6C75">
            <w:pPr>
              <w:spacing w:before="40" w:after="40"/>
              <w:jc w:val="center"/>
              <w:rPr>
                <w:rFonts w:ascii="Arial Narrow" w:hAnsi="Arial Narrow" w:cs="Calibri"/>
                <w:b/>
                <w:bCs/>
                <w:color w:val="000000"/>
                <w:sz w:val="20"/>
              </w:rPr>
            </w:pPr>
            <w:r w:rsidRPr="00405BDA">
              <w:rPr>
                <w:rFonts w:ascii="Arial Narrow" w:hAnsi="Arial Narrow" w:cs="Calibri"/>
                <w:b/>
                <w:bCs/>
                <w:color w:val="000000"/>
                <w:sz w:val="20"/>
              </w:rPr>
              <w:t>HPV test</w:t>
            </w:r>
          </w:p>
        </w:tc>
        <w:tc>
          <w:tcPr>
            <w:tcW w:w="636" w:type="pct"/>
            <w:noWrap/>
            <w:hideMark/>
          </w:tcPr>
          <w:p w14:paraId="75B78461" w14:textId="77777777" w:rsidR="007C6C75" w:rsidRPr="00050727" w:rsidRDefault="007C6C75" w:rsidP="007C6C75">
            <w:pPr>
              <w:spacing w:before="40" w:after="40"/>
              <w:jc w:val="center"/>
              <w:rPr>
                <w:rFonts w:ascii="Arial Narrow" w:hAnsi="Arial Narrow" w:cs="Calibri"/>
                <w:b/>
                <w:bCs/>
                <w:color w:val="000000"/>
                <w:sz w:val="20"/>
              </w:rPr>
            </w:pPr>
            <w:r w:rsidRPr="00050727">
              <w:rPr>
                <w:rFonts w:ascii="Arial Narrow" w:hAnsi="Arial Narrow" w:cs="Calibri"/>
                <w:b/>
                <w:bCs/>
                <w:color w:val="000000"/>
                <w:sz w:val="20"/>
              </w:rPr>
              <w:t>LBC</w:t>
            </w:r>
          </w:p>
        </w:tc>
        <w:tc>
          <w:tcPr>
            <w:tcW w:w="863" w:type="pct"/>
            <w:noWrap/>
            <w:hideMark/>
          </w:tcPr>
          <w:p w14:paraId="1C5E6B9C" w14:textId="77777777" w:rsidR="007C6C75" w:rsidRPr="00D504E3" w:rsidRDefault="007C6C75" w:rsidP="007C6C75">
            <w:pPr>
              <w:spacing w:before="40" w:after="40"/>
              <w:jc w:val="center"/>
              <w:rPr>
                <w:rFonts w:ascii="Arial Narrow" w:hAnsi="Arial Narrow" w:cs="Calibri"/>
                <w:b/>
                <w:bCs/>
                <w:color w:val="000000"/>
                <w:sz w:val="20"/>
              </w:rPr>
            </w:pPr>
            <w:r w:rsidRPr="00D504E3">
              <w:rPr>
                <w:rFonts w:ascii="Arial Narrow" w:hAnsi="Arial Narrow" w:cs="Calibri"/>
                <w:b/>
                <w:bCs/>
                <w:color w:val="000000"/>
                <w:sz w:val="20"/>
              </w:rPr>
              <w:t xml:space="preserve">Clinician </w:t>
            </w:r>
            <w:r>
              <w:rPr>
                <w:rFonts w:ascii="Arial Narrow" w:hAnsi="Arial Narrow" w:cs="Calibri"/>
                <w:b/>
                <w:bCs/>
                <w:color w:val="000000"/>
                <w:sz w:val="20"/>
              </w:rPr>
              <w:t>c</w:t>
            </w:r>
            <w:r w:rsidRPr="00D504E3">
              <w:rPr>
                <w:rFonts w:ascii="Arial Narrow" w:hAnsi="Arial Narrow" w:cs="Calibri"/>
                <w:b/>
                <w:bCs/>
                <w:color w:val="000000"/>
                <w:sz w:val="20"/>
              </w:rPr>
              <w:t>onsult</w:t>
            </w:r>
          </w:p>
        </w:tc>
        <w:tc>
          <w:tcPr>
            <w:tcW w:w="636" w:type="pct"/>
            <w:noWrap/>
            <w:hideMark/>
          </w:tcPr>
          <w:p w14:paraId="6D530893" w14:textId="77777777" w:rsidR="007C6C75" w:rsidRPr="00D672AE" w:rsidRDefault="007C6C75" w:rsidP="007C6C75">
            <w:pPr>
              <w:spacing w:before="40" w:after="40"/>
              <w:jc w:val="center"/>
              <w:rPr>
                <w:rFonts w:ascii="Arial Narrow" w:hAnsi="Arial Narrow" w:cs="Calibri"/>
                <w:b/>
                <w:bCs/>
                <w:color w:val="000000"/>
                <w:sz w:val="20"/>
              </w:rPr>
            </w:pPr>
            <w:r w:rsidRPr="00D672AE">
              <w:rPr>
                <w:rFonts w:ascii="Arial Narrow" w:hAnsi="Arial Narrow" w:cs="Calibri"/>
                <w:b/>
                <w:bCs/>
                <w:color w:val="000000"/>
                <w:sz w:val="20"/>
              </w:rPr>
              <w:t>PEI</w:t>
            </w:r>
          </w:p>
        </w:tc>
        <w:tc>
          <w:tcPr>
            <w:tcW w:w="632" w:type="pct"/>
            <w:noWrap/>
            <w:hideMark/>
          </w:tcPr>
          <w:p w14:paraId="257CE57E" w14:textId="77777777" w:rsidR="007C6C75" w:rsidRPr="005C5D09" w:rsidRDefault="007C6C75" w:rsidP="007C6C75">
            <w:pPr>
              <w:spacing w:before="40" w:after="40"/>
              <w:jc w:val="center"/>
              <w:rPr>
                <w:rFonts w:ascii="Arial Narrow" w:hAnsi="Arial Narrow" w:cs="Calibri"/>
                <w:b/>
                <w:bCs/>
                <w:color w:val="000000"/>
                <w:sz w:val="20"/>
              </w:rPr>
            </w:pPr>
            <w:r w:rsidRPr="005C5D09">
              <w:rPr>
                <w:rFonts w:ascii="Arial Narrow" w:hAnsi="Arial Narrow" w:cs="Calibri"/>
                <w:b/>
                <w:bCs/>
                <w:color w:val="000000"/>
                <w:sz w:val="20"/>
              </w:rPr>
              <w:t>BBI</w:t>
            </w:r>
          </w:p>
        </w:tc>
      </w:tr>
      <w:tr w:rsidR="007C6C75" w:rsidRPr="00FE40D5" w14:paraId="4466670D" w14:textId="77777777" w:rsidTr="00442390">
        <w:trPr>
          <w:trHeight w:val="290"/>
        </w:trPr>
        <w:tc>
          <w:tcPr>
            <w:tcW w:w="961" w:type="pct"/>
            <w:noWrap/>
            <w:hideMark/>
          </w:tcPr>
          <w:p w14:paraId="26554556" w14:textId="77777777" w:rsidR="007C6C75" w:rsidRPr="00FE40D5" w:rsidRDefault="007C6C75" w:rsidP="007C6C75">
            <w:pPr>
              <w:spacing w:before="40" w:after="40"/>
              <w:rPr>
                <w:rFonts w:ascii="Arial Narrow" w:hAnsi="Arial Narrow" w:cs="Calibri"/>
                <w:color w:val="000000"/>
                <w:sz w:val="20"/>
              </w:rPr>
            </w:pPr>
            <w:r w:rsidRPr="00FE40D5">
              <w:rPr>
                <w:rFonts w:ascii="Arial Narrow" w:hAnsi="Arial Narrow" w:cs="Calibri"/>
                <w:color w:val="000000"/>
                <w:sz w:val="20"/>
              </w:rPr>
              <w:t>Clinician-collected</w:t>
            </w:r>
          </w:p>
        </w:tc>
        <w:tc>
          <w:tcPr>
            <w:tcW w:w="636" w:type="pct"/>
            <w:noWrap/>
            <w:hideMark/>
          </w:tcPr>
          <w:p w14:paraId="3051B641" w14:textId="77777777" w:rsidR="007C6C75" w:rsidRPr="00FE40D5" w:rsidRDefault="007C6C75" w:rsidP="007C6C75">
            <w:pPr>
              <w:spacing w:before="40" w:after="40"/>
              <w:jc w:val="center"/>
              <w:rPr>
                <w:rFonts w:ascii="Arial Narrow" w:hAnsi="Arial Narrow" w:cs="Calibri"/>
                <w:color w:val="000000"/>
                <w:sz w:val="20"/>
              </w:rPr>
            </w:pPr>
            <w:r w:rsidRPr="00FE40D5">
              <w:rPr>
                <w:rFonts w:ascii="Arial Narrow" w:hAnsi="Arial Narrow" w:cs="Calibri"/>
                <w:color w:val="000000"/>
                <w:sz w:val="20"/>
              </w:rPr>
              <w:t>$96.79</w:t>
            </w:r>
          </w:p>
        </w:tc>
        <w:tc>
          <w:tcPr>
            <w:tcW w:w="636" w:type="pct"/>
            <w:noWrap/>
            <w:hideMark/>
          </w:tcPr>
          <w:p w14:paraId="49C9B66D" w14:textId="77777777" w:rsidR="007C6C75" w:rsidRPr="00FE40D5" w:rsidRDefault="007C6C75" w:rsidP="007C6C75">
            <w:pPr>
              <w:spacing w:before="40" w:after="40"/>
              <w:jc w:val="center"/>
              <w:rPr>
                <w:rFonts w:ascii="Arial Narrow" w:hAnsi="Arial Narrow" w:cs="Calibri"/>
                <w:color w:val="000000"/>
                <w:sz w:val="20"/>
              </w:rPr>
            </w:pPr>
            <w:r w:rsidRPr="00FE40D5">
              <w:rPr>
                <w:rFonts w:ascii="Arial Narrow" w:hAnsi="Arial Narrow" w:cs="Calibri"/>
                <w:color w:val="000000"/>
                <w:sz w:val="20"/>
              </w:rPr>
              <w:t>$31.45</w:t>
            </w:r>
          </w:p>
        </w:tc>
        <w:tc>
          <w:tcPr>
            <w:tcW w:w="636" w:type="pct"/>
            <w:noWrap/>
            <w:hideMark/>
          </w:tcPr>
          <w:p w14:paraId="5A685321" w14:textId="77777777" w:rsidR="007C6C75" w:rsidRPr="00FE40D5" w:rsidRDefault="007C6C75" w:rsidP="007C6C75">
            <w:pPr>
              <w:spacing w:before="40" w:after="40"/>
              <w:jc w:val="center"/>
              <w:rPr>
                <w:rFonts w:ascii="Arial Narrow" w:hAnsi="Arial Narrow" w:cs="Calibri"/>
                <w:color w:val="000000"/>
                <w:sz w:val="20"/>
              </w:rPr>
            </w:pPr>
            <w:r w:rsidRPr="00FE40D5">
              <w:rPr>
                <w:rFonts w:ascii="Arial Narrow" w:hAnsi="Arial Narrow" w:cs="Calibri"/>
                <w:color w:val="000000"/>
                <w:sz w:val="20"/>
              </w:rPr>
              <w:t>$4.96</w:t>
            </w:r>
          </w:p>
        </w:tc>
        <w:tc>
          <w:tcPr>
            <w:tcW w:w="863" w:type="pct"/>
            <w:noWrap/>
            <w:hideMark/>
          </w:tcPr>
          <w:p w14:paraId="6F4A0987" w14:textId="77777777" w:rsidR="007C6C75" w:rsidRPr="00FE40D5" w:rsidRDefault="007C6C75" w:rsidP="007C6C75">
            <w:pPr>
              <w:spacing w:before="40" w:after="40"/>
              <w:jc w:val="center"/>
              <w:rPr>
                <w:rFonts w:ascii="Arial Narrow" w:hAnsi="Arial Narrow" w:cs="Calibri"/>
                <w:color w:val="000000"/>
                <w:sz w:val="20"/>
              </w:rPr>
            </w:pPr>
            <w:r w:rsidRPr="00FE40D5">
              <w:rPr>
                <w:rFonts w:ascii="Arial Narrow" w:hAnsi="Arial Narrow" w:cs="Calibri"/>
                <w:color w:val="000000"/>
                <w:sz w:val="20"/>
              </w:rPr>
              <w:t>$51.39</w:t>
            </w:r>
          </w:p>
        </w:tc>
        <w:tc>
          <w:tcPr>
            <w:tcW w:w="636" w:type="pct"/>
            <w:noWrap/>
            <w:hideMark/>
          </w:tcPr>
          <w:p w14:paraId="065C7981" w14:textId="77777777" w:rsidR="007C6C75" w:rsidRPr="00FE40D5" w:rsidRDefault="007C6C75" w:rsidP="007C6C75">
            <w:pPr>
              <w:spacing w:before="40" w:after="40"/>
              <w:jc w:val="center"/>
              <w:rPr>
                <w:rFonts w:ascii="Arial Narrow" w:hAnsi="Arial Narrow" w:cs="Calibri"/>
                <w:color w:val="000000"/>
                <w:sz w:val="20"/>
              </w:rPr>
            </w:pPr>
            <w:r w:rsidRPr="00FE40D5">
              <w:rPr>
                <w:rFonts w:ascii="Arial Narrow" w:hAnsi="Arial Narrow" w:cs="Calibri"/>
                <w:color w:val="000000"/>
                <w:sz w:val="20"/>
              </w:rPr>
              <w:t>$7.19</w:t>
            </w:r>
          </w:p>
        </w:tc>
        <w:tc>
          <w:tcPr>
            <w:tcW w:w="632" w:type="pct"/>
            <w:noWrap/>
            <w:hideMark/>
          </w:tcPr>
          <w:p w14:paraId="24AE0E46" w14:textId="77777777" w:rsidR="007C6C75" w:rsidRPr="00FE40D5" w:rsidRDefault="007C6C75" w:rsidP="007C6C75">
            <w:pPr>
              <w:spacing w:before="40" w:after="40"/>
              <w:jc w:val="center"/>
              <w:rPr>
                <w:rFonts w:ascii="Arial Narrow" w:hAnsi="Arial Narrow" w:cs="Calibri"/>
                <w:color w:val="000000"/>
                <w:sz w:val="20"/>
              </w:rPr>
            </w:pPr>
            <w:r w:rsidRPr="00FE40D5">
              <w:rPr>
                <w:rFonts w:ascii="Arial Narrow" w:hAnsi="Arial Narrow" w:cs="Calibri"/>
                <w:color w:val="000000"/>
                <w:sz w:val="20"/>
              </w:rPr>
              <w:t>$1.80</w:t>
            </w:r>
          </w:p>
        </w:tc>
      </w:tr>
      <w:tr w:rsidR="007C6C75" w:rsidRPr="00287079" w14:paraId="508633AC" w14:textId="77777777" w:rsidTr="00442390">
        <w:trPr>
          <w:trHeight w:val="290"/>
        </w:trPr>
        <w:tc>
          <w:tcPr>
            <w:tcW w:w="961" w:type="pct"/>
            <w:noWrap/>
            <w:hideMark/>
          </w:tcPr>
          <w:p w14:paraId="278C2C79" w14:textId="77777777" w:rsidR="007C6C75" w:rsidRPr="00287079" w:rsidRDefault="007C6C75" w:rsidP="007C6C75">
            <w:pPr>
              <w:spacing w:before="40" w:after="40"/>
              <w:rPr>
                <w:rFonts w:ascii="Arial Narrow" w:hAnsi="Arial Narrow" w:cs="Calibri"/>
                <w:color w:val="000000"/>
                <w:sz w:val="20"/>
              </w:rPr>
            </w:pPr>
            <w:r w:rsidRPr="00287079">
              <w:rPr>
                <w:rFonts w:ascii="Arial Narrow" w:hAnsi="Arial Narrow" w:cs="Calibri"/>
                <w:color w:val="000000"/>
                <w:sz w:val="20"/>
              </w:rPr>
              <w:t>Self-collected</w:t>
            </w:r>
          </w:p>
        </w:tc>
        <w:tc>
          <w:tcPr>
            <w:tcW w:w="636" w:type="pct"/>
            <w:noWrap/>
            <w:hideMark/>
          </w:tcPr>
          <w:p w14:paraId="4792F420" w14:textId="77777777" w:rsidR="007C6C75" w:rsidRPr="00287079"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$95.10</w:t>
            </w:r>
          </w:p>
        </w:tc>
        <w:tc>
          <w:tcPr>
            <w:tcW w:w="636" w:type="pct"/>
            <w:noWrap/>
            <w:hideMark/>
          </w:tcPr>
          <w:p w14:paraId="6BAC451E" w14:textId="77777777" w:rsidR="007C6C75" w:rsidRPr="00287079"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$31.80</w:t>
            </w:r>
          </w:p>
        </w:tc>
        <w:tc>
          <w:tcPr>
            <w:tcW w:w="636" w:type="pct"/>
            <w:noWrap/>
            <w:hideMark/>
          </w:tcPr>
          <w:p w14:paraId="4AE47367" w14:textId="77777777" w:rsidR="007C6C75" w:rsidRPr="00287079"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$1.95</w:t>
            </w:r>
          </w:p>
        </w:tc>
        <w:tc>
          <w:tcPr>
            <w:tcW w:w="863" w:type="pct"/>
            <w:noWrap/>
            <w:hideMark/>
          </w:tcPr>
          <w:p w14:paraId="392C18A6" w14:textId="77777777" w:rsidR="007C6C75" w:rsidRPr="00287079"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$51.85</w:t>
            </w:r>
          </w:p>
        </w:tc>
        <w:tc>
          <w:tcPr>
            <w:tcW w:w="636" w:type="pct"/>
            <w:noWrap/>
            <w:hideMark/>
          </w:tcPr>
          <w:p w14:paraId="6BBA7729" w14:textId="77777777" w:rsidR="007C6C75" w:rsidRPr="00287079"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$7.61</w:t>
            </w:r>
          </w:p>
        </w:tc>
        <w:tc>
          <w:tcPr>
            <w:tcW w:w="632" w:type="pct"/>
            <w:noWrap/>
            <w:hideMark/>
          </w:tcPr>
          <w:p w14:paraId="6B7A5E72" w14:textId="77777777" w:rsidR="007C6C75" w:rsidRPr="00287079" w:rsidRDefault="007C6C75" w:rsidP="007C6C75">
            <w:pPr>
              <w:spacing w:before="40" w:after="40"/>
              <w:jc w:val="center"/>
              <w:rPr>
                <w:rFonts w:ascii="Arial Narrow" w:hAnsi="Arial Narrow" w:cs="Calibri"/>
                <w:color w:val="000000"/>
                <w:sz w:val="20"/>
              </w:rPr>
            </w:pPr>
            <w:r>
              <w:rPr>
                <w:rFonts w:ascii="Arial Narrow" w:hAnsi="Arial Narrow" w:cs="Calibri"/>
                <w:color w:val="000000"/>
                <w:sz w:val="20"/>
              </w:rPr>
              <w:t>$1.90</w:t>
            </w:r>
          </w:p>
        </w:tc>
      </w:tr>
    </w:tbl>
    <w:p w14:paraId="47793BDB" w14:textId="77777777" w:rsidR="007C6C75" w:rsidRDefault="007C6C75" w:rsidP="007C6C75">
      <w:pPr>
        <w:pStyle w:val="Tablenotes"/>
        <w:rPr>
          <w:szCs w:val="16"/>
        </w:rPr>
      </w:pPr>
      <w:r>
        <w:t xml:space="preserve">BBI = bulk-billing incentive, HPV = human papillomavirus, LBC = liquid-based cytology, </w:t>
      </w:r>
      <w:r w:rsidRPr="000808A1">
        <w:rPr>
          <w:szCs w:val="16"/>
        </w:rPr>
        <w:t>MBS</w:t>
      </w:r>
      <w:r>
        <w:rPr>
          <w:szCs w:val="16"/>
        </w:rPr>
        <w:t xml:space="preserve"> </w:t>
      </w:r>
      <w:r w:rsidRPr="000808A1">
        <w:rPr>
          <w:szCs w:val="16"/>
        </w:rPr>
        <w:t>=</w:t>
      </w:r>
      <w:r>
        <w:rPr>
          <w:szCs w:val="16"/>
        </w:rPr>
        <w:t xml:space="preserve"> </w:t>
      </w:r>
      <w:r w:rsidRPr="000808A1">
        <w:rPr>
          <w:szCs w:val="16"/>
        </w:rPr>
        <w:t>Medica</w:t>
      </w:r>
      <w:r>
        <w:rPr>
          <w:szCs w:val="16"/>
        </w:rPr>
        <w:t>re</w:t>
      </w:r>
      <w:r w:rsidRPr="000808A1">
        <w:rPr>
          <w:szCs w:val="16"/>
        </w:rPr>
        <w:t xml:space="preserve"> Benefits Schedule, NCSP</w:t>
      </w:r>
      <w:r>
        <w:rPr>
          <w:szCs w:val="16"/>
        </w:rPr>
        <w:t xml:space="preserve"> </w:t>
      </w:r>
      <w:r w:rsidRPr="000808A1">
        <w:rPr>
          <w:szCs w:val="16"/>
        </w:rPr>
        <w:t>=</w:t>
      </w:r>
      <w:r>
        <w:rPr>
          <w:szCs w:val="16"/>
        </w:rPr>
        <w:t xml:space="preserve"> </w:t>
      </w:r>
      <w:r w:rsidRPr="000808A1">
        <w:rPr>
          <w:szCs w:val="16"/>
        </w:rPr>
        <w:t>National Cervical Screening Program</w:t>
      </w:r>
      <w:r>
        <w:rPr>
          <w:szCs w:val="16"/>
        </w:rPr>
        <w:t>, PEI = patient episode initiation.</w:t>
      </w:r>
    </w:p>
    <w:p w14:paraId="10FA0964" w14:textId="77777777" w:rsidR="007C6C75" w:rsidRDefault="007C6C75" w:rsidP="009C5D5E">
      <w:pPr>
        <w:pStyle w:val="Tablenotes"/>
      </w:pPr>
      <w:r>
        <w:rPr>
          <w:szCs w:val="16"/>
        </w:rPr>
        <w:t>Source: DCAR, Table 11.</w:t>
      </w:r>
    </w:p>
    <w:p w14:paraId="63470A15" w14:textId="77777777" w:rsidR="007C6C75" w:rsidRPr="009C5D5E" w:rsidRDefault="007C6C75" w:rsidP="006A5D63">
      <w:pPr>
        <w:pStyle w:val="Heading2"/>
      </w:pPr>
      <w:r w:rsidRPr="009C5D5E">
        <w:t>Sensitivity analyses</w:t>
      </w:r>
    </w:p>
    <w:p w14:paraId="375AAFC8" w14:textId="77777777" w:rsidR="007C6C75" w:rsidRPr="004E6449" w:rsidRDefault="007C6C75" w:rsidP="00C86AF6">
      <w:pPr>
        <w:spacing w:after="0"/>
      </w:pPr>
      <w:r>
        <w:t>The DCAR stated that k</w:t>
      </w:r>
      <w:r w:rsidRPr="004E6449">
        <w:t>ey parameter categories where uncertainty was present include</w:t>
      </w:r>
      <w:r>
        <w:t>d</w:t>
      </w:r>
      <w:r w:rsidRPr="004E6449">
        <w:t>:</w:t>
      </w:r>
    </w:p>
    <w:p w14:paraId="2D165191" w14:textId="77777777" w:rsidR="007C6C75" w:rsidRPr="004E6449" w:rsidRDefault="007C6C75" w:rsidP="007C6C75">
      <w:pPr>
        <w:numPr>
          <w:ilvl w:val="0"/>
          <w:numId w:val="39"/>
        </w:numPr>
        <w:spacing w:after="0"/>
      </w:pPr>
      <w:r w:rsidRPr="004E6449">
        <w:t>overall participation rates</w:t>
      </w:r>
    </w:p>
    <w:p w14:paraId="4C43ED35" w14:textId="77777777" w:rsidR="007C6C75" w:rsidRPr="004E6449" w:rsidRDefault="007C6C75" w:rsidP="007C6C75">
      <w:pPr>
        <w:numPr>
          <w:ilvl w:val="0"/>
          <w:numId w:val="39"/>
        </w:numPr>
        <w:spacing w:after="0"/>
      </w:pPr>
      <w:r w:rsidRPr="004E6449">
        <w:t>additional uptake resulting from expanded self-collection eligibility criteria</w:t>
      </w:r>
    </w:p>
    <w:p w14:paraId="64EFF9AC" w14:textId="77777777" w:rsidR="007C6C75" w:rsidRPr="004E6449" w:rsidRDefault="007C6C75" w:rsidP="007C6C75">
      <w:pPr>
        <w:numPr>
          <w:ilvl w:val="0"/>
          <w:numId w:val="39"/>
        </w:numPr>
        <w:spacing w:after="0"/>
      </w:pPr>
      <w:r w:rsidRPr="004E6449">
        <w:t xml:space="preserve">HPV </w:t>
      </w:r>
      <w:r>
        <w:t xml:space="preserve">positive </w:t>
      </w:r>
      <w:r w:rsidRPr="004E6449">
        <w:t>test result rates</w:t>
      </w:r>
    </w:p>
    <w:p w14:paraId="654A1925" w14:textId="77777777" w:rsidR="007C6C75" w:rsidRPr="004E6449" w:rsidRDefault="007C6C75" w:rsidP="007C6C75">
      <w:pPr>
        <w:numPr>
          <w:ilvl w:val="0"/>
          <w:numId w:val="39"/>
        </w:numPr>
        <w:spacing w:after="0"/>
      </w:pPr>
      <w:r w:rsidRPr="004E6449">
        <w:t>NCSP participant adherence</w:t>
      </w:r>
      <w:r>
        <w:t xml:space="preserve"> rate</w:t>
      </w:r>
      <w:r w:rsidRPr="004E6449">
        <w:t>, including</w:t>
      </w:r>
      <w:r>
        <w:t xml:space="preserve"> rate of</w:t>
      </w:r>
      <w:r w:rsidRPr="004E6449">
        <w:t xml:space="preserve"> </w:t>
      </w:r>
      <w:r>
        <w:t xml:space="preserve">follow-up amongst </w:t>
      </w:r>
      <w:r w:rsidRPr="004E6449">
        <w:t>those self-collecting participants who test positive and require LBC testing.</w:t>
      </w:r>
    </w:p>
    <w:p w14:paraId="66B37C3A" w14:textId="77777777" w:rsidR="007C6C75" w:rsidRPr="004E6449" w:rsidRDefault="007C6C75" w:rsidP="007C6C75">
      <w:pPr>
        <w:numPr>
          <w:ilvl w:val="0"/>
          <w:numId w:val="39"/>
        </w:numPr>
        <w:spacing w:after="0"/>
      </w:pPr>
      <w:proofErr w:type="gramStart"/>
      <w:r w:rsidRPr="004E6449">
        <w:t>lags</w:t>
      </w:r>
      <w:proofErr w:type="gramEnd"/>
      <w:r w:rsidRPr="004E6449">
        <w:t xml:space="preserve"> in participation in transition to the 5-year screening interval.</w:t>
      </w:r>
    </w:p>
    <w:p w14:paraId="0E4F0448" w14:textId="4EC8E9A6" w:rsidR="007C6C75" w:rsidRPr="00C86AF6" w:rsidRDefault="007C6C75" w:rsidP="00C86AF6">
      <w:r w:rsidRPr="00BF3692">
        <w:t>The DCAR’s sensitivity analyses exploring these uncertainties (</w:t>
      </w:r>
      <w:r w:rsidRPr="00BF3692">
        <w:fldChar w:fldCharType="begin"/>
      </w:r>
      <w:r w:rsidRPr="00BF3692">
        <w:instrText xml:space="preserve"> REF _Ref55603304 </w:instrText>
      </w:r>
      <w:r w:rsidR="00BF3692">
        <w:instrText xml:space="preserve"> \* MERGEFORMAT </w:instrText>
      </w:r>
      <w:r w:rsidRPr="00BF3692">
        <w:fldChar w:fldCharType="separate"/>
      </w:r>
      <w:r w:rsidRPr="00BC4E2E">
        <w:t xml:space="preserve">Table </w:t>
      </w:r>
      <w:r>
        <w:t>1</w:t>
      </w:r>
      <w:r w:rsidR="00362A44">
        <w:t>2</w:t>
      </w:r>
      <w:r w:rsidRPr="00BF3692">
        <w:fldChar w:fldCharType="end"/>
      </w:r>
      <w:r w:rsidRPr="00BF3692">
        <w:t xml:space="preserve">) showed that the total financial implications are primarily driven by participation rates, switching rates to self-collecting, and any potential impact that causes a slowdown in participation or a lag in transition to the 5-year screening interval. While continued adherence to the NCSP (as measured by follow-up LBC test uptake rate after positive HPV test non-16/18, </w:t>
      </w:r>
      <w:r w:rsidR="00BF3692" w:rsidRPr="00BF3692">
        <w:fldChar w:fldCharType="begin"/>
      </w:r>
      <w:r w:rsidR="00BF3692" w:rsidRPr="00BF3692">
        <w:instrText xml:space="preserve"> REF _Ref55603304 </w:instrText>
      </w:r>
      <w:r w:rsidR="00BF3692">
        <w:instrText xml:space="preserve"> \* MERGEFORMAT </w:instrText>
      </w:r>
      <w:r w:rsidR="00BF3692" w:rsidRPr="00BF3692">
        <w:fldChar w:fldCharType="separate"/>
      </w:r>
      <w:r w:rsidR="00BF3692" w:rsidRPr="00BC4E2E">
        <w:t xml:space="preserve">Table </w:t>
      </w:r>
      <w:r w:rsidR="00BF3692">
        <w:t>12</w:t>
      </w:r>
      <w:r w:rsidR="00BF3692" w:rsidRPr="00BF3692">
        <w:fldChar w:fldCharType="end"/>
      </w:r>
      <w:r w:rsidRPr="00BF3692">
        <w:t>) is important to cervical screening outcomes, it does not materially affect financial outcomes, as the majority of costs are incurred upfront during the primary screening step</w:t>
      </w:r>
      <w:r w:rsidR="009C5D5E" w:rsidRPr="00BF3692">
        <w:t>.</w:t>
      </w:r>
      <w:bookmarkStart w:id="26" w:name="_Ref55603304"/>
      <w:bookmarkStart w:id="27" w:name="_Toc52400455"/>
      <w:bookmarkStart w:id="28" w:name="_Toc59631570"/>
    </w:p>
    <w:p w14:paraId="0863FB14" w14:textId="6396F8EC" w:rsidR="007C6C75" w:rsidRPr="00BC4E2E" w:rsidRDefault="007C6C75" w:rsidP="007C6C75">
      <w:pPr>
        <w:pStyle w:val="Caption"/>
        <w:rPr>
          <w:noProof/>
        </w:rPr>
      </w:pPr>
      <w:r w:rsidRPr="00BC4E2E">
        <w:rPr>
          <w:noProof/>
        </w:rPr>
        <w:t>Table</w:t>
      </w:r>
      <w:bookmarkEnd w:id="26"/>
      <w:r w:rsidR="00D909C5">
        <w:rPr>
          <w:noProof/>
        </w:rPr>
        <w:t xml:space="preserve"> 12</w:t>
      </w:r>
      <w:r w:rsidRPr="00BC4E2E">
        <w:rPr>
          <w:noProof/>
        </w:rPr>
        <w:tab/>
      </w:r>
      <w:bookmarkEnd w:id="27"/>
      <w:bookmarkEnd w:id="28"/>
      <w:r>
        <w:rPr>
          <w:noProof/>
        </w:rPr>
        <w:t>Financial implications under sensitivity analysis and scenario testing</w:t>
      </w:r>
    </w:p>
    <w:tbl>
      <w:tblPr>
        <w:tblStyle w:val="TableGrid"/>
        <w:tblW w:w="5189" w:type="pct"/>
        <w:tblLayout w:type="fixed"/>
        <w:tblCellMar>
          <w:left w:w="28" w:type="dxa"/>
          <w:right w:w="0" w:type="dxa"/>
        </w:tblCellMar>
        <w:tblLook w:val="04A0" w:firstRow="1" w:lastRow="0" w:firstColumn="1" w:lastColumn="0" w:noHBand="0" w:noVBand="1"/>
        <w:tblDescription w:val="Financial implications under sensitivity analysis and scenario testing"/>
      </w:tblPr>
      <w:tblGrid>
        <w:gridCol w:w="1271"/>
        <w:gridCol w:w="573"/>
        <w:gridCol w:w="2410"/>
        <w:gridCol w:w="1020"/>
        <w:gridCol w:w="1021"/>
        <w:gridCol w:w="1020"/>
        <w:gridCol w:w="1021"/>
        <w:gridCol w:w="1021"/>
      </w:tblGrid>
      <w:tr w:rsidR="007C6C75" w:rsidRPr="005A6618" w14:paraId="18B0D2E5" w14:textId="77777777" w:rsidTr="007C6C75">
        <w:trPr>
          <w:trHeight w:val="227"/>
          <w:tblHeader/>
        </w:trPr>
        <w:tc>
          <w:tcPr>
            <w:tcW w:w="1271" w:type="dxa"/>
            <w:tcBorders>
              <w:bottom w:val="single" w:sz="4" w:space="0" w:color="auto"/>
            </w:tcBorders>
            <w:vAlign w:val="center"/>
          </w:tcPr>
          <w:p w14:paraId="7EA3D53A" w14:textId="77777777" w:rsidR="007C6C75" w:rsidRPr="006C1A6B" w:rsidRDefault="007C6C75" w:rsidP="007C6C75">
            <w:pPr>
              <w:pStyle w:val="TableText0"/>
              <w:keepLines/>
              <w:jc w:val="left"/>
              <w:rPr>
                <w:b/>
              </w:rPr>
            </w:pPr>
            <w:r>
              <w:rPr>
                <w:b/>
              </w:rPr>
              <w:t>Scenario</w:t>
            </w:r>
            <w:r w:rsidRPr="006C1A6B">
              <w:rPr>
                <w:b/>
              </w:rPr>
              <w:t xml:space="preserve"> </w:t>
            </w:r>
            <w:r>
              <w:rPr>
                <w:b/>
              </w:rPr>
              <w:t>tested</w:t>
            </w:r>
          </w:p>
        </w:tc>
        <w:tc>
          <w:tcPr>
            <w:tcW w:w="573" w:type="dxa"/>
            <w:tcBorders>
              <w:bottom w:val="single" w:sz="4" w:space="0" w:color="auto"/>
            </w:tcBorders>
            <w:vAlign w:val="center"/>
          </w:tcPr>
          <w:p w14:paraId="6E37FD4A" w14:textId="77777777" w:rsidR="007C6C75" w:rsidRPr="006C1A6B" w:rsidRDefault="007C6C75" w:rsidP="007C6C75">
            <w:pPr>
              <w:pStyle w:val="TableText0"/>
              <w:keepLines/>
              <w:jc w:val="center"/>
              <w:rPr>
                <w:b/>
              </w:rPr>
            </w:pPr>
            <w:r w:rsidRPr="006C1A6B">
              <w:rPr>
                <w:b/>
              </w:rPr>
              <w:t>Value</w:t>
            </w:r>
          </w:p>
        </w:tc>
        <w:tc>
          <w:tcPr>
            <w:tcW w:w="2410" w:type="dxa"/>
            <w:tcBorders>
              <w:bottom w:val="single" w:sz="4" w:space="0" w:color="auto"/>
            </w:tcBorders>
            <w:vAlign w:val="center"/>
          </w:tcPr>
          <w:p w14:paraId="74FCFD63" w14:textId="77777777" w:rsidR="007C6C75" w:rsidRPr="006C1A6B" w:rsidRDefault="007C6C75" w:rsidP="007C6C75">
            <w:pPr>
              <w:pStyle w:val="TableText0"/>
              <w:keepLines/>
              <w:jc w:val="left"/>
              <w:rPr>
                <w:b/>
              </w:rPr>
            </w:pPr>
          </w:p>
        </w:tc>
        <w:tc>
          <w:tcPr>
            <w:tcW w:w="1020" w:type="dxa"/>
            <w:tcBorders>
              <w:bottom w:val="single" w:sz="4" w:space="0" w:color="auto"/>
            </w:tcBorders>
            <w:vAlign w:val="center"/>
          </w:tcPr>
          <w:p w14:paraId="2891A265" w14:textId="77777777" w:rsidR="007C6C75" w:rsidRPr="00D467CC" w:rsidRDefault="007C6C75" w:rsidP="007C6C75">
            <w:pPr>
              <w:pStyle w:val="TableText0"/>
              <w:keepLines/>
              <w:jc w:val="center"/>
              <w:rPr>
                <w:szCs w:val="20"/>
              </w:rPr>
            </w:pPr>
            <w:r w:rsidRPr="00D467CC">
              <w:rPr>
                <w:b/>
              </w:rPr>
              <w:t>2021</w:t>
            </w:r>
          </w:p>
        </w:tc>
        <w:tc>
          <w:tcPr>
            <w:tcW w:w="1021" w:type="dxa"/>
            <w:tcBorders>
              <w:bottom w:val="single" w:sz="4" w:space="0" w:color="auto"/>
            </w:tcBorders>
            <w:vAlign w:val="center"/>
          </w:tcPr>
          <w:p w14:paraId="760FD807" w14:textId="77777777" w:rsidR="007C6C75" w:rsidRPr="00D467CC" w:rsidRDefault="007C6C75" w:rsidP="007C6C75">
            <w:pPr>
              <w:pStyle w:val="TableText0"/>
              <w:keepLines/>
              <w:jc w:val="center"/>
              <w:rPr>
                <w:szCs w:val="20"/>
              </w:rPr>
            </w:pPr>
            <w:r w:rsidRPr="00D467CC">
              <w:rPr>
                <w:b/>
              </w:rPr>
              <w:t>2022</w:t>
            </w:r>
          </w:p>
        </w:tc>
        <w:tc>
          <w:tcPr>
            <w:tcW w:w="1020" w:type="dxa"/>
            <w:tcBorders>
              <w:bottom w:val="single" w:sz="4" w:space="0" w:color="auto"/>
            </w:tcBorders>
            <w:vAlign w:val="center"/>
          </w:tcPr>
          <w:p w14:paraId="58DF6E7E" w14:textId="77777777" w:rsidR="007C6C75" w:rsidRPr="00D467CC" w:rsidRDefault="007C6C75" w:rsidP="007C6C75">
            <w:pPr>
              <w:pStyle w:val="TableText0"/>
              <w:keepLines/>
              <w:jc w:val="center"/>
              <w:rPr>
                <w:szCs w:val="20"/>
              </w:rPr>
            </w:pPr>
            <w:r w:rsidRPr="00D467CC">
              <w:rPr>
                <w:b/>
              </w:rPr>
              <w:t>2023</w:t>
            </w:r>
          </w:p>
        </w:tc>
        <w:tc>
          <w:tcPr>
            <w:tcW w:w="1021" w:type="dxa"/>
            <w:tcBorders>
              <w:bottom w:val="single" w:sz="4" w:space="0" w:color="auto"/>
            </w:tcBorders>
            <w:vAlign w:val="center"/>
          </w:tcPr>
          <w:p w14:paraId="0E9EAB9F" w14:textId="77777777" w:rsidR="007C6C75" w:rsidRPr="00D467CC" w:rsidRDefault="007C6C75" w:rsidP="007C6C75">
            <w:pPr>
              <w:pStyle w:val="TableText0"/>
              <w:keepLines/>
              <w:jc w:val="center"/>
              <w:rPr>
                <w:szCs w:val="20"/>
              </w:rPr>
            </w:pPr>
            <w:r w:rsidRPr="00D467CC">
              <w:rPr>
                <w:b/>
              </w:rPr>
              <w:t>2024</w:t>
            </w:r>
          </w:p>
        </w:tc>
        <w:tc>
          <w:tcPr>
            <w:tcW w:w="1021" w:type="dxa"/>
            <w:tcBorders>
              <w:bottom w:val="single" w:sz="4" w:space="0" w:color="auto"/>
            </w:tcBorders>
            <w:vAlign w:val="center"/>
          </w:tcPr>
          <w:p w14:paraId="782AB00D" w14:textId="77777777" w:rsidR="007C6C75" w:rsidRPr="00D467CC" w:rsidRDefault="007C6C75" w:rsidP="007C6C75">
            <w:pPr>
              <w:pStyle w:val="TableText0"/>
              <w:keepLines/>
              <w:jc w:val="center"/>
              <w:rPr>
                <w:szCs w:val="20"/>
              </w:rPr>
            </w:pPr>
            <w:r w:rsidRPr="00D467CC">
              <w:rPr>
                <w:b/>
              </w:rPr>
              <w:t>2025</w:t>
            </w:r>
          </w:p>
        </w:tc>
      </w:tr>
      <w:tr w:rsidR="007C6C75" w:rsidRPr="005A6618" w14:paraId="27D4718E" w14:textId="77777777" w:rsidTr="007C6C75">
        <w:trPr>
          <w:trHeight w:val="227"/>
        </w:trPr>
        <w:tc>
          <w:tcPr>
            <w:tcW w:w="1844" w:type="dxa"/>
            <w:gridSpan w:val="2"/>
            <w:vMerge w:val="restart"/>
            <w:vAlign w:val="center"/>
          </w:tcPr>
          <w:p w14:paraId="52974B85" w14:textId="77777777" w:rsidR="007C6C75" w:rsidRPr="006C1A6B" w:rsidRDefault="007C6C75" w:rsidP="007C6C75">
            <w:pPr>
              <w:pStyle w:val="TableText0"/>
              <w:keepLines/>
              <w:jc w:val="center"/>
              <w:rPr>
                <w:b/>
              </w:rPr>
            </w:pPr>
            <w:r w:rsidRPr="006C1A6B">
              <w:rPr>
                <w:b/>
              </w:rPr>
              <w:t>Base</w:t>
            </w:r>
            <w:r>
              <w:rPr>
                <w:b/>
              </w:rPr>
              <w:t xml:space="preserve"> </w:t>
            </w:r>
            <w:r w:rsidRPr="006C1A6B">
              <w:rPr>
                <w:b/>
              </w:rPr>
              <w:t>case</w:t>
            </w:r>
          </w:p>
        </w:tc>
        <w:tc>
          <w:tcPr>
            <w:tcW w:w="2410" w:type="dxa"/>
            <w:tcBorders>
              <w:bottom w:val="single" w:sz="4" w:space="0" w:color="auto"/>
            </w:tcBorders>
            <w:vAlign w:val="center"/>
          </w:tcPr>
          <w:p w14:paraId="11390D3A" w14:textId="77777777" w:rsidR="007C6C75" w:rsidRPr="0092241A" w:rsidRDefault="007C6C75" w:rsidP="007C6C75">
            <w:pPr>
              <w:pStyle w:val="TableText0"/>
              <w:keepLines/>
              <w:ind w:left="177" w:hanging="142"/>
              <w:rPr>
                <w:b/>
              </w:rPr>
            </w:pPr>
            <w:r w:rsidRPr="0092241A">
              <w:rPr>
                <w:rFonts w:cs="Arial"/>
                <w:b/>
                <w:color w:val="000000"/>
              </w:rPr>
              <w:t>Cost to the MBS</w:t>
            </w:r>
          </w:p>
        </w:tc>
        <w:tc>
          <w:tcPr>
            <w:tcW w:w="1020" w:type="dxa"/>
            <w:tcBorders>
              <w:bottom w:val="single" w:sz="4" w:space="0" w:color="auto"/>
            </w:tcBorders>
            <w:vAlign w:val="center"/>
          </w:tcPr>
          <w:p w14:paraId="54BD30BA" w14:textId="77777777" w:rsidR="007C6C75" w:rsidRPr="006C1A6B" w:rsidRDefault="007C6C75" w:rsidP="007C6C75">
            <w:pPr>
              <w:pStyle w:val="TableText0"/>
              <w:keepLines/>
              <w:jc w:val="center"/>
              <w:rPr>
                <w:b/>
              </w:rPr>
            </w:pPr>
            <w:r w:rsidRPr="006C1A6B">
              <w:rPr>
                <w:rFonts w:cs="Calibri"/>
                <w:b/>
                <w:color w:val="000000"/>
              </w:rPr>
              <w:t>$349,691</w:t>
            </w:r>
          </w:p>
        </w:tc>
        <w:tc>
          <w:tcPr>
            <w:tcW w:w="1021" w:type="dxa"/>
            <w:tcBorders>
              <w:bottom w:val="single" w:sz="4" w:space="0" w:color="auto"/>
            </w:tcBorders>
            <w:vAlign w:val="center"/>
          </w:tcPr>
          <w:p w14:paraId="7903346C" w14:textId="77777777" w:rsidR="007C6C75" w:rsidRPr="006C1A6B" w:rsidRDefault="007C6C75" w:rsidP="007C6C75">
            <w:pPr>
              <w:pStyle w:val="TableText0"/>
              <w:keepLines/>
              <w:jc w:val="center"/>
              <w:rPr>
                <w:b/>
              </w:rPr>
            </w:pPr>
            <w:r w:rsidRPr="006C1A6B">
              <w:rPr>
                <w:rFonts w:cs="Calibri"/>
                <w:b/>
                <w:color w:val="000000"/>
              </w:rPr>
              <w:t>$575,813</w:t>
            </w:r>
          </w:p>
        </w:tc>
        <w:tc>
          <w:tcPr>
            <w:tcW w:w="1020" w:type="dxa"/>
            <w:tcBorders>
              <w:bottom w:val="single" w:sz="4" w:space="0" w:color="auto"/>
            </w:tcBorders>
            <w:vAlign w:val="center"/>
          </w:tcPr>
          <w:p w14:paraId="0AFEFFCF" w14:textId="77777777" w:rsidR="007C6C75" w:rsidRPr="006C1A6B" w:rsidRDefault="007C6C75" w:rsidP="007C6C75">
            <w:pPr>
              <w:pStyle w:val="TableText0"/>
              <w:keepLines/>
              <w:jc w:val="center"/>
              <w:rPr>
                <w:b/>
              </w:rPr>
            </w:pPr>
            <w:r w:rsidRPr="006C1A6B">
              <w:rPr>
                <w:rFonts w:cs="Calibri"/>
                <w:b/>
                <w:color w:val="000000"/>
              </w:rPr>
              <w:t>$888,270</w:t>
            </w:r>
          </w:p>
        </w:tc>
        <w:tc>
          <w:tcPr>
            <w:tcW w:w="1021" w:type="dxa"/>
            <w:tcBorders>
              <w:bottom w:val="single" w:sz="4" w:space="0" w:color="auto"/>
            </w:tcBorders>
            <w:vAlign w:val="center"/>
          </w:tcPr>
          <w:p w14:paraId="73A86351" w14:textId="77777777" w:rsidR="007C6C75" w:rsidRPr="006C1A6B" w:rsidRDefault="007C6C75" w:rsidP="007C6C75">
            <w:pPr>
              <w:pStyle w:val="TableText0"/>
              <w:keepLines/>
              <w:jc w:val="center"/>
              <w:rPr>
                <w:b/>
              </w:rPr>
            </w:pPr>
            <w:r w:rsidRPr="006C1A6B">
              <w:rPr>
                <w:rFonts w:cs="Calibri"/>
                <w:b/>
                <w:color w:val="000000"/>
              </w:rPr>
              <w:t>$1,363,796</w:t>
            </w:r>
          </w:p>
        </w:tc>
        <w:tc>
          <w:tcPr>
            <w:tcW w:w="1021" w:type="dxa"/>
            <w:tcBorders>
              <w:bottom w:val="single" w:sz="4" w:space="0" w:color="auto"/>
            </w:tcBorders>
            <w:vAlign w:val="center"/>
          </w:tcPr>
          <w:p w14:paraId="1DF70055" w14:textId="77777777" w:rsidR="007C6C75" w:rsidRPr="006C1A6B" w:rsidRDefault="007C6C75" w:rsidP="007C6C75">
            <w:pPr>
              <w:pStyle w:val="TableText0"/>
              <w:keepLines/>
              <w:jc w:val="center"/>
              <w:rPr>
                <w:b/>
              </w:rPr>
            </w:pPr>
            <w:r w:rsidRPr="006C1A6B">
              <w:rPr>
                <w:rFonts w:cs="Calibri"/>
                <w:b/>
                <w:color w:val="000000"/>
              </w:rPr>
              <w:t>$2,092,747</w:t>
            </w:r>
          </w:p>
        </w:tc>
      </w:tr>
      <w:tr w:rsidR="007C6C75" w:rsidRPr="005A6618" w14:paraId="53E3926B" w14:textId="77777777" w:rsidTr="007C6C75">
        <w:trPr>
          <w:trHeight w:val="227"/>
        </w:trPr>
        <w:tc>
          <w:tcPr>
            <w:tcW w:w="1844" w:type="dxa"/>
            <w:gridSpan w:val="2"/>
            <w:vMerge/>
          </w:tcPr>
          <w:p w14:paraId="1C1522AA" w14:textId="77777777" w:rsidR="007C6C75" w:rsidRDefault="007C6C75" w:rsidP="007C6C75">
            <w:pPr>
              <w:pStyle w:val="TableText0"/>
              <w:keepLines/>
              <w:ind w:left="177" w:hanging="142"/>
              <w:jc w:val="center"/>
              <w:rPr>
                <w:rFonts w:cs="Arial"/>
                <w:color w:val="000000"/>
              </w:rPr>
            </w:pPr>
          </w:p>
        </w:tc>
        <w:tc>
          <w:tcPr>
            <w:tcW w:w="2410" w:type="dxa"/>
            <w:tcBorders>
              <w:top w:val="single" w:sz="4" w:space="0" w:color="auto"/>
            </w:tcBorders>
            <w:vAlign w:val="center"/>
          </w:tcPr>
          <w:p w14:paraId="71DF9192" w14:textId="77777777" w:rsidR="007C6C75" w:rsidRPr="0092241A" w:rsidRDefault="007C6C75" w:rsidP="007C6C75">
            <w:pPr>
              <w:pStyle w:val="TableText0"/>
              <w:keepLines/>
              <w:ind w:left="177" w:hanging="142"/>
              <w:rPr>
                <w:rFonts w:cs="Arial"/>
                <w:b/>
                <w:color w:val="000000"/>
              </w:rPr>
            </w:pPr>
            <w:r w:rsidRPr="0092241A">
              <w:rPr>
                <w:rFonts w:cs="Arial"/>
                <w:b/>
                <w:color w:val="000000"/>
              </w:rPr>
              <w:t>Cost to the healthcare budget</w:t>
            </w:r>
          </w:p>
        </w:tc>
        <w:tc>
          <w:tcPr>
            <w:tcW w:w="1020" w:type="dxa"/>
            <w:tcBorders>
              <w:top w:val="single" w:sz="4" w:space="0" w:color="auto"/>
            </w:tcBorders>
            <w:vAlign w:val="center"/>
          </w:tcPr>
          <w:p w14:paraId="28E088A0" w14:textId="77777777" w:rsidR="007C6C75" w:rsidRPr="006C1A6B" w:rsidRDefault="007C6C75" w:rsidP="007C6C75">
            <w:pPr>
              <w:pStyle w:val="TableText0"/>
              <w:keepLines/>
              <w:ind w:hanging="142"/>
              <w:jc w:val="center"/>
              <w:rPr>
                <w:rFonts w:cs="Calibri"/>
                <w:b/>
                <w:color w:val="000000"/>
                <w:szCs w:val="20"/>
              </w:rPr>
            </w:pPr>
            <w:r w:rsidRPr="006C1A6B">
              <w:rPr>
                <w:rFonts w:cs="Calibri"/>
                <w:b/>
                <w:color w:val="000000"/>
              </w:rPr>
              <w:t>$17,263</w:t>
            </w:r>
          </w:p>
        </w:tc>
        <w:tc>
          <w:tcPr>
            <w:tcW w:w="1021" w:type="dxa"/>
            <w:tcBorders>
              <w:top w:val="single" w:sz="4" w:space="0" w:color="auto"/>
            </w:tcBorders>
            <w:vAlign w:val="center"/>
          </w:tcPr>
          <w:p w14:paraId="48E61BE5" w14:textId="77777777" w:rsidR="007C6C75" w:rsidRPr="006C1A6B" w:rsidRDefault="007C6C75" w:rsidP="007C6C75">
            <w:pPr>
              <w:pStyle w:val="TableText0"/>
              <w:keepLines/>
              <w:ind w:hanging="142"/>
              <w:jc w:val="center"/>
              <w:rPr>
                <w:rFonts w:cs="Calibri"/>
                <w:b/>
                <w:color w:val="000000"/>
                <w:szCs w:val="20"/>
              </w:rPr>
            </w:pPr>
            <w:r w:rsidRPr="006C1A6B">
              <w:rPr>
                <w:rFonts w:cs="Calibri"/>
                <w:b/>
                <w:color w:val="000000"/>
              </w:rPr>
              <w:t>$30,892</w:t>
            </w:r>
          </w:p>
        </w:tc>
        <w:tc>
          <w:tcPr>
            <w:tcW w:w="1020" w:type="dxa"/>
            <w:tcBorders>
              <w:top w:val="single" w:sz="4" w:space="0" w:color="auto"/>
            </w:tcBorders>
            <w:vAlign w:val="center"/>
          </w:tcPr>
          <w:p w14:paraId="3EC8FBC1" w14:textId="77777777" w:rsidR="007C6C75" w:rsidRPr="006C1A6B" w:rsidRDefault="007C6C75" w:rsidP="007C6C75">
            <w:pPr>
              <w:pStyle w:val="TableText0"/>
              <w:keepLines/>
              <w:ind w:hanging="142"/>
              <w:jc w:val="center"/>
              <w:rPr>
                <w:rFonts w:cs="Calibri"/>
                <w:b/>
                <w:color w:val="000000"/>
                <w:szCs w:val="20"/>
              </w:rPr>
            </w:pPr>
            <w:r w:rsidRPr="006C1A6B">
              <w:rPr>
                <w:rFonts w:cs="Calibri"/>
                <w:b/>
                <w:color w:val="000000"/>
              </w:rPr>
              <w:t>$45,429</w:t>
            </w:r>
          </w:p>
        </w:tc>
        <w:tc>
          <w:tcPr>
            <w:tcW w:w="1021" w:type="dxa"/>
            <w:tcBorders>
              <w:top w:val="single" w:sz="4" w:space="0" w:color="auto"/>
            </w:tcBorders>
            <w:vAlign w:val="center"/>
          </w:tcPr>
          <w:p w14:paraId="3F6EF39B" w14:textId="77777777" w:rsidR="007C6C75" w:rsidRPr="006C1A6B" w:rsidRDefault="007C6C75" w:rsidP="007C6C75">
            <w:pPr>
              <w:pStyle w:val="TableText0"/>
              <w:keepLines/>
              <w:ind w:hanging="142"/>
              <w:jc w:val="center"/>
              <w:rPr>
                <w:rFonts w:cs="Calibri"/>
                <w:b/>
                <w:color w:val="000000"/>
                <w:szCs w:val="20"/>
              </w:rPr>
            </w:pPr>
            <w:r w:rsidRPr="006C1A6B">
              <w:rPr>
                <w:rFonts w:cs="Calibri"/>
                <w:b/>
                <w:color w:val="000000"/>
              </w:rPr>
              <w:t>$68,144</w:t>
            </w:r>
          </w:p>
        </w:tc>
        <w:tc>
          <w:tcPr>
            <w:tcW w:w="1021" w:type="dxa"/>
            <w:tcBorders>
              <w:top w:val="single" w:sz="4" w:space="0" w:color="auto"/>
            </w:tcBorders>
            <w:vAlign w:val="center"/>
          </w:tcPr>
          <w:p w14:paraId="1E8448A5" w14:textId="77777777" w:rsidR="007C6C75" w:rsidRPr="006C1A6B" w:rsidRDefault="007C6C75" w:rsidP="007C6C75">
            <w:pPr>
              <w:pStyle w:val="TableText0"/>
              <w:keepLines/>
              <w:ind w:hanging="142"/>
              <w:jc w:val="center"/>
              <w:rPr>
                <w:rFonts w:cs="Calibri"/>
                <w:b/>
                <w:color w:val="000000"/>
                <w:szCs w:val="20"/>
              </w:rPr>
            </w:pPr>
            <w:r w:rsidRPr="006C1A6B">
              <w:rPr>
                <w:rFonts w:cs="Calibri"/>
                <w:b/>
                <w:color w:val="000000"/>
              </w:rPr>
              <w:t>$105,395</w:t>
            </w:r>
          </w:p>
        </w:tc>
      </w:tr>
      <w:tr w:rsidR="007C6C75" w:rsidRPr="005A6618" w14:paraId="52396D15" w14:textId="77777777" w:rsidTr="007C6C75">
        <w:trPr>
          <w:trHeight w:val="227"/>
        </w:trPr>
        <w:tc>
          <w:tcPr>
            <w:tcW w:w="1844" w:type="dxa"/>
            <w:gridSpan w:val="2"/>
            <w:vMerge/>
          </w:tcPr>
          <w:p w14:paraId="5C7500B7" w14:textId="77777777" w:rsidR="007C6C75" w:rsidRDefault="007C6C75" w:rsidP="007C6C75">
            <w:pPr>
              <w:pStyle w:val="TableText0"/>
              <w:keepLines/>
              <w:ind w:left="177" w:hanging="142"/>
              <w:jc w:val="center"/>
              <w:rPr>
                <w:rFonts w:cs="Arial"/>
                <w:color w:val="000000"/>
              </w:rPr>
            </w:pPr>
          </w:p>
        </w:tc>
        <w:tc>
          <w:tcPr>
            <w:tcW w:w="2410" w:type="dxa"/>
            <w:tcBorders>
              <w:top w:val="single" w:sz="4" w:space="0" w:color="auto"/>
            </w:tcBorders>
            <w:vAlign w:val="center"/>
          </w:tcPr>
          <w:p w14:paraId="0FA95143" w14:textId="77777777" w:rsidR="007C6C75" w:rsidRPr="0092241A" w:rsidRDefault="007C6C75" w:rsidP="007C6C75">
            <w:pPr>
              <w:pStyle w:val="TableText0"/>
              <w:keepLines/>
              <w:ind w:left="177" w:hanging="142"/>
              <w:rPr>
                <w:rFonts w:cs="Arial"/>
                <w:b/>
                <w:color w:val="000000"/>
              </w:rPr>
            </w:pPr>
            <w:r w:rsidRPr="0092241A">
              <w:rPr>
                <w:rFonts w:cs="Arial"/>
                <w:b/>
                <w:color w:val="000000"/>
              </w:rPr>
              <w:t xml:space="preserve">Total </w:t>
            </w:r>
            <w:r w:rsidRPr="0092241A">
              <w:rPr>
                <w:b/>
                <w:szCs w:val="20"/>
              </w:rPr>
              <w:t>financial implications</w:t>
            </w:r>
          </w:p>
        </w:tc>
        <w:tc>
          <w:tcPr>
            <w:tcW w:w="1020" w:type="dxa"/>
            <w:tcBorders>
              <w:top w:val="single" w:sz="4" w:space="0" w:color="auto"/>
            </w:tcBorders>
            <w:vAlign w:val="center"/>
          </w:tcPr>
          <w:p w14:paraId="6D9F3694" w14:textId="77777777" w:rsidR="007C6C75" w:rsidRPr="006C1A6B" w:rsidRDefault="007C6C75" w:rsidP="007C6C75">
            <w:pPr>
              <w:pStyle w:val="TableText0"/>
              <w:keepLines/>
              <w:ind w:hanging="142"/>
              <w:jc w:val="center"/>
              <w:rPr>
                <w:rFonts w:cs="Calibri"/>
                <w:b/>
                <w:color w:val="000000"/>
                <w:szCs w:val="20"/>
              </w:rPr>
            </w:pPr>
            <w:r w:rsidRPr="006C1A6B">
              <w:rPr>
                <w:rFonts w:cs="Calibri"/>
                <w:b/>
                <w:bCs/>
                <w:color w:val="000000"/>
              </w:rPr>
              <w:t>$366,954</w:t>
            </w:r>
          </w:p>
        </w:tc>
        <w:tc>
          <w:tcPr>
            <w:tcW w:w="1021" w:type="dxa"/>
            <w:tcBorders>
              <w:top w:val="single" w:sz="4" w:space="0" w:color="auto"/>
            </w:tcBorders>
            <w:vAlign w:val="center"/>
          </w:tcPr>
          <w:p w14:paraId="0FFDB14C" w14:textId="77777777" w:rsidR="007C6C75" w:rsidRPr="006C1A6B" w:rsidRDefault="007C6C75" w:rsidP="007C6C75">
            <w:pPr>
              <w:pStyle w:val="TableText0"/>
              <w:keepLines/>
              <w:ind w:hanging="142"/>
              <w:jc w:val="center"/>
              <w:rPr>
                <w:rFonts w:cs="Calibri"/>
                <w:b/>
                <w:color w:val="000000"/>
                <w:szCs w:val="20"/>
              </w:rPr>
            </w:pPr>
            <w:r w:rsidRPr="006C1A6B">
              <w:rPr>
                <w:rFonts w:cs="Calibri"/>
                <w:b/>
                <w:bCs/>
                <w:color w:val="000000"/>
              </w:rPr>
              <w:t>$606,705</w:t>
            </w:r>
          </w:p>
        </w:tc>
        <w:tc>
          <w:tcPr>
            <w:tcW w:w="1020" w:type="dxa"/>
            <w:tcBorders>
              <w:top w:val="single" w:sz="4" w:space="0" w:color="auto"/>
            </w:tcBorders>
            <w:vAlign w:val="center"/>
          </w:tcPr>
          <w:p w14:paraId="128768E2" w14:textId="77777777" w:rsidR="007C6C75" w:rsidRPr="006C1A6B" w:rsidRDefault="007C6C75" w:rsidP="007C6C75">
            <w:pPr>
              <w:pStyle w:val="TableText0"/>
              <w:keepLines/>
              <w:ind w:hanging="142"/>
              <w:jc w:val="center"/>
              <w:rPr>
                <w:rFonts w:cs="Calibri"/>
                <w:b/>
                <w:color w:val="000000"/>
                <w:szCs w:val="20"/>
              </w:rPr>
            </w:pPr>
            <w:r w:rsidRPr="006C1A6B">
              <w:rPr>
                <w:rFonts w:cs="Calibri"/>
                <w:b/>
                <w:bCs/>
                <w:color w:val="000000"/>
              </w:rPr>
              <w:t>$933,699</w:t>
            </w:r>
          </w:p>
        </w:tc>
        <w:tc>
          <w:tcPr>
            <w:tcW w:w="1021" w:type="dxa"/>
            <w:tcBorders>
              <w:top w:val="single" w:sz="4" w:space="0" w:color="auto"/>
            </w:tcBorders>
            <w:vAlign w:val="center"/>
          </w:tcPr>
          <w:p w14:paraId="6FCF6962" w14:textId="77777777" w:rsidR="007C6C75" w:rsidRPr="006C1A6B" w:rsidRDefault="007C6C75" w:rsidP="007C6C75">
            <w:pPr>
              <w:pStyle w:val="TableText0"/>
              <w:keepLines/>
              <w:ind w:hanging="142"/>
              <w:jc w:val="center"/>
              <w:rPr>
                <w:rFonts w:cs="Calibri"/>
                <w:b/>
                <w:color w:val="000000"/>
                <w:szCs w:val="20"/>
              </w:rPr>
            </w:pPr>
            <w:r w:rsidRPr="006C1A6B">
              <w:rPr>
                <w:rFonts w:cs="Calibri"/>
                <w:b/>
                <w:bCs/>
                <w:color w:val="000000"/>
              </w:rPr>
              <w:t>$1,431,940</w:t>
            </w:r>
          </w:p>
        </w:tc>
        <w:tc>
          <w:tcPr>
            <w:tcW w:w="1021" w:type="dxa"/>
            <w:tcBorders>
              <w:top w:val="single" w:sz="4" w:space="0" w:color="auto"/>
            </w:tcBorders>
            <w:vAlign w:val="center"/>
          </w:tcPr>
          <w:p w14:paraId="030AD927" w14:textId="77777777" w:rsidR="007C6C75" w:rsidRPr="006C1A6B" w:rsidRDefault="007C6C75" w:rsidP="007C6C75">
            <w:pPr>
              <w:pStyle w:val="TableText0"/>
              <w:keepLines/>
              <w:ind w:hanging="142"/>
              <w:jc w:val="center"/>
              <w:rPr>
                <w:rFonts w:cs="Calibri"/>
                <w:b/>
                <w:color w:val="000000"/>
                <w:szCs w:val="20"/>
              </w:rPr>
            </w:pPr>
            <w:r w:rsidRPr="006C1A6B">
              <w:rPr>
                <w:rFonts w:cs="Calibri"/>
                <w:b/>
                <w:bCs/>
                <w:color w:val="000000"/>
              </w:rPr>
              <w:t>$2,198,142</w:t>
            </w:r>
          </w:p>
        </w:tc>
      </w:tr>
      <w:tr w:rsidR="007C6C75" w:rsidRPr="005A6618" w14:paraId="45EF46C8" w14:textId="77777777" w:rsidTr="007C6C75">
        <w:trPr>
          <w:cantSplit/>
          <w:trHeight w:val="227"/>
        </w:trPr>
        <w:tc>
          <w:tcPr>
            <w:tcW w:w="1271" w:type="dxa"/>
            <w:vMerge w:val="restart"/>
            <w:tcBorders>
              <w:top w:val="single" w:sz="4" w:space="0" w:color="auto"/>
            </w:tcBorders>
          </w:tcPr>
          <w:p w14:paraId="001A9627" w14:textId="77777777" w:rsidR="007C6C75" w:rsidRPr="00D467CC" w:rsidRDefault="007C6C75" w:rsidP="007C6C75">
            <w:pPr>
              <w:pStyle w:val="TableText0"/>
              <w:keepLines/>
              <w:ind w:left="22" w:firstLine="13"/>
              <w:jc w:val="left"/>
              <w:rPr>
                <w:rFonts w:cs="Arial"/>
                <w:color w:val="000000"/>
              </w:rPr>
            </w:pPr>
            <w:r>
              <w:rPr>
                <w:rFonts w:cs="Arial"/>
                <w:color w:val="000000"/>
              </w:rPr>
              <w:t>Participation rate: y</w:t>
            </w:r>
            <w:r w:rsidRPr="006C1A6B">
              <w:rPr>
                <w:rFonts w:cs="Arial"/>
                <w:color w:val="000000"/>
              </w:rPr>
              <w:t>ear 5 self-collected steady-state uptake rate</w:t>
            </w:r>
            <w:r>
              <w:rPr>
                <w:rFonts w:cs="Arial"/>
                <w:color w:val="000000"/>
              </w:rPr>
              <w:t>,</w:t>
            </w:r>
            <w:r w:rsidRPr="006C1A6B">
              <w:rPr>
                <w:rFonts w:cs="Arial"/>
                <w:color w:val="000000"/>
              </w:rPr>
              <w:t xml:space="preserve"> as % of all eligible participants (non-participants including never or under-screened and switching)</w:t>
            </w:r>
          </w:p>
        </w:tc>
        <w:tc>
          <w:tcPr>
            <w:tcW w:w="573" w:type="dxa"/>
            <w:vMerge w:val="restart"/>
            <w:tcBorders>
              <w:top w:val="single" w:sz="4" w:space="0" w:color="auto"/>
            </w:tcBorders>
          </w:tcPr>
          <w:p w14:paraId="16FF0048" w14:textId="77777777" w:rsidR="007C6C75" w:rsidRPr="00D467CC" w:rsidRDefault="007C6C75" w:rsidP="007C6C75">
            <w:pPr>
              <w:pStyle w:val="TableText0"/>
              <w:keepLines/>
              <w:ind w:left="177" w:hanging="142"/>
              <w:jc w:val="center"/>
              <w:rPr>
                <w:rFonts w:cs="Arial"/>
                <w:color w:val="000000"/>
              </w:rPr>
            </w:pPr>
            <w:r>
              <w:rPr>
                <w:rFonts w:cs="Arial"/>
                <w:color w:val="000000"/>
              </w:rPr>
              <w:t>10%</w:t>
            </w:r>
          </w:p>
        </w:tc>
        <w:tc>
          <w:tcPr>
            <w:tcW w:w="2410" w:type="dxa"/>
            <w:tcBorders>
              <w:top w:val="single" w:sz="4" w:space="0" w:color="auto"/>
            </w:tcBorders>
            <w:vAlign w:val="center"/>
          </w:tcPr>
          <w:p w14:paraId="4FBA80C8" w14:textId="77777777" w:rsidR="007C6C75" w:rsidRPr="00D467CC" w:rsidRDefault="007C6C75" w:rsidP="007C6C75">
            <w:pPr>
              <w:pStyle w:val="TableText0"/>
              <w:keepLines/>
              <w:ind w:left="177" w:hanging="142"/>
              <w:rPr>
                <w:szCs w:val="20"/>
              </w:rPr>
            </w:pPr>
            <w:r w:rsidRPr="00D467CC">
              <w:rPr>
                <w:rFonts w:cs="Arial"/>
                <w:color w:val="000000"/>
              </w:rPr>
              <w:t>Cost to the MBS</w:t>
            </w:r>
          </w:p>
        </w:tc>
        <w:tc>
          <w:tcPr>
            <w:tcW w:w="1020" w:type="dxa"/>
            <w:tcBorders>
              <w:top w:val="single" w:sz="4" w:space="0" w:color="auto"/>
            </w:tcBorders>
            <w:vAlign w:val="center"/>
          </w:tcPr>
          <w:p w14:paraId="40EB4A76" w14:textId="77777777" w:rsidR="007C6C75" w:rsidRPr="005A6618" w:rsidRDefault="007C6C75" w:rsidP="007C6C75">
            <w:pPr>
              <w:pStyle w:val="TableText0"/>
              <w:keepLines/>
              <w:ind w:hanging="142"/>
              <w:jc w:val="center"/>
              <w:rPr>
                <w:szCs w:val="20"/>
              </w:rPr>
            </w:pPr>
            <w:r>
              <w:rPr>
                <w:rFonts w:cs="Calibri"/>
                <w:color w:val="000000"/>
                <w:szCs w:val="20"/>
              </w:rPr>
              <w:t>$603,604</w:t>
            </w:r>
          </w:p>
        </w:tc>
        <w:tc>
          <w:tcPr>
            <w:tcW w:w="1021" w:type="dxa"/>
            <w:tcBorders>
              <w:top w:val="single" w:sz="4" w:space="0" w:color="auto"/>
            </w:tcBorders>
            <w:vAlign w:val="center"/>
          </w:tcPr>
          <w:p w14:paraId="1D9459B3" w14:textId="77777777" w:rsidR="007C6C75" w:rsidRPr="005A6618" w:rsidRDefault="007C6C75" w:rsidP="007C6C75">
            <w:pPr>
              <w:pStyle w:val="TableText0"/>
              <w:keepLines/>
              <w:ind w:hanging="142"/>
              <w:jc w:val="center"/>
              <w:rPr>
                <w:szCs w:val="20"/>
              </w:rPr>
            </w:pPr>
            <w:r>
              <w:rPr>
                <w:rFonts w:cs="Calibri"/>
                <w:color w:val="000000"/>
                <w:szCs w:val="20"/>
              </w:rPr>
              <w:t>$1,301,000</w:t>
            </w:r>
          </w:p>
        </w:tc>
        <w:tc>
          <w:tcPr>
            <w:tcW w:w="1020" w:type="dxa"/>
            <w:tcBorders>
              <w:top w:val="single" w:sz="4" w:space="0" w:color="auto"/>
            </w:tcBorders>
            <w:vAlign w:val="center"/>
          </w:tcPr>
          <w:p w14:paraId="5F41F0C8" w14:textId="77777777" w:rsidR="007C6C75" w:rsidRPr="005A6618" w:rsidRDefault="007C6C75" w:rsidP="007C6C75">
            <w:pPr>
              <w:pStyle w:val="TableText0"/>
              <w:keepLines/>
              <w:ind w:hanging="142"/>
              <w:jc w:val="center"/>
              <w:rPr>
                <w:szCs w:val="20"/>
              </w:rPr>
            </w:pPr>
            <w:r>
              <w:rPr>
                <w:rFonts w:cs="Calibri"/>
                <w:color w:val="000000"/>
                <w:szCs w:val="20"/>
              </w:rPr>
              <w:t>$2,037,292</w:t>
            </w:r>
          </w:p>
        </w:tc>
        <w:tc>
          <w:tcPr>
            <w:tcW w:w="1021" w:type="dxa"/>
            <w:tcBorders>
              <w:top w:val="single" w:sz="4" w:space="0" w:color="auto"/>
            </w:tcBorders>
            <w:vAlign w:val="center"/>
          </w:tcPr>
          <w:p w14:paraId="7FBF10CE" w14:textId="77777777" w:rsidR="007C6C75" w:rsidRPr="005A6618" w:rsidRDefault="007C6C75" w:rsidP="007C6C75">
            <w:pPr>
              <w:pStyle w:val="TableText0"/>
              <w:keepLines/>
              <w:ind w:hanging="142"/>
              <w:jc w:val="center"/>
              <w:rPr>
                <w:szCs w:val="20"/>
              </w:rPr>
            </w:pPr>
            <w:r>
              <w:rPr>
                <w:rFonts w:cs="Calibri"/>
                <w:color w:val="000000"/>
                <w:szCs w:val="20"/>
              </w:rPr>
              <w:t>$2,808,718</w:t>
            </w:r>
          </w:p>
        </w:tc>
        <w:tc>
          <w:tcPr>
            <w:tcW w:w="1021" w:type="dxa"/>
            <w:tcBorders>
              <w:top w:val="single" w:sz="4" w:space="0" w:color="auto"/>
            </w:tcBorders>
            <w:vAlign w:val="center"/>
          </w:tcPr>
          <w:p w14:paraId="5FF49B1B" w14:textId="77777777" w:rsidR="007C6C75" w:rsidRPr="005A6618" w:rsidRDefault="007C6C75" w:rsidP="007C6C75">
            <w:pPr>
              <w:pStyle w:val="TableText0"/>
              <w:keepLines/>
              <w:ind w:hanging="142"/>
              <w:jc w:val="center"/>
              <w:rPr>
                <w:szCs w:val="20"/>
              </w:rPr>
            </w:pPr>
            <w:r>
              <w:rPr>
                <w:rFonts w:cs="Calibri"/>
                <w:color w:val="000000"/>
                <w:szCs w:val="20"/>
              </w:rPr>
              <w:t>$3,611,717</w:t>
            </w:r>
          </w:p>
        </w:tc>
      </w:tr>
      <w:tr w:rsidR="007C6C75" w:rsidRPr="005A6618" w14:paraId="7696E4C7" w14:textId="77777777" w:rsidTr="007C6C75">
        <w:trPr>
          <w:trHeight w:val="227"/>
        </w:trPr>
        <w:tc>
          <w:tcPr>
            <w:tcW w:w="1271" w:type="dxa"/>
            <w:vMerge/>
          </w:tcPr>
          <w:p w14:paraId="077B36AF" w14:textId="77777777" w:rsidR="007C6C75" w:rsidRPr="00D467CC" w:rsidRDefault="007C6C75" w:rsidP="007C6C75">
            <w:pPr>
              <w:pStyle w:val="TableText0"/>
              <w:keepLines/>
              <w:ind w:left="177" w:hanging="142"/>
              <w:rPr>
                <w:rFonts w:cs="Arial"/>
                <w:color w:val="000000"/>
              </w:rPr>
            </w:pPr>
          </w:p>
        </w:tc>
        <w:tc>
          <w:tcPr>
            <w:tcW w:w="573" w:type="dxa"/>
            <w:vMerge/>
          </w:tcPr>
          <w:p w14:paraId="1CED8AC1" w14:textId="77777777" w:rsidR="007C6C75" w:rsidRPr="00D467CC" w:rsidRDefault="007C6C75" w:rsidP="007C6C75">
            <w:pPr>
              <w:pStyle w:val="TableText0"/>
              <w:keepLines/>
              <w:ind w:left="177" w:hanging="142"/>
              <w:jc w:val="center"/>
              <w:rPr>
                <w:rFonts w:cs="Arial"/>
                <w:color w:val="000000"/>
              </w:rPr>
            </w:pPr>
          </w:p>
        </w:tc>
        <w:tc>
          <w:tcPr>
            <w:tcW w:w="2410" w:type="dxa"/>
            <w:vAlign w:val="center"/>
          </w:tcPr>
          <w:p w14:paraId="5FF0C3E9" w14:textId="77777777" w:rsidR="007C6C75" w:rsidRPr="00D467CC" w:rsidRDefault="007C6C75" w:rsidP="007C6C75">
            <w:pPr>
              <w:pStyle w:val="TableText0"/>
              <w:keepLines/>
              <w:ind w:left="177" w:hanging="142"/>
              <w:rPr>
                <w:szCs w:val="20"/>
              </w:rPr>
            </w:pPr>
            <w:r w:rsidRPr="00D467CC">
              <w:rPr>
                <w:rFonts w:cs="Arial"/>
                <w:color w:val="000000"/>
              </w:rPr>
              <w:t>Cost to the healthcare budget</w:t>
            </w:r>
          </w:p>
        </w:tc>
        <w:tc>
          <w:tcPr>
            <w:tcW w:w="1020" w:type="dxa"/>
            <w:vAlign w:val="center"/>
          </w:tcPr>
          <w:p w14:paraId="3298AB85" w14:textId="77777777" w:rsidR="007C6C75" w:rsidRPr="005A6618" w:rsidRDefault="007C6C75" w:rsidP="007C6C75">
            <w:pPr>
              <w:pStyle w:val="TableText0"/>
              <w:keepLines/>
              <w:ind w:hanging="142"/>
              <w:jc w:val="center"/>
              <w:rPr>
                <w:szCs w:val="20"/>
              </w:rPr>
            </w:pPr>
            <w:r>
              <w:rPr>
                <w:rFonts w:cs="Calibri"/>
                <w:color w:val="000000"/>
                <w:szCs w:val="20"/>
              </w:rPr>
              <w:t>$30,892</w:t>
            </w:r>
          </w:p>
        </w:tc>
        <w:tc>
          <w:tcPr>
            <w:tcW w:w="1021" w:type="dxa"/>
            <w:vAlign w:val="center"/>
          </w:tcPr>
          <w:p w14:paraId="25F8DA0B" w14:textId="77777777" w:rsidR="007C6C75" w:rsidRPr="005A6618" w:rsidRDefault="007C6C75" w:rsidP="007C6C75">
            <w:pPr>
              <w:pStyle w:val="TableText0"/>
              <w:keepLines/>
              <w:ind w:hanging="142"/>
              <w:jc w:val="center"/>
              <w:rPr>
                <w:szCs w:val="20"/>
              </w:rPr>
            </w:pPr>
            <w:r>
              <w:rPr>
                <w:rFonts w:cs="Calibri"/>
                <w:color w:val="000000"/>
                <w:szCs w:val="20"/>
              </w:rPr>
              <w:t>$65,418</w:t>
            </w:r>
          </w:p>
        </w:tc>
        <w:tc>
          <w:tcPr>
            <w:tcW w:w="1020" w:type="dxa"/>
            <w:vAlign w:val="center"/>
          </w:tcPr>
          <w:p w14:paraId="56D1B1D6" w14:textId="77777777" w:rsidR="007C6C75" w:rsidRPr="005A6618" w:rsidRDefault="007C6C75" w:rsidP="007C6C75">
            <w:pPr>
              <w:pStyle w:val="TableText0"/>
              <w:keepLines/>
              <w:ind w:hanging="142"/>
              <w:jc w:val="center"/>
              <w:rPr>
                <w:szCs w:val="20"/>
              </w:rPr>
            </w:pPr>
            <w:r>
              <w:rPr>
                <w:rFonts w:cs="Calibri"/>
                <w:color w:val="000000"/>
                <w:szCs w:val="20"/>
              </w:rPr>
              <w:t>$100,852</w:t>
            </w:r>
          </w:p>
        </w:tc>
        <w:tc>
          <w:tcPr>
            <w:tcW w:w="1021" w:type="dxa"/>
            <w:vAlign w:val="center"/>
          </w:tcPr>
          <w:p w14:paraId="45A0306A" w14:textId="77777777" w:rsidR="007C6C75" w:rsidRPr="005A6618" w:rsidRDefault="007C6C75" w:rsidP="007C6C75">
            <w:pPr>
              <w:pStyle w:val="TableText0"/>
              <w:keepLines/>
              <w:ind w:hanging="142"/>
              <w:jc w:val="center"/>
              <w:rPr>
                <w:szCs w:val="20"/>
              </w:rPr>
            </w:pPr>
            <w:r>
              <w:rPr>
                <w:rFonts w:cs="Calibri"/>
                <w:color w:val="000000"/>
                <w:szCs w:val="20"/>
              </w:rPr>
              <w:t>$140,830</w:t>
            </w:r>
          </w:p>
        </w:tc>
        <w:tc>
          <w:tcPr>
            <w:tcW w:w="1021" w:type="dxa"/>
            <w:vAlign w:val="center"/>
          </w:tcPr>
          <w:p w14:paraId="2D6E2BE6" w14:textId="77777777" w:rsidR="007C6C75" w:rsidRPr="005A6618" w:rsidRDefault="007C6C75" w:rsidP="007C6C75">
            <w:pPr>
              <w:pStyle w:val="TableText0"/>
              <w:keepLines/>
              <w:ind w:hanging="142"/>
              <w:jc w:val="center"/>
              <w:rPr>
                <w:szCs w:val="20"/>
              </w:rPr>
            </w:pPr>
            <w:r>
              <w:rPr>
                <w:rFonts w:cs="Calibri"/>
                <w:color w:val="000000"/>
                <w:szCs w:val="20"/>
              </w:rPr>
              <w:t>$181,716</w:t>
            </w:r>
          </w:p>
        </w:tc>
      </w:tr>
      <w:tr w:rsidR="007C6C75" w:rsidRPr="005A6618" w14:paraId="7E0CEA68" w14:textId="77777777" w:rsidTr="007C6C75">
        <w:trPr>
          <w:trHeight w:val="227"/>
        </w:trPr>
        <w:tc>
          <w:tcPr>
            <w:tcW w:w="1271" w:type="dxa"/>
            <w:vMerge/>
          </w:tcPr>
          <w:p w14:paraId="15D39869" w14:textId="77777777" w:rsidR="007C6C75" w:rsidRPr="00524539" w:rsidRDefault="007C6C75" w:rsidP="007C6C75">
            <w:pPr>
              <w:pStyle w:val="TableText0"/>
              <w:keepLines/>
              <w:ind w:left="177" w:hanging="142"/>
              <w:rPr>
                <w:rFonts w:cs="Arial"/>
                <w:color w:val="000000"/>
              </w:rPr>
            </w:pPr>
          </w:p>
        </w:tc>
        <w:tc>
          <w:tcPr>
            <w:tcW w:w="573" w:type="dxa"/>
            <w:vMerge/>
            <w:tcBorders>
              <w:bottom w:val="single" w:sz="4" w:space="0" w:color="auto"/>
            </w:tcBorders>
          </w:tcPr>
          <w:p w14:paraId="718AC032" w14:textId="77777777" w:rsidR="007C6C75" w:rsidRPr="00524539" w:rsidRDefault="007C6C75" w:rsidP="007C6C75">
            <w:pPr>
              <w:pStyle w:val="TableText0"/>
              <w:keepLines/>
              <w:ind w:left="177" w:hanging="142"/>
              <w:jc w:val="center"/>
              <w:rPr>
                <w:rFonts w:cs="Arial"/>
                <w:color w:val="000000"/>
              </w:rPr>
            </w:pPr>
          </w:p>
        </w:tc>
        <w:tc>
          <w:tcPr>
            <w:tcW w:w="2410" w:type="dxa"/>
            <w:tcBorders>
              <w:bottom w:val="single" w:sz="4" w:space="0" w:color="auto"/>
            </w:tcBorders>
            <w:vAlign w:val="center"/>
          </w:tcPr>
          <w:p w14:paraId="72FC2603" w14:textId="77777777" w:rsidR="007C6C75" w:rsidRPr="00D467CC" w:rsidRDefault="007C6C75" w:rsidP="007C6C75">
            <w:pPr>
              <w:pStyle w:val="TableText0"/>
              <w:keepLines/>
              <w:ind w:left="177" w:hanging="142"/>
              <w:rPr>
                <w:szCs w:val="20"/>
              </w:rPr>
            </w:pPr>
            <w:r w:rsidRPr="00524539">
              <w:rPr>
                <w:rFonts w:cs="Arial"/>
                <w:color w:val="000000"/>
              </w:rPr>
              <w:t xml:space="preserve">Total </w:t>
            </w:r>
            <w:r w:rsidRPr="00D467CC">
              <w:rPr>
                <w:szCs w:val="20"/>
              </w:rPr>
              <w:t>financial implications</w:t>
            </w:r>
          </w:p>
        </w:tc>
        <w:tc>
          <w:tcPr>
            <w:tcW w:w="1020" w:type="dxa"/>
            <w:tcBorders>
              <w:bottom w:val="single" w:sz="4" w:space="0" w:color="auto"/>
            </w:tcBorders>
            <w:vAlign w:val="center"/>
          </w:tcPr>
          <w:p w14:paraId="4E4B3800" w14:textId="77777777" w:rsidR="007C6C75" w:rsidRPr="005A6618" w:rsidRDefault="007C6C75" w:rsidP="007C6C75">
            <w:pPr>
              <w:pStyle w:val="TableText0"/>
              <w:keepLines/>
              <w:ind w:hanging="142"/>
              <w:jc w:val="center"/>
              <w:rPr>
                <w:szCs w:val="20"/>
              </w:rPr>
            </w:pPr>
            <w:r>
              <w:rPr>
                <w:rFonts w:cs="Calibri"/>
                <w:color w:val="000000"/>
                <w:szCs w:val="20"/>
              </w:rPr>
              <w:t>$634,495</w:t>
            </w:r>
          </w:p>
        </w:tc>
        <w:tc>
          <w:tcPr>
            <w:tcW w:w="1021" w:type="dxa"/>
            <w:tcBorders>
              <w:bottom w:val="single" w:sz="4" w:space="0" w:color="auto"/>
            </w:tcBorders>
            <w:vAlign w:val="center"/>
          </w:tcPr>
          <w:p w14:paraId="36B03C08" w14:textId="77777777" w:rsidR="007C6C75" w:rsidRPr="005A6618" w:rsidRDefault="007C6C75" w:rsidP="007C6C75">
            <w:pPr>
              <w:pStyle w:val="TableText0"/>
              <w:keepLines/>
              <w:ind w:hanging="142"/>
              <w:jc w:val="center"/>
              <w:rPr>
                <w:szCs w:val="20"/>
              </w:rPr>
            </w:pPr>
            <w:r>
              <w:rPr>
                <w:rFonts w:cs="Calibri"/>
                <w:color w:val="000000"/>
                <w:szCs w:val="20"/>
              </w:rPr>
              <w:t>$1,366,418</w:t>
            </w:r>
          </w:p>
        </w:tc>
        <w:tc>
          <w:tcPr>
            <w:tcW w:w="1020" w:type="dxa"/>
            <w:tcBorders>
              <w:bottom w:val="single" w:sz="4" w:space="0" w:color="auto"/>
            </w:tcBorders>
            <w:vAlign w:val="center"/>
          </w:tcPr>
          <w:p w14:paraId="21FBC531" w14:textId="77777777" w:rsidR="007C6C75" w:rsidRPr="005A6618" w:rsidRDefault="007C6C75" w:rsidP="007C6C75">
            <w:pPr>
              <w:pStyle w:val="TableText0"/>
              <w:keepLines/>
              <w:ind w:hanging="142"/>
              <w:jc w:val="center"/>
              <w:rPr>
                <w:szCs w:val="20"/>
              </w:rPr>
            </w:pPr>
            <w:r>
              <w:rPr>
                <w:rFonts w:cs="Calibri"/>
                <w:color w:val="000000"/>
                <w:szCs w:val="20"/>
              </w:rPr>
              <w:t>$2,138,145</w:t>
            </w:r>
          </w:p>
        </w:tc>
        <w:tc>
          <w:tcPr>
            <w:tcW w:w="1021" w:type="dxa"/>
            <w:tcBorders>
              <w:bottom w:val="single" w:sz="4" w:space="0" w:color="auto"/>
            </w:tcBorders>
            <w:vAlign w:val="center"/>
          </w:tcPr>
          <w:p w14:paraId="52C8AAD0" w14:textId="77777777" w:rsidR="007C6C75" w:rsidRPr="005A6618" w:rsidRDefault="007C6C75" w:rsidP="007C6C75">
            <w:pPr>
              <w:pStyle w:val="TableText0"/>
              <w:keepLines/>
              <w:ind w:hanging="142"/>
              <w:jc w:val="center"/>
              <w:rPr>
                <w:szCs w:val="20"/>
              </w:rPr>
            </w:pPr>
            <w:r>
              <w:rPr>
                <w:rFonts w:cs="Calibri"/>
                <w:color w:val="000000"/>
                <w:szCs w:val="20"/>
              </w:rPr>
              <w:t>$2,949,548</w:t>
            </w:r>
          </w:p>
        </w:tc>
        <w:tc>
          <w:tcPr>
            <w:tcW w:w="1021" w:type="dxa"/>
            <w:tcBorders>
              <w:bottom w:val="single" w:sz="4" w:space="0" w:color="auto"/>
            </w:tcBorders>
            <w:vAlign w:val="center"/>
          </w:tcPr>
          <w:p w14:paraId="774DC85F" w14:textId="77777777" w:rsidR="007C6C75" w:rsidRPr="005A6618" w:rsidRDefault="007C6C75" w:rsidP="007C6C75">
            <w:pPr>
              <w:pStyle w:val="TableText0"/>
              <w:keepLines/>
              <w:ind w:hanging="142"/>
              <w:jc w:val="center"/>
              <w:rPr>
                <w:szCs w:val="20"/>
              </w:rPr>
            </w:pPr>
            <w:r>
              <w:rPr>
                <w:rFonts w:cs="Calibri"/>
                <w:color w:val="000000"/>
                <w:szCs w:val="20"/>
              </w:rPr>
              <w:t>$3,793,433</w:t>
            </w:r>
          </w:p>
        </w:tc>
      </w:tr>
      <w:tr w:rsidR="007C6C75" w:rsidRPr="005A6618" w14:paraId="754A3AA4" w14:textId="77777777" w:rsidTr="007C6C75">
        <w:trPr>
          <w:trHeight w:val="227"/>
        </w:trPr>
        <w:tc>
          <w:tcPr>
            <w:tcW w:w="1271" w:type="dxa"/>
            <w:vMerge/>
          </w:tcPr>
          <w:p w14:paraId="50898866" w14:textId="77777777" w:rsidR="007C6C75" w:rsidRPr="00D467CC" w:rsidRDefault="007C6C75" w:rsidP="007C6C75">
            <w:pPr>
              <w:pStyle w:val="TableText0"/>
              <w:keepNext w:val="0"/>
              <w:ind w:left="177" w:hanging="142"/>
              <w:rPr>
                <w:rFonts w:cs="Arial"/>
                <w:color w:val="000000"/>
              </w:rPr>
            </w:pPr>
          </w:p>
        </w:tc>
        <w:tc>
          <w:tcPr>
            <w:tcW w:w="573" w:type="dxa"/>
            <w:vMerge w:val="restart"/>
            <w:tcBorders>
              <w:top w:val="single" w:sz="4" w:space="0" w:color="auto"/>
            </w:tcBorders>
          </w:tcPr>
          <w:p w14:paraId="47428B31" w14:textId="77777777" w:rsidR="007C6C75" w:rsidRPr="00D467CC" w:rsidRDefault="007C6C75" w:rsidP="007C6C75">
            <w:pPr>
              <w:pStyle w:val="TableText0"/>
              <w:keepNext w:val="0"/>
              <w:ind w:left="177" w:hanging="142"/>
              <w:jc w:val="center"/>
              <w:rPr>
                <w:rFonts w:cs="Arial"/>
                <w:color w:val="000000"/>
              </w:rPr>
            </w:pPr>
            <w:r>
              <w:rPr>
                <w:rFonts w:cs="Arial"/>
                <w:color w:val="000000"/>
              </w:rPr>
              <w:t>20%</w:t>
            </w:r>
          </w:p>
        </w:tc>
        <w:tc>
          <w:tcPr>
            <w:tcW w:w="2410" w:type="dxa"/>
            <w:tcBorders>
              <w:top w:val="single" w:sz="4" w:space="0" w:color="auto"/>
            </w:tcBorders>
            <w:vAlign w:val="center"/>
          </w:tcPr>
          <w:p w14:paraId="5EE2C458" w14:textId="77777777" w:rsidR="007C6C75" w:rsidRPr="00D467CC" w:rsidRDefault="007C6C75" w:rsidP="007C6C75">
            <w:pPr>
              <w:pStyle w:val="TableText0"/>
              <w:keepNext w:val="0"/>
              <w:ind w:left="177" w:hanging="142"/>
              <w:rPr>
                <w:szCs w:val="20"/>
              </w:rPr>
            </w:pPr>
            <w:r w:rsidRPr="00D467CC">
              <w:rPr>
                <w:rFonts w:cs="Arial"/>
                <w:color w:val="000000"/>
              </w:rPr>
              <w:t>Cost to the MBS</w:t>
            </w:r>
          </w:p>
        </w:tc>
        <w:tc>
          <w:tcPr>
            <w:tcW w:w="1020" w:type="dxa"/>
            <w:tcBorders>
              <w:top w:val="single" w:sz="4" w:space="0" w:color="auto"/>
            </w:tcBorders>
            <w:vAlign w:val="center"/>
          </w:tcPr>
          <w:p w14:paraId="3C93533D" w14:textId="77777777" w:rsidR="007C6C75" w:rsidRPr="005A6618" w:rsidRDefault="007C6C75" w:rsidP="007C6C75">
            <w:pPr>
              <w:pStyle w:val="TableText0"/>
              <w:keepNext w:val="0"/>
              <w:ind w:hanging="142"/>
              <w:jc w:val="center"/>
              <w:rPr>
                <w:szCs w:val="20"/>
              </w:rPr>
            </w:pPr>
            <w:r>
              <w:rPr>
                <w:rFonts w:cs="Calibri"/>
                <w:color w:val="000000"/>
                <w:szCs w:val="20"/>
              </w:rPr>
              <w:t>$1,208,028</w:t>
            </w:r>
          </w:p>
        </w:tc>
        <w:tc>
          <w:tcPr>
            <w:tcW w:w="1021" w:type="dxa"/>
            <w:tcBorders>
              <w:top w:val="single" w:sz="4" w:space="0" w:color="auto"/>
            </w:tcBorders>
            <w:vAlign w:val="center"/>
          </w:tcPr>
          <w:p w14:paraId="7AED1AE1" w14:textId="77777777" w:rsidR="007C6C75" w:rsidRPr="005A6618" w:rsidRDefault="007C6C75" w:rsidP="007C6C75">
            <w:pPr>
              <w:pStyle w:val="TableText0"/>
              <w:keepNext w:val="0"/>
              <w:ind w:hanging="142"/>
              <w:jc w:val="center"/>
              <w:rPr>
                <w:szCs w:val="20"/>
              </w:rPr>
            </w:pPr>
            <w:r>
              <w:rPr>
                <w:rFonts w:cs="Calibri"/>
                <w:color w:val="000000"/>
                <w:szCs w:val="20"/>
              </w:rPr>
              <w:t>$2,603,606</w:t>
            </w:r>
          </w:p>
        </w:tc>
        <w:tc>
          <w:tcPr>
            <w:tcW w:w="1020" w:type="dxa"/>
            <w:tcBorders>
              <w:top w:val="single" w:sz="4" w:space="0" w:color="auto"/>
            </w:tcBorders>
            <w:vAlign w:val="center"/>
          </w:tcPr>
          <w:p w14:paraId="752D3421" w14:textId="77777777" w:rsidR="007C6C75" w:rsidRPr="005A6618" w:rsidRDefault="007C6C75" w:rsidP="007C6C75">
            <w:pPr>
              <w:pStyle w:val="TableText0"/>
              <w:keepNext w:val="0"/>
              <w:ind w:hanging="142"/>
              <w:jc w:val="center"/>
              <w:rPr>
                <w:szCs w:val="20"/>
              </w:rPr>
            </w:pPr>
            <w:r>
              <w:rPr>
                <w:rFonts w:cs="Calibri"/>
                <w:color w:val="000000"/>
                <w:szCs w:val="20"/>
              </w:rPr>
              <w:t>$4,077,757</w:t>
            </w:r>
          </w:p>
        </w:tc>
        <w:tc>
          <w:tcPr>
            <w:tcW w:w="1021" w:type="dxa"/>
            <w:tcBorders>
              <w:top w:val="single" w:sz="4" w:space="0" w:color="auto"/>
            </w:tcBorders>
            <w:vAlign w:val="center"/>
          </w:tcPr>
          <w:p w14:paraId="6235C2B5" w14:textId="77777777" w:rsidR="007C6C75" w:rsidRPr="005A6618" w:rsidRDefault="007C6C75" w:rsidP="007C6C75">
            <w:pPr>
              <w:pStyle w:val="TableText0"/>
              <w:keepNext w:val="0"/>
              <w:ind w:hanging="142"/>
              <w:jc w:val="center"/>
              <w:rPr>
                <w:szCs w:val="20"/>
              </w:rPr>
            </w:pPr>
            <w:r>
              <w:rPr>
                <w:rFonts w:cs="Calibri"/>
                <w:color w:val="000000"/>
                <w:szCs w:val="20"/>
              </w:rPr>
              <w:t>$5,619,880</w:t>
            </w:r>
          </w:p>
        </w:tc>
        <w:tc>
          <w:tcPr>
            <w:tcW w:w="1021" w:type="dxa"/>
            <w:tcBorders>
              <w:top w:val="single" w:sz="4" w:space="0" w:color="auto"/>
            </w:tcBorders>
            <w:vAlign w:val="center"/>
          </w:tcPr>
          <w:p w14:paraId="437B892C" w14:textId="77777777" w:rsidR="007C6C75" w:rsidRPr="005A6618" w:rsidRDefault="007C6C75" w:rsidP="007C6C75">
            <w:pPr>
              <w:pStyle w:val="TableText0"/>
              <w:keepNext w:val="0"/>
              <w:ind w:hanging="142"/>
              <w:jc w:val="center"/>
              <w:rPr>
                <w:szCs w:val="20"/>
              </w:rPr>
            </w:pPr>
            <w:r>
              <w:rPr>
                <w:rFonts w:cs="Calibri"/>
                <w:color w:val="000000"/>
                <w:szCs w:val="20"/>
              </w:rPr>
              <w:t>$7,224,956</w:t>
            </w:r>
          </w:p>
        </w:tc>
      </w:tr>
      <w:tr w:rsidR="007C6C75" w:rsidRPr="005A6618" w14:paraId="6812CADF" w14:textId="77777777" w:rsidTr="007C6C75">
        <w:trPr>
          <w:trHeight w:val="227"/>
        </w:trPr>
        <w:tc>
          <w:tcPr>
            <w:tcW w:w="1271" w:type="dxa"/>
            <w:vMerge/>
          </w:tcPr>
          <w:p w14:paraId="3BB8A7BB" w14:textId="77777777" w:rsidR="007C6C75" w:rsidRPr="00D467CC" w:rsidRDefault="007C6C75" w:rsidP="007C6C75">
            <w:pPr>
              <w:pStyle w:val="TableText0"/>
              <w:keepNext w:val="0"/>
              <w:ind w:left="177" w:hanging="142"/>
              <w:rPr>
                <w:rFonts w:cs="Arial"/>
                <w:color w:val="000000"/>
              </w:rPr>
            </w:pPr>
          </w:p>
        </w:tc>
        <w:tc>
          <w:tcPr>
            <w:tcW w:w="573" w:type="dxa"/>
            <w:vMerge/>
          </w:tcPr>
          <w:p w14:paraId="3607780B" w14:textId="77777777" w:rsidR="007C6C75" w:rsidRPr="00D467CC" w:rsidRDefault="007C6C75" w:rsidP="007C6C75">
            <w:pPr>
              <w:pStyle w:val="TableText0"/>
              <w:keepNext w:val="0"/>
              <w:ind w:left="177" w:hanging="142"/>
              <w:jc w:val="center"/>
              <w:rPr>
                <w:rFonts w:cs="Arial"/>
                <w:color w:val="000000"/>
              </w:rPr>
            </w:pPr>
          </w:p>
        </w:tc>
        <w:tc>
          <w:tcPr>
            <w:tcW w:w="2410" w:type="dxa"/>
            <w:vAlign w:val="center"/>
          </w:tcPr>
          <w:p w14:paraId="5794FFEF" w14:textId="77777777" w:rsidR="007C6C75" w:rsidRPr="00D467CC" w:rsidRDefault="007C6C75" w:rsidP="007C6C75">
            <w:pPr>
              <w:pStyle w:val="TableText0"/>
              <w:keepNext w:val="0"/>
              <w:ind w:left="177" w:hanging="142"/>
              <w:rPr>
                <w:szCs w:val="20"/>
              </w:rPr>
            </w:pPr>
            <w:r w:rsidRPr="00D467CC">
              <w:rPr>
                <w:rFonts w:cs="Arial"/>
                <w:color w:val="000000"/>
              </w:rPr>
              <w:t>Cost to the healthcare budget</w:t>
            </w:r>
          </w:p>
        </w:tc>
        <w:tc>
          <w:tcPr>
            <w:tcW w:w="1020" w:type="dxa"/>
            <w:vAlign w:val="center"/>
          </w:tcPr>
          <w:p w14:paraId="0A2B47AC" w14:textId="77777777" w:rsidR="007C6C75" w:rsidRPr="005A6618" w:rsidRDefault="007C6C75" w:rsidP="007C6C75">
            <w:pPr>
              <w:pStyle w:val="TableText0"/>
              <w:keepNext w:val="0"/>
              <w:ind w:hanging="142"/>
              <w:jc w:val="center"/>
              <w:rPr>
                <w:szCs w:val="20"/>
              </w:rPr>
            </w:pPr>
            <w:r>
              <w:rPr>
                <w:rFonts w:cs="Calibri"/>
                <w:color w:val="000000"/>
                <w:szCs w:val="20"/>
              </w:rPr>
              <w:t>$61,783</w:t>
            </w:r>
          </w:p>
        </w:tc>
        <w:tc>
          <w:tcPr>
            <w:tcW w:w="1021" w:type="dxa"/>
            <w:vAlign w:val="center"/>
          </w:tcPr>
          <w:p w14:paraId="39694EC7" w14:textId="77777777" w:rsidR="007C6C75" w:rsidRPr="005A6618" w:rsidRDefault="007C6C75" w:rsidP="007C6C75">
            <w:pPr>
              <w:pStyle w:val="TableText0"/>
              <w:keepNext w:val="0"/>
              <w:ind w:hanging="142"/>
              <w:jc w:val="center"/>
              <w:rPr>
                <w:szCs w:val="20"/>
              </w:rPr>
            </w:pPr>
            <w:r>
              <w:rPr>
                <w:rFonts w:cs="Calibri"/>
                <w:color w:val="000000"/>
                <w:szCs w:val="20"/>
              </w:rPr>
              <w:t>$132,653</w:t>
            </w:r>
          </w:p>
        </w:tc>
        <w:tc>
          <w:tcPr>
            <w:tcW w:w="1020" w:type="dxa"/>
            <w:vAlign w:val="center"/>
          </w:tcPr>
          <w:p w14:paraId="17FFF21A" w14:textId="77777777" w:rsidR="007C6C75" w:rsidRPr="005A6618" w:rsidRDefault="007C6C75" w:rsidP="007C6C75">
            <w:pPr>
              <w:pStyle w:val="TableText0"/>
              <w:keepNext w:val="0"/>
              <w:ind w:hanging="142"/>
              <w:jc w:val="center"/>
              <w:rPr>
                <w:szCs w:val="20"/>
              </w:rPr>
            </w:pPr>
            <w:r>
              <w:rPr>
                <w:rFonts w:cs="Calibri"/>
                <w:color w:val="000000"/>
                <w:szCs w:val="20"/>
              </w:rPr>
              <w:t>$206,248</w:t>
            </w:r>
          </w:p>
        </w:tc>
        <w:tc>
          <w:tcPr>
            <w:tcW w:w="1021" w:type="dxa"/>
            <w:vAlign w:val="center"/>
          </w:tcPr>
          <w:p w14:paraId="50F77FB3" w14:textId="77777777" w:rsidR="007C6C75" w:rsidRPr="005A6618" w:rsidRDefault="007C6C75" w:rsidP="007C6C75">
            <w:pPr>
              <w:pStyle w:val="TableText0"/>
              <w:keepNext w:val="0"/>
              <w:ind w:hanging="142"/>
              <w:jc w:val="center"/>
              <w:rPr>
                <w:szCs w:val="20"/>
              </w:rPr>
            </w:pPr>
            <w:r>
              <w:rPr>
                <w:rFonts w:cs="Calibri"/>
                <w:color w:val="000000"/>
                <w:szCs w:val="20"/>
              </w:rPr>
              <w:t>$283,477</w:t>
            </w:r>
          </w:p>
        </w:tc>
        <w:tc>
          <w:tcPr>
            <w:tcW w:w="1021" w:type="dxa"/>
            <w:vAlign w:val="center"/>
          </w:tcPr>
          <w:p w14:paraId="41EACEF8" w14:textId="77777777" w:rsidR="007C6C75" w:rsidRPr="005A6618" w:rsidRDefault="007C6C75" w:rsidP="007C6C75">
            <w:pPr>
              <w:pStyle w:val="TableText0"/>
              <w:keepNext w:val="0"/>
              <w:ind w:hanging="142"/>
              <w:jc w:val="center"/>
              <w:rPr>
                <w:szCs w:val="20"/>
              </w:rPr>
            </w:pPr>
            <w:r>
              <w:rPr>
                <w:rFonts w:cs="Calibri"/>
                <w:color w:val="000000"/>
                <w:szCs w:val="20"/>
              </w:rPr>
              <w:t>$364,341</w:t>
            </w:r>
          </w:p>
        </w:tc>
      </w:tr>
      <w:tr w:rsidR="007C6C75" w:rsidRPr="005A6618" w14:paraId="10AA1AD2" w14:textId="77777777" w:rsidTr="007C6C75">
        <w:trPr>
          <w:trHeight w:val="227"/>
        </w:trPr>
        <w:tc>
          <w:tcPr>
            <w:tcW w:w="1271" w:type="dxa"/>
            <w:vMerge/>
          </w:tcPr>
          <w:p w14:paraId="33FDB17E" w14:textId="77777777" w:rsidR="007C6C75" w:rsidRPr="00524539" w:rsidRDefault="007C6C75" w:rsidP="007C6C75">
            <w:pPr>
              <w:pStyle w:val="TableText0"/>
              <w:keepNext w:val="0"/>
              <w:ind w:left="177" w:hanging="142"/>
              <w:rPr>
                <w:rFonts w:cs="Arial"/>
                <w:color w:val="000000"/>
              </w:rPr>
            </w:pPr>
          </w:p>
        </w:tc>
        <w:tc>
          <w:tcPr>
            <w:tcW w:w="573" w:type="dxa"/>
            <w:vMerge/>
            <w:tcBorders>
              <w:bottom w:val="single" w:sz="4" w:space="0" w:color="auto"/>
            </w:tcBorders>
          </w:tcPr>
          <w:p w14:paraId="268EF881" w14:textId="77777777" w:rsidR="007C6C75" w:rsidRPr="00524539" w:rsidRDefault="007C6C75" w:rsidP="007C6C75">
            <w:pPr>
              <w:pStyle w:val="TableText0"/>
              <w:keepNext w:val="0"/>
              <w:ind w:left="177" w:hanging="142"/>
              <w:jc w:val="center"/>
              <w:rPr>
                <w:rFonts w:cs="Arial"/>
                <w:color w:val="000000"/>
              </w:rPr>
            </w:pPr>
          </w:p>
        </w:tc>
        <w:tc>
          <w:tcPr>
            <w:tcW w:w="2410" w:type="dxa"/>
            <w:tcBorders>
              <w:bottom w:val="single" w:sz="4" w:space="0" w:color="auto"/>
            </w:tcBorders>
            <w:vAlign w:val="center"/>
          </w:tcPr>
          <w:p w14:paraId="55E03C83" w14:textId="77777777" w:rsidR="007C6C75" w:rsidRPr="00D467CC" w:rsidRDefault="007C6C75" w:rsidP="007C6C75">
            <w:pPr>
              <w:pStyle w:val="TableText0"/>
              <w:keepNext w:val="0"/>
              <w:ind w:left="177" w:hanging="142"/>
              <w:rPr>
                <w:rFonts w:cs="Arial"/>
                <w:color w:val="000000"/>
                <w:szCs w:val="20"/>
              </w:rPr>
            </w:pPr>
            <w:r w:rsidRPr="00524539">
              <w:rPr>
                <w:rFonts w:cs="Arial"/>
                <w:color w:val="000000"/>
              </w:rPr>
              <w:t xml:space="preserve">Total </w:t>
            </w:r>
            <w:r w:rsidRPr="00D467CC">
              <w:rPr>
                <w:szCs w:val="20"/>
              </w:rPr>
              <w:t>financial implications</w:t>
            </w:r>
          </w:p>
        </w:tc>
        <w:tc>
          <w:tcPr>
            <w:tcW w:w="1020" w:type="dxa"/>
            <w:tcBorders>
              <w:bottom w:val="single" w:sz="4" w:space="0" w:color="auto"/>
            </w:tcBorders>
            <w:vAlign w:val="center"/>
          </w:tcPr>
          <w:p w14:paraId="167E4AA7"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$1,269,811</w:t>
            </w:r>
          </w:p>
        </w:tc>
        <w:tc>
          <w:tcPr>
            <w:tcW w:w="1021" w:type="dxa"/>
            <w:tcBorders>
              <w:bottom w:val="single" w:sz="4" w:space="0" w:color="auto"/>
            </w:tcBorders>
            <w:vAlign w:val="center"/>
          </w:tcPr>
          <w:p w14:paraId="0602B313"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$2,736,258</w:t>
            </w:r>
          </w:p>
        </w:tc>
        <w:tc>
          <w:tcPr>
            <w:tcW w:w="1020" w:type="dxa"/>
            <w:tcBorders>
              <w:bottom w:val="single" w:sz="4" w:space="0" w:color="auto"/>
            </w:tcBorders>
            <w:vAlign w:val="center"/>
          </w:tcPr>
          <w:p w14:paraId="309CA18A"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$4,284,005</w:t>
            </w:r>
          </w:p>
        </w:tc>
        <w:tc>
          <w:tcPr>
            <w:tcW w:w="1021" w:type="dxa"/>
            <w:tcBorders>
              <w:bottom w:val="single" w:sz="4" w:space="0" w:color="auto"/>
            </w:tcBorders>
            <w:vAlign w:val="center"/>
          </w:tcPr>
          <w:p w14:paraId="03EE0979"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$5,903,357</w:t>
            </w:r>
          </w:p>
        </w:tc>
        <w:tc>
          <w:tcPr>
            <w:tcW w:w="1021" w:type="dxa"/>
            <w:tcBorders>
              <w:bottom w:val="single" w:sz="4" w:space="0" w:color="auto"/>
            </w:tcBorders>
            <w:vAlign w:val="center"/>
          </w:tcPr>
          <w:p w14:paraId="5DEE0E5E"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$7,589,297</w:t>
            </w:r>
          </w:p>
        </w:tc>
      </w:tr>
      <w:tr w:rsidR="007C6C75" w:rsidRPr="005A6618" w14:paraId="4A008560" w14:textId="77777777" w:rsidTr="007C6C75">
        <w:trPr>
          <w:trHeight w:val="227"/>
        </w:trPr>
        <w:tc>
          <w:tcPr>
            <w:tcW w:w="1271" w:type="dxa"/>
            <w:vMerge/>
          </w:tcPr>
          <w:p w14:paraId="68D3A8A1" w14:textId="77777777" w:rsidR="007C6C75" w:rsidRPr="00D467CC" w:rsidRDefault="007C6C75" w:rsidP="007C6C75">
            <w:pPr>
              <w:pStyle w:val="TableText0"/>
              <w:keepNext w:val="0"/>
              <w:ind w:left="177" w:hanging="142"/>
              <w:rPr>
                <w:rFonts w:cs="Arial"/>
                <w:color w:val="000000"/>
              </w:rPr>
            </w:pPr>
          </w:p>
        </w:tc>
        <w:tc>
          <w:tcPr>
            <w:tcW w:w="573" w:type="dxa"/>
            <w:vMerge w:val="restart"/>
            <w:tcBorders>
              <w:top w:val="single" w:sz="4" w:space="0" w:color="auto"/>
            </w:tcBorders>
          </w:tcPr>
          <w:p w14:paraId="1AF90720" w14:textId="77777777" w:rsidR="007C6C75" w:rsidRPr="00D467CC" w:rsidRDefault="007C6C75" w:rsidP="007C6C75">
            <w:pPr>
              <w:pStyle w:val="TableText0"/>
              <w:keepNext w:val="0"/>
              <w:ind w:left="177" w:hanging="142"/>
              <w:jc w:val="center"/>
              <w:rPr>
                <w:rFonts w:cs="Arial"/>
                <w:color w:val="000000"/>
              </w:rPr>
            </w:pPr>
            <w:r>
              <w:rPr>
                <w:rFonts w:cs="Arial"/>
                <w:color w:val="000000"/>
              </w:rPr>
              <w:t>40%</w:t>
            </w:r>
          </w:p>
        </w:tc>
        <w:tc>
          <w:tcPr>
            <w:tcW w:w="2410" w:type="dxa"/>
            <w:tcBorders>
              <w:top w:val="single" w:sz="4" w:space="0" w:color="auto"/>
            </w:tcBorders>
            <w:vAlign w:val="center"/>
          </w:tcPr>
          <w:p w14:paraId="5E9319E9" w14:textId="77777777" w:rsidR="007C6C75" w:rsidRPr="00D467CC" w:rsidRDefault="007C6C75" w:rsidP="007C6C75">
            <w:pPr>
              <w:pStyle w:val="TableText0"/>
              <w:keepNext w:val="0"/>
              <w:ind w:left="177" w:hanging="142"/>
              <w:rPr>
                <w:rFonts w:cs="Arial"/>
                <w:color w:val="000000"/>
                <w:szCs w:val="20"/>
              </w:rPr>
            </w:pPr>
            <w:r w:rsidRPr="00D467CC">
              <w:rPr>
                <w:rFonts w:cs="Arial"/>
                <w:color w:val="000000"/>
              </w:rPr>
              <w:t>Cost to the MBS</w:t>
            </w:r>
          </w:p>
        </w:tc>
        <w:tc>
          <w:tcPr>
            <w:tcW w:w="1020" w:type="dxa"/>
            <w:tcBorders>
              <w:top w:val="single" w:sz="4" w:space="0" w:color="auto"/>
            </w:tcBorders>
            <w:vAlign w:val="center"/>
          </w:tcPr>
          <w:p w14:paraId="4C55DDD4"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$2,415,958</w:t>
            </w:r>
          </w:p>
        </w:tc>
        <w:tc>
          <w:tcPr>
            <w:tcW w:w="1021" w:type="dxa"/>
            <w:tcBorders>
              <w:top w:val="single" w:sz="4" w:space="0" w:color="auto"/>
            </w:tcBorders>
            <w:vAlign w:val="center"/>
          </w:tcPr>
          <w:p w14:paraId="152BF439"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$5,205,201</w:t>
            </w:r>
          </w:p>
        </w:tc>
        <w:tc>
          <w:tcPr>
            <w:tcW w:w="1020" w:type="dxa"/>
            <w:tcBorders>
              <w:top w:val="single" w:sz="4" w:space="0" w:color="auto"/>
            </w:tcBorders>
            <w:vAlign w:val="center"/>
          </w:tcPr>
          <w:p w14:paraId="5244D8E4"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$8,155,362</w:t>
            </w:r>
          </w:p>
        </w:tc>
        <w:tc>
          <w:tcPr>
            <w:tcW w:w="1021" w:type="dxa"/>
            <w:tcBorders>
              <w:top w:val="single" w:sz="4" w:space="0" w:color="auto"/>
            </w:tcBorders>
            <w:vAlign w:val="center"/>
          </w:tcPr>
          <w:p w14:paraId="364186C9"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$11,237,919</w:t>
            </w:r>
          </w:p>
        </w:tc>
        <w:tc>
          <w:tcPr>
            <w:tcW w:w="1021" w:type="dxa"/>
            <w:tcBorders>
              <w:top w:val="single" w:sz="4" w:space="0" w:color="auto"/>
            </w:tcBorders>
            <w:vAlign w:val="center"/>
          </w:tcPr>
          <w:p w14:paraId="0ADC8C56"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$14,449,799</w:t>
            </w:r>
          </w:p>
        </w:tc>
      </w:tr>
      <w:tr w:rsidR="007C6C75" w:rsidRPr="005A6618" w14:paraId="65257AE5" w14:textId="77777777" w:rsidTr="007C6C75">
        <w:trPr>
          <w:trHeight w:val="227"/>
        </w:trPr>
        <w:tc>
          <w:tcPr>
            <w:tcW w:w="1271" w:type="dxa"/>
            <w:vMerge/>
          </w:tcPr>
          <w:p w14:paraId="11098E51" w14:textId="77777777" w:rsidR="007C6C75" w:rsidRPr="00D467CC" w:rsidRDefault="007C6C75" w:rsidP="007C6C75">
            <w:pPr>
              <w:pStyle w:val="TableText0"/>
              <w:keepNext w:val="0"/>
              <w:ind w:left="177" w:hanging="142"/>
              <w:rPr>
                <w:rFonts w:cs="Arial"/>
                <w:color w:val="000000"/>
              </w:rPr>
            </w:pPr>
          </w:p>
        </w:tc>
        <w:tc>
          <w:tcPr>
            <w:tcW w:w="573" w:type="dxa"/>
            <w:vMerge/>
          </w:tcPr>
          <w:p w14:paraId="36A5761E" w14:textId="77777777" w:rsidR="007C6C75" w:rsidRPr="00D467CC" w:rsidRDefault="007C6C75" w:rsidP="007C6C75">
            <w:pPr>
              <w:pStyle w:val="TableText0"/>
              <w:keepNext w:val="0"/>
              <w:ind w:left="177" w:hanging="142"/>
              <w:jc w:val="center"/>
              <w:rPr>
                <w:rFonts w:cs="Arial"/>
                <w:color w:val="000000"/>
              </w:rPr>
            </w:pPr>
          </w:p>
        </w:tc>
        <w:tc>
          <w:tcPr>
            <w:tcW w:w="2410" w:type="dxa"/>
            <w:vAlign w:val="center"/>
          </w:tcPr>
          <w:p w14:paraId="04B13BB0" w14:textId="77777777" w:rsidR="007C6C75" w:rsidRPr="00D467CC" w:rsidRDefault="007C6C75" w:rsidP="007C6C75">
            <w:pPr>
              <w:pStyle w:val="TableText0"/>
              <w:keepNext w:val="0"/>
              <w:ind w:left="177" w:hanging="142"/>
              <w:rPr>
                <w:rFonts w:cs="Arial"/>
                <w:color w:val="000000"/>
                <w:szCs w:val="20"/>
              </w:rPr>
            </w:pPr>
            <w:r w:rsidRPr="00D467CC">
              <w:rPr>
                <w:rFonts w:cs="Arial"/>
                <w:color w:val="000000"/>
              </w:rPr>
              <w:t>Cost to the healthcare budget</w:t>
            </w:r>
          </w:p>
        </w:tc>
        <w:tc>
          <w:tcPr>
            <w:tcW w:w="1020" w:type="dxa"/>
            <w:vAlign w:val="center"/>
          </w:tcPr>
          <w:p w14:paraId="1E4B79CD"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$122,658</w:t>
            </w:r>
          </w:p>
        </w:tc>
        <w:tc>
          <w:tcPr>
            <w:tcW w:w="1021" w:type="dxa"/>
            <w:vAlign w:val="center"/>
          </w:tcPr>
          <w:p w14:paraId="508C5D0D"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$263,488</w:t>
            </w:r>
          </w:p>
        </w:tc>
        <w:tc>
          <w:tcPr>
            <w:tcW w:w="1020" w:type="dxa"/>
            <w:vAlign w:val="center"/>
          </w:tcPr>
          <w:p w14:paraId="33DAA2AD"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$413,404</w:t>
            </w:r>
          </w:p>
        </w:tc>
        <w:tc>
          <w:tcPr>
            <w:tcW w:w="1021" w:type="dxa"/>
            <w:vAlign w:val="center"/>
          </w:tcPr>
          <w:p w14:paraId="659F905A"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$565,137</w:t>
            </w:r>
          </w:p>
        </w:tc>
        <w:tc>
          <w:tcPr>
            <w:tcW w:w="1021" w:type="dxa"/>
            <w:vAlign w:val="center"/>
          </w:tcPr>
          <w:p w14:paraId="3571ADCE"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$729,590</w:t>
            </w:r>
          </w:p>
        </w:tc>
      </w:tr>
      <w:tr w:rsidR="007C6C75" w:rsidRPr="005A6618" w14:paraId="5AC514DD" w14:textId="77777777" w:rsidTr="007C6C75">
        <w:trPr>
          <w:trHeight w:val="227"/>
        </w:trPr>
        <w:tc>
          <w:tcPr>
            <w:tcW w:w="1271" w:type="dxa"/>
            <w:vMerge/>
          </w:tcPr>
          <w:p w14:paraId="69E892D5" w14:textId="77777777" w:rsidR="007C6C75" w:rsidRPr="00524539" w:rsidRDefault="007C6C75" w:rsidP="007C6C75">
            <w:pPr>
              <w:pStyle w:val="TableText0"/>
              <w:keepNext w:val="0"/>
              <w:ind w:left="177" w:hanging="142"/>
              <w:rPr>
                <w:rFonts w:cs="Arial"/>
                <w:color w:val="000000"/>
              </w:rPr>
            </w:pPr>
          </w:p>
        </w:tc>
        <w:tc>
          <w:tcPr>
            <w:tcW w:w="573" w:type="dxa"/>
            <w:vMerge/>
            <w:tcBorders>
              <w:bottom w:val="single" w:sz="4" w:space="0" w:color="auto"/>
            </w:tcBorders>
          </w:tcPr>
          <w:p w14:paraId="1A55E7F2" w14:textId="77777777" w:rsidR="007C6C75" w:rsidRPr="00524539" w:rsidRDefault="007C6C75" w:rsidP="007C6C75">
            <w:pPr>
              <w:pStyle w:val="TableText0"/>
              <w:keepNext w:val="0"/>
              <w:ind w:left="177" w:hanging="142"/>
              <w:jc w:val="center"/>
              <w:rPr>
                <w:rFonts w:cs="Arial"/>
                <w:color w:val="000000"/>
              </w:rPr>
            </w:pPr>
          </w:p>
        </w:tc>
        <w:tc>
          <w:tcPr>
            <w:tcW w:w="2410" w:type="dxa"/>
            <w:tcBorders>
              <w:bottom w:val="single" w:sz="4" w:space="0" w:color="auto"/>
            </w:tcBorders>
            <w:vAlign w:val="center"/>
          </w:tcPr>
          <w:p w14:paraId="6CAFFE56" w14:textId="77777777" w:rsidR="007C6C75" w:rsidRPr="00D467CC" w:rsidRDefault="007C6C75" w:rsidP="007C6C75">
            <w:pPr>
              <w:pStyle w:val="TableText0"/>
              <w:keepNext w:val="0"/>
              <w:ind w:left="177" w:hanging="142"/>
              <w:rPr>
                <w:rFonts w:cs="Arial"/>
                <w:color w:val="000000"/>
                <w:szCs w:val="20"/>
              </w:rPr>
            </w:pPr>
            <w:r w:rsidRPr="00524539">
              <w:rPr>
                <w:rFonts w:cs="Arial"/>
                <w:color w:val="000000"/>
              </w:rPr>
              <w:t xml:space="preserve">Total </w:t>
            </w:r>
            <w:r w:rsidRPr="00D467CC">
              <w:rPr>
                <w:szCs w:val="20"/>
              </w:rPr>
              <w:t>financial implications</w:t>
            </w:r>
          </w:p>
        </w:tc>
        <w:tc>
          <w:tcPr>
            <w:tcW w:w="1020" w:type="dxa"/>
            <w:tcBorders>
              <w:bottom w:val="single" w:sz="4" w:space="0" w:color="auto"/>
            </w:tcBorders>
            <w:vAlign w:val="center"/>
          </w:tcPr>
          <w:p w14:paraId="36BD17C3"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$2,538,617</w:t>
            </w:r>
          </w:p>
        </w:tc>
        <w:tc>
          <w:tcPr>
            <w:tcW w:w="1021" w:type="dxa"/>
            <w:tcBorders>
              <w:bottom w:val="single" w:sz="4" w:space="0" w:color="auto"/>
            </w:tcBorders>
            <w:vAlign w:val="center"/>
          </w:tcPr>
          <w:p w14:paraId="0F456AAF"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$5,468,689</w:t>
            </w:r>
          </w:p>
        </w:tc>
        <w:tc>
          <w:tcPr>
            <w:tcW w:w="1020" w:type="dxa"/>
            <w:tcBorders>
              <w:bottom w:val="single" w:sz="4" w:space="0" w:color="auto"/>
            </w:tcBorders>
            <w:vAlign w:val="center"/>
          </w:tcPr>
          <w:p w14:paraId="751A830E"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$8,568,766</w:t>
            </w:r>
          </w:p>
        </w:tc>
        <w:tc>
          <w:tcPr>
            <w:tcW w:w="1021" w:type="dxa"/>
            <w:tcBorders>
              <w:bottom w:val="single" w:sz="4" w:space="0" w:color="auto"/>
            </w:tcBorders>
            <w:vAlign w:val="center"/>
          </w:tcPr>
          <w:p w14:paraId="152294DE"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$11,803,056</w:t>
            </w:r>
          </w:p>
        </w:tc>
        <w:tc>
          <w:tcPr>
            <w:tcW w:w="1021" w:type="dxa"/>
            <w:tcBorders>
              <w:bottom w:val="single" w:sz="4" w:space="0" w:color="auto"/>
            </w:tcBorders>
            <w:vAlign w:val="center"/>
          </w:tcPr>
          <w:p w14:paraId="6AB5C7F6"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$15,179,389</w:t>
            </w:r>
          </w:p>
        </w:tc>
      </w:tr>
      <w:tr w:rsidR="007C6C75" w:rsidRPr="005A6618" w14:paraId="1E1D6FBB" w14:textId="77777777" w:rsidTr="007C6C75">
        <w:trPr>
          <w:trHeight w:val="227"/>
        </w:trPr>
        <w:tc>
          <w:tcPr>
            <w:tcW w:w="1271" w:type="dxa"/>
            <w:vMerge/>
          </w:tcPr>
          <w:p w14:paraId="55BE3CB9" w14:textId="77777777" w:rsidR="007C6C75" w:rsidRPr="00D467CC" w:rsidRDefault="007C6C75" w:rsidP="007C6C75">
            <w:pPr>
              <w:pStyle w:val="TableText0"/>
              <w:keepNext w:val="0"/>
              <w:ind w:left="177" w:hanging="142"/>
              <w:rPr>
                <w:rFonts w:cs="Arial"/>
                <w:color w:val="000000"/>
              </w:rPr>
            </w:pPr>
          </w:p>
        </w:tc>
        <w:tc>
          <w:tcPr>
            <w:tcW w:w="573" w:type="dxa"/>
            <w:vMerge w:val="restart"/>
            <w:tcBorders>
              <w:top w:val="single" w:sz="4" w:space="0" w:color="auto"/>
            </w:tcBorders>
          </w:tcPr>
          <w:p w14:paraId="7E2C6842" w14:textId="77777777" w:rsidR="007C6C75" w:rsidRPr="00D467CC" w:rsidRDefault="007C6C75" w:rsidP="007C6C75">
            <w:pPr>
              <w:pStyle w:val="TableText0"/>
              <w:keepNext w:val="0"/>
              <w:ind w:left="177" w:hanging="142"/>
              <w:jc w:val="center"/>
              <w:rPr>
                <w:rFonts w:cs="Arial"/>
                <w:color w:val="000000"/>
              </w:rPr>
            </w:pPr>
            <w:r>
              <w:rPr>
                <w:rFonts w:cs="Arial"/>
                <w:color w:val="000000"/>
              </w:rPr>
              <w:t>60%</w:t>
            </w:r>
          </w:p>
        </w:tc>
        <w:tc>
          <w:tcPr>
            <w:tcW w:w="2410" w:type="dxa"/>
            <w:tcBorders>
              <w:top w:val="single" w:sz="4" w:space="0" w:color="auto"/>
            </w:tcBorders>
            <w:vAlign w:val="center"/>
          </w:tcPr>
          <w:p w14:paraId="08A8B121" w14:textId="77777777" w:rsidR="007C6C75" w:rsidRPr="00D467CC" w:rsidRDefault="007C6C75" w:rsidP="007C6C75">
            <w:pPr>
              <w:pStyle w:val="TableText0"/>
              <w:keepNext w:val="0"/>
              <w:ind w:left="177" w:hanging="142"/>
              <w:rPr>
                <w:rFonts w:cs="Arial"/>
                <w:color w:val="000000"/>
                <w:szCs w:val="20"/>
              </w:rPr>
            </w:pPr>
            <w:r w:rsidRPr="00D467CC">
              <w:rPr>
                <w:rFonts w:cs="Arial"/>
                <w:color w:val="000000"/>
              </w:rPr>
              <w:t xml:space="preserve">Cost </w:t>
            </w:r>
            <w:r w:rsidRPr="00D467CC">
              <w:rPr>
                <w:rFonts w:cs="Arial"/>
                <w:color w:val="000000"/>
                <w:szCs w:val="20"/>
              </w:rPr>
              <w:t>to the MBS</w:t>
            </w:r>
          </w:p>
        </w:tc>
        <w:tc>
          <w:tcPr>
            <w:tcW w:w="1020" w:type="dxa"/>
            <w:tcBorders>
              <w:top w:val="single" w:sz="4" w:space="0" w:color="auto"/>
            </w:tcBorders>
            <w:vAlign w:val="center"/>
          </w:tcPr>
          <w:p w14:paraId="4A9FE9EC"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$3,624,538</w:t>
            </w:r>
          </w:p>
        </w:tc>
        <w:tc>
          <w:tcPr>
            <w:tcW w:w="1021" w:type="dxa"/>
            <w:tcBorders>
              <w:top w:val="single" w:sz="4" w:space="0" w:color="auto"/>
            </w:tcBorders>
            <w:vAlign w:val="center"/>
          </w:tcPr>
          <w:p w14:paraId="73DDDFA5"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$7,808,351</w:t>
            </w:r>
          </w:p>
        </w:tc>
        <w:tc>
          <w:tcPr>
            <w:tcW w:w="1020" w:type="dxa"/>
            <w:tcBorders>
              <w:top w:val="single" w:sz="4" w:space="0" w:color="auto"/>
            </w:tcBorders>
            <w:vAlign w:val="center"/>
          </w:tcPr>
          <w:p w14:paraId="21D99FC6"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$12,232,027</w:t>
            </w:r>
          </w:p>
        </w:tc>
        <w:tc>
          <w:tcPr>
            <w:tcW w:w="1021" w:type="dxa"/>
            <w:tcBorders>
              <w:top w:val="single" w:sz="4" w:space="0" w:color="auto"/>
            </w:tcBorders>
            <w:vAlign w:val="center"/>
          </w:tcPr>
          <w:p w14:paraId="34D338E3"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$16,857,026</w:t>
            </w:r>
          </w:p>
        </w:tc>
        <w:tc>
          <w:tcPr>
            <w:tcW w:w="1021" w:type="dxa"/>
            <w:tcBorders>
              <w:top w:val="single" w:sz="4" w:space="0" w:color="auto"/>
            </w:tcBorders>
            <w:vAlign w:val="center"/>
          </w:tcPr>
          <w:p w14:paraId="263A1AA8"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$21,674,099</w:t>
            </w:r>
          </w:p>
        </w:tc>
      </w:tr>
      <w:tr w:rsidR="007C6C75" w:rsidRPr="005A6618" w14:paraId="51FD26EE" w14:textId="77777777" w:rsidTr="007C6C75">
        <w:trPr>
          <w:trHeight w:val="227"/>
        </w:trPr>
        <w:tc>
          <w:tcPr>
            <w:tcW w:w="1271" w:type="dxa"/>
            <w:vMerge/>
          </w:tcPr>
          <w:p w14:paraId="6A542476" w14:textId="77777777" w:rsidR="007C6C75" w:rsidRPr="00D467CC" w:rsidRDefault="007C6C75" w:rsidP="007C6C75">
            <w:pPr>
              <w:pStyle w:val="TableText0"/>
              <w:keepNext w:val="0"/>
              <w:ind w:left="177" w:hanging="142"/>
              <w:rPr>
                <w:rFonts w:cs="Arial"/>
                <w:color w:val="000000"/>
              </w:rPr>
            </w:pPr>
          </w:p>
        </w:tc>
        <w:tc>
          <w:tcPr>
            <w:tcW w:w="573" w:type="dxa"/>
            <w:vMerge/>
          </w:tcPr>
          <w:p w14:paraId="3907A04E" w14:textId="77777777" w:rsidR="007C6C75" w:rsidRPr="00D467CC" w:rsidRDefault="007C6C75" w:rsidP="007C6C75">
            <w:pPr>
              <w:pStyle w:val="TableText0"/>
              <w:keepNext w:val="0"/>
              <w:ind w:left="177" w:hanging="142"/>
              <w:jc w:val="center"/>
              <w:rPr>
                <w:rFonts w:cs="Arial"/>
                <w:color w:val="000000"/>
              </w:rPr>
            </w:pPr>
          </w:p>
        </w:tc>
        <w:tc>
          <w:tcPr>
            <w:tcW w:w="2410" w:type="dxa"/>
            <w:vAlign w:val="center"/>
          </w:tcPr>
          <w:p w14:paraId="749D9737" w14:textId="77777777" w:rsidR="007C6C75" w:rsidRPr="00D467CC" w:rsidRDefault="007C6C75" w:rsidP="007C6C75">
            <w:pPr>
              <w:pStyle w:val="TableText0"/>
              <w:keepNext w:val="0"/>
              <w:ind w:left="177" w:hanging="142"/>
              <w:rPr>
                <w:rFonts w:cs="Arial"/>
                <w:color w:val="000000"/>
                <w:szCs w:val="20"/>
              </w:rPr>
            </w:pPr>
            <w:r w:rsidRPr="00D467CC">
              <w:rPr>
                <w:rFonts w:cs="Arial"/>
                <w:color w:val="000000"/>
              </w:rPr>
              <w:t>Cost to the healthcare budget</w:t>
            </w:r>
          </w:p>
        </w:tc>
        <w:tc>
          <w:tcPr>
            <w:tcW w:w="1020" w:type="dxa"/>
            <w:vAlign w:val="center"/>
          </w:tcPr>
          <w:p w14:paraId="5CBF12BD"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$184,442</w:t>
            </w:r>
          </w:p>
        </w:tc>
        <w:tc>
          <w:tcPr>
            <w:tcW w:w="1021" w:type="dxa"/>
            <w:vAlign w:val="center"/>
          </w:tcPr>
          <w:p w14:paraId="293EBCF2"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$396,141</w:t>
            </w:r>
          </w:p>
        </w:tc>
        <w:tc>
          <w:tcPr>
            <w:tcW w:w="1020" w:type="dxa"/>
            <w:vAlign w:val="center"/>
          </w:tcPr>
          <w:p w14:paraId="66E3530C"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$617,835</w:t>
            </w:r>
          </w:p>
        </w:tc>
        <w:tc>
          <w:tcPr>
            <w:tcW w:w="1021" w:type="dxa"/>
            <w:vAlign w:val="center"/>
          </w:tcPr>
          <w:p w14:paraId="39F5E9F9"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$848,614</w:t>
            </w:r>
          </w:p>
        </w:tc>
        <w:tc>
          <w:tcPr>
            <w:tcW w:w="1021" w:type="dxa"/>
            <w:vAlign w:val="center"/>
          </w:tcPr>
          <w:p w14:paraId="2A1DBD8A"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$1,093,931</w:t>
            </w:r>
          </w:p>
        </w:tc>
      </w:tr>
      <w:tr w:rsidR="007C6C75" w:rsidRPr="005A6618" w14:paraId="084DCEB6" w14:textId="77777777" w:rsidTr="007C6C75">
        <w:trPr>
          <w:trHeight w:val="227"/>
        </w:trPr>
        <w:tc>
          <w:tcPr>
            <w:tcW w:w="1271" w:type="dxa"/>
            <w:vMerge/>
          </w:tcPr>
          <w:p w14:paraId="77CB6375" w14:textId="77777777" w:rsidR="007C6C75" w:rsidRPr="00524539" w:rsidRDefault="007C6C75" w:rsidP="007C6C75">
            <w:pPr>
              <w:pStyle w:val="TableText0"/>
              <w:keepNext w:val="0"/>
              <w:ind w:left="177" w:hanging="142"/>
              <w:rPr>
                <w:rFonts w:cs="Arial"/>
                <w:color w:val="000000"/>
              </w:rPr>
            </w:pPr>
          </w:p>
        </w:tc>
        <w:tc>
          <w:tcPr>
            <w:tcW w:w="573" w:type="dxa"/>
            <w:vMerge/>
            <w:tcBorders>
              <w:bottom w:val="single" w:sz="4" w:space="0" w:color="auto"/>
            </w:tcBorders>
          </w:tcPr>
          <w:p w14:paraId="50B36807" w14:textId="77777777" w:rsidR="007C6C75" w:rsidRPr="00524539" w:rsidRDefault="007C6C75" w:rsidP="007C6C75">
            <w:pPr>
              <w:pStyle w:val="TableText0"/>
              <w:keepNext w:val="0"/>
              <w:ind w:left="177" w:hanging="142"/>
              <w:jc w:val="center"/>
              <w:rPr>
                <w:rFonts w:cs="Arial"/>
                <w:color w:val="000000"/>
              </w:rPr>
            </w:pPr>
          </w:p>
        </w:tc>
        <w:tc>
          <w:tcPr>
            <w:tcW w:w="2410" w:type="dxa"/>
            <w:tcBorders>
              <w:bottom w:val="single" w:sz="4" w:space="0" w:color="auto"/>
            </w:tcBorders>
            <w:vAlign w:val="center"/>
          </w:tcPr>
          <w:p w14:paraId="0DAABD5F" w14:textId="77777777" w:rsidR="007C6C75" w:rsidRPr="00D467CC" w:rsidRDefault="007C6C75" w:rsidP="007C6C75">
            <w:pPr>
              <w:pStyle w:val="TableText0"/>
              <w:keepNext w:val="0"/>
              <w:ind w:left="177" w:hanging="142"/>
              <w:rPr>
                <w:rFonts w:cs="Arial"/>
                <w:color w:val="000000"/>
                <w:szCs w:val="20"/>
              </w:rPr>
            </w:pPr>
            <w:r w:rsidRPr="00524539">
              <w:rPr>
                <w:rFonts w:cs="Arial"/>
                <w:color w:val="000000"/>
              </w:rPr>
              <w:t>Total financial implications</w:t>
            </w:r>
          </w:p>
        </w:tc>
        <w:tc>
          <w:tcPr>
            <w:tcW w:w="1020" w:type="dxa"/>
            <w:tcBorders>
              <w:bottom w:val="single" w:sz="4" w:space="0" w:color="auto"/>
            </w:tcBorders>
            <w:vAlign w:val="center"/>
          </w:tcPr>
          <w:p w14:paraId="6A2F9D68"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$3,808,980</w:t>
            </w:r>
          </w:p>
        </w:tc>
        <w:tc>
          <w:tcPr>
            <w:tcW w:w="1021" w:type="dxa"/>
            <w:tcBorders>
              <w:bottom w:val="single" w:sz="4" w:space="0" w:color="auto"/>
            </w:tcBorders>
            <w:vAlign w:val="center"/>
          </w:tcPr>
          <w:p w14:paraId="3FB68BF4"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$8,204,492</w:t>
            </w:r>
          </w:p>
        </w:tc>
        <w:tc>
          <w:tcPr>
            <w:tcW w:w="1020" w:type="dxa"/>
            <w:tcBorders>
              <w:bottom w:val="single" w:sz="4" w:space="0" w:color="auto"/>
            </w:tcBorders>
            <w:vAlign w:val="center"/>
          </w:tcPr>
          <w:p w14:paraId="5923DC11"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$12,849,862</w:t>
            </w:r>
          </w:p>
        </w:tc>
        <w:tc>
          <w:tcPr>
            <w:tcW w:w="1021" w:type="dxa"/>
            <w:tcBorders>
              <w:bottom w:val="single" w:sz="4" w:space="0" w:color="auto"/>
            </w:tcBorders>
            <w:vAlign w:val="center"/>
          </w:tcPr>
          <w:p w14:paraId="4FBE5C81"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$17,705,640</w:t>
            </w:r>
          </w:p>
        </w:tc>
        <w:tc>
          <w:tcPr>
            <w:tcW w:w="1021" w:type="dxa"/>
            <w:tcBorders>
              <w:bottom w:val="single" w:sz="4" w:space="0" w:color="auto"/>
            </w:tcBorders>
            <w:vAlign w:val="center"/>
          </w:tcPr>
          <w:p w14:paraId="54EFA305"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$22,768,030</w:t>
            </w:r>
          </w:p>
        </w:tc>
      </w:tr>
      <w:tr w:rsidR="007C6C75" w:rsidRPr="005A6618" w14:paraId="28EBF217" w14:textId="77777777" w:rsidTr="007C6C75">
        <w:trPr>
          <w:trHeight w:val="227"/>
        </w:trPr>
        <w:tc>
          <w:tcPr>
            <w:tcW w:w="1271" w:type="dxa"/>
            <w:vMerge/>
          </w:tcPr>
          <w:p w14:paraId="2BFFD211" w14:textId="77777777" w:rsidR="007C6C75" w:rsidRPr="00524539" w:rsidRDefault="007C6C75" w:rsidP="007C6C75">
            <w:pPr>
              <w:pStyle w:val="TableText0"/>
              <w:keepNext w:val="0"/>
              <w:ind w:left="177" w:hanging="142"/>
              <w:rPr>
                <w:rFonts w:cs="Arial"/>
                <w:color w:val="000000"/>
              </w:rPr>
            </w:pPr>
          </w:p>
        </w:tc>
        <w:tc>
          <w:tcPr>
            <w:tcW w:w="573" w:type="dxa"/>
            <w:vMerge w:val="restart"/>
            <w:tcBorders>
              <w:top w:val="single" w:sz="4" w:space="0" w:color="auto"/>
            </w:tcBorders>
          </w:tcPr>
          <w:p w14:paraId="102AA7A0" w14:textId="77777777" w:rsidR="007C6C75" w:rsidRPr="00524539" w:rsidRDefault="007C6C75" w:rsidP="007C6C75">
            <w:pPr>
              <w:pStyle w:val="TableText0"/>
              <w:keepNext w:val="0"/>
              <w:ind w:left="177" w:hanging="142"/>
              <w:jc w:val="center"/>
              <w:rPr>
                <w:rFonts w:cs="Arial"/>
                <w:color w:val="000000"/>
              </w:rPr>
            </w:pPr>
            <w:r>
              <w:rPr>
                <w:rFonts w:cs="Arial"/>
                <w:color w:val="000000"/>
              </w:rPr>
              <w:t>80%</w:t>
            </w:r>
          </w:p>
        </w:tc>
        <w:tc>
          <w:tcPr>
            <w:tcW w:w="2410" w:type="dxa"/>
            <w:tcBorders>
              <w:top w:val="single" w:sz="4" w:space="0" w:color="auto"/>
            </w:tcBorders>
            <w:vAlign w:val="center"/>
          </w:tcPr>
          <w:p w14:paraId="4F6D699C" w14:textId="77777777" w:rsidR="007C6C75" w:rsidRPr="00D467CC" w:rsidRDefault="007C6C75" w:rsidP="007C6C75">
            <w:pPr>
              <w:pStyle w:val="TableText0"/>
              <w:keepNext w:val="0"/>
              <w:ind w:left="177" w:hanging="142"/>
              <w:rPr>
                <w:rFonts w:cs="Arial"/>
                <w:color w:val="000000"/>
                <w:szCs w:val="20"/>
              </w:rPr>
            </w:pPr>
            <w:r w:rsidRPr="00524539">
              <w:rPr>
                <w:rFonts w:cs="Arial"/>
                <w:color w:val="000000"/>
              </w:rPr>
              <w:t>Cost to t</w:t>
            </w:r>
            <w:r w:rsidRPr="00D467CC">
              <w:rPr>
                <w:szCs w:val="20"/>
              </w:rPr>
              <w:t>he MBS</w:t>
            </w:r>
          </w:p>
        </w:tc>
        <w:tc>
          <w:tcPr>
            <w:tcW w:w="1020" w:type="dxa"/>
            <w:tcBorders>
              <w:top w:val="single" w:sz="4" w:space="0" w:color="auto"/>
            </w:tcBorders>
            <w:vAlign w:val="center"/>
          </w:tcPr>
          <w:p w14:paraId="33796043"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$4,832,912</w:t>
            </w:r>
          </w:p>
        </w:tc>
        <w:tc>
          <w:tcPr>
            <w:tcW w:w="1021" w:type="dxa"/>
            <w:tcBorders>
              <w:top w:val="single" w:sz="4" w:space="0" w:color="auto"/>
            </w:tcBorders>
            <w:vAlign w:val="center"/>
          </w:tcPr>
          <w:p w14:paraId="526EB4F8"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$10,410,668</w:t>
            </w:r>
          </w:p>
        </w:tc>
        <w:tc>
          <w:tcPr>
            <w:tcW w:w="1020" w:type="dxa"/>
            <w:tcBorders>
              <w:top w:val="single" w:sz="4" w:space="0" w:color="auto"/>
            </w:tcBorders>
            <w:vAlign w:val="center"/>
          </w:tcPr>
          <w:p w14:paraId="7C2164A2"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$16,309,214</w:t>
            </w:r>
          </w:p>
        </w:tc>
        <w:tc>
          <w:tcPr>
            <w:tcW w:w="1021" w:type="dxa"/>
            <w:tcBorders>
              <w:top w:val="single" w:sz="4" w:space="0" w:color="auto"/>
            </w:tcBorders>
            <w:vAlign w:val="center"/>
          </w:tcPr>
          <w:p w14:paraId="281E9330"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$22,476,153</w:t>
            </w:r>
          </w:p>
        </w:tc>
        <w:tc>
          <w:tcPr>
            <w:tcW w:w="1021" w:type="dxa"/>
            <w:tcBorders>
              <w:top w:val="single" w:sz="4" w:space="0" w:color="auto"/>
            </w:tcBorders>
            <w:vAlign w:val="center"/>
          </w:tcPr>
          <w:p w14:paraId="3801677D"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$28,899,153</w:t>
            </w:r>
          </w:p>
        </w:tc>
      </w:tr>
      <w:tr w:rsidR="007C6C75" w:rsidRPr="005A6618" w14:paraId="42FA7E39" w14:textId="77777777" w:rsidTr="007C6C75">
        <w:trPr>
          <w:trHeight w:val="227"/>
        </w:trPr>
        <w:tc>
          <w:tcPr>
            <w:tcW w:w="1271" w:type="dxa"/>
            <w:vMerge/>
          </w:tcPr>
          <w:p w14:paraId="7EB3215C" w14:textId="77777777" w:rsidR="007C6C75" w:rsidRPr="00524539" w:rsidRDefault="007C6C75" w:rsidP="007C6C75">
            <w:pPr>
              <w:pStyle w:val="TableText0"/>
              <w:keepNext w:val="0"/>
              <w:ind w:left="177" w:hanging="142"/>
              <w:rPr>
                <w:rFonts w:cs="Arial"/>
                <w:color w:val="000000"/>
              </w:rPr>
            </w:pPr>
          </w:p>
        </w:tc>
        <w:tc>
          <w:tcPr>
            <w:tcW w:w="573" w:type="dxa"/>
            <w:vMerge/>
          </w:tcPr>
          <w:p w14:paraId="3913D1CA" w14:textId="77777777" w:rsidR="007C6C75" w:rsidRPr="00524539" w:rsidRDefault="007C6C75" w:rsidP="007C6C75">
            <w:pPr>
              <w:pStyle w:val="TableText0"/>
              <w:keepNext w:val="0"/>
              <w:ind w:left="177" w:hanging="142"/>
              <w:jc w:val="center"/>
              <w:rPr>
                <w:rFonts w:cs="Arial"/>
                <w:color w:val="000000"/>
              </w:rPr>
            </w:pPr>
          </w:p>
        </w:tc>
        <w:tc>
          <w:tcPr>
            <w:tcW w:w="2410" w:type="dxa"/>
            <w:vAlign w:val="center"/>
          </w:tcPr>
          <w:p w14:paraId="48640687" w14:textId="77777777" w:rsidR="007C6C75" w:rsidRPr="00D467CC" w:rsidRDefault="007C6C75" w:rsidP="007C6C75">
            <w:pPr>
              <w:pStyle w:val="TableText0"/>
              <w:keepNext w:val="0"/>
              <w:ind w:left="177" w:hanging="142"/>
              <w:rPr>
                <w:rFonts w:cs="Arial"/>
                <w:color w:val="000000"/>
                <w:szCs w:val="20"/>
              </w:rPr>
            </w:pPr>
            <w:r w:rsidRPr="00524539">
              <w:rPr>
                <w:rFonts w:cs="Arial"/>
                <w:color w:val="000000"/>
              </w:rPr>
              <w:t>Cost to the healthcare budget</w:t>
            </w:r>
          </w:p>
        </w:tc>
        <w:tc>
          <w:tcPr>
            <w:tcW w:w="1020" w:type="dxa"/>
            <w:vAlign w:val="center"/>
          </w:tcPr>
          <w:p w14:paraId="405B4235"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$246,225</w:t>
            </w:r>
          </w:p>
        </w:tc>
        <w:tc>
          <w:tcPr>
            <w:tcW w:w="1021" w:type="dxa"/>
            <w:vAlign w:val="center"/>
          </w:tcPr>
          <w:p w14:paraId="0807CAF1"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$526,068</w:t>
            </w:r>
          </w:p>
        </w:tc>
        <w:tc>
          <w:tcPr>
            <w:tcW w:w="1020" w:type="dxa"/>
            <w:vAlign w:val="center"/>
          </w:tcPr>
          <w:p w14:paraId="2E01314E"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$823,174</w:t>
            </w:r>
          </w:p>
        </w:tc>
        <w:tc>
          <w:tcPr>
            <w:tcW w:w="1021" w:type="dxa"/>
            <w:vAlign w:val="center"/>
          </w:tcPr>
          <w:p w14:paraId="7ECD4830"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$1,133,000</w:t>
            </w:r>
          </w:p>
        </w:tc>
        <w:tc>
          <w:tcPr>
            <w:tcW w:w="1021" w:type="dxa"/>
            <w:vAlign w:val="center"/>
          </w:tcPr>
          <w:p w14:paraId="245744E3"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$1,458,272</w:t>
            </w:r>
          </w:p>
        </w:tc>
      </w:tr>
      <w:tr w:rsidR="007C6C75" w:rsidRPr="005A6618" w14:paraId="07AEA5C3" w14:textId="77777777" w:rsidTr="007C6C75">
        <w:trPr>
          <w:trHeight w:val="227"/>
        </w:trPr>
        <w:tc>
          <w:tcPr>
            <w:tcW w:w="1271" w:type="dxa"/>
            <w:vMerge/>
          </w:tcPr>
          <w:p w14:paraId="1EC92EAB" w14:textId="77777777" w:rsidR="007C6C75" w:rsidRPr="00524539" w:rsidRDefault="007C6C75" w:rsidP="007C6C75">
            <w:pPr>
              <w:pStyle w:val="TableText0"/>
              <w:keepNext w:val="0"/>
              <w:ind w:left="177" w:hanging="142"/>
              <w:rPr>
                <w:rFonts w:cs="Arial"/>
                <w:color w:val="000000"/>
              </w:rPr>
            </w:pPr>
          </w:p>
        </w:tc>
        <w:tc>
          <w:tcPr>
            <w:tcW w:w="573" w:type="dxa"/>
            <w:vMerge/>
            <w:tcBorders>
              <w:bottom w:val="single" w:sz="4" w:space="0" w:color="auto"/>
            </w:tcBorders>
          </w:tcPr>
          <w:p w14:paraId="2710276C" w14:textId="77777777" w:rsidR="007C6C75" w:rsidRPr="00524539" w:rsidRDefault="007C6C75" w:rsidP="007C6C75">
            <w:pPr>
              <w:pStyle w:val="TableText0"/>
              <w:keepNext w:val="0"/>
              <w:ind w:left="177" w:hanging="142"/>
              <w:jc w:val="center"/>
              <w:rPr>
                <w:rFonts w:cs="Arial"/>
                <w:color w:val="000000"/>
              </w:rPr>
            </w:pPr>
          </w:p>
        </w:tc>
        <w:tc>
          <w:tcPr>
            <w:tcW w:w="2410" w:type="dxa"/>
            <w:tcBorders>
              <w:bottom w:val="single" w:sz="4" w:space="0" w:color="auto"/>
            </w:tcBorders>
            <w:vAlign w:val="center"/>
          </w:tcPr>
          <w:p w14:paraId="31C510C9" w14:textId="77777777" w:rsidR="007C6C75" w:rsidRPr="00D467CC" w:rsidRDefault="007C6C75" w:rsidP="007C6C75">
            <w:pPr>
              <w:pStyle w:val="TableText0"/>
              <w:keepNext w:val="0"/>
              <w:ind w:left="177" w:hanging="142"/>
              <w:rPr>
                <w:rFonts w:cs="Arial"/>
                <w:color w:val="000000"/>
                <w:szCs w:val="20"/>
              </w:rPr>
            </w:pPr>
            <w:r w:rsidRPr="00524539">
              <w:rPr>
                <w:rFonts w:cs="Arial"/>
                <w:color w:val="000000"/>
              </w:rPr>
              <w:t>Total financial implications</w:t>
            </w:r>
          </w:p>
        </w:tc>
        <w:tc>
          <w:tcPr>
            <w:tcW w:w="1020" w:type="dxa"/>
            <w:tcBorders>
              <w:bottom w:val="single" w:sz="4" w:space="0" w:color="auto"/>
            </w:tcBorders>
            <w:vAlign w:val="center"/>
          </w:tcPr>
          <w:p w14:paraId="7021AB7C"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$5,079,137</w:t>
            </w:r>
          </w:p>
        </w:tc>
        <w:tc>
          <w:tcPr>
            <w:tcW w:w="1021" w:type="dxa"/>
            <w:tcBorders>
              <w:bottom w:val="single" w:sz="4" w:space="0" w:color="auto"/>
            </w:tcBorders>
            <w:vAlign w:val="center"/>
          </w:tcPr>
          <w:p w14:paraId="56BCA44A"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$10,936,736</w:t>
            </w:r>
          </w:p>
        </w:tc>
        <w:tc>
          <w:tcPr>
            <w:tcW w:w="1020" w:type="dxa"/>
            <w:tcBorders>
              <w:bottom w:val="single" w:sz="4" w:space="0" w:color="auto"/>
            </w:tcBorders>
            <w:vAlign w:val="center"/>
          </w:tcPr>
          <w:p w14:paraId="1DF7889F"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$17,132,388</w:t>
            </w:r>
          </w:p>
        </w:tc>
        <w:tc>
          <w:tcPr>
            <w:tcW w:w="1021" w:type="dxa"/>
            <w:tcBorders>
              <w:bottom w:val="single" w:sz="4" w:space="0" w:color="auto"/>
            </w:tcBorders>
            <w:vAlign w:val="center"/>
          </w:tcPr>
          <w:p w14:paraId="3C40F828"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$23,609,153</w:t>
            </w:r>
          </w:p>
        </w:tc>
        <w:tc>
          <w:tcPr>
            <w:tcW w:w="1021" w:type="dxa"/>
            <w:tcBorders>
              <w:bottom w:val="single" w:sz="4" w:space="0" w:color="auto"/>
            </w:tcBorders>
            <w:vAlign w:val="center"/>
          </w:tcPr>
          <w:p w14:paraId="237CD972" w14:textId="77777777" w:rsidR="007C6C75" w:rsidRPr="005A6618" w:rsidRDefault="007C6C75" w:rsidP="007C6C75">
            <w:pPr>
              <w:pStyle w:val="TableText0"/>
              <w:keepNext w:val="0"/>
              <w:ind w:hanging="142"/>
              <w:jc w:val="center"/>
              <w:rPr>
                <w:rFonts w:cs="Arial"/>
                <w:color w:val="000000"/>
                <w:szCs w:val="20"/>
              </w:rPr>
            </w:pPr>
            <w:r>
              <w:rPr>
                <w:rFonts w:cs="Calibri"/>
                <w:color w:val="000000"/>
                <w:szCs w:val="20"/>
              </w:rPr>
              <w:t>$30,357,425</w:t>
            </w:r>
          </w:p>
        </w:tc>
      </w:tr>
      <w:tr w:rsidR="007C6C75" w:rsidRPr="005A6618" w14:paraId="4C65BADE" w14:textId="77777777" w:rsidTr="007C6C75">
        <w:trPr>
          <w:trHeight w:val="227"/>
        </w:trPr>
        <w:tc>
          <w:tcPr>
            <w:tcW w:w="1271" w:type="dxa"/>
            <w:vMerge/>
          </w:tcPr>
          <w:p w14:paraId="5219D7EC" w14:textId="77777777" w:rsidR="007C6C75" w:rsidRPr="00524539" w:rsidRDefault="007C6C75" w:rsidP="007C6C75">
            <w:pPr>
              <w:pStyle w:val="TableText0"/>
              <w:keepNext w:val="0"/>
              <w:ind w:left="177" w:hanging="142"/>
              <w:rPr>
                <w:rFonts w:cs="Arial"/>
                <w:color w:val="000000"/>
              </w:rPr>
            </w:pPr>
          </w:p>
        </w:tc>
        <w:tc>
          <w:tcPr>
            <w:tcW w:w="573" w:type="dxa"/>
            <w:vMerge w:val="restart"/>
          </w:tcPr>
          <w:p w14:paraId="447D4769" w14:textId="77777777" w:rsidR="007C6C75" w:rsidRPr="00524539" w:rsidRDefault="007C6C75" w:rsidP="007C6C75">
            <w:pPr>
              <w:pStyle w:val="TableText0"/>
              <w:keepNext w:val="0"/>
              <w:ind w:left="177" w:hanging="142"/>
              <w:jc w:val="center"/>
              <w:rPr>
                <w:rFonts w:cs="Arial"/>
                <w:color w:val="000000"/>
              </w:rPr>
            </w:pPr>
            <w:r>
              <w:rPr>
                <w:rFonts w:cs="Arial"/>
                <w:color w:val="000000"/>
              </w:rPr>
              <w:t>100%</w:t>
            </w:r>
          </w:p>
        </w:tc>
        <w:tc>
          <w:tcPr>
            <w:tcW w:w="2410" w:type="dxa"/>
            <w:tcBorders>
              <w:bottom w:val="single" w:sz="4" w:space="0" w:color="auto"/>
            </w:tcBorders>
            <w:vAlign w:val="center"/>
          </w:tcPr>
          <w:p w14:paraId="15295659" w14:textId="77777777" w:rsidR="007C6C75" w:rsidRPr="00524539" w:rsidRDefault="007C6C75" w:rsidP="007C6C75">
            <w:pPr>
              <w:pStyle w:val="TableText0"/>
              <w:keepNext w:val="0"/>
              <w:ind w:left="177" w:hanging="142"/>
              <w:rPr>
                <w:rFonts w:cs="Arial"/>
                <w:color w:val="000000"/>
              </w:rPr>
            </w:pPr>
            <w:r w:rsidRPr="00524539">
              <w:rPr>
                <w:rFonts w:cs="Arial"/>
                <w:color w:val="000000"/>
              </w:rPr>
              <w:t xml:space="preserve">Cost to </w:t>
            </w:r>
            <w:r w:rsidRPr="00D467CC">
              <w:rPr>
                <w:szCs w:val="20"/>
              </w:rPr>
              <w:t>the MBS</w:t>
            </w:r>
          </w:p>
        </w:tc>
        <w:tc>
          <w:tcPr>
            <w:tcW w:w="1020" w:type="dxa"/>
            <w:tcBorders>
              <w:bottom w:val="single" w:sz="4" w:space="0" w:color="auto"/>
            </w:tcBorders>
            <w:vAlign w:val="center"/>
          </w:tcPr>
          <w:p w14:paraId="6DE24795" w14:textId="77777777" w:rsidR="007C6C75" w:rsidRDefault="007C6C75" w:rsidP="007C6C75">
            <w:pPr>
              <w:pStyle w:val="TableText0"/>
              <w:keepNext w:val="0"/>
              <w:ind w:hanging="142"/>
              <w:jc w:val="center"/>
              <w:rPr>
                <w:rFonts w:cs="Calibri"/>
                <w:color w:val="000000"/>
                <w:szCs w:val="20"/>
              </w:rPr>
            </w:pPr>
            <w:r>
              <w:rPr>
                <w:rFonts w:cs="Calibri"/>
                <w:color w:val="000000"/>
                <w:szCs w:val="20"/>
              </w:rPr>
              <w:t>$6,041,214</w:t>
            </w:r>
          </w:p>
        </w:tc>
        <w:tc>
          <w:tcPr>
            <w:tcW w:w="1021" w:type="dxa"/>
            <w:tcBorders>
              <w:bottom w:val="single" w:sz="4" w:space="0" w:color="auto"/>
            </w:tcBorders>
            <w:vAlign w:val="center"/>
          </w:tcPr>
          <w:p w14:paraId="1CE10243" w14:textId="77777777" w:rsidR="007C6C75" w:rsidRDefault="007C6C75" w:rsidP="007C6C75">
            <w:pPr>
              <w:pStyle w:val="TableText0"/>
              <w:keepNext w:val="0"/>
              <w:ind w:hanging="142"/>
              <w:jc w:val="center"/>
              <w:rPr>
                <w:rFonts w:cs="Calibri"/>
                <w:color w:val="000000"/>
                <w:szCs w:val="20"/>
              </w:rPr>
            </w:pPr>
            <w:r>
              <w:rPr>
                <w:rFonts w:cs="Calibri"/>
                <w:color w:val="000000"/>
                <w:szCs w:val="20"/>
              </w:rPr>
              <w:t>$13,012,249</w:t>
            </w:r>
          </w:p>
        </w:tc>
        <w:tc>
          <w:tcPr>
            <w:tcW w:w="1020" w:type="dxa"/>
            <w:tcBorders>
              <w:bottom w:val="single" w:sz="4" w:space="0" w:color="auto"/>
            </w:tcBorders>
            <w:vAlign w:val="center"/>
          </w:tcPr>
          <w:p w14:paraId="7F2083CD" w14:textId="77777777" w:rsidR="007C6C75" w:rsidRDefault="007C6C75" w:rsidP="007C6C75">
            <w:pPr>
              <w:pStyle w:val="TableText0"/>
              <w:keepNext w:val="0"/>
              <w:ind w:hanging="142"/>
              <w:jc w:val="center"/>
              <w:rPr>
                <w:rFonts w:cs="Calibri"/>
                <w:color w:val="000000"/>
                <w:szCs w:val="20"/>
              </w:rPr>
            </w:pPr>
            <w:r>
              <w:rPr>
                <w:rFonts w:cs="Calibri"/>
                <w:color w:val="000000"/>
                <w:szCs w:val="20"/>
              </w:rPr>
              <w:t>$20,382,734</w:t>
            </w:r>
          </w:p>
        </w:tc>
        <w:tc>
          <w:tcPr>
            <w:tcW w:w="1021" w:type="dxa"/>
            <w:tcBorders>
              <w:bottom w:val="single" w:sz="4" w:space="0" w:color="auto"/>
            </w:tcBorders>
            <w:vAlign w:val="center"/>
          </w:tcPr>
          <w:p w14:paraId="1D6D49E8" w14:textId="77777777" w:rsidR="007C6C75" w:rsidRDefault="007C6C75" w:rsidP="007C6C75">
            <w:pPr>
              <w:pStyle w:val="TableText0"/>
              <w:keepNext w:val="0"/>
              <w:ind w:hanging="142"/>
              <w:jc w:val="center"/>
              <w:rPr>
                <w:rFonts w:cs="Calibri"/>
                <w:color w:val="000000"/>
                <w:szCs w:val="20"/>
              </w:rPr>
            </w:pPr>
            <w:r>
              <w:rPr>
                <w:rFonts w:cs="Calibri"/>
                <w:color w:val="000000"/>
                <w:szCs w:val="20"/>
              </w:rPr>
              <w:t>$28,091,893</w:t>
            </w:r>
          </w:p>
        </w:tc>
        <w:tc>
          <w:tcPr>
            <w:tcW w:w="1021" w:type="dxa"/>
            <w:tcBorders>
              <w:bottom w:val="single" w:sz="4" w:space="0" w:color="auto"/>
            </w:tcBorders>
            <w:vAlign w:val="center"/>
          </w:tcPr>
          <w:p w14:paraId="04B91BA2" w14:textId="77777777" w:rsidR="007C6C75" w:rsidRDefault="007C6C75" w:rsidP="007C6C75">
            <w:pPr>
              <w:pStyle w:val="TableText0"/>
              <w:keepNext w:val="0"/>
              <w:ind w:hanging="142"/>
              <w:jc w:val="center"/>
              <w:rPr>
                <w:rFonts w:cs="Calibri"/>
                <w:color w:val="000000"/>
                <w:szCs w:val="20"/>
              </w:rPr>
            </w:pPr>
            <w:r>
              <w:rPr>
                <w:rFonts w:cs="Calibri"/>
                <w:color w:val="000000"/>
                <w:szCs w:val="20"/>
              </w:rPr>
              <w:t>$36,118,081</w:t>
            </w:r>
          </w:p>
        </w:tc>
      </w:tr>
      <w:tr w:rsidR="007C6C75" w:rsidRPr="005A6618" w14:paraId="3C425AF0" w14:textId="77777777" w:rsidTr="007C6C75">
        <w:trPr>
          <w:trHeight w:val="227"/>
        </w:trPr>
        <w:tc>
          <w:tcPr>
            <w:tcW w:w="1271" w:type="dxa"/>
            <w:vMerge/>
          </w:tcPr>
          <w:p w14:paraId="75BEA625" w14:textId="77777777" w:rsidR="007C6C75" w:rsidRPr="00524539" w:rsidRDefault="007C6C75" w:rsidP="007C6C75">
            <w:pPr>
              <w:pStyle w:val="TableText0"/>
              <w:keepNext w:val="0"/>
              <w:ind w:left="177" w:hanging="142"/>
              <w:rPr>
                <w:rFonts w:cs="Arial"/>
                <w:color w:val="000000"/>
              </w:rPr>
            </w:pPr>
          </w:p>
        </w:tc>
        <w:tc>
          <w:tcPr>
            <w:tcW w:w="573" w:type="dxa"/>
            <w:vMerge/>
          </w:tcPr>
          <w:p w14:paraId="2DF8CEEE" w14:textId="77777777" w:rsidR="007C6C75" w:rsidRPr="00524539" w:rsidRDefault="007C6C75" w:rsidP="007C6C75">
            <w:pPr>
              <w:pStyle w:val="TableText0"/>
              <w:keepNext w:val="0"/>
              <w:ind w:left="177" w:hanging="142"/>
              <w:jc w:val="center"/>
              <w:rPr>
                <w:rFonts w:cs="Arial"/>
                <w:color w:val="000000"/>
              </w:rPr>
            </w:pPr>
          </w:p>
        </w:tc>
        <w:tc>
          <w:tcPr>
            <w:tcW w:w="2410" w:type="dxa"/>
            <w:tcBorders>
              <w:bottom w:val="single" w:sz="4" w:space="0" w:color="auto"/>
            </w:tcBorders>
            <w:vAlign w:val="center"/>
          </w:tcPr>
          <w:p w14:paraId="3D27531B" w14:textId="77777777" w:rsidR="007C6C75" w:rsidRPr="00524539" w:rsidRDefault="007C6C75" w:rsidP="007C6C75">
            <w:pPr>
              <w:pStyle w:val="TableText0"/>
              <w:keepNext w:val="0"/>
              <w:ind w:left="177" w:hanging="142"/>
              <w:rPr>
                <w:rFonts w:cs="Arial"/>
                <w:color w:val="000000"/>
              </w:rPr>
            </w:pPr>
            <w:r w:rsidRPr="00524539">
              <w:rPr>
                <w:rFonts w:cs="Arial"/>
                <w:color w:val="000000"/>
              </w:rPr>
              <w:t>Cost to the healthcare budget</w:t>
            </w:r>
          </w:p>
        </w:tc>
        <w:tc>
          <w:tcPr>
            <w:tcW w:w="1020" w:type="dxa"/>
            <w:tcBorders>
              <w:bottom w:val="single" w:sz="4" w:space="0" w:color="auto"/>
            </w:tcBorders>
            <w:vAlign w:val="center"/>
          </w:tcPr>
          <w:p w14:paraId="28AC1A10" w14:textId="77777777" w:rsidR="007C6C75" w:rsidRDefault="007C6C75" w:rsidP="007C6C75">
            <w:pPr>
              <w:pStyle w:val="TableText0"/>
              <w:keepNext w:val="0"/>
              <w:ind w:hanging="142"/>
              <w:jc w:val="center"/>
              <w:rPr>
                <w:rFonts w:cs="Calibri"/>
                <w:color w:val="000000"/>
                <w:szCs w:val="20"/>
              </w:rPr>
            </w:pPr>
            <w:r>
              <w:rPr>
                <w:rFonts w:cs="Calibri"/>
                <w:color w:val="000000"/>
                <w:szCs w:val="20"/>
              </w:rPr>
              <w:t>$308,009</w:t>
            </w:r>
          </w:p>
        </w:tc>
        <w:tc>
          <w:tcPr>
            <w:tcW w:w="1021" w:type="dxa"/>
            <w:tcBorders>
              <w:bottom w:val="single" w:sz="4" w:space="0" w:color="auto"/>
            </w:tcBorders>
            <w:vAlign w:val="center"/>
          </w:tcPr>
          <w:p w14:paraId="6D7096D3" w14:textId="77777777" w:rsidR="007C6C75" w:rsidRDefault="007C6C75" w:rsidP="007C6C75">
            <w:pPr>
              <w:pStyle w:val="TableText0"/>
              <w:keepNext w:val="0"/>
              <w:ind w:hanging="142"/>
              <w:jc w:val="center"/>
              <w:rPr>
                <w:rFonts w:cs="Calibri"/>
                <w:color w:val="000000"/>
                <w:szCs w:val="20"/>
              </w:rPr>
            </w:pPr>
            <w:r>
              <w:rPr>
                <w:rFonts w:cs="Calibri"/>
                <w:color w:val="000000"/>
                <w:szCs w:val="20"/>
              </w:rPr>
              <w:t>$657,812</w:t>
            </w:r>
          </w:p>
        </w:tc>
        <w:tc>
          <w:tcPr>
            <w:tcW w:w="1020" w:type="dxa"/>
            <w:tcBorders>
              <w:bottom w:val="single" w:sz="4" w:space="0" w:color="auto"/>
            </w:tcBorders>
            <w:vAlign w:val="center"/>
          </w:tcPr>
          <w:p w14:paraId="135713A4" w14:textId="77777777" w:rsidR="007C6C75" w:rsidRDefault="007C6C75" w:rsidP="007C6C75">
            <w:pPr>
              <w:pStyle w:val="TableText0"/>
              <w:keepNext w:val="0"/>
              <w:ind w:hanging="142"/>
              <w:jc w:val="center"/>
              <w:rPr>
                <w:rFonts w:cs="Calibri"/>
                <w:color w:val="000000"/>
                <w:szCs w:val="20"/>
              </w:rPr>
            </w:pPr>
            <w:r>
              <w:rPr>
                <w:rFonts w:cs="Calibri"/>
                <w:color w:val="000000"/>
                <w:szCs w:val="20"/>
              </w:rPr>
              <w:t>$1,026,696</w:t>
            </w:r>
          </w:p>
        </w:tc>
        <w:tc>
          <w:tcPr>
            <w:tcW w:w="1021" w:type="dxa"/>
            <w:tcBorders>
              <w:bottom w:val="single" w:sz="4" w:space="0" w:color="auto"/>
            </w:tcBorders>
            <w:vAlign w:val="center"/>
          </w:tcPr>
          <w:p w14:paraId="0E993F24" w14:textId="77777777" w:rsidR="007C6C75" w:rsidRDefault="007C6C75" w:rsidP="007C6C75">
            <w:pPr>
              <w:pStyle w:val="TableText0"/>
              <w:keepNext w:val="0"/>
              <w:ind w:hanging="142"/>
              <w:jc w:val="center"/>
              <w:rPr>
                <w:rFonts w:cs="Calibri"/>
                <w:color w:val="000000"/>
                <w:szCs w:val="20"/>
              </w:rPr>
            </w:pPr>
            <w:r>
              <w:rPr>
                <w:rFonts w:cs="Calibri"/>
                <w:color w:val="000000"/>
                <w:szCs w:val="20"/>
              </w:rPr>
              <w:t>$1,416,477</w:t>
            </w:r>
          </w:p>
        </w:tc>
        <w:tc>
          <w:tcPr>
            <w:tcW w:w="1021" w:type="dxa"/>
            <w:tcBorders>
              <w:bottom w:val="single" w:sz="4" w:space="0" w:color="auto"/>
            </w:tcBorders>
            <w:vAlign w:val="center"/>
          </w:tcPr>
          <w:p w14:paraId="28180346" w14:textId="77777777" w:rsidR="007C6C75" w:rsidRDefault="007C6C75" w:rsidP="007C6C75">
            <w:pPr>
              <w:pStyle w:val="TableText0"/>
              <w:keepNext w:val="0"/>
              <w:ind w:hanging="142"/>
              <w:jc w:val="center"/>
              <w:rPr>
                <w:rFonts w:cs="Calibri"/>
                <w:color w:val="000000"/>
                <w:szCs w:val="20"/>
              </w:rPr>
            </w:pPr>
            <w:r>
              <w:rPr>
                <w:rFonts w:cs="Calibri"/>
                <w:color w:val="000000"/>
                <w:szCs w:val="20"/>
              </w:rPr>
              <w:t>$1,821,704</w:t>
            </w:r>
          </w:p>
        </w:tc>
      </w:tr>
      <w:tr w:rsidR="007C6C75" w:rsidRPr="005A6618" w14:paraId="24807B9B" w14:textId="77777777" w:rsidTr="007C6C75">
        <w:trPr>
          <w:trHeight w:val="227"/>
        </w:trPr>
        <w:tc>
          <w:tcPr>
            <w:tcW w:w="1271" w:type="dxa"/>
            <w:vMerge/>
          </w:tcPr>
          <w:p w14:paraId="58A7801A" w14:textId="77777777" w:rsidR="007C6C75" w:rsidRPr="00524539" w:rsidRDefault="007C6C75" w:rsidP="007C6C75">
            <w:pPr>
              <w:pStyle w:val="TableText0"/>
              <w:keepNext w:val="0"/>
              <w:ind w:left="177" w:hanging="142"/>
              <w:rPr>
                <w:rFonts w:cs="Arial"/>
                <w:color w:val="000000"/>
              </w:rPr>
            </w:pPr>
          </w:p>
        </w:tc>
        <w:tc>
          <w:tcPr>
            <w:tcW w:w="573" w:type="dxa"/>
            <w:vMerge/>
          </w:tcPr>
          <w:p w14:paraId="2CEA5A43" w14:textId="77777777" w:rsidR="007C6C75" w:rsidRPr="00524539" w:rsidRDefault="007C6C75" w:rsidP="007C6C75">
            <w:pPr>
              <w:pStyle w:val="TableText0"/>
              <w:keepNext w:val="0"/>
              <w:ind w:left="177" w:hanging="142"/>
              <w:jc w:val="center"/>
              <w:rPr>
                <w:rFonts w:cs="Arial"/>
                <w:color w:val="000000"/>
              </w:rPr>
            </w:pPr>
          </w:p>
        </w:tc>
        <w:tc>
          <w:tcPr>
            <w:tcW w:w="2410" w:type="dxa"/>
            <w:vAlign w:val="center"/>
          </w:tcPr>
          <w:p w14:paraId="359576A3" w14:textId="77777777" w:rsidR="007C6C75" w:rsidRPr="00524539" w:rsidRDefault="007C6C75" w:rsidP="007C6C75">
            <w:pPr>
              <w:pStyle w:val="TableText0"/>
              <w:keepNext w:val="0"/>
              <w:ind w:left="177" w:hanging="142"/>
              <w:rPr>
                <w:rFonts w:cs="Arial"/>
                <w:color w:val="000000"/>
              </w:rPr>
            </w:pPr>
            <w:r w:rsidRPr="00524539">
              <w:rPr>
                <w:rFonts w:cs="Arial"/>
                <w:color w:val="000000"/>
              </w:rPr>
              <w:t>Total financial implications</w:t>
            </w:r>
          </w:p>
        </w:tc>
        <w:tc>
          <w:tcPr>
            <w:tcW w:w="1020" w:type="dxa"/>
            <w:vAlign w:val="center"/>
          </w:tcPr>
          <w:p w14:paraId="41F50AD4" w14:textId="77777777" w:rsidR="007C6C75" w:rsidRDefault="007C6C75" w:rsidP="007C6C75">
            <w:pPr>
              <w:pStyle w:val="TableText0"/>
              <w:keepNext w:val="0"/>
              <w:ind w:hanging="142"/>
              <w:jc w:val="center"/>
              <w:rPr>
                <w:rFonts w:cs="Calibri"/>
                <w:color w:val="000000"/>
                <w:szCs w:val="20"/>
              </w:rPr>
            </w:pPr>
            <w:r>
              <w:rPr>
                <w:rFonts w:cs="Calibri"/>
                <w:color w:val="000000"/>
                <w:szCs w:val="20"/>
              </w:rPr>
              <w:t>$6,349,223</w:t>
            </w:r>
          </w:p>
        </w:tc>
        <w:tc>
          <w:tcPr>
            <w:tcW w:w="1021" w:type="dxa"/>
            <w:vAlign w:val="center"/>
          </w:tcPr>
          <w:p w14:paraId="70AD4905" w14:textId="77777777" w:rsidR="007C6C75" w:rsidRDefault="007C6C75" w:rsidP="007C6C75">
            <w:pPr>
              <w:pStyle w:val="TableText0"/>
              <w:keepNext w:val="0"/>
              <w:ind w:hanging="142"/>
              <w:jc w:val="center"/>
              <w:rPr>
                <w:rFonts w:cs="Calibri"/>
                <w:color w:val="000000"/>
                <w:szCs w:val="20"/>
              </w:rPr>
            </w:pPr>
            <w:r>
              <w:rPr>
                <w:rFonts w:cs="Calibri"/>
                <w:color w:val="000000"/>
                <w:szCs w:val="20"/>
              </w:rPr>
              <w:t>$13,670,062</w:t>
            </w:r>
          </w:p>
        </w:tc>
        <w:tc>
          <w:tcPr>
            <w:tcW w:w="1020" w:type="dxa"/>
            <w:vAlign w:val="center"/>
          </w:tcPr>
          <w:p w14:paraId="42D73522" w14:textId="77777777" w:rsidR="007C6C75" w:rsidRDefault="007C6C75" w:rsidP="007C6C75">
            <w:pPr>
              <w:pStyle w:val="TableText0"/>
              <w:keepNext w:val="0"/>
              <w:ind w:hanging="142"/>
              <w:jc w:val="center"/>
              <w:rPr>
                <w:rFonts w:cs="Calibri"/>
                <w:color w:val="000000"/>
                <w:szCs w:val="20"/>
              </w:rPr>
            </w:pPr>
            <w:r>
              <w:rPr>
                <w:rFonts w:cs="Calibri"/>
                <w:color w:val="000000"/>
                <w:szCs w:val="20"/>
              </w:rPr>
              <w:t>$21,409,430</w:t>
            </w:r>
          </w:p>
        </w:tc>
        <w:tc>
          <w:tcPr>
            <w:tcW w:w="1021" w:type="dxa"/>
            <w:vAlign w:val="center"/>
          </w:tcPr>
          <w:p w14:paraId="551E3DFB" w14:textId="77777777" w:rsidR="007C6C75" w:rsidRDefault="007C6C75" w:rsidP="007C6C75">
            <w:pPr>
              <w:pStyle w:val="TableText0"/>
              <w:keepNext w:val="0"/>
              <w:ind w:hanging="142"/>
              <w:jc w:val="center"/>
              <w:rPr>
                <w:rFonts w:cs="Calibri"/>
                <w:color w:val="000000"/>
                <w:szCs w:val="20"/>
              </w:rPr>
            </w:pPr>
            <w:r>
              <w:rPr>
                <w:rFonts w:cs="Calibri"/>
                <w:color w:val="000000"/>
                <w:szCs w:val="20"/>
              </w:rPr>
              <w:t>$29,508,370</w:t>
            </w:r>
          </w:p>
        </w:tc>
        <w:tc>
          <w:tcPr>
            <w:tcW w:w="1021" w:type="dxa"/>
            <w:vAlign w:val="center"/>
          </w:tcPr>
          <w:p w14:paraId="043C9DDB" w14:textId="77777777" w:rsidR="007C6C75" w:rsidRDefault="007C6C75" w:rsidP="007C6C75">
            <w:pPr>
              <w:pStyle w:val="TableText0"/>
              <w:keepNext w:val="0"/>
              <w:ind w:hanging="142"/>
              <w:jc w:val="center"/>
              <w:rPr>
                <w:rFonts w:cs="Calibri"/>
                <w:color w:val="000000"/>
                <w:szCs w:val="20"/>
              </w:rPr>
            </w:pPr>
            <w:r>
              <w:rPr>
                <w:rFonts w:cs="Calibri"/>
                <w:color w:val="000000"/>
                <w:szCs w:val="20"/>
              </w:rPr>
              <w:t>$37,939,785</w:t>
            </w:r>
          </w:p>
        </w:tc>
      </w:tr>
      <w:tr w:rsidR="007C6C75" w:rsidRPr="005A6618" w14:paraId="7D3A4A45" w14:textId="77777777" w:rsidTr="007C6C75">
        <w:trPr>
          <w:trHeight w:val="227"/>
        </w:trPr>
        <w:tc>
          <w:tcPr>
            <w:tcW w:w="1271" w:type="dxa"/>
            <w:vMerge w:val="restart"/>
          </w:tcPr>
          <w:p w14:paraId="7012A0C1" w14:textId="77777777" w:rsidR="007C6C75" w:rsidRPr="00524539" w:rsidRDefault="007C6C75" w:rsidP="007C6C75">
            <w:pPr>
              <w:pStyle w:val="TableText0"/>
              <w:keepLines/>
              <w:ind w:left="22" w:firstLine="13"/>
              <w:jc w:val="left"/>
              <w:rPr>
                <w:rFonts w:cs="Arial"/>
                <w:color w:val="000000"/>
              </w:rPr>
            </w:pPr>
            <w:r>
              <w:rPr>
                <w:rFonts w:cs="Arial"/>
                <w:color w:val="000000"/>
              </w:rPr>
              <w:t>Follow-up</w:t>
            </w:r>
            <w:r w:rsidRPr="00A3486A">
              <w:rPr>
                <w:rFonts w:cs="Arial"/>
                <w:color w:val="000000"/>
              </w:rPr>
              <w:t xml:space="preserve"> LBC test uptake </w:t>
            </w:r>
            <w:r>
              <w:rPr>
                <w:rFonts w:cs="Arial"/>
                <w:color w:val="000000"/>
              </w:rPr>
              <w:t xml:space="preserve">rate </w:t>
            </w:r>
            <w:r w:rsidRPr="00A3486A">
              <w:rPr>
                <w:rFonts w:cs="Arial"/>
                <w:color w:val="000000"/>
              </w:rPr>
              <w:t>(positive HPV test non-16/18</w:t>
            </w:r>
            <w:r>
              <w:rPr>
                <w:rFonts w:cs="Arial"/>
                <w:color w:val="000000"/>
              </w:rPr>
              <w:t xml:space="preserve">) </w:t>
            </w:r>
            <w:r w:rsidRPr="00E44C0A">
              <w:rPr>
                <w:rFonts w:cs="Arial"/>
                <w:b/>
                <w:color w:val="000000"/>
              </w:rPr>
              <w:t>(base case ~62%)</w:t>
            </w:r>
          </w:p>
        </w:tc>
        <w:tc>
          <w:tcPr>
            <w:tcW w:w="573" w:type="dxa"/>
            <w:vMerge w:val="restart"/>
          </w:tcPr>
          <w:p w14:paraId="15ADF5D7" w14:textId="77777777" w:rsidR="007C6C75" w:rsidRPr="00524539" w:rsidRDefault="007C6C75" w:rsidP="007C6C75">
            <w:pPr>
              <w:pStyle w:val="TableText0"/>
              <w:keepLines/>
              <w:ind w:left="22" w:firstLine="13"/>
              <w:jc w:val="center"/>
              <w:rPr>
                <w:rFonts w:cs="Arial"/>
                <w:color w:val="000000"/>
              </w:rPr>
            </w:pPr>
            <w:r>
              <w:rPr>
                <w:rFonts w:cs="Arial"/>
                <w:color w:val="000000"/>
              </w:rPr>
              <w:t>20%</w:t>
            </w:r>
          </w:p>
        </w:tc>
        <w:tc>
          <w:tcPr>
            <w:tcW w:w="2410" w:type="dxa"/>
            <w:tcBorders>
              <w:bottom w:val="single" w:sz="4" w:space="0" w:color="auto"/>
            </w:tcBorders>
          </w:tcPr>
          <w:p w14:paraId="4DBCF7F8" w14:textId="77777777" w:rsidR="007C6C75" w:rsidRPr="00524539" w:rsidRDefault="007C6C75" w:rsidP="007C6C75">
            <w:pPr>
              <w:pStyle w:val="TableText0"/>
              <w:keepLines/>
              <w:ind w:left="22" w:firstLine="13"/>
              <w:jc w:val="left"/>
              <w:rPr>
                <w:rFonts w:cs="Arial"/>
                <w:color w:val="000000"/>
              </w:rPr>
            </w:pPr>
            <w:r w:rsidRPr="00DA6F52">
              <w:rPr>
                <w:rFonts w:cs="Arial"/>
                <w:color w:val="000000"/>
                <w:szCs w:val="20"/>
              </w:rPr>
              <w:t>Cost to the MBS</w:t>
            </w:r>
          </w:p>
        </w:tc>
        <w:tc>
          <w:tcPr>
            <w:tcW w:w="1020" w:type="dxa"/>
            <w:tcBorders>
              <w:bottom w:val="single" w:sz="4" w:space="0" w:color="auto"/>
            </w:tcBorders>
            <w:vAlign w:val="center"/>
          </w:tcPr>
          <w:p w14:paraId="6581CE24" w14:textId="77777777" w:rsidR="007C6C75" w:rsidRDefault="007C6C75" w:rsidP="007C6C75">
            <w:pPr>
              <w:pStyle w:val="TableText0"/>
              <w:keepNext w:val="0"/>
              <w:ind w:hanging="142"/>
              <w:jc w:val="center"/>
              <w:rPr>
                <w:rFonts w:cs="Calibri"/>
                <w:color w:val="000000"/>
                <w:szCs w:val="20"/>
              </w:rPr>
            </w:pPr>
            <w:r>
              <w:rPr>
                <w:rFonts w:cs="Calibri"/>
                <w:color w:val="000000"/>
                <w:szCs w:val="20"/>
              </w:rPr>
              <w:t>$333,430</w:t>
            </w:r>
          </w:p>
        </w:tc>
        <w:tc>
          <w:tcPr>
            <w:tcW w:w="1021" w:type="dxa"/>
            <w:tcBorders>
              <w:bottom w:val="single" w:sz="4" w:space="0" w:color="auto"/>
            </w:tcBorders>
            <w:vAlign w:val="center"/>
          </w:tcPr>
          <w:p w14:paraId="3FCE2E3E" w14:textId="77777777" w:rsidR="007C6C75" w:rsidRDefault="007C6C75" w:rsidP="007C6C75">
            <w:pPr>
              <w:pStyle w:val="TableText0"/>
              <w:keepNext w:val="0"/>
              <w:ind w:hanging="142"/>
              <w:jc w:val="center"/>
              <w:rPr>
                <w:rFonts w:cs="Calibri"/>
                <w:color w:val="000000"/>
                <w:szCs w:val="20"/>
              </w:rPr>
            </w:pPr>
            <w:r>
              <w:rPr>
                <w:rFonts w:cs="Calibri"/>
                <w:color w:val="000000"/>
                <w:szCs w:val="20"/>
              </w:rPr>
              <w:t>$490,670</w:t>
            </w:r>
          </w:p>
        </w:tc>
        <w:tc>
          <w:tcPr>
            <w:tcW w:w="1020" w:type="dxa"/>
            <w:tcBorders>
              <w:bottom w:val="single" w:sz="4" w:space="0" w:color="auto"/>
            </w:tcBorders>
            <w:vAlign w:val="center"/>
          </w:tcPr>
          <w:p w14:paraId="63D0E154" w14:textId="77777777" w:rsidR="007C6C75" w:rsidRDefault="007C6C75" w:rsidP="007C6C75">
            <w:pPr>
              <w:pStyle w:val="TableText0"/>
              <w:keepNext w:val="0"/>
              <w:ind w:hanging="142"/>
              <w:jc w:val="center"/>
              <w:rPr>
                <w:rFonts w:cs="Calibri"/>
                <w:color w:val="000000"/>
                <w:szCs w:val="20"/>
              </w:rPr>
            </w:pPr>
            <w:r>
              <w:rPr>
                <w:rFonts w:cs="Calibri"/>
                <w:color w:val="000000"/>
                <w:szCs w:val="20"/>
              </w:rPr>
              <w:t>$755,223</w:t>
            </w:r>
          </w:p>
        </w:tc>
        <w:tc>
          <w:tcPr>
            <w:tcW w:w="1021" w:type="dxa"/>
            <w:tcBorders>
              <w:bottom w:val="single" w:sz="4" w:space="0" w:color="auto"/>
            </w:tcBorders>
            <w:vAlign w:val="center"/>
          </w:tcPr>
          <w:p w14:paraId="5F61476E" w14:textId="77777777" w:rsidR="007C6C75" w:rsidRDefault="007C6C75" w:rsidP="007C6C75">
            <w:pPr>
              <w:pStyle w:val="TableText0"/>
              <w:keepNext w:val="0"/>
              <w:ind w:hanging="142"/>
              <w:jc w:val="center"/>
              <w:rPr>
                <w:rFonts w:cs="Calibri"/>
                <w:color w:val="000000"/>
                <w:szCs w:val="20"/>
              </w:rPr>
            </w:pPr>
            <w:r>
              <w:rPr>
                <w:rFonts w:cs="Calibri"/>
                <w:color w:val="000000"/>
                <w:szCs w:val="20"/>
              </w:rPr>
              <w:t>$1,161,192</w:t>
            </w:r>
          </w:p>
        </w:tc>
        <w:tc>
          <w:tcPr>
            <w:tcW w:w="1021" w:type="dxa"/>
            <w:tcBorders>
              <w:bottom w:val="single" w:sz="4" w:space="0" w:color="auto"/>
            </w:tcBorders>
            <w:vAlign w:val="center"/>
          </w:tcPr>
          <w:p w14:paraId="31FE20BA" w14:textId="77777777" w:rsidR="007C6C75" w:rsidRDefault="007C6C75" w:rsidP="007C6C75">
            <w:pPr>
              <w:pStyle w:val="TableText0"/>
              <w:keepNext w:val="0"/>
              <w:ind w:hanging="142"/>
              <w:jc w:val="center"/>
              <w:rPr>
                <w:rFonts w:cs="Calibri"/>
                <w:color w:val="000000"/>
                <w:szCs w:val="20"/>
              </w:rPr>
            </w:pPr>
            <w:r>
              <w:rPr>
                <w:rFonts w:cs="Calibri"/>
                <w:color w:val="000000"/>
                <w:szCs w:val="20"/>
              </w:rPr>
              <w:t>$1,782,485</w:t>
            </w:r>
          </w:p>
        </w:tc>
      </w:tr>
      <w:tr w:rsidR="007C6C75" w:rsidRPr="005A6618" w14:paraId="7398EC9D" w14:textId="77777777" w:rsidTr="007C6C75">
        <w:trPr>
          <w:trHeight w:val="227"/>
        </w:trPr>
        <w:tc>
          <w:tcPr>
            <w:tcW w:w="1271" w:type="dxa"/>
            <w:vMerge/>
          </w:tcPr>
          <w:p w14:paraId="40403CF1" w14:textId="77777777" w:rsidR="007C6C75" w:rsidRPr="00524539" w:rsidRDefault="007C6C75" w:rsidP="007C6C75">
            <w:pPr>
              <w:pStyle w:val="TableText0"/>
              <w:keepLines/>
              <w:ind w:left="22" w:firstLine="13"/>
              <w:jc w:val="left"/>
              <w:rPr>
                <w:rFonts w:cs="Arial"/>
                <w:color w:val="000000"/>
              </w:rPr>
            </w:pPr>
          </w:p>
        </w:tc>
        <w:tc>
          <w:tcPr>
            <w:tcW w:w="573" w:type="dxa"/>
            <w:vMerge/>
          </w:tcPr>
          <w:p w14:paraId="7B6EB766" w14:textId="77777777" w:rsidR="007C6C75" w:rsidRPr="00524539" w:rsidRDefault="007C6C75" w:rsidP="007C6C75">
            <w:pPr>
              <w:pStyle w:val="TableText0"/>
              <w:keepLines/>
              <w:ind w:left="22" w:firstLine="13"/>
              <w:jc w:val="center"/>
              <w:rPr>
                <w:rFonts w:cs="Arial"/>
                <w:color w:val="000000"/>
              </w:rPr>
            </w:pPr>
          </w:p>
        </w:tc>
        <w:tc>
          <w:tcPr>
            <w:tcW w:w="2410" w:type="dxa"/>
          </w:tcPr>
          <w:p w14:paraId="617EB9B1" w14:textId="77777777" w:rsidR="007C6C75" w:rsidRPr="00524539" w:rsidRDefault="007C6C75" w:rsidP="007C6C75">
            <w:pPr>
              <w:pStyle w:val="TableText0"/>
              <w:keepLines/>
              <w:ind w:left="22" w:firstLine="13"/>
              <w:jc w:val="left"/>
              <w:rPr>
                <w:rFonts w:cs="Arial"/>
                <w:color w:val="000000"/>
              </w:rPr>
            </w:pPr>
            <w:r w:rsidRPr="00DA6F52">
              <w:rPr>
                <w:rFonts w:cs="Arial"/>
                <w:color w:val="000000"/>
                <w:szCs w:val="20"/>
              </w:rPr>
              <w:t>Cost to the healthcare budget</w:t>
            </w:r>
          </w:p>
        </w:tc>
        <w:tc>
          <w:tcPr>
            <w:tcW w:w="1020" w:type="dxa"/>
            <w:vAlign w:val="center"/>
          </w:tcPr>
          <w:p w14:paraId="55A69C08" w14:textId="77777777" w:rsidR="007C6C75" w:rsidRDefault="007C6C75" w:rsidP="007C6C75">
            <w:pPr>
              <w:pStyle w:val="TableText0"/>
              <w:keepNext w:val="0"/>
              <w:ind w:hanging="142"/>
              <w:jc w:val="center"/>
              <w:rPr>
                <w:rFonts w:cs="Calibri"/>
                <w:color w:val="000000"/>
                <w:szCs w:val="20"/>
              </w:rPr>
            </w:pPr>
            <w:r>
              <w:rPr>
                <w:rFonts w:cs="Calibri"/>
                <w:color w:val="000000"/>
                <w:szCs w:val="20"/>
              </w:rPr>
              <w:t>$6,360</w:t>
            </w:r>
          </w:p>
        </w:tc>
        <w:tc>
          <w:tcPr>
            <w:tcW w:w="1021" w:type="dxa"/>
            <w:vAlign w:val="center"/>
          </w:tcPr>
          <w:p w14:paraId="73BCCBD9" w14:textId="77777777" w:rsidR="007C6C75" w:rsidRDefault="007C6C75" w:rsidP="007C6C75">
            <w:pPr>
              <w:pStyle w:val="TableText0"/>
              <w:keepNext w:val="0"/>
              <w:ind w:hanging="142"/>
              <w:jc w:val="center"/>
              <w:rPr>
                <w:rFonts w:cs="Calibri"/>
                <w:color w:val="000000"/>
                <w:szCs w:val="20"/>
              </w:rPr>
            </w:pPr>
            <w:r>
              <w:rPr>
                <w:rFonts w:cs="Calibri"/>
                <w:color w:val="000000"/>
                <w:szCs w:val="20"/>
              </w:rPr>
              <w:t>$7,269</w:t>
            </w:r>
          </w:p>
        </w:tc>
        <w:tc>
          <w:tcPr>
            <w:tcW w:w="1020" w:type="dxa"/>
            <w:vAlign w:val="center"/>
          </w:tcPr>
          <w:p w14:paraId="2CE54815" w14:textId="77777777" w:rsidR="007C6C75" w:rsidRDefault="007C6C75" w:rsidP="007C6C75">
            <w:pPr>
              <w:pStyle w:val="TableText0"/>
              <w:keepNext w:val="0"/>
              <w:ind w:hanging="142"/>
              <w:jc w:val="center"/>
              <w:rPr>
                <w:rFonts w:cs="Calibri"/>
                <w:color w:val="000000"/>
                <w:szCs w:val="20"/>
              </w:rPr>
            </w:pPr>
            <w:r>
              <w:rPr>
                <w:rFonts w:cs="Calibri"/>
                <w:color w:val="000000"/>
                <w:szCs w:val="20"/>
              </w:rPr>
              <w:t>$9,994</w:t>
            </w:r>
          </w:p>
        </w:tc>
        <w:tc>
          <w:tcPr>
            <w:tcW w:w="1021" w:type="dxa"/>
            <w:vAlign w:val="center"/>
          </w:tcPr>
          <w:p w14:paraId="730B1808" w14:textId="77777777" w:rsidR="007C6C75" w:rsidRDefault="007C6C75" w:rsidP="007C6C75">
            <w:pPr>
              <w:pStyle w:val="TableText0"/>
              <w:keepNext w:val="0"/>
              <w:ind w:hanging="142"/>
              <w:jc w:val="center"/>
              <w:rPr>
                <w:rFonts w:cs="Calibri"/>
                <w:color w:val="000000"/>
                <w:szCs w:val="20"/>
              </w:rPr>
            </w:pPr>
            <w:r>
              <w:rPr>
                <w:rFonts w:cs="Calibri"/>
                <w:color w:val="000000"/>
                <w:szCs w:val="20"/>
              </w:rPr>
              <w:t>$15,446</w:t>
            </w:r>
          </w:p>
        </w:tc>
        <w:tc>
          <w:tcPr>
            <w:tcW w:w="1021" w:type="dxa"/>
            <w:vAlign w:val="center"/>
          </w:tcPr>
          <w:p w14:paraId="0BA5D2E9" w14:textId="77777777" w:rsidR="007C6C75" w:rsidRDefault="007C6C75" w:rsidP="007C6C75">
            <w:pPr>
              <w:pStyle w:val="TableText0"/>
              <w:keepNext w:val="0"/>
              <w:ind w:hanging="142"/>
              <w:jc w:val="center"/>
              <w:rPr>
                <w:rFonts w:cs="Calibri"/>
                <w:color w:val="000000"/>
                <w:szCs w:val="20"/>
              </w:rPr>
            </w:pPr>
            <w:r>
              <w:rPr>
                <w:rFonts w:cs="Calibri"/>
                <w:color w:val="000000"/>
                <w:szCs w:val="20"/>
              </w:rPr>
              <w:t>$22,715</w:t>
            </w:r>
          </w:p>
        </w:tc>
      </w:tr>
      <w:tr w:rsidR="007C6C75" w:rsidRPr="005A6618" w14:paraId="5ED25A2F" w14:textId="77777777" w:rsidTr="007C6C75">
        <w:trPr>
          <w:trHeight w:val="227"/>
        </w:trPr>
        <w:tc>
          <w:tcPr>
            <w:tcW w:w="1271" w:type="dxa"/>
            <w:vMerge/>
          </w:tcPr>
          <w:p w14:paraId="4CBA372C" w14:textId="77777777" w:rsidR="007C6C75" w:rsidRPr="00524539" w:rsidRDefault="007C6C75" w:rsidP="007C6C75">
            <w:pPr>
              <w:pStyle w:val="TableText0"/>
              <w:keepLines/>
              <w:ind w:left="22" w:firstLine="13"/>
              <w:jc w:val="left"/>
              <w:rPr>
                <w:rFonts w:cs="Arial"/>
                <w:color w:val="000000"/>
              </w:rPr>
            </w:pPr>
          </w:p>
        </w:tc>
        <w:tc>
          <w:tcPr>
            <w:tcW w:w="573" w:type="dxa"/>
            <w:vMerge/>
          </w:tcPr>
          <w:p w14:paraId="1EE381CE" w14:textId="77777777" w:rsidR="007C6C75" w:rsidRPr="00524539" w:rsidRDefault="007C6C75" w:rsidP="007C6C75">
            <w:pPr>
              <w:pStyle w:val="TableText0"/>
              <w:keepLines/>
              <w:ind w:left="22" w:firstLine="13"/>
              <w:jc w:val="center"/>
              <w:rPr>
                <w:rFonts w:cs="Arial"/>
                <w:color w:val="000000"/>
              </w:rPr>
            </w:pPr>
          </w:p>
        </w:tc>
        <w:tc>
          <w:tcPr>
            <w:tcW w:w="2410" w:type="dxa"/>
          </w:tcPr>
          <w:p w14:paraId="18F7881E" w14:textId="77777777" w:rsidR="007C6C75" w:rsidRPr="00524539" w:rsidRDefault="007C6C75" w:rsidP="007C6C75">
            <w:pPr>
              <w:pStyle w:val="TableText0"/>
              <w:keepLines/>
              <w:ind w:left="22" w:firstLine="13"/>
              <w:jc w:val="left"/>
              <w:rPr>
                <w:rFonts w:cs="Arial"/>
                <w:color w:val="000000"/>
              </w:rPr>
            </w:pPr>
            <w:r w:rsidRPr="00DA6F52">
              <w:rPr>
                <w:szCs w:val="20"/>
              </w:rPr>
              <w:t>Total financial implications</w:t>
            </w:r>
          </w:p>
        </w:tc>
        <w:tc>
          <w:tcPr>
            <w:tcW w:w="1020" w:type="dxa"/>
            <w:vAlign w:val="center"/>
          </w:tcPr>
          <w:p w14:paraId="6B2D96ED" w14:textId="77777777" w:rsidR="007C6C75" w:rsidRDefault="007C6C75" w:rsidP="007C6C75">
            <w:pPr>
              <w:pStyle w:val="TableText0"/>
              <w:keepNext w:val="0"/>
              <w:ind w:hanging="142"/>
              <w:jc w:val="center"/>
              <w:rPr>
                <w:rFonts w:cs="Calibri"/>
                <w:color w:val="000000"/>
                <w:szCs w:val="20"/>
              </w:rPr>
            </w:pPr>
            <w:r>
              <w:rPr>
                <w:rFonts w:cs="Calibri"/>
                <w:color w:val="000000"/>
                <w:szCs w:val="20"/>
              </w:rPr>
              <w:t>$339,790</w:t>
            </w:r>
          </w:p>
        </w:tc>
        <w:tc>
          <w:tcPr>
            <w:tcW w:w="1021" w:type="dxa"/>
            <w:vAlign w:val="center"/>
          </w:tcPr>
          <w:p w14:paraId="4F03EC7F" w14:textId="77777777" w:rsidR="007C6C75" w:rsidRDefault="007C6C75" w:rsidP="007C6C75">
            <w:pPr>
              <w:pStyle w:val="TableText0"/>
              <w:keepNext w:val="0"/>
              <w:ind w:hanging="142"/>
              <w:jc w:val="center"/>
              <w:rPr>
                <w:rFonts w:cs="Calibri"/>
                <w:color w:val="000000"/>
                <w:szCs w:val="20"/>
              </w:rPr>
            </w:pPr>
            <w:r>
              <w:rPr>
                <w:rFonts w:cs="Calibri"/>
                <w:color w:val="000000"/>
                <w:szCs w:val="20"/>
              </w:rPr>
              <w:t>$497,939</w:t>
            </w:r>
          </w:p>
        </w:tc>
        <w:tc>
          <w:tcPr>
            <w:tcW w:w="1020" w:type="dxa"/>
            <w:vAlign w:val="center"/>
          </w:tcPr>
          <w:p w14:paraId="64949B47" w14:textId="77777777" w:rsidR="007C6C75" w:rsidRDefault="007C6C75" w:rsidP="007C6C75">
            <w:pPr>
              <w:pStyle w:val="TableText0"/>
              <w:keepNext w:val="0"/>
              <w:ind w:hanging="142"/>
              <w:jc w:val="center"/>
              <w:rPr>
                <w:rFonts w:cs="Calibri"/>
                <w:color w:val="000000"/>
                <w:szCs w:val="20"/>
              </w:rPr>
            </w:pPr>
            <w:r>
              <w:rPr>
                <w:rFonts w:cs="Calibri"/>
                <w:color w:val="000000"/>
                <w:szCs w:val="20"/>
              </w:rPr>
              <w:t>$765,217</w:t>
            </w:r>
          </w:p>
        </w:tc>
        <w:tc>
          <w:tcPr>
            <w:tcW w:w="1021" w:type="dxa"/>
            <w:vAlign w:val="center"/>
          </w:tcPr>
          <w:p w14:paraId="3415D626" w14:textId="77777777" w:rsidR="007C6C75" w:rsidRDefault="007C6C75" w:rsidP="007C6C75">
            <w:pPr>
              <w:pStyle w:val="TableText0"/>
              <w:keepNext w:val="0"/>
              <w:ind w:hanging="142"/>
              <w:jc w:val="center"/>
              <w:rPr>
                <w:rFonts w:cs="Calibri"/>
                <w:color w:val="000000"/>
                <w:szCs w:val="20"/>
              </w:rPr>
            </w:pPr>
            <w:r>
              <w:rPr>
                <w:rFonts w:cs="Calibri"/>
                <w:color w:val="000000"/>
                <w:szCs w:val="20"/>
              </w:rPr>
              <w:t>$1,176,638</w:t>
            </w:r>
          </w:p>
        </w:tc>
        <w:tc>
          <w:tcPr>
            <w:tcW w:w="1021" w:type="dxa"/>
            <w:vAlign w:val="center"/>
          </w:tcPr>
          <w:p w14:paraId="44C54419" w14:textId="77777777" w:rsidR="007C6C75" w:rsidRDefault="007C6C75" w:rsidP="007C6C75">
            <w:pPr>
              <w:pStyle w:val="TableText0"/>
              <w:keepNext w:val="0"/>
              <w:ind w:hanging="142"/>
              <w:jc w:val="center"/>
              <w:rPr>
                <w:rFonts w:cs="Calibri"/>
                <w:color w:val="000000"/>
                <w:szCs w:val="20"/>
              </w:rPr>
            </w:pPr>
            <w:r>
              <w:rPr>
                <w:rFonts w:cs="Calibri"/>
                <w:color w:val="000000"/>
                <w:szCs w:val="20"/>
              </w:rPr>
              <w:t>$1,805,199</w:t>
            </w:r>
          </w:p>
        </w:tc>
      </w:tr>
      <w:tr w:rsidR="007C6C75" w:rsidRPr="005A6618" w14:paraId="31E87401" w14:textId="77777777" w:rsidTr="007C6C75">
        <w:trPr>
          <w:trHeight w:val="227"/>
        </w:trPr>
        <w:tc>
          <w:tcPr>
            <w:tcW w:w="1271" w:type="dxa"/>
            <w:vMerge/>
          </w:tcPr>
          <w:p w14:paraId="46DA9484" w14:textId="77777777" w:rsidR="007C6C75" w:rsidRPr="00524539" w:rsidRDefault="007C6C75" w:rsidP="007C6C75">
            <w:pPr>
              <w:pStyle w:val="TableText0"/>
              <w:keepLines/>
              <w:ind w:left="22" w:firstLine="13"/>
              <w:jc w:val="left"/>
              <w:rPr>
                <w:rFonts w:cs="Arial"/>
                <w:color w:val="000000"/>
              </w:rPr>
            </w:pPr>
          </w:p>
        </w:tc>
        <w:tc>
          <w:tcPr>
            <w:tcW w:w="573" w:type="dxa"/>
            <w:vMerge w:val="restart"/>
          </w:tcPr>
          <w:p w14:paraId="4A8064D1" w14:textId="77777777" w:rsidR="007C6C75" w:rsidRPr="00524539" w:rsidRDefault="007C6C75" w:rsidP="007C6C75">
            <w:pPr>
              <w:pStyle w:val="TableText0"/>
              <w:keepLines/>
              <w:ind w:left="22" w:firstLine="13"/>
              <w:jc w:val="center"/>
              <w:rPr>
                <w:rFonts w:cs="Arial"/>
                <w:color w:val="000000"/>
              </w:rPr>
            </w:pPr>
            <w:r>
              <w:rPr>
                <w:rFonts w:cs="Arial"/>
                <w:color w:val="000000"/>
              </w:rPr>
              <w:t>40%</w:t>
            </w:r>
          </w:p>
        </w:tc>
        <w:tc>
          <w:tcPr>
            <w:tcW w:w="2410" w:type="dxa"/>
          </w:tcPr>
          <w:p w14:paraId="3AA8901A" w14:textId="77777777" w:rsidR="007C6C75" w:rsidRPr="00DA6F52" w:rsidRDefault="007C6C75" w:rsidP="007C6C75">
            <w:pPr>
              <w:pStyle w:val="TableText0"/>
              <w:keepLines/>
              <w:ind w:left="22" w:firstLine="13"/>
              <w:jc w:val="left"/>
              <w:rPr>
                <w:szCs w:val="20"/>
              </w:rPr>
            </w:pPr>
            <w:r w:rsidRPr="00DA6F52">
              <w:rPr>
                <w:rFonts w:cs="Arial"/>
                <w:color w:val="000000"/>
                <w:szCs w:val="20"/>
              </w:rPr>
              <w:t>Cost to the MBS</w:t>
            </w:r>
          </w:p>
        </w:tc>
        <w:tc>
          <w:tcPr>
            <w:tcW w:w="1020" w:type="dxa"/>
            <w:vAlign w:val="center"/>
          </w:tcPr>
          <w:p w14:paraId="6FACF7AE" w14:textId="77777777" w:rsidR="007C6C75" w:rsidRDefault="007C6C75" w:rsidP="007C6C75">
            <w:pPr>
              <w:pStyle w:val="TableText0"/>
              <w:keepNext w:val="0"/>
              <w:ind w:hanging="142"/>
              <w:jc w:val="center"/>
              <w:rPr>
                <w:rFonts w:cs="Calibri"/>
                <w:color w:val="000000"/>
                <w:szCs w:val="20"/>
              </w:rPr>
            </w:pPr>
            <w:r>
              <w:rPr>
                <w:rFonts w:cs="Calibri"/>
                <w:color w:val="000000"/>
                <w:szCs w:val="20"/>
              </w:rPr>
              <w:t>$341,607</w:t>
            </w:r>
          </w:p>
        </w:tc>
        <w:tc>
          <w:tcPr>
            <w:tcW w:w="1021" w:type="dxa"/>
            <w:vAlign w:val="center"/>
          </w:tcPr>
          <w:p w14:paraId="59A6BDEE" w14:textId="77777777" w:rsidR="007C6C75" w:rsidRDefault="007C6C75" w:rsidP="007C6C75">
            <w:pPr>
              <w:pStyle w:val="TableText0"/>
              <w:keepNext w:val="0"/>
              <w:ind w:hanging="142"/>
              <w:jc w:val="center"/>
              <w:rPr>
                <w:rFonts w:cs="Calibri"/>
                <w:color w:val="000000"/>
                <w:szCs w:val="20"/>
              </w:rPr>
            </w:pPr>
            <w:r>
              <w:rPr>
                <w:rFonts w:cs="Calibri"/>
                <w:color w:val="000000"/>
                <w:szCs w:val="20"/>
              </w:rPr>
              <w:t>$531,053</w:t>
            </w:r>
          </w:p>
        </w:tc>
        <w:tc>
          <w:tcPr>
            <w:tcW w:w="1020" w:type="dxa"/>
            <w:vAlign w:val="center"/>
          </w:tcPr>
          <w:p w14:paraId="6CD126B4" w14:textId="77777777" w:rsidR="007C6C75" w:rsidRDefault="007C6C75" w:rsidP="007C6C75">
            <w:pPr>
              <w:pStyle w:val="TableText0"/>
              <w:keepNext w:val="0"/>
              <w:ind w:hanging="142"/>
              <w:jc w:val="center"/>
              <w:rPr>
                <w:rFonts w:cs="Calibri"/>
                <w:color w:val="000000"/>
                <w:szCs w:val="20"/>
              </w:rPr>
            </w:pPr>
            <w:r>
              <w:rPr>
                <w:rFonts w:cs="Calibri"/>
                <w:color w:val="000000"/>
                <w:szCs w:val="20"/>
              </w:rPr>
              <w:t>$818,699</w:t>
            </w:r>
          </w:p>
        </w:tc>
        <w:tc>
          <w:tcPr>
            <w:tcW w:w="1021" w:type="dxa"/>
            <w:vAlign w:val="center"/>
          </w:tcPr>
          <w:p w14:paraId="2EC6C007" w14:textId="77777777" w:rsidR="007C6C75" w:rsidRDefault="007C6C75" w:rsidP="007C6C75">
            <w:pPr>
              <w:pStyle w:val="TableText0"/>
              <w:keepNext w:val="0"/>
              <w:ind w:hanging="142"/>
              <w:jc w:val="center"/>
              <w:rPr>
                <w:rFonts w:cs="Calibri"/>
                <w:color w:val="000000"/>
                <w:szCs w:val="20"/>
              </w:rPr>
            </w:pPr>
            <w:r>
              <w:rPr>
                <w:rFonts w:cs="Calibri"/>
                <w:color w:val="000000"/>
                <w:szCs w:val="20"/>
              </w:rPr>
              <w:t>$1,257,413</w:t>
            </w:r>
          </w:p>
        </w:tc>
        <w:tc>
          <w:tcPr>
            <w:tcW w:w="1021" w:type="dxa"/>
            <w:vAlign w:val="center"/>
          </w:tcPr>
          <w:p w14:paraId="19C1911B" w14:textId="77777777" w:rsidR="007C6C75" w:rsidRDefault="007C6C75" w:rsidP="007C6C75">
            <w:pPr>
              <w:pStyle w:val="TableText0"/>
              <w:keepNext w:val="0"/>
              <w:ind w:hanging="142"/>
              <w:jc w:val="center"/>
              <w:rPr>
                <w:rFonts w:cs="Calibri"/>
                <w:color w:val="000000"/>
                <w:szCs w:val="20"/>
              </w:rPr>
            </w:pPr>
            <w:r>
              <w:rPr>
                <w:rFonts w:cs="Calibri"/>
                <w:color w:val="000000"/>
                <w:szCs w:val="20"/>
              </w:rPr>
              <w:t>$1,930,272</w:t>
            </w:r>
          </w:p>
        </w:tc>
      </w:tr>
      <w:tr w:rsidR="007C6C75" w:rsidRPr="005A6618" w14:paraId="1938D14A" w14:textId="77777777" w:rsidTr="007C6C75">
        <w:trPr>
          <w:trHeight w:val="227"/>
        </w:trPr>
        <w:tc>
          <w:tcPr>
            <w:tcW w:w="1271" w:type="dxa"/>
            <w:vMerge/>
          </w:tcPr>
          <w:p w14:paraId="3DB710DF" w14:textId="77777777" w:rsidR="007C6C75" w:rsidRPr="00524539" w:rsidRDefault="007C6C75" w:rsidP="007C6C75">
            <w:pPr>
              <w:pStyle w:val="TableText0"/>
              <w:keepLines/>
              <w:ind w:left="22" w:firstLine="13"/>
              <w:jc w:val="left"/>
              <w:rPr>
                <w:rFonts w:cs="Arial"/>
                <w:color w:val="000000"/>
              </w:rPr>
            </w:pPr>
          </w:p>
        </w:tc>
        <w:tc>
          <w:tcPr>
            <w:tcW w:w="573" w:type="dxa"/>
            <w:vMerge/>
          </w:tcPr>
          <w:p w14:paraId="330F11EE" w14:textId="77777777" w:rsidR="007C6C75" w:rsidRPr="00524539" w:rsidRDefault="007C6C75" w:rsidP="007C6C75">
            <w:pPr>
              <w:pStyle w:val="TableText0"/>
              <w:keepLines/>
              <w:ind w:left="22" w:firstLine="13"/>
              <w:jc w:val="center"/>
              <w:rPr>
                <w:rFonts w:cs="Arial"/>
                <w:color w:val="000000"/>
              </w:rPr>
            </w:pPr>
          </w:p>
        </w:tc>
        <w:tc>
          <w:tcPr>
            <w:tcW w:w="2410" w:type="dxa"/>
          </w:tcPr>
          <w:p w14:paraId="642FA5E9" w14:textId="77777777" w:rsidR="007C6C75" w:rsidRPr="00DA6F52" w:rsidRDefault="007C6C75" w:rsidP="007C6C75">
            <w:pPr>
              <w:pStyle w:val="TableText0"/>
              <w:keepLines/>
              <w:ind w:left="22" w:firstLine="13"/>
              <w:jc w:val="left"/>
              <w:rPr>
                <w:szCs w:val="20"/>
              </w:rPr>
            </w:pPr>
            <w:r w:rsidRPr="00DA6F52">
              <w:rPr>
                <w:rFonts w:cs="Arial"/>
                <w:color w:val="000000"/>
                <w:szCs w:val="20"/>
              </w:rPr>
              <w:t>Cost to the healthcare budget</w:t>
            </w:r>
          </w:p>
        </w:tc>
        <w:tc>
          <w:tcPr>
            <w:tcW w:w="1020" w:type="dxa"/>
            <w:vAlign w:val="center"/>
          </w:tcPr>
          <w:p w14:paraId="12FCBC4E" w14:textId="77777777" w:rsidR="007C6C75" w:rsidRDefault="007C6C75" w:rsidP="007C6C75">
            <w:pPr>
              <w:pStyle w:val="TableText0"/>
              <w:keepNext w:val="0"/>
              <w:ind w:hanging="142"/>
              <w:jc w:val="center"/>
              <w:rPr>
                <w:rFonts w:cs="Calibri"/>
                <w:color w:val="000000"/>
                <w:szCs w:val="20"/>
              </w:rPr>
            </w:pPr>
            <w:r>
              <w:rPr>
                <w:rFonts w:cs="Calibri"/>
                <w:color w:val="000000"/>
                <w:szCs w:val="20"/>
              </w:rPr>
              <w:t>$11,812</w:t>
            </w:r>
          </w:p>
        </w:tc>
        <w:tc>
          <w:tcPr>
            <w:tcW w:w="1021" w:type="dxa"/>
            <w:vAlign w:val="center"/>
          </w:tcPr>
          <w:p w14:paraId="04D0BBF4" w14:textId="77777777" w:rsidR="007C6C75" w:rsidRDefault="007C6C75" w:rsidP="007C6C75">
            <w:pPr>
              <w:pStyle w:val="TableText0"/>
              <w:keepNext w:val="0"/>
              <w:ind w:hanging="142"/>
              <w:jc w:val="center"/>
              <w:rPr>
                <w:rFonts w:cs="Calibri"/>
                <w:color w:val="000000"/>
                <w:szCs w:val="20"/>
              </w:rPr>
            </w:pPr>
            <w:r>
              <w:rPr>
                <w:rFonts w:cs="Calibri"/>
                <w:color w:val="000000"/>
                <w:szCs w:val="20"/>
              </w:rPr>
              <w:t>$17,263</w:t>
            </w:r>
          </w:p>
        </w:tc>
        <w:tc>
          <w:tcPr>
            <w:tcW w:w="1020" w:type="dxa"/>
            <w:vAlign w:val="center"/>
          </w:tcPr>
          <w:p w14:paraId="56C73B48" w14:textId="77777777" w:rsidR="007C6C75" w:rsidRDefault="007C6C75" w:rsidP="007C6C75">
            <w:pPr>
              <w:pStyle w:val="TableText0"/>
              <w:keepNext w:val="0"/>
              <w:ind w:hanging="142"/>
              <w:jc w:val="center"/>
              <w:rPr>
                <w:rFonts w:cs="Calibri"/>
                <w:color w:val="000000"/>
                <w:szCs w:val="20"/>
              </w:rPr>
            </w:pPr>
            <w:r>
              <w:rPr>
                <w:rFonts w:cs="Calibri"/>
                <w:color w:val="000000"/>
                <w:szCs w:val="20"/>
              </w:rPr>
              <w:t>$27,257</w:t>
            </w:r>
          </w:p>
        </w:tc>
        <w:tc>
          <w:tcPr>
            <w:tcW w:w="1021" w:type="dxa"/>
            <w:vAlign w:val="center"/>
          </w:tcPr>
          <w:p w14:paraId="343A297A" w14:textId="77777777" w:rsidR="007C6C75" w:rsidRDefault="007C6C75" w:rsidP="007C6C75">
            <w:pPr>
              <w:pStyle w:val="TableText0"/>
              <w:keepNext w:val="0"/>
              <w:ind w:hanging="142"/>
              <w:jc w:val="center"/>
              <w:rPr>
                <w:rFonts w:cs="Calibri"/>
                <w:color w:val="000000"/>
                <w:szCs w:val="20"/>
              </w:rPr>
            </w:pPr>
            <w:r>
              <w:rPr>
                <w:rFonts w:cs="Calibri"/>
                <w:color w:val="000000"/>
                <w:szCs w:val="20"/>
              </w:rPr>
              <w:t>$39,978</w:t>
            </w:r>
          </w:p>
        </w:tc>
        <w:tc>
          <w:tcPr>
            <w:tcW w:w="1021" w:type="dxa"/>
            <w:vAlign w:val="center"/>
          </w:tcPr>
          <w:p w14:paraId="3655EB83" w14:textId="77777777" w:rsidR="007C6C75" w:rsidRDefault="007C6C75" w:rsidP="007C6C75">
            <w:pPr>
              <w:pStyle w:val="TableText0"/>
              <w:keepNext w:val="0"/>
              <w:ind w:hanging="142"/>
              <w:jc w:val="center"/>
              <w:rPr>
                <w:rFonts w:cs="Calibri"/>
                <w:color w:val="000000"/>
                <w:szCs w:val="20"/>
              </w:rPr>
            </w:pPr>
            <w:r>
              <w:rPr>
                <w:rFonts w:cs="Calibri"/>
                <w:color w:val="000000"/>
                <w:szCs w:val="20"/>
              </w:rPr>
              <w:t>$61,783</w:t>
            </w:r>
          </w:p>
        </w:tc>
      </w:tr>
      <w:tr w:rsidR="007C6C75" w:rsidRPr="005A6618" w14:paraId="5D0CDA63" w14:textId="77777777" w:rsidTr="007C6C75">
        <w:trPr>
          <w:trHeight w:val="227"/>
        </w:trPr>
        <w:tc>
          <w:tcPr>
            <w:tcW w:w="1271" w:type="dxa"/>
            <w:vMerge/>
          </w:tcPr>
          <w:p w14:paraId="33C1CF69" w14:textId="77777777" w:rsidR="007C6C75" w:rsidRPr="00524539" w:rsidRDefault="007C6C75" w:rsidP="007C6C75">
            <w:pPr>
              <w:pStyle w:val="TableText0"/>
              <w:keepLines/>
              <w:ind w:left="22" w:firstLine="13"/>
              <w:jc w:val="left"/>
              <w:rPr>
                <w:rFonts w:cs="Arial"/>
                <w:color w:val="000000"/>
              </w:rPr>
            </w:pPr>
          </w:p>
        </w:tc>
        <w:tc>
          <w:tcPr>
            <w:tcW w:w="573" w:type="dxa"/>
            <w:vMerge/>
          </w:tcPr>
          <w:p w14:paraId="2D3ECC95" w14:textId="77777777" w:rsidR="007C6C75" w:rsidRPr="00524539" w:rsidRDefault="007C6C75" w:rsidP="007C6C75">
            <w:pPr>
              <w:pStyle w:val="TableText0"/>
              <w:keepLines/>
              <w:ind w:left="22" w:firstLine="13"/>
              <w:jc w:val="center"/>
              <w:rPr>
                <w:rFonts w:cs="Arial"/>
                <w:color w:val="000000"/>
              </w:rPr>
            </w:pPr>
          </w:p>
        </w:tc>
        <w:tc>
          <w:tcPr>
            <w:tcW w:w="2410" w:type="dxa"/>
          </w:tcPr>
          <w:p w14:paraId="5D3B3702" w14:textId="77777777" w:rsidR="007C6C75" w:rsidRPr="00DA6F52" w:rsidRDefault="007C6C75" w:rsidP="007C6C75">
            <w:pPr>
              <w:pStyle w:val="TableText0"/>
              <w:keepLines/>
              <w:ind w:left="22" w:firstLine="13"/>
              <w:jc w:val="left"/>
              <w:rPr>
                <w:szCs w:val="20"/>
              </w:rPr>
            </w:pPr>
            <w:r w:rsidRPr="00DA6F52">
              <w:rPr>
                <w:szCs w:val="20"/>
              </w:rPr>
              <w:t>Total financial implications</w:t>
            </w:r>
          </w:p>
        </w:tc>
        <w:tc>
          <w:tcPr>
            <w:tcW w:w="1020" w:type="dxa"/>
            <w:vAlign w:val="center"/>
          </w:tcPr>
          <w:p w14:paraId="43BA417C" w14:textId="77777777" w:rsidR="007C6C75" w:rsidRDefault="007C6C75" w:rsidP="007C6C75">
            <w:pPr>
              <w:pStyle w:val="TableText0"/>
              <w:keepNext w:val="0"/>
              <w:ind w:hanging="142"/>
              <w:jc w:val="center"/>
              <w:rPr>
                <w:rFonts w:cs="Calibri"/>
                <w:color w:val="000000"/>
                <w:szCs w:val="20"/>
              </w:rPr>
            </w:pPr>
            <w:r>
              <w:rPr>
                <w:rFonts w:cs="Calibri"/>
                <w:color w:val="000000"/>
                <w:szCs w:val="20"/>
              </w:rPr>
              <w:t>$353,419</w:t>
            </w:r>
          </w:p>
        </w:tc>
        <w:tc>
          <w:tcPr>
            <w:tcW w:w="1021" w:type="dxa"/>
            <w:vAlign w:val="center"/>
          </w:tcPr>
          <w:p w14:paraId="5B6F1241" w14:textId="77777777" w:rsidR="007C6C75" w:rsidRDefault="007C6C75" w:rsidP="007C6C75">
            <w:pPr>
              <w:pStyle w:val="TableText0"/>
              <w:keepNext w:val="0"/>
              <w:ind w:hanging="142"/>
              <w:jc w:val="center"/>
              <w:rPr>
                <w:rFonts w:cs="Calibri"/>
                <w:color w:val="000000"/>
                <w:szCs w:val="20"/>
              </w:rPr>
            </w:pPr>
            <w:r>
              <w:rPr>
                <w:rFonts w:cs="Calibri"/>
                <w:color w:val="000000"/>
                <w:szCs w:val="20"/>
              </w:rPr>
              <w:t>$548,316</w:t>
            </w:r>
          </w:p>
        </w:tc>
        <w:tc>
          <w:tcPr>
            <w:tcW w:w="1020" w:type="dxa"/>
            <w:vAlign w:val="center"/>
          </w:tcPr>
          <w:p w14:paraId="4F1C2A25" w14:textId="77777777" w:rsidR="007C6C75" w:rsidRDefault="007C6C75" w:rsidP="007C6C75">
            <w:pPr>
              <w:pStyle w:val="TableText0"/>
              <w:keepNext w:val="0"/>
              <w:ind w:hanging="142"/>
              <w:jc w:val="center"/>
              <w:rPr>
                <w:rFonts w:cs="Calibri"/>
                <w:color w:val="000000"/>
                <w:szCs w:val="20"/>
              </w:rPr>
            </w:pPr>
            <w:r>
              <w:rPr>
                <w:rFonts w:cs="Calibri"/>
                <w:color w:val="000000"/>
                <w:szCs w:val="20"/>
              </w:rPr>
              <w:t>$845,957</w:t>
            </w:r>
          </w:p>
        </w:tc>
        <w:tc>
          <w:tcPr>
            <w:tcW w:w="1021" w:type="dxa"/>
            <w:vAlign w:val="center"/>
          </w:tcPr>
          <w:p w14:paraId="0689A1D1" w14:textId="77777777" w:rsidR="007C6C75" w:rsidRDefault="007C6C75" w:rsidP="007C6C75">
            <w:pPr>
              <w:pStyle w:val="TableText0"/>
              <w:keepNext w:val="0"/>
              <w:ind w:hanging="142"/>
              <w:jc w:val="center"/>
              <w:rPr>
                <w:rFonts w:cs="Calibri"/>
                <w:color w:val="000000"/>
                <w:szCs w:val="20"/>
              </w:rPr>
            </w:pPr>
            <w:r>
              <w:rPr>
                <w:rFonts w:cs="Calibri"/>
                <w:color w:val="000000"/>
                <w:szCs w:val="20"/>
              </w:rPr>
              <w:t>$1,297,391</w:t>
            </w:r>
          </w:p>
        </w:tc>
        <w:tc>
          <w:tcPr>
            <w:tcW w:w="1021" w:type="dxa"/>
            <w:vAlign w:val="center"/>
          </w:tcPr>
          <w:p w14:paraId="69117044" w14:textId="77777777" w:rsidR="007C6C75" w:rsidRDefault="007C6C75" w:rsidP="007C6C75">
            <w:pPr>
              <w:pStyle w:val="TableText0"/>
              <w:keepNext w:val="0"/>
              <w:ind w:hanging="142"/>
              <w:jc w:val="center"/>
              <w:rPr>
                <w:rFonts w:cs="Calibri"/>
                <w:color w:val="000000"/>
                <w:szCs w:val="20"/>
              </w:rPr>
            </w:pPr>
            <w:r>
              <w:rPr>
                <w:rFonts w:cs="Calibri"/>
                <w:color w:val="000000"/>
                <w:szCs w:val="20"/>
              </w:rPr>
              <w:t>$1,992,056</w:t>
            </w:r>
          </w:p>
        </w:tc>
      </w:tr>
      <w:tr w:rsidR="007C6C75" w:rsidRPr="005A6618" w14:paraId="13376899" w14:textId="77777777" w:rsidTr="007C6C75">
        <w:trPr>
          <w:trHeight w:val="227"/>
        </w:trPr>
        <w:tc>
          <w:tcPr>
            <w:tcW w:w="1271" w:type="dxa"/>
            <w:vMerge/>
          </w:tcPr>
          <w:p w14:paraId="5122E134" w14:textId="77777777" w:rsidR="007C6C75" w:rsidRPr="00524539" w:rsidRDefault="007C6C75" w:rsidP="007C6C75">
            <w:pPr>
              <w:pStyle w:val="TableText0"/>
              <w:keepLines/>
              <w:ind w:left="22" w:firstLine="13"/>
              <w:jc w:val="left"/>
              <w:rPr>
                <w:rFonts w:cs="Arial"/>
                <w:color w:val="000000"/>
              </w:rPr>
            </w:pPr>
          </w:p>
        </w:tc>
        <w:tc>
          <w:tcPr>
            <w:tcW w:w="573" w:type="dxa"/>
            <w:vMerge w:val="restart"/>
          </w:tcPr>
          <w:p w14:paraId="42266E8B" w14:textId="77777777" w:rsidR="007C6C75" w:rsidRPr="00524539" w:rsidRDefault="007C6C75" w:rsidP="007C6C75">
            <w:pPr>
              <w:pStyle w:val="TableText0"/>
              <w:keepLines/>
              <w:ind w:left="22" w:firstLine="13"/>
              <w:jc w:val="center"/>
              <w:rPr>
                <w:rFonts w:cs="Arial"/>
                <w:color w:val="000000"/>
              </w:rPr>
            </w:pPr>
            <w:r>
              <w:rPr>
                <w:rFonts w:cs="Arial"/>
                <w:color w:val="000000"/>
              </w:rPr>
              <w:t>60%</w:t>
            </w:r>
          </w:p>
        </w:tc>
        <w:tc>
          <w:tcPr>
            <w:tcW w:w="2410" w:type="dxa"/>
          </w:tcPr>
          <w:p w14:paraId="576B9E7D" w14:textId="77777777" w:rsidR="007C6C75" w:rsidRPr="00DA6F52" w:rsidRDefault="007C6C75" w:rsidP="007C6C75">
            <w:pPr>
              <w:pStyle w:val="TableText0"/>
              <w:keepLines/>
              <w:ind w:left="22" w:firstLine="13"/>
              <w:jc w:val="left"/>
              <w:rPr>
                <w:szCs w:val="20"/>
              </w:rPr>
            </w:pPr>
            <w:r w:rsidRPr="00DA6F52">
              <w:rPr>
                <w:rFonts w:cs="Arial"/>
                <w:color w:val="000000"/>
                <w:szCs w:val="20"/>
              </w:rPr>
              <w:t>Cost to the MBS</w:t>
            </w:r>
          </w:p>
        </w:tc>
        <w:tc>
          <w:tcPr>
            <w:tcW w:w="1020" w:type="dxa"/>
            <w:vAlign w:val="center"/>
          </w:tcPr>
          <w:p w14:paraId="56AC1300" w14:textId="77777777" w:rsidR="007C6C75" w:rsidRDefault="007C6C75" w:rsidP="007C6C75">
            <w:pPr>
              <w:pStyle w:val="TableText0"/>
              <w:keepNext w:val="0"/>
              <w:ind w:hanging="142"/>
              <w:jc w:val="center"/>
              <w:rPr>
                <w:rFonts w:cs="Calibri"/>
                <w:color w:val="000000"/>
                <w:szCs w:val="20"/>
              </w:rPr>
            </w:pPr>
            <w:r>
              <w:rPr>
                <w:rFonts w:cs="Calibri"/>
                <w:color w:val="000000"/>
                <w:szCs w:val="20"/>
              </w:rPr>
              <w:t>$349,471</w:t>
            </w:r>
          </w:p>
        </w:tc>
        <w:tc>
          <w:tcPr>
            <w:tcW w:w="1021" w:type="dxa"/>
            <w:vAlign w:val="center"/>
          </w:tcPr>
          <w:p w14:paraId="2261CEED" w14:textId="77777777" w:rsidR="007C6C75" w:rsidRDefault="007C6C75" w:rsidP="007C6C75">
            <w:pPr>
              <w:pStyle w:val="TableText0"/>
              <w:keepNext w:val="0"/>
              <w:ind w:hanging="142"/>
              <w:jc w:val="center"/>
              <w:rPr>
                <w:rFonts w:cs="Calibri"/>
                <w:color w:val="000000"/>
                <w:szCs w:val="20"/>
              </w:rPr>
            </w:pPr>
            <w:r>
              <w:rPr>
                <w:rFonts w:cs="Calibri"/>
                <w:color w:val="000000"/>
                <w:szCs w:val="20"/>
              </w:rPr>
              <w:t>$571,524</w:t>
            </w:r>
          </w:p>
        </w:tc>
        <w:tc>
          <w:tcPr>
            <w:tcW w:w="1020" w:type="dxa"/>
            <w:vAlign w:val="center"/>
          </w:tcPr>
          <w:p w14:paraId="1D4C3177" w14:textId="77777777" w:rsidR="007C6C75" w:rsidRDefault="007C6C75" w:rsidP="007C6C75">
            <w:pPr>
              <w:pStyle w:val="TableText0"/>
              <w:keepNext w:val="0"/>
              <w:ind w:hanging="142"/>
              <w:jc w:val="center"/>
              <w:rPr>
                <w:rFonts w:cs="Calibri"/>
                <w:color w:val="000000"/>
                <w:szCs w:val="20"/>
              </w:rPr>
            </w:pPr>
            <w:r>
              <w:rPr>
                <w:rFonts w:cs="Calibri"/>
                <w:color w:val="000000"/>
                <w:szCs w:val="20"/>
              </w:rPr>
              <w:t>$881,159</w:t>
            </w:r>
          </w:p>
        </w:tc>
        <w:tc>
          <w:tcPr>
            <w:tcW w:w="1021" w:type="dxa"/>
            <w:vAlign w:val="center"/>
          </w:tcPr>
          <w:p w14:paraId="0F127421" w14:textId="77777777" w:rsidR="007C6C75" w:rsidRDefault="007C6C75" w:rsidP="007C6C75">
            <w:pPr>
              <w:pStyle w:val="TableText0"/>
              <w:keepNext w:val="0"/>
              <w:ind w:hanging="142"/>
              <w:jc w:val="center"/>
              <w:rPr>
                <w:rFonts w:cs="Calibri"/>
                <w:color w:val="000000"/>
                <w:szCs w:val="20"/>
              </w:rPr>
            </w:pPr>
            <w:r>
              <w:rPr>
                <w:rFonts w:cs="Calibri"/>
                <w:color w:val="000000"/>
                <w:szCs w:val="20"/>
              </w:rPr>
              <w:t>$1,353,792</w:t>
            </w:r>
          </w:p>
        </w:tc>
        <w:tc>
          <w:tcPr>
            <w:tcW w:w="1021" w:type="dxa"/>
            <w:vAlign w:val="center"/>
          </w:tcPr>
          <w:p w14:paraId="51FDDDEB" w14:textId="77777777" w:rsidR="007C6C75" w:rsidRDefault="007C6C75" w:rsidP="007C6C75">
            <w:pPr>
              <w:pStyle w:val="TableText0"/>
              <w:keepNext w:val="0"/>
              <w:ind w:hanging="142"/>
              <w:jc w:val="center"/>
              <w:rPr>
                <w:rFonts w:cs="Calibri"/>
                <w:color w:val="000000"/>
                <w:szCs w:val="20"/>
              </w:rPr>
            </w:pPr>
            <w:r>
              <w:rPr>
                <w:rFonts w:cs="Calibri"/>
                <w:color w:val="000000"/>
                <w:szCs w:val="20"/>
              </w:rPr>
              <w:t>$2,078,153</w:t>
            </w:r>
          </w:p>
        </w:tc>
      </w:tr>
      <w:tr w:rsidR="007C6C75" w:rsidRPr="005A6618" w14:paraId="16303755" w14:textId="77777777" w:rsidTr="007C6C75">
        <w:trPr>
          <w:trHeight w:val="227"/>
        </w:trPr>
        <w:tc>
          <w:tcPr>
            <w:tcW w:w="1271" w:type="dxa"/>
            <w:vMerge/>
          </w:tcPr>
          <w:p w14:paraId="4FB48275" w14:textId="77777777" w:rsidR="007C6C75" w:rsidRPr="00524539" w:rsidRDefault="007C6C75" w:rsidP="007C6C75">
            <w:pPr>
              <w:pStyle w:val="TableText0"/>
              <w:keepLines/>
              <w:ind w:left="22" w:firstLine="13"/>
              <w:jc w:val="left"/>
              <w:rPr>
                <w:rFonts w:cs="Arial"/>
                <w:color w:val="000000"/>
              </w:rPr>
            </w:pPr>
          </w:p>
        </w:tc>
        <w:tc>
          <w:tcPr>
            <w:tcW w:w="573" w:type="dxa"/>
            <w:vMerge/>
          </w:tcPr>
          <w:p w14:paraId="5AFDAA47"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507A5596" w14:textId="77777777" w:rsidR="007C6C75" w:rsidRPr="00DA6F52" w:rsidRDefault="007C6C75" w:rsidP="007C6C75">
            <w:pPr>
              <w:pStyle w:val="TableText0"/>
              <w:keepLines/>
              <w:ind w:left="22" w:firstLine="13"/>
              <w:jc w:val="left"/>
              <w:rPr>
                <w:szCs w:val="20"/>
              </w:rPr>
            </w:pPr>
            <w:r w:rsidRPr="00DA6F52">
              <w:rPr>
                <w:rFonts w:cs="Arial"/>
                <w:color w:val="000000"/>
                <w:szCs w:val="20"/>
              </w:rPr>
              <w:t>Cost to the healthcare budget</w:t>
            </w:r>
          </w:p>
        </w:tc>
        <w:tc>
          <w:tcPr>
            <w:tcW w:w="1020" w:type="dxa"/>
            <w:tcBorders>
              <w:bottom w:val="single" w:sz="4" w:space="0" w:color="auto"/>
            </w:tcBorders>
            <w:vAlign w:val="center"/>
          </w:tcPr>
          <w:p w14:paraId="003235A3" w14:textId="77777777" w:rsidR="007C6C75" w:rsidRDefault="007C6C75" w:rsidP="007C6C75">
            <w:pPr>
              <w:pStyle w:val="TableText0"/>
              <w:keepNext w:val="0"/>
              <w:ind w:hanging="142"/>
              <w:jc w:val="center"/>
              <w:rPr>
                <w:rFonts w:cs="Calibri"/>
                <w:color w:val="000000"/>
                <w:szCs w:val="20"/>
              </w:rPr>
            </w:pPr>
            <w:r>
              <w:rPr>
                <w:rFonts w:cs="Calibri"/>
                <w:color w:val="000000"/>
                <w:szCs w:val="20"/>
              </w:rPr>
              <w:t>$17,263</w:t>
            </w:r>
          </w:p>
        </w:tc>
        <w:tc>
          <w:tcPr>
            <w:tcW w:w="1021" w:type="dxa"/>
            <w:tcBorders>
              <w:bottom w:val="single" w:sz="4" w:space="0" w:color="auto"/>
            </w:tcBorders>
            <w:vAlign w:val="center"/>
          </w:tcPr>
          <w:p w14:paraId="21404F09" w14:textId="77777777" w:rsidR="007C6C75" w:rsidRDefault="007C6C75" w:rsidP="007C6C75">
            <w:pPr>
              <w:pStyle w:val="TableText0"/>
              <w:keepNext w:val="0"/>
              <w:ind w:hanging="142"/>
              <w:jc w:val="center"/>
              <w:rPr>
                <w:rFonts w:cs="Calibri"/>
                <w:color w:val="000000"/>
                <w:szCs w:val="20"/>
              </w:rPr>
            </w:pPr>
            <w:r>
              <w:rPr>
                <w:rFonts w:cs="Calibri"/>
                <w:color w:val="000000"/>
                <w:szCs w:val="20"/>
              </w:rPr>
              <w:t>$29,075</w:t>
            </w:r>
          </w:p>
        </w:tc>
        <w:tc>
          <w:tcPr>
            <w:tcW w:w="1020" w:type="dxa"/>
            <w:tcBorders>
              <w:bottom w:val="single" w:sz="4" w:space="0" w:color="auto"/>
            </w:tcBorders>
            <w:vAlign w:val="center"/>
          </w:tcPr>
          <w:p w14:paraId="3B24D52D" w14:textId="77777777" w:rsidR="007C6C75" w:rsidRDefault="007C6C75" w:rsidP="007C6C75">
            <w:pPr>
              <w:pStyle w:val="TableText0"/>
              <w:keepNext w:val="0"/>
              <w:ind w:hanging="142"/>
              <w:jc w:val="center"/>
              <w:rPr>
                <w:rFonts w:cs="Calibri"/>
                <w:color w:val="000000"/>
                <w:szCs w:val="20"/>
              </w:rPr>
            </w:pPr>
            <w:r>
              <w:rPr>
                <w:rFonts w:cs="Calibri"/>
                <w:color w:val="000000"/>
                <w:szCs w:val="20"/>
              </w:rPr>
              <w:t>$41,795</w:t>
            </w:r>
          </w:p>
        </w:tc>
        <w:tc>
          <w:tcPr>
            <w:tcW w:w="1021" w:type="dxa"/>
            <w:tcBorders>
              <w:bottom w:val="single" w:sz="4" w:space="0" w:color="auto"/>
            </w:tcBorders>
            <w:vAlign w:val="center"/>
          </w:tcPr>
          <w:p w14:paraId="0F12FD76" w14:textId="77777777" w:rsidR="007C6C75" w:rsidRDefault="007C6C75" w:rsidP="007C6C75">
            <w:pPr>
              <w:pStyle w:val="TableText0"/>
              <w:keepNext w:val="0"/>
              <w:ind w:hanging="142"/>
              <w:jc w:val="center"/>
              <w:rPr>
                <w:rFonts w:cs="Calibri"/>
                <w:color w:val="000000"/>
                <w:szCs w:val="20"/>
              </w:rPr>
            </w:pPr>
            <w:r>
              <w:rPr>
                <w:rFonts w:cs="Calibri"/>
                <w:color w:val="000000"/>
                <w:szCs w:val="20"/>
              </w:rPr>
              <w:t>$65,418</w:t>
            </w:r>
          </w:p>
        </w:tc>
        <w:tc>
          <w:tcPr>
            <w:tcW w:w="1021" w:type="dxa"/>
            <w:tcBorders>
              <w:bottom w:val="single" w:sz="4" w:space="0" w:color="auto"/>
            </w:tcBorders>
            <w:vAlign w:val="center"/>
          </w:tcPr>
          <w:p w14:paraId="669250BC" w14:textId="77777777" w:rsidR="007C6C75" w:rsidRDefault="007C6C75" w:rsidP="007C6C75">
            <w:pPr>
              <w:pStyle w:val="TableText0"/>
              <w:keepNext w:val="0"/>
              <w:ind w:hanging="142"/>
              <w:jc w:val="center"/>
              <w:rPr>
                <w:rFonts w:cs="Calibri"/>
                <w:color w:val="000000"/>
                <w:szCs w:val="20"/>
              </w:rPr>
            </w:pPr>
            <w:r>
              <w:rPr>
                <w:rFonts w:cs="Calibri"/>
                <w:color w:val="000000"/>
                <w:szCs w:val="20"/>
              </w:rPr>
              <w:t>$101,761</w:t>
            </w:r>
          </w:p>
        </w:tc>
      </w:tr>
      <w:tr w:rsidR="007C6C75" w:rsidRPr="005A6618" w14:paraId="60A8450A" w14:textId="77777777" w:rsidTr="007C6C75">
        <w:trPr>
          <w:trHeight w:val="227"/>
        </w:trPr>
        <w:tc>
          <w:tcPr>
            <w:tcW w:w="1271" w:type="dxa"/>
            <w:vMerge/>
          </w:tcPr>
          <w:p w14:paraId="52C77518" w14:textId="77777777" w:rsidR="007C6C75" w:rsidRPr="00524539" w:rsidRDefault="007C6C75" w:rsidP="007C6C75">
            <w:pPr>
              <w:pStyle w:val="TableText0"/>
              <w:keepLines/>
              <w:ind w:left="22" w:firstLine="13"/>
              <w:jc w:val="left"/>
              <w:rPr>
                <w:rFonts w:cs="Arial"/>
                <w:color w:val="000000"/>
              </w:rPr>
            </w:pPr>
          </w:p>
        </w:tc>
        <w:tc>
          <w:tcPr>
            <w:tcW w:w="573" w:type="dxa"/>
            <w:vMerge/>
          </w:tcPr>
          <w:p w14:paraId="48E402EB" w14:textId="77777777" w:rsidR="007C6C75" w:rsidRPr="00524539" w:rsidRDefault="007C6C75" w:rsidP="007C6C75">
            <w:pPr>
              <w:pStyle w:val="TableText0"/>
              <w:keepLines/>
              <w:ind w:left="22" w:firstLine="13"/>
              <w:jc w:val="center"/>
              <w:rPr>
                <w:rFonts w:cs="Arial"/>
                <w:color w:val="000000"/>
              </w:rPr>
            </w:pPr>
          </w:p>
        </w:tc>
        <w:tc>
          <w:tcPr>
            <w:tcW w:w="2410" w:type="dxa"/>
          </w:tcPr>
          <w:p w14:paraId="6E50CC1B" w14:textId="77777777" w:rsidR="007C6C75" w:rsidRPr="00DA6F52" w:rsidRDefault="007C6C75" w:rsidP="007C6C75">
            <w:pPr>
              <w:pStyle w:val="TableText0"/>
              <w:keepLines/>
              <w:ind w:left="22" w:firstLine="13"/>
              <w:jc w:val="left"/>
              <w:rPr>
                <w:szCs w:val="20"/>
              </w:rPr>
            </w:pPr>
            <w:r w:rsidRPr="00DA6F52">
              <w:rPr>
                <w:szCs w:val="20"/>
              </w:rPr>
              <w:t>Total financial implications</w:t>
            </w:r>
          </w:p>
        </w:tc>
        <w:tc>
          <w:tcPr>
            <w:tcW w:w="1020" w:type="dxa"/>
            <w:vAlign w:val="center"/>
          </w:tcPr>
          <w:p w14:paraId="2CB326BD" w14:textId="77777777" w:rsidR="007C6C75" w:rsidRDefault="007C6C75" w:rsidP="007C6C75">
            <w:pPr>
              <w:pStyle w:val="TableText0"/>
              <w:keepNext w:val="0"/>
              <w:ind w:hanging="142"/>
              <w:jc w:val="center"/>
              <w:rPr>
                <w:rFonts w:cs="Calibri"/>
                <w:color w:val="000000"/>
                <w:szCs w:val="20"/>
              </w:rPr>
            </w:pPr>
            <w:r>
              <w:rPr>
                <w:rFonts w:cs="Calibri"/>
                <w:color w:val="000000"/>
                <w:szCs w:val="20"/>
              </w:rPr>
              <w:t>$366,734</w:t>
            </w:r>
          </w:p>
        </w:tc>
        <w:tc>
          <w:tcPr>
            <w:tcW w:w="1021" w:type="dxa"/>
            <w:vAlign w:val="center"/>
          </w:tcPr>
          <w:p w14:paraId="6FE1EF1C" w14:textId="77777777" w:rsidR="007C6C75" w:rsidRDefault="007C6C75" w:rsidP="007C6C75">
            <w:pPr>
              <w:pStyle w:val="TableText0"/>
              <w:keepNext w:val="0"/>
              <w:ind w:hanging="142"/>
              <w:jc w:val="center"/>
              <w:rPr>
                <w:rFonts w:cs="Calibri"/>
                <w:color w:val="000000"/>
                <w:szCs w:val="20"/>
              </w:rPr>
            </w:pPr>
            <w:r>
              <w:rPr>
                <w:rFonts w:cs="Calibri"/>
                <w:color w:val="000000"/>
                <w:szCs w:val="20"/>
              </w:rPr>
              <w:t>$600,598</w:t>
            </w:r>
          </w:p>
        </w:tc>
        <w:tc>
          <w:tcPr>
            <w:tcW w:w="1020" w:type="dxa"/>
            <w:vAlign w:val="center"/>
          </w:tcPr>
          <w:p w14:paraId="499EE5D4" w14:textId="77777777" w:rsidR="007C6C75" w:rsidRDefault="007C6C75" w:rsidP="007C6C75">
            <w:pPr>
              <w:pStyle w:val="TableText0"/>
              <w:keepNext w:val="0"/>
              <w:ind w:hanging="142"/>
              <w:jc w:val="center"/>
              <w:rPr>
                <w:rFonts w:cs="Calibri"/>
                <w:color w:val="000000"/>
                <w:szCs w:val="20"/>
              </w:rPr>
            </w:pPr>
            <w:r>
              <w:rPr>
                <w:rFonts w:cs="Calibri"/>
                <w:color w:val="000000"/>
                <w:szCs w:val="20"/>
              </w:rPr>
              <w:t>$922,954</w:t>
            </w:r>
          </w:p>
        </w:tc>
        <w:tc>
          <w:tcPr>
            <w:tcW w:w="1021" w:type="dxa"/>
            <w:vAlign w:val="center"/>
          </w:tcPr>
          <w:p w14:paraId="6FE3DC24" w14:textId="77777777" w:rsidR="007C6C75" w:rsidRDefault="007C6C75" w:rsidP="007C6C75">
            <w:pPr>
              <w:pStyle w:val="TableText0"/>
              <w:keepNext w:val="0"/>
              <w:ind w:hanging="142"/>
              <w:jc w:val="center"/>
              <w:rPr>
                <w:rFonts w:cs="Calibri"/>
                <w:color w:val="000000"/>
                <w:szCs w:val="20"/>
              </w:rPr>
            </w:pPr>
            <w:r>
              <w:rPr>
                <w:rFonts w:cs="Calibri"/>
                <w:color w:val="000000"/>
                <w:szCs w:val="20"/>
              </w:rPr>
              <w:t>$1,419,209</w:t>
            </w:r>
          </w:p>
        </w:tc>
        <w:tc>
          <w:tcPr>
            <w:tcW w:w="1021" w:type="dxa"/>
            <w:vAlign w:val="center"/>
          </w:tcPr>
          <w:p w14:paraId="13814106" w14:textId="77777777" w:rsidR="007C6C75" w:rsidRDefault="007C6C75" w:rsidP="007C6C75">
            <w:pPr>
              <w:pStyle w:val="TableText0"/>
              <w:keepNext w:val="0"/>
              <w:ind w:hanging="142"/>
              <w:jc w:val="center"/>
              <w:rPr>
                <w:rFonts w:cs="Calibri"/>
                <w:color w:val="000000"/>
                <w:szCs w:val="20"/>
              </w:rPr>
            </w:pPr>
            <w:r>
              <w:rPr>
                <w:rFonts w:cs="Calibri"/>
                <w:color w:val="000000"/>
                <w:szCs w:val="20"/>
              </w:rPr>
              <w:t>$2,179,914</w:t>
            </w:r>
          </w:p>
        </w:tc>
      </w:tr>
      <w:tr w:rsidR="007C6C75" w:rsidRPr="005A6618" w14:paraId="530C89E0" w14:textId="77777777" w:rsidTr="007C6C75">
        <w:trPr>
          <w:trHeight w:val="227"/>
        </w:trPr>
        <w:tc>
          <w:tcPr>
            <w:tcW w:w="1271" w:type="dxa"/>
            <w:vMerge/>
          </w:tcPr>
          <w:p w14:paraId="326D83E0" w14:textId="77777777" w:rsidR="007C6C75" w:rsidRPr="00524539" w:rsidRDefault="007C6C75" w:rsidP="007C6C75">
            <w:pPr>
              <w:pStyle w:val="TableText0"/>
              <w:keepLines/>
              <w:ind w:left="22" w:firstLine="13"/>
              <w:jc w:val="left"/>
              <w:rPr>
                <w:rFonts w:cs="Arial"/>
                <w:color w:val="000000"/>
              </w:rPr>
            </w:pPr>
          </w:p>
        </w:tc>
        <w:tc>
          <w:tcPr>
            <w:tcW w:w="573" w:type="dxa"/>
            <w:vMerge w:val="restart"/>
          </w:tcPr>
          <w:p w14:paraId="2E68E9CA" w14:textId="77777777" w:rsidR="007C6C75" w:rsidRPr="00524539" w:rsidRDefault="007C6C75" w:rsidP="007C6C75">
            <w:pPr>
              <w:pStyle w:val="TableText0"/>
              <w:keepLines/>
              <w:ind w:left="22" w:firstLine="13"/>
              <w:jc w:val="center"/>
              <w:rPr>
                <w:rFonts w:cs="Arial"/>
                <w:color w:val="000000"/>
              </w:rPr>
            </w:pPr>
            <w:r>
              <w:rPr>
                <w:rFonts w:cs="Arial"/>
                <w:color w:val="000000"/>
              </w:rPr>
              <w:t>80%</w:t>
            </w:r>
          </w:p>
        </w:tc>
        <w:tc>
          <w:tcPr>
            <w:tcW w:w="2410" w:type="dxa"/>
          </w:tcPr>
          <w:p w14:paraId="09DDB3D1" w14:textId="77777777" w:rsidR="007C6C75" w:rsidRPr="00DA6F52" w:rsidRDefault="007C6C75" w:rsidP="007C6C75">
            <w:pPr>
              <w:pStyle w:val="TableText0"/>
              <w:keepLines/>
              <w:ind w:left="22" w:firstLine="13"/>
              <w:jc w:val="left"/>
              <w:rPr>
                <w:szCs w:val="20"/>
              </w:rPr>
            </w:pPr>
            <w:r w:rsidRPr="00DA6F52">
              <w:rPr>
                <w:szCs w:val="20"/>
              </w:rPr>
              <w:t>Cost to the MBS</w:t>
            </w:r>
          </w:p>
        </w:tc>
        <w:tc>
          <w:tcPr>
            <w:tcW w:w="1020" w:type="dxa"/>
            <w:vAlign w:val="center"/>
          </w:tcPr>
          <w:p w14:paraId="19480CB4" w14:textId="77777777" w:rsidR="007C6C75" w:rsidRDefault="007C6C75" w:rsidP="007C6C75">
            <w:pPr>
              <w:pStyle w:val="TableText0"/>
              <w:keepNext w:val="0"/>
              <w:ind w:hanging="142"/>
              <w:jc w:val="center"/>
              <w:rPr>
                <w:rFonts w:cs="Calibri"/>
                <w:color w:val="000000"/>
                <w:szCs w:val="20"/>
              </w:rPr>
            </w:pPr>
            <w:r>
              <w:rPr>
                <w:rFonts w:cs="Calibri"/>
                <w:color w:val="000000"/>
                <w:szCs w:val="20"/>
              </w:rPr>
              <w:t>$357,571</w:t>
            </w:r>
          </w:p>
        </w:tc>
        <w:tc>
          <w:tcPr>
            <w:tcW w:w="1021" w:type="dxa"/>
            <w:vAlign w:val="center"/>
          </w:tcPr>
          <w:p w14:paraId="7C1C1C92" w14:textId="77777777" w:rsidR="007C6C75" w:rsidRDefault="007C6C75" w:rsidP="007C6C75">
            <w:pPr>
              <w:pStyle w:val="TableText0"/>
              <w:keepNext w:val="0"/>
              <w:ind w:hanging="142"/>
              <w:jc w:val="center"/>
              <w:rPr>
                <w:rFonts w:cs="Calibri"/>
                <w:color w:val="000000"/>
                <w:szCs w:val="20"/>
              </w:rPr>
            </w:pPr>
            <w:r>
              <w:rPr>
                <w:rFonts w:cs="Calibri"/>
                <w:color w:val="000000"/>
                <w:szCs w:val="20"/>
              </w:rPr>
              <w:t>$611,582</w:t>
            </w:r>
          </w:p>
        </w:tc>
        <w:tc>
          <w:tcPr>
            <w:tcW w:w="1020" w:type="dxa"/>
            <w:vAlign w:val="center"/>
          </w:tcPr>
          <w:p w14:paraId="5D80FC4E" w14:textId="77777777" w:rsidR="007C6C75" w:rsidRDefault="007C6C75" w:rsidP="007C6C75">
            <w:pPr>
              <w:pStyle w:val="TableText0"/>
              <w:keepNext w:val="0"/>
              <w:ind w:hanging="142"/>
              <w:jc w:val="center"/>
              <w:rPr>
                <w:rFonts w:cs="Calibri"/>
                <w:color w:val="000000"/>
                <w:szCs w:val="20"/>
              </w:rPr>
            </w:pPr>
            <w:r>
              <w:rPr>
                <w:rFonts w:cs="Calibri"/>
                <w:color w:val="000000"/>
                <w:szCs w:val="20"/>
              </w:rPr>
              <w:t>$944,636</w:t>
            </w:r>
          </w:p>
        </w:tc>
        <w:tc>
          <w:tcPr>
            <w:tcW w:w="1021" w:type="dxa"/>
            <w:vAlign w:val="center"/>
          </w:tcPr>
          <w:p w14:paraId="385C3280" w14:textId="77777777" w:rsidR="007C6C75" w:rsidRDefault="007C6C75" w:rsidP="007C6C75">
            <w:pPr>
              <w:pStyle w:val="TableText0"/>
              <w:keepNext w:val="0"/>
              <w:ind w:hanging="142"/>
              <w:jc w:val="center"/>
              <w:rPr>
                <w:rFonts w:cs="Calibri"/>
                <w:color w:val="000000"/>
                <w:szCs w:val="20"/>
              </w:rPr>
            </w:pPr>
            <w:r>
              <w:rPr>
                <w:rFonts w:cs="Calibri"/>
                <w:color w:val="000000"/>
                <w:szCs w:val="20"/>
              </w:rPr>
              <w:t>$1,451,176</w:t>
            </w:r>
          </w:p>
        </w:tc>
        <w:tc>
          <w:tcPr>
            <w:tcW w:w="1021" w:type="dxa"/>
            <w:vAlign w:val="center"/>
          </w:tcPr>
          <w:p w14:paraId="440A1D22" w14:textId="77777777" w:rsidR="007C6C75" w:rsidRDefault="007C6C75" w:rsidP="007C6C75">
            <w:pPr>
              <w:pStyle w:val="TableText0"/>
              <w:keepNext w:val="0"/>
              <w:ind w:hanging="142"/>
              <w:jc w:val="center"/>
              <w:rPr>
                <w:rFonts w:cs="Calibri"/>
                <w:color w:val="000000"/>
                <w:szCs w:val="20"/>
              </w:rPr>
            </w:pPr>
            <w:r>
              <w:rPr>
                <w:rFonts w:cs="Calibri"/>
                <w:color w:val="000000"/>
                <w:szCs w:val="20"/>
              </w:rPr>
              <w:t>$2,226,632</w:t>
            </w:r>
          </w:p>
        </w:tc>
      </w:tr>
      <w:tr w:rsidR="007C6C75" w:rsidRPr="005A6618" w14:paraId="317F20DC" w14:textId="77777777" w:rsidTr="007C6C75">
        <w:trPr>
          <w:trHeight w:val="227"/>
        </w:trPr>
        <w:tc>
          <w:tcPr>
            <w:tcW w:w="1271" w:type="dxa"/>
            <w:vMerge/>
          </w:tcPr>
          <w:p w14:paraId="23123F20" w14:textId="77777777" w:rsidR="007C6C75" w:rsidRPr="00524539" w:rsidRDefault="007C6C75" w:rsidP="007C6C75">
            <w:pPr>
              <w:pStyle w:val="TableText0"/>
              <w:keepLines/>
              <w:ind w:left="22" w:firstLine="13"/>
              <w:jc w:val="left"/>
              <w:rPr>
                <w:rFonts w:cs="Arial"/>
                <w:color w:val="000000"/>
              </w:rPr>
            </w:pPr>
          </w:p>
        </w:tc>
        <w:tc>
          <w:tcPr>
            <w:tcW w:w="573" w:type="dxa"/>
            <w:vMerge/>
          </w:tcPr>
          <w:p w14:paraId="0E0C85EB" w14:textId="77777777" w:rsidR="007C6C75" w:rsidRPr="00524539" w:rsidRDefault="007C6C75" w:rsidP="007C6C75">
            <w:pPr>
              <w:pStyle w:val="TableText0"/>
              <w:keepLines/>
              <w:ind w:left="22" w:firstLine="13"/>
              <w:jc w:val="center"/>
              <w:rPr>
                <w:rFonts w:cs="Arial"/>
                <w:color w:val="000000"/>
              </w:rPr>
            </w:pPr>
          </w:p>
        </w:tc>
        <w:tc>
          <w:tcPr>
            <w:tcW w:w="2410" w:type="dxa"/>
          </w:tcPr>
          <w:p w14:paraId="117A534D" w14:textId="77777777" w:rsidR="007C6C75" w:rsidRPr="00DA6F52" w:rsidRDefault="007C6C75" w:rsidP="007C6C75">
            <w:pPr>
              <w:pStyle w:val="TableText0"/>
              <w:keepLines/>
              <w:ind w:left="22" w:firstLine="13"/>
              <w:jc w:val="left"/>
              <w:rPr>
                <w:szCs w:val="20"/>
              </w:rPr>
            </w:pPr>
            <w:r w:rsidRPr="00DA6F52">
              <w:rPr>
                <w:szCs w:val="20"/>
              </w:rPr>
              <w:t>Cost to the healthcare budget</w:t>
            </w:r>
          </w:p>
        </w:tc>
        <w:tc>
          <w:tcPr>
            <w:tcW w:w="1020" w:type="dxa"/>
            <w:vAlign w:val="center"/>
          </w:tcPr>
          <w:p w14:paraId="1CDA7D07" w14:textId="77777777" w:rsidR="007C6C75" w:rsidRDefault="007C6C75" w:rsidP="007C6C75">
            <w:pPr>
              <w:pStyle w:val="TableText0"/>
              <w:keepNext w:val="0"/>
              <w:ind w:hanging="142"/>
              <w:jc w:val="center"/>
              <w:rPr>
                <w:rFonts w:cs="Calibri"/>
                <w:color w:val="000000"/>
                <w:szCs w:val="20"/>
              </w:rPr>
            </w:pPr>
            <w:r>
              <w:rPr>
                <w:rFonts w:cs="Calibri"/>
                <w:color w:val="000000"/>
                <w:szCs w:val="20"/>
              </w:rPr>
              <w:t>$22,715</w:t>
            </w:r>
          </w:p>
        </w:tc>
        <w:tc>
          <w:tcPr>
            <w:tcW w:w="1021" w:type="dxa"/>
            <w:vAlign w:val="center"/>
          </w:tcPr>
          <w:p w14:paraId="04FB3709" w14:textId="77777777" w:rsidR="007C6C75" w:rsidRDefault="007C6C75" w:rsidP="007C6C75">
            <w:pPr>
              <w:pStyle w:val="TableText0"/>
              <w:keepNext w:val="0"/>
              <w:ind w:hanging="142"/>
              <w:jc w:val="center"/>
              <w:rPr>
                <w:rFonts w:cs="Calibri"/>
                <w:color w:val="000000"/>
                <w:szCs w:val="20"/>
              </w:rPr>
            </w:pPr>
            <w:r>
              <w:rPr>
                <w:rFonts w:cs="Calibri"/>
                <w:color w:val="000000"/>
                <w:szCs w:val="20"/>
              </w:rPr>
              <w:t>$39,069</w:t>
            </w:r>
          </w:p>
        </w:tc>
        <w:tc>
          <w:tcPr>
            <w:tcW w:w="1020" w:type="dxa"/>
            <w:vAlign w:val="center"/>
          </w:tcPr>
          <w:p w14:paraId="347AFE4E" w14:textId="77777777" w:rsidR="007C6C75" w:rsidRDefault="007C6C75" w:rsidP="007C6C75">
            <w:pPr>
              <w:pStyle w:val="TableText0"/>
              <w:keepNext w:val="0"/>
              <w:ind w:hanging="142"/>
              <w:jc w:val="center"/>
              <w:rPr>
                <w:rFonts w:cs="Calibri"/>
                <w:color w:val="000000"/>
                <w:szCs w:val="20"/>
              </w:rPr>
            </w:pPr>
            <w:r>
              <w:rPr>
                <w:rFonts w:cs="Calibri"/>
                <w:color w:val="000000"/>
                <w:szCs w:val="20"/>
              </w:rPr>
              <w:t>$59,058</w:t>
            </w:r>
          </w:p>
        </w:tc>
        <w:tc>
          <w:tcPr>
            <w:tcW w:w="1021" w:type="dxa"/>
            <w:vAlign w:val="center"/>
          </w:tcPr>
          <w:p w14:paraId="6D7ACC5A" w14:textId="77777777" w:rsidR="007C6C75" w:rsidRDefault="007C6C75" w:rsidP="007C6C75">
            <w:pPr>
              <w:pStyle w:val="TableText0"/>
              <w:keepNext w:val="0"/>
              <w:ind w:hanging="142"/>
              <w:jc w:val="center"/>
              <w:rPr>
                <w:rFonts w:cs="Calibri"/>
                <w:color w:val="000000"/>
                <w:szCs w:val="20"/>
              </w:rPr>
            </w:pPr>
            <w:r>
              <w:rPr>
                <w:rFonts w:cs="Calibri"/>
                <w:color w:val="000000"/>
                <w:szCs w:val="20"/>
              </w:rPr>
              <w:t>$91,767</w:t>
            </w:r>
          </w:p>
        </w:tc>
        <w:tc>
          <w:tcPr>
            <w:tcW w:w="1021" w:type="dxa"/>
            <w:vAlign w:val="center"/>
          </w:tcPr>
          <w:p w14:paraId="1AFE869E" w14:textId="77777777" w:rsidR="007C6C75" w:rsidRDefault="007C6C75" w:rsidP="007C6C75">
            <w:pPr>
              <w:pStyle w:val="TableText0"/>
              <w:keepNext w:val="0"/>
              <w:ind w:hanging="142"/>
              <w:jc w:val="center"/>
              <w:rPr>
                <w:rFonts w:cs="Calibri"/>
                <w:color w:val="000000"/>
                <w:szCs w:val="20"/>
              </w:rPr>
            </w:pPr>
            <w:r>
              <w:rPr>
                <w:rFonts w:cs="Calibri"/>
                <w:color w:val="000000"/>
                <w:szCs w:val="20"/>
              </w:rPr>
              <w:t>$140,830</w:t>
            </w:r>
          </w:p>
        </w:tc>
      </w:tr>
      <w:tr w:rsidR="007C6C75" w:rsidRPr="005A6618" w14:paraId="0EC20A4F" w14:textId="77777777" w:rsidTr="007C6C75">
        <w:trPr>
          <w:trHeight w:val="227"/>
        </w:trPr>
        <w:tc>
          <w:tcPr>
            <w:tcW w:w="1271" w:type="dxa"/>
            <w:vMerge/>
          </w:tcPr>
          <w:p w14:paraId="751C5A01" w14:textId="77777777" w:rsidR="007C6C75" w:rsidRPr="00524539" w:rsidRDefault="007C6C75" w:rsidP="007C6C75">
            <w:pPr>
              <w:pStyle w:val="TableText0"/>
              <w:keepLines/>
              <w:ind w:left="22" w:firstLine="13"/>
              <w:jc w:val="left"/>
              <w:rPr>
                <w:rFonts w:cs="Arial"/>
                <w:color w:val="000000"/>
              </w:rPr>
            </w:pPr>
          </w:p>
        </w:tc>
        <w:tc>
          <w:tcPr>
            <w:tcW w:w="573" w:type="dxa"/>
            <w:vMerge/>
          </w:tcPr>
          <w:p w14:paraId="5BB5E082" w14:textId="77777777" w:rsidR="007C6C75" w:rsidRPr="00524539" w:rsidRDefault="007C6C75" w:rsidP="007C6C75">
            <w:pPr>
              <w:pStyle w:val="TableText0"/>
              <w:keepLines/>
              <w:ind w:left="22" w:firstLine="13"/>
              <w:jc w:val="center"/>
              <w:rPr>
                <w:rFonts w:cs="Arial"/>
                <w:color w:val="000000"/>
              </w:rPr>
            </w:pPr>
          </w:p>
        </w:tc>
        <w:tc>
          <w:tcPr>
            <w:tcW w:w="2410" w:type="dxa"/>
          </w:tcPr>
          <w:p w14:paraId="6B72B6B6" w14:textId="77777777" w:rsidR="007C6C75" w:rsidRPr="00DA6F52" w:rsidRDefault="007C6C75" w:rsidP="007C6C75">
            <w:pPr>
              <w:pStyle w:val="TableText0"/>
              <w:keepLines/>
              <w:ind w:left="22" w:firstLine="13"/>
              <w:jc w:val="left"/>
              <w:rPr>
                <w:szCs w:val="20"/>
              </w:rPr>
            </w:pPr>
            <w:r w:rsidRPr="00DA6F52">
              <w:rPr>
                <w:szCs w:val="20"/>
              </w:rPr>
              <w:t>Total financial implications</w:t>
            </w:r>
          </w:p>
        </w:tc>
        <w:tc>
          <w:tcPr>
            <w:tcW w:w="1020" w:type="dxa"/>
            <w:vAlign w:val="center"/>
          </w:tcPr>
          <w:p w14:paraId="2AD85C01" w14:textId="77777777" w:rsidR="007C6C75" w:rsidRDefault="007C6C75" w:rsidP="007C6C75">
            <w:pPr>
              <w:pStyle w:val="TableText0"/>
              <w:keepNext w:val="0"/>
              <w:ind w:hanging="142"/>
              <w:jc w:val="center"/>
              <w:rPr>
                <w:rFonts w:cs="Calibri"/>
                <w:color w:val="000000"/>
                <w:szCs w:val="20"/>
              </w:rPr>
            </w:pPr>
            <w:r>
              <w:rPr>
                <w:rFonts w:cs="Calibri"/>
                <w:color w:val="000000"/>
                <w:szCs w:val="20"/>
              </w:rPr>
              <w:t>$380,286</w:t>
            </w:r>
          </w:p>
        </w:tc>
        <w:tc>
          <w:tcPr>
            <w:tcW w:w="1021" w:type="dxa"/>
            <w:vAlign w:val="center"/>
          </w:tcPr>
          <w:p w14:paraId="494E5DD1" w14:textId="77777777" w:rsidR="007C6C75" w:rsidRDefault="007C6C75" w:rsidP="007C6C75">
            <w:pPr>
              <w:pStyle w:val="TableText0"/>
              <w:keepNext w:val="0"/>
              <w:ind w:hanging="142"/>
              <w:jc w:val="center"/>
              <w:rPr>
                <w:rFonts w:cs="Calibri"/>
                <w:color w:val="000000"/>
                <w:szCs w:val="20"/>
              </w:rPr>
            </w:pPr>
            <w:r>
              <w:rPr>
                <w:rFonts w:cs="Calibri"/>
                <w:color w:val="000000"/>
                <w:szCs w:val="20"/>
              </w:rPr>
              <w:t>$650,651</w:t>
            </w:r>
          </w:p>
        </w:tc>
        <w:tc>
          <w:tcPr>
            <w:tcW w:w="1020" w:type="dxa"/>
            <w:vAlign w:val="center"/>
          </w:tcPr>
          <w:p w14:paraId="5E71F164" w14:textId="77777777" w:rsidR="007C6C75" w:rsidRDefault="007C6C75" w:rsidP="007C6C75">
            <w:pPr>
              <w:pStyle w:val="TableText0"/>
              <w:keepNext w:val="0"/>
              <w:ind w:hanging="142"/>
              <w:jc w:val="center"/>
              <w:rPr>
                <w:rFonts w:cs="Calibri"/>
                <w:color w:val="000000"/>
                <w:szCs w:val="20"/>
              </w:rPr>
            </w:pPr>
            <w:r>
              <w:rPr>
                <w:rFonts w:cs="Calibri"/>
                <w:color w:val="000000"/>
                <w:szCs w:val="20"/>
              </w:rPr>
              <w:t>$1,003,694</w:t>
            </w:r>
          </w:p>
        </w:tc>
        <w:tc>
          <w:tcPr>
            <w:tcW w:w="1021" w:type="dxa"/>
            <w:vAlign w:val="center"/>
          </w:tcPr>
          <w:p w14:paraId="54467AB2" w14:textId="77777777" w:rsidR="007C6C75" w:rsidRDefault="007C6C75" w:rsidP="007C6C75">
            <w:pPr>
              <w:pStyle w:val="TableText0"/>
              <w:keepNext w:val="0"/>
              <w:ind w:hanging="142"/>
              <w:jc w:val="center"/>
              <w:rPr>
                <w:rFonts w:cs="Calibri"/>
                <w:color w:val="000000"/>
                <w:szCs w:val="20"/>
              </w:rPr>
            </w:pPr>
            <w:r>
              <w:rPr>
                <w:rFonts w:cs="Calibri"/>
                <w:color w:val="000000"/>
                <w:szCs w:val="20"/>
              </w:rPr>
              <w:t>$1,542,943</w:t>
            </w:r>
          </w:p>
        </w:tc>
        <w:tc>
          <w:tcPr>
            <w:tcW w:w="1021" w:type="dxa"/>
            <w:vAlign w:val="center"/>
          </w:tcPr>
          <w:p w14:paraId="2EDDD1B0" w14:textId="77777777" w:rsidR="007C6C75" w:rsidRDefault="007C6C75" w:rsidP="007C6C75">
            <w:pPr>
              <w:pStyle w:val="TableText0"/>
              <w:keepNext w:val="0"/>
              <w:ind w:hanging="142"/>
              <w:jc w:val="center"/>
              <w:rPr>
                <w:rFonts w:cs="Calibri"/>
                <w:color w:val="000000"/>
                <w:szCs w:val="20"/>
              </w:rPr>
            </w:pPr>
            <w:r>
              <w:rPr>
                <w:rFonts w:cs="Calibri"/>
                <w:color w:val="000000"/>
                <w:szCs w:val="20"/>
              </w:rPr>
              <w:t>$2,367,462</w:t>
            </w:r>
          </w:p>
        </w:tc>
      </w:tr>
      <w:tr w:rsidR="007C6C75" w:rsidRPr="005A6618" w14:paraId="7E7AE72F" w14:textId="77777777" w:rsidTr="007C6C75">
        <w:trPr>
          <w:trHeight w:val="227"/>
        </w:trPr>
        <w:tc>
          <w:tcPr>
            <w:tcW w:w="1271" w:type="dxa"/>
            <w:vMerge/>
          </w:tcPr>
          <w:p w14:paraId="4512231C" w14:textId="77777777" w:rsidR="007C6C75" w:rsidRPr="00524539" w:rsidRDefault="007C6C75" w:rsidP="007C6C75">
            <w:pPr>
              <w:pStyle w:val="TableText0"/>
              <w:keepLines/>
              <w:ind w:left="22" w:firstLine="13"/>
              <w:jc w:val="left"/>
              <w:rPr>
                <w:rFonts w:cs="Arial"/>
                <w:color w:val="000000"/>
              </w:rPr>
            </w:pPr>
          </w:p>
        </w:tc>
        <w:tc>
          <w:tcPr>
            <w:tcW w:w="573" w:type="dxa"/>
            <w:vMerge w:val="restart"/>
          </w:tcPr>
          <w:p w14:paraId="63D9BBAB" w14:textId="77777777" w:rsidR="007C6C75" w:rsidRPr="00524539" w:rsidRDefault="007C6C75" w:rsidP="007C6C75">
            <w:pPr>
              <w:pStyle w:val="TableText0"/>
              <w:keepLines/>
              <w:ind w:left="22" w:firstLine="13"/>
              <w:jc w:val="center"/>
              <w:rPr>
                <w:rFonts w:cs="Arial"/>
                <w:color w:val="000000"/>
              </w:rPr>
            </w:pPr>
            <w:r>
              <w:rPr>
                <w:rFonts w:cs="Arial"/>
                <w:color w:val="000000"/>
              </w:rPr>
              <w:t>100%</w:t>
            </w:r>
          </w:p>
        </w:tc>
        <w:tc>
          <w:tcPr>
            <w:tcW w:w="2410" w:type="dxa"/>
          </w:tcPr>
          <w:p w14:paraId="33016870" w14:textId="77777777" w:rsidR="007C6C75" w:rsidRPr="00DA6F52" w:rsidRDefault="007C6C75" w:rsidP="007C6C75">
            <w:pPr>
              <w:pStyle w:val="TableText0"/>
              <w:keepLines/>
              <w:ind w:left="22" w:firstLine="13"/>
              <w:jc w:val="left"/>
              <w:rPr>
                <w:szCs w:val="20"/>
              </w:rPr>
            </w:pPr>
            <w:r w:rsidRPr="00DA6F52">
              <w:rPr>
                <w:szCs w:val="20"/>
              </w:rPr>
              <w:t>Cost to the MBS</w:t>
            </w:r>
          </w:p>
        </w:tc>
        <w:tc>
          <w:tcPr>
            <w:tcW w:w="1020" w:type="dxa"/>
            <w:vAlign w:val="center"/>
          </w:tcPr>
          <w:p w14:paraId="581057F1" w14:textId="77777777" w:rsidR="007C6C75" w:rsidRDefault="007C6C75" w:rsidP="007C6C75">
            <w:pPr>
              <w:pStyle w:val="TableText0"/>
              <w:keepNext w:val="0"/>
              <w:ind w:hanging="142"/>
              <w:jc w:val="center"/>
              <w:rPr>
                <w:rFonts w:cs="Calibri"/>
                <w:color w:val="000000"/>
                <w:szCs w:val="20"/>
              </w:rPr>
            </w:pPr>
            <w:r>
              <w:rPr>
                <w:rFonts w:cs="Calibri"/>
                <w:color w:val="000000"/>
                <w:szCs w:val="20"/>
              </w:rPr>
              <w:t>$365,272</w:t>
            </w:r>
          </w:p>
        </w:tc>
        <w:tc>
          <w:tcPr>
            <w:tcW w:w="1021" w:type="dxa"/>
            <w:vAlign w:val="center"/>
          </w:tcPr>
          <w:p w14:paraId="060AAECB" w14:textId="77777777" w:rsidR="007C6C75" w:rsidRDefault="007C6C75" w:rsidP="007C6C75">
            <w:pPr>
              <w:pStyle w:val="TableText0"/>
              <w:keepNext w:val="0"/>
              <w:ind w:hanging="142"/>
              <w:jc w:val="center"/>
              <w:rPr>
                <w:rFonts w:cs="Calibri"/>
                <w:color w:val="000000"/>
                <w:szCs w:val="20"/>
              </w:rPr>
            </w:pPr>
            <w:r>
              <w:rPr>
                <w:rFonts w:cs="Calibri"/>
                <w:color w:val="000000"/>
                <w:szCs w:val="20"/>
              </w:rPr>
              <w:t>$652,643</w:t>
            </w:r>
          </w:p>
        </w:tc>
        <w:tc>
          <w:tcPr>
            <w:tcW w:w="1020" w:type="dxa"/>
            <w:vAlign w:val="center"/>
          </w:tcPr>
          <w:p w14:paraId="62E046FC" w14:textId="77777777" w:rsidR="007C6C75" w:rsidRDefault="007C6C75" w:rsidP="007C6C75">
            <w:pPr>
              <w:pStyle w:val="TableText0"/>
              <w:keepNext w:val="0"/>
              <w:ind w:hanging="142"/>
              <w:jc w:val="center"/>
              <w:rPr>
                <w:rFonts w:cs="Calibri"/>
                <w:color w:val="000000"/>
                <w:szCs w:val="20"/>
              </w:rPr>
            </w:pPr>
            <w:r>
              <w:rPr>
                <w:rFonts w:cs="Calibri"/>
                <w:color w:val="000000"/>
                <w:szCs w:val="20"/>
              </w:rPr>
              <w:t>$1,008,026</w:t>
            </w:r>
          </w:p>
        </w:tc>
        <w:tc>
          <w:tcPr>
            <w:tcW w:w="1021" w:type="dxa"/>
            <w:vAlign w:val="center"/>
          </w:tcPr>
          <w:p w14:paraId="511015F3" w14:textId="77777777" w:rsidR="007C6C75" w:rsidRDefault="007C6C75" w:rsidP="007C6C75">
            <w:pPr>
              <w:pStyle w:val="TableText0"/>
              <w:keepNext w:val="0"/>
              <w:ind w:hanging="142"/>
              <w:jc w:val="center"/>
              <w:rPr>
                <w:rFonts w:cs="Calibri"/>
                <w:color w:val="000000"/>
                <w:szCs w:val="20"/>
              </w:rPr>
            </w:pPr>
            <w:r>
              <w:rPr>
                <w:rFonts w:cs="Calibri"/>
                <w:color w:val="000000"/>
                <w:szCs w:val="20"/>
              </w:rPr>
              <w:t>$1,547,448</w:t>
            </w:r>
          </w:p>
        </w:tc>
        <w:tc>
          <w:tcPr>
            <w:tcW w:w="1021" w:type="dxa"/>
            <w:vAlign w:val="center"/>
          </w:tcPr>
          <w:p w14:paraId="7126F466" w14:textId="77777777" w:rsidR="007C6C75" w:rsidRDefault="007C6C75" w:rsidP="007C6C75">
            <w:pPr>
              <w:pStyle w:val="TableText0"/>
              <w:keepNext w:val="0"/>
              <w:ind w:hanging="142"/>
              <w:jc w:val="center"/>
              <w:rPr>
                <w:rFonts w:cs="Calibri"/>
                <w:color w:val="000000"/>
                <w:szCs w:val="20"/>
              </w:rPr>
            </w:pPr>
            <w:r>
              <w:rPr>
                <w:rFonts w:cs="Calibri"/>
                <w:color w:val="000000"/>
                <w:szCs w:val="20"/>
              </w:rPr>
              <w:t>$2,374,499</w:t>
            </w:r>
          </w:p>
        </w:tc>
      </w:tr>
      <w:tr w:rsidR="007C6C75" w:rsidRPr="005A6618" w14:paraId="659723E9" w14:textId="77777777" w:rsidTr="007C6C75">
        <w:trPr>
          <w:trHeight w:val="227"/>
        </w:trPr>
        <w:tc>
          <w:tcPr>
            <w:tcW w:w="1271" w:type="dxa"/>
            <w:vMerge/>
          </w:tcPr>
          <w:p w14:paraId="4C03F946" w14:textId="77777777" w:rsidR="007C6C75" w:rsidRPr="00524539" w:rsidRDefault="007C6C75" w:rsidP="007C6C75">
            <w:pPr>
              <w:pStyle w:val="TableText0"/>
              <w:keepLines/>
              <w:ind w:left="22" w:firstLine="13"/>
              <w:jc w:val="left"/>
              <w:rPr>
                <w:rFonts w:cs="Arial"/>
                <w:color w:val="000000"/>
              </w:rPr>
            </w:pPr>
          </w:p>
        </w:tc>
        <w:tc>
          <w:tcPr>
            <w:tcW w:w="573" w:type="dxa"/>
            <w:vMerge/>
          </w:tcPr>
          <w:p w14:paraId="4F7ECE5E" w14:textId="77777777" w:rsidR="007C6C75" w:rsidRPr="00524539" w:rsidRDefault="007C6C75" w:rsidP="007C6C75">
            <w:pPr>
              <w:pStyle w:val="TableText0"/>
              <w:keepLines/>
              <w:ind w:left="22" w:firstLine="13"/>
              <w:jc w:val="center"/>
              <w:rPr>
                <w:rFonts w:cs="Arial"/>
                <w:color w:val="000000"/>
              </w:rPr>
            </w:pPr>
          </w:p>
        </w:tc>
        <w:tc>
          <w:tcPr>
            <w:tcW w:w="2410" w:type="dxa"/>
          </w:tcPr>
          <w:p w14:paraId="4EBFC11E" w14:textId="77777777" w:rsidR="007C6C75" w:rsidRPr="00DA6F52" w:rsidRDefault="007C6C75" w:rsidP="007C6C75">
            <w:pPr>
              <w:pStyle w:val="TableText0"/>
              <w:keepLines/>
              <w:ind w:left="22" w:firstLine="13"/>
              <w:jc w:val="left"/>
              <w:rPr>
                <w:szCs w:val="20"/>
              </w:rPr>
            </w:pPr>
            <w:r w:rsidRPr="00DA6F52">
              <w:rPr>
                <w:szCs w:val="20"/>
              </w:rPr>
              <w:t>Cost to the healthcare budget</w:t>
            </w:r>
          </w:p>
        </w:tc>
        <w:tc>
          <w:tcPr>
            <w:tcW w:w="1020" w:type="dxa"/>
            <w:vAlign w:val="center"/>
          </w:tcPr>
          <w:p w14:paraId="2D6074FD" w14:textId="77777777" w:rsidR="007C6C75" w:rsidRDefault="007C6C75" w:rsidP="007C6C75">
            <w:pPr>
              <w:pStyle w:val="TableText0"/>
              <w:keepNext w:val="0"/>
              <w:ind w:hanging="142"/>
              <w:jc w:val="center"/>
              <w:rPr>
                <w:rFonts w:cs="Calibri"/>
                <w:color w:val="000000"/>
                <w:szCs w:val="20"/>
              </w:rPr>
            </w:pPr>
            <w:r>
              <w:rPr>
                <w:rFonts w:cs="Calibri"/>
                <w:color w:val="000000"/>
                <w:szCs w:val="20"/>
              </w:rPr>
              <w:t>$27,257</w:t>
            </w:r>
          </w:p>
        </w:tc>
        <w:tc>
          <w:tcPr>
            <w:tcW w:w="1021" w:type="dxa"/>
            <w:vAlign w:val="center"/>
          </w:tcPr>
          <w:p w14:paraId="6874E6A0" w14:textId="77777777" w:rsidR="007C6C75" w:rsidRDefault="007C6C75" w:rsidP="007C6C75">
            <w:pPr>
              <w:pStyle w:val="TableText0"/>
              <w:keepNext w:val="0"/>
              <w:ind w:hanging="142"/>
              <w:jc w:val="center"/>
              <w:rPr>
                <w:rFonts w:cs="Calibri"/>
                <w:color w:val="000000"/>
                <w:szCs w:val="20"/>
              </w:rPr>
            </w:pPr>
            <w:r>
              <w:rPr>
                <w:rFonts w:cs="Calibri"/>
                <w:color w:val="000000"/>
                <w:szCs w:val="20"/>
              </w:rPr>
              <w:t>$50,881</w:t>
            </w:r>
          </w:p>
        </w:tc>
        <w:tc>
          <w:tcPr>
            <w:tcW w:w="1020" w:type="dxa"/>
            <w:vAlign w:val="center"/>
          </w:tcPr>
          <w:p w14:paraId="67C0645C" w14:textId="77777777" w:rsidR="007C6C75" w:rsidRDefault="007C6C75" w:rsidP="007C6C75">
            <w:pPr>
              <w:pStyle w:val="TableText0"/>
              <w:keepNext w:val="0"/>
              <w:ind w:hanging="142"/>
              <w:jc w:val="center"/>
              <w:rPr>
                <w:rFonts w:cs="Calibri"/>
                <w:color w:val="000000"/>
                <w:szCs w:val="20"/>
              </w:rPr>
            </w:pPr>
            <w:r>
              <w:rPr>
                <w:rFonts w:cs="Calibri"/>
                <w:color w:val="000000"/>
                <w:szCs w:val="20"/>
              </w:rPr>
              <w:t>$76,321</w:t>
            </w:r>
          </w:p>
        </w:tc>
        <w:tc>
          <w:tcPr>
            <w:tcW w:w="1021" w:type="dxa"/>
            <w:vAlign w:val="center"/>
          </w:tcPr>
          <w:p w14:paraId="5AD70E43" w14:textId="77777777" w:rsidR="007C6C75" w:rsidRDefault="007C6C75" w:rsidP="007C6C75">
            <w:pPr>
              <w:pStyle w:val="TableText0"/>
              <w:keepNext w:val="0"/>
              <w:ind w:hanging="142"/>
              <w:jc w:val="center"/>
              <w:rPr>
                <w:rFonts w:cs="Calibri"/>
                <w:color w:val="000000"/>
                <w:szCs w:val="20"/>
              </w:rPr>
            </w:pPr>
            <w:r>
              <w:rPr>
                <w:rFonts w:cs="Calibri"/>
                <w:color w:val="000000"/>
                <w:szCs w:val="20"/>
              </w:rPr>
              <w:t>$116,298</w:t>
            </w:r>
          </w:p>
        </w:tc>
        <w:tc>
          <w:tcPr>
            <w:tcW w:w="1021" w:type="dxa"/>
            <w:vAlign w:val="center"/>
          </w:tcPr>
          <w:p w14:paraId="074B0F50" w14:textId="77777777" w:rsidR="007C6C75" w:rsidRDefault="007C6C75" w:rsidP="007C6C75">
            <w:pPr>
              <w:pStyle w:val="TableText0"/>
              <w:keepNext w:val="0"/>
              <w:ind w:hanging="142"/>
              <w:jc w:val="center"/>
              <w:rPr>
                <w:rFonts w:cs="Calibri"/>
                <w:color w:val="000000"/>
                <w:szCs w:val="20"/>
              </w:rPr>
            </w:pPr>
            <w:r>
              <w:rPr>
                <w:rFonts w:cs="Calibri"/>
                <w:color w:val="000000"/>
                <w:szCs w:val="20"/>
              </w:rPr>
              <w:t>$179,899</w:t>
            </w:r>
          </w:p>
        </w:tc>
      </w:tr>
      <w:tr w:rsidR="007C6C75" w:rsidRPr="005A6618" w14:paraId="17E71DBF" w14:textId="77777777" w:rsidTr="007C6C75">
        <w:trPr>
          <w:trHeight w:val="227"/>
        </w:trPr>
        <w:tc>
          <w:tcPr>
            <w:tcW w:w="1271" w:type="dxa"/>
            <w:vMerge/>
          </w:tcPr>
          <w:p w14:paraId="72499628" w14:textId="77777777" w:rsidR="007C6C75" w:rsidRPr="00524539" w:rsidRDefault="007C6C75" w:rsidP="007C6C75">
            <w:pPr>
              <w:pStyle w:val="TableText0"/>
              <w:keepLines/>
              <w:ind w:left="22" w:firstLine="13"/>
              <w:jc w:val="left"/>
              <w:rPr>
                <w:rFonts w:cs="Arial"/>
                <w:color w:val="000000"/>
              </w:rPr>
            </w:pPr>
          </w:p>
        </w:tc>
        <w:tc>
          <w:tcPr>
            <w:tcW w:w="573" w:type="dxa"/>
            <w:vMerge/>
          </w:tcPr>
          <w:p w14:paraId="0C1267AF" w14:textId="77777777" w:rsidR="007C6C75" w:rsidRPr="00524539" w:rsidRDefault="007C6C75" w:rsidP="007C6C75">
            <w:pPr>
              <w:pStyle w:val="TableText0"/>
              <w:keepLines/>
              <w:ind w:left="22" w:firstLine="13"/>
              <w:jc w:val="center"/>
              <w:rPr>
                <w:rFonts w:cs="Arial"/>
                <w:color w:val="000000"/>
              </w:rPr>
            </w:pPr>
          </w:p>
        </w:tc>
        <w:tc>
          <w:tcPr>
            <w:tcW w:w="2410" w:type="dxa"/>
          </w:tcPr>
          <w:p w14:paraId="39204E76" w14:textId="77777777" w:rsidR="007C6C75" w:rsidRPr="00DA6F52" w:rsidRDefault="007C6C75" w:rsidP="007C6C75">
            <w:pPr>
              <w:pStyle w:val="TableText0"/>
              <w:keepLines/>
              <w:ind w:left="22" w:firstLine="13"/>
              <w:jc w:val="left"/>
              <w:rPr>
                <w:szCs w:val="20"/>
              </w:rPr>
            </w:pPr>
            <w:r w:rsidRPr="00DA6F52">
              <w:rPr>
                <w:szCs w:val="20"/>
              </w:rPr>
              <w:t>Total financial implications</w:t>
            </w:r>
          </w:p>
        </w:tc>
        <w:tc>
          <w:tcPr>
            <w:tcW w:w="1020" w:type="dxa"/>
            <w:vAlign w:val="center"/>
          </w:tcPr>
          <w:p w14:paraId="276ECCF3" w14:textId="77777777" w:rsidR="007C6C75" w:rsidRDefault="007C6C75" w:rsidP="007C6C75">
            <w:pPr>
              <w:pStyle w:val="TableText0"/>
              <w:keepNext w:val="0"/>
              <w:ind w:hanging="142"/>
              <w:jc w:val="center"/>
              <w:rPr>
                <w:rFonts w:cs="Calibri"/>
                <w:color w:val="000000"/>
                <w:szCs w:val="20"/>
              </w:rPr>
            </w:pPr>
            <w:r>
              <w:rPr>
                <w:rFonts w:cs="Calibri"/>
                <w:color w:val="000000"/>
                <w:szCs w:val="20"/>
              </w:rPr>
              <w:t>$392,529</w:t>
            </w:r>
          </w:p>
        </w:tc>
        <w:tc>
          <w:tcPr>
            <w:tcW w:w="1021" w:type="dxa"/>
            <w:vAlign w:val="center"/>
          </w:tcPr>
          <w:p w14:paraId="60B95613" w14:textId="77777777" w:rsidR="007C6C75" w:rsidRDefault="007C6C75" w:rsidP="007C6C75">
            <w:pPr>
              <w:pStyle w:val="TableText0"/>
              <w:keepNext w:val="0"/>
              <w:ind w:hanging="142"/>
              <w:jc w:val="center"/>
              <w:rPr>
                <w:rFonts w:cs="Calibri"/>
                <w:color w:val="000000"/>
                <w:szCs w:val="20"/>
              </w:rPr>
            </w:pPr>
            <w:r>
              <w:rPr>
                <w:rFonts w:cs="Calibri"/>
                <w:color w:val="000000"/>
                <w:szCs w:val="20"/>
              </w:rPr>
              <w:t>$703,524</w:t>
            </w:r>
          </w:p>
        </w:tc>
        <w:tc>
          <w:tcPr>
            <w:tcW w:w="1020" w:type="dxa"/>
            <w:vAlign w:val="center"/>
          </w:tcPr>
          <w:p w14:paraId="412801E6" w14:textId="77777777" w:rsidR="007C6C75" w:rsidRDefault="007C6C75" w:rsidP="007C6C75">
            <w:pPr>
              <w:pStyle w:val="TableText0"/>
              <w:keepNext w:val="0"/>
              <w:ind w:hanging="142"/>
              <w:jc w:val="center"/>
              <w:rPr>
                <w:rFonts w:cs="Calibri"/>
                <w:color w:val="000000"/>
                <w:szCs w:val="20"/>
              </w:rPr>
            </w:pPr>
            <w:r>
              <w:rPr>
                <w:rFonts w:cs="Calibri"/>
                <w:color w:val="000000"/>
                <w:szCs w:val="20"/>
              </w:rPr>
              <w:t>$1,084,347</w:t>
            </w:r>
          </w:p>
        </w:tc>
        <w:tc>
          <w:tcPr>
            <w:tcW w:w="1021" w:type="dxa"/>
            <w:vAlign w:val="center"/>
          </w:tcPr>
          <w:p w14:paraId="36DDBD15" w14:textId="77777777" w:rsidR="007C6C75" w:rsidRDefault="007C6C75" w:rsidP="007C6C75">
            <w:pPr>
              <w:pStyle w:val="TableText0"/>
              <w:keepNext w:val="0"/>
              <w:ind w:hanging="142"/>
              <w:jc w:val="center"/>
              <w:rPr>
                <w:rFonts w:cs="Calibri"/>
                <w:color w:val="000000"/>
                <w:szCs w:val="20"/>
              </w:rPr>
            </w:pPr>
            <w:r>
              <w:rPr>
                <w:rFonts w:cs="Calibri"/>
                <w:color w:val="000000"/>
                <w:szCs w:val="20"/>
              </w:rPr>
              <w:t>$1,663,747</w:t>
            </w:r>
          </w:p>
        </w:tc>
        <w:tc>
          <w:tcPr>
            <w:tcW w:w="1021" w:type="dxa"/>
            <w:vAlign w:val="center"/>
          </w:tcPr>
          <w:p w14:paraId="73AB9103" w14:textId="77777777" w:rsidR="007C6C75" w:rsidRDefault="007C6C75" w:rsidP="007C6C75">
            <w:pPr>
              <w:pStyle w:val="TableText0"/>
              <w:keepNext w:val="0"/>
              <w:ind w:hanging="142"/>
              <w:jc w:val="center"/>
              <w:rPr>
                <w:rFonts w:cs="Calibri"/>
                <w:color w:val="000000"/>
                <w:szCs w:val="20"/>
              </w:rPr>
            </w:pPr>
            <w:r>
              <w:rPr>
                <w:rFonts w:cs="Calibri"/>
                <w:color w:val="000000"/>
                <w:szCs w:val="20"/>
              </w:rPr>
              <w:t>$2,554,398</w:t>
            </w:r>
          </w:p>
        </w:tc>
      </w:tr>
      <w:tr w:rsidR="007C6C75" w:rsidRPr="005A6618" w14:paraId="5E16120C" w14:textId="77777777" w:rsidTr="007C6C75">
        <w:trPr>
          <w:trHeight w:val="227"/>
          <w:tblHeader/>
        </w:trPr>
        <w:tc>
          <w:tcPr>
            <w:tcW w:w="1271" w:type="dxa"/>
            <w:tcBorders>
              <w:bottom w:val="single" w:sz="4" w:space="0" w:color="auto"/>
            </w:tcBorders>
            <w:vAlign w:val="center"/>
          </w:tcPr>
          <w:p w14:paraId="26C2165A" w14:textId="77777777" w:rsidR="007C6C75" w:rsidRPr="006C1A6B" w:rsidRDefault="007C6C75" w:rsidP="007C6C75">
            <w:pPr>
              <w:pStyle w:val="TableText0"/>
              <w:keepLines/>
              <w:jc w:val="left"/>
              <w:rPr>
                <w:b/>
              </w:rPr>
            </w:pPr>
            <w:r>
              <w:rPr>
                <w:b/>
              </w:rPr>
              <w:t>Scenario</w:t>
            </w:r>
            <w:r w:rsidRPr="006C1A6B">
              <w:rPr>
                <w:b/>
              </w:rPr>
              <w:t xml:space="preserve"> </w:t>
            </w:r>
            <w:r>
              <w:rPr>
                <w:b/>
              </w:rPr>
              <w:t>tested</w:t>
            </w:r>
          </w:p>
        </w:tc>
        <w:tc>
          <w:tcPr>
            <w:tcW w:w="573" w:type="dxa"/>
            <w:tcBorders>
              <w:bottom w:val="single" w:sz="4" w:space="0" w:color="auto"/>
            </w:tcBorders>
            <w:vAlign w:val="center"/>
          </w:tcPr>
          <w:p w14:paraId="7EE0380F" w14:textId="77777777" w:rsidR="007C6C75" w:rsidRPr="006C1A6B" w:rsidRDefault="007C6C75" w:rsidP="007C6C75">
            <w:pPr>
              <w:pStyle w:val="TableText0"/>
              <w:keepLines/>
              <w:jc w:val="center"/>
              <w:rPr>
                <w:b/>
              </w:rPr>
            </w:pPr>
            <w:r w:rsidRPr="006C1A6B">
              <w:rPr>
                <w:b/>
              </w:rPr>
              <w:t>Value</w:t>
            </w:r>
          </w:p>
        </w:tc>
        <w:tc>
          <w:tcPr>
            <w:tcW w:w="2410" w:type="dxa"/>
            <w:tcBorders>
              <w:bottom w:val="single" w:sz="4" w:space="0" w:color="auto"/>
            </w:tcBorders>
            <w:vAlign w:val="center"/>
          </w:tcPr>
          <w:p w14:paraId="7AD38E95" w14:textId="77777777" w:rsidR="007C6C75" w:rsidRPr="006C1A6B" w:rsidRDefault="007C6C75" w:rsidP="007C6C75">
            <w:pPr>
              <w:pStyle w:val="TableText0"/>
              <w:keepLines/>
              <w:jc w:val="left"/>
              <w:rPr>
                <w:b/>
              </w:rPr>
            </w:pPr>
          </w:p>
        </w:tc>
        <w:tc>
          <w:tcPr>
            <w:tcW w:w="1020" w:type="dxa"/>
            <w:tcBorders>
              <w:bottom w:val="single" w:sz="4" w:space="0" w:color="auto"/>
            </w:tcBorders>
            <w:vAlign w:val="center"/>
          </w:tcPr>
          <w:p w14:paraId="2111E324" w14:textId="77777777" w:rsidR="007C6C75" w:rsidRPr="00D467CC" w:rsidRDefault="007C6C75" w:rsidP="007C6C75">
            <w:pPr>
              <w:pStyle w:val="TableText0"/>
              <w:keepLines/>
              <w:jc w:val="center"/>
              <w:rPr>
                <w:szCs w:val="20"/>
              </w:rPr>
            </w:pPr>
            <w:r w:rsidRPr="00D467CC">
              <w:rPr>
                <w:b/>
              </w:rPr>
              <w:t>2021</w:t>
            </w:r>
          </w:p>
        </w:tc>
        <w:tc>
          <w:tcPr>
            <w:tcW w:w="1021" w:type="dxa"/>
            <w:tcBorders>
              <w:bottom w:val="single" w:sz="4" w:space="0" w:color="auto"/>
            </w:tcBorders>
            <w:vAlign w:val="center"/>
          </w:tcPr>
          <w:p w14:paraId="46439D0A" w14:textId="77777777" w:rsidR="007C6C75" w:rsidRPr="00D467CC" w:rsidRDefault="007C6C75" w:rsidP="007C6C75">
            <w:pPr>
              <w:pStyle w:val="TableText0"/>
              <w:keepLines/>
              <w:jc w:val="center"/>
              <w:rPr>
                <w:szCs w:val="20"/>
              </w:rPr>
            </w:pPr>
            <w:r w:rsidRPr="00D467CC">
              <w:rPr>
                <w:b/>
              </w:rPr>
              <w:t>2022</w:t>
            </w:r>
          </w:p>
        </w:tc>
        <w:tc>
          <w:tcPr>
            <w:tcW w:w="1020" w:type="dxa"/>
            <w:tcBorders>
              <w:bottom w:val="single" w:sz="4" w:space="0" w:color="auto"/>
            </w:tcBorders>
            <w:vAlign w:val="center"/>
          </w:tcPr>
          <w:p w14:paraId="2AEC74FB" w14:textId="77777777" w:rsidR="007C6C75" w:rsidRPr="00D467CC" w:rsidRDefault="007C6C75" w:rsidP="007C6C75">
            <w:pPr>
              <w:pStyle w:val="TableText0"/>
              <w:keepLines/>
              <w:jc w:val="center"/>
              <w:rPr>
                <w:szCs w:val="20"/>
              </w:rPr>
            </w:pPr>
            <w:r w:rsidRPr="00D467CC">
              <w:rPr>
                <w:b/>
              </w:rPr>
              <w:t>2023</w:t>
            </w:r>
          </w:p>
        </w:tc>
        <w:tc>
          <w:tcPr>
            <w:tcW w:w="1021" w:type="dxa"/>
            <w:tcBorders>
              <w:bottom w:val="single" w:sz="4" w:space="0" w:color="auto"/>
            </w:tcBorders>
            <w:vAlign w:val="center"/>
          </w:tcPr>
          <w:p w14:paraId="4C508DAF" w14:textId="77777777" w:rsidR="007C6C75" w:rsidRPr="00D467CC" w:rsidRDefault="007C6C75" w:rsidP="007C6C75">
            <w:pPr>
              <w:pStyle w:val="TableText0"/>
              <w:keepLines/>
              <w:jc w:val="center"/>
              <w:rPr>
                <w:szCs w:val="20"/>
              </w:rPr>
            </w:pPr>
            <w:r w:rsidRPr="00D467CC">
              <w:rPr>
                <w:b/>
              </w:rPr>
              <w:t>2024</w:t>
            </w:r>
          </w:p>
        </w:tc>
        <w:tc>
          <w:tcPr>
            <w:tcW w:w="1021" w:type="dxa"/>
            <w:tcBorders>
              <w:bottom w:val="single" w:sz="4" w:space="0" w:color="auto"/>
            </w:tcBorders>
            <w:vAlign w:val="center"/>
          </w:tcPr>
          <w:p w14:paraId="49585DDF" w14:textId="77777777" w:rsidR="007C6C75" w:rsidRPr="00D467CC" w:rsidRDefault="007C6C75" w:rsidP="007C6C75">
            <w:pPr>
              <w:pStyle w:val="TableText0"/>
              <w:keepLines/>
              <w:jc w:val="center"/>
              <w:rPr>
                <w:szCs w:val="20"/>
              </w:rPr>
            </w:pPr>
            <w:r w:rsidRPr="00D467CC">
              <w:rPr>
                <w:b/>
              </w:rPr>
              <w:t>2025</w:t>
            </w:r>
          </w:p>
        </w:tc>
      </w:tr>
      <w:tr w:rsidR="007C6C75" w:rsidRPr="005A6618" w14:paraId="150F42BF" w14:textId="77777777" w:rsidTr="007C6C75">
        <w:trPr>
          <w:trHeight w:val="227"/>
        </w:trPr>
        <w:tc>
          <w:tcPr>
            <w:tcW w:w="1271" w:type="dxa"/>
            <w:vMerge w:val="restart"/>
          </w:tcPr>
          <w:p w14:paraId="0FBF2EA1" w14:textId="77777777" w:rsidR="007C6C75" w:rsidRPr="00524539" w:rsidRDefault="007C6C75" w:rsidP="007C6C75">
            <w:pPr>
              <w:pStyle w:val="TableText0"/>
              <w:keepLines/>
              <w:ind w:left="22" w:firstLine="13"/>
              <w:jc w:val="left"/>
              <w:rPr>
                <w:rFonts w:cs="Arial"/>
                <w:color w:val="000000"/>
              </w:rPr>
            </w:pPr>
            <w:r w:rsidRPr="00D912DD">
              <w:rPr>
                <w:rFonts w:cs="Arial"/>
                <w:color w:val="000000"/>
              </w:rPr>
              <w:t xml:space="preserve">Participation progression to colposcopy </w:t>
            </w:r>
            <w:r w:rsidRPr="00E44C0A">
              <w:rPr>
                <w:rFonts w:cs="Arial"/>
                <w:b/>
                <w:color w:val="000000"/>
              </w:rPr>
              <w:t>(base case 100%)</w:t>
            </w:r>
          </w:p>
        </w:tc>
        <w:tc>
          <w:tcPr>
            <w:tcW w:w="573" w:type="dxa"/>
            <w:vMerge w:val="restart"/>
          </w:tcPr>
          <w:p w14:paraId="346C88EB" w14:textId="77777777" w:rsidR="007C6C75" w:rsidRPr="00524539" w:rsidRDefault="007C6C75" w:rsidP="007C6C75">
            <w:pPr>
              <w:pStyle w:val="TableText0"/>
              <w:keepLines/>
              <w:ind w:left="22" w:firstLine="13"/>
              <w:jc w:val="center"/>
              <w:rPr>
                <w:rFonts w:cs="Arial"/>
                <w:color w:val="000000"/>
              </w:rPr>
            </w:pPr>
            <w:r>
              <w:rPr>
                <w:rFonts w:cs="Arial"/>
                <w:color w:val="000000"/>
              </w:rPr>
              <w:t>20%</w:t>
            </w:r>
          </w:p>
        </w:tc>
        <w:tc>
          <w:tcPr>
            <w:tcW w:w="2410" w:type="dxa"/>
            <w:tcBorders>
              <w:bottom w:val="single" w:sz="4" w:space="0" w:color="auto"/>
            </w:tcBorders>
          </w:tcPr>
          <w:p w14:paraId="42CD5C37" w14:textId="77777777" w:rsidR="007C6C75" w:rsidRPr="00DA6F52" w:rsidRDefault="007C6C75" w:rsidP="007C6C75">
            <w:pPr>
              <w:pStyle w:val="TableText0"/>
              <w:keepLines/>
              <w:ind w:left="22" w:firstLine="13"/>
              <w:jc w:val="left"/>
              <w:rPr>
                <w:szCs w:val="20"/>
              </w:rPr>
            </w:pPr>
            <w:r w:rsidRPr="00D672AE">
              <w:rPr>
                <w:rFonts w:cs="Arial"/>
                <w:color w:val="000000"/>
                <w:szCs w:val="20"/>
              </w:rPr>
              <w:t xml:space="preserve">Cost to </w:t>
            </w:r>
            <w:r w:rsidRPr="00FE40D5">
              <w:rPr>
                <w:rFonts w:cs="Arial"/>
                <w:color w:val="000000"/>
                <w:szCs w:val="20"/>
              </w:rPr>
              <w:t>the MBS</w:t>
            </w:r>
          </w:p>
        </w:tc>
        <w:tc>
          <w:tcPr>
            <w:tcW w:w="1020" w:type="dxa"/>
            <w:tcBorders>
              <w:bottom w:val="single" w:sz="4" w:space="0" w:color="auto"/>
            </w:tcBorders>
            <w:vAlign w:val="center"/>
          </w:tcPr>
          <w:p w14:paraId="5B577056" w14:textId="77777777" w:rsidR="007C6C75" w:rsidRDefault="007C6C75" w:rsidP="007C6C75">
            <w:pPr>
              <w:pStyle w:val="TableText0"/>
              <w:keepNext w:val="0"/>
              <w:ind w:hanging="142"/>
              <w:jc w:val="center"/>
              <w:rPr>
                <w:rFonts w:cs="Calibri"/>
                <w:color w:val="000000"/>
                <w:szCs w:val="20"/>
              </w:rPr>
            </w:pPr>
            <w:r>
              <w:rPr>
                <w:rFonts w:cs="Calibri"/>
                <w:color w:val="000000"/>
                <w:szCs w:val="20"/>
              </w:rPr>
              <w:t>$308,149</w:t>
            </w:r>
          </w:p>
        </w:tc>
        <w:tc>
          <w:tcPr>
            <w:tcW w:w="1021" w:type="dxa"/>
            <w:tcBorders>
              <w:bottom w:val="single" w:sz="4" w:space="0" w:color="auto"/>
            </w:tcBorders>
            <w:vAlign w:val="center"/>
          </w:tcPr>
          <w:p w14:paraId="447D8296" w14:textId="77777777" w:rsidR="007C6C75" w:rsidRDefault="007C6C75" w:rsidP="007C6C75">
            <w:pPr>
              <w:pStyle w:val="TableText0"/>
              <w:keepNext w:val="0"/>
              <w:ind w:hanging="142"/>
              <w:jc w:val="center"/>
              <w:rPr>
                <w:rFonts w:cs="Calibri"/>
                <w:color w:val="000000"/>
                <w:szCs w:val="20"/>
              </w:rPr>
            </w:pPr>
            <w:r>
              <w:rPr>
                <w:rFonts w:cs="Calibri"/>
                <w:color w:val="000000"/>
                <w:szCs w:val="20"/>
              </w:rPr>
              <w:t>$479,339</w:t>
            </w:r>
          </w:p>
        </w:tc>
        <w:tc>
          <w:tcPr>
            <w:tcW w:w="1020" w:type="dxa"/>
            <w:tcBorders>
              <w:bottom w:val="single" w:sz="4" w:space="0" w:color="auto"/>
            </w:tcBorders>
            <w:vAlign w:val="center"/>
          </w:tcPr>
          <w:p w14:paraId="1E078B30" w14:textId="77777777" w:rsidR="007C6C75" w:rsidRDefault="007C6C75" w:rsidP="007C6C75">
            <w:pPr>
              <w:pStyle w:val="TableText0"/>
              <w:keepNext w:val="0"/>
              <w:ind w:hanging="142"/>
              <w:jc w:val="center"/>
              <w:rPr>
                <w:rFonts w:cs="Calibri"/>
                <w:color w:val="000000"/>
                <w:szCs w:val="20"/>
              </w:rPr>
            </w:pPr>
            <w:r>
              <w:rPr>
                <w:rFonts w:cs="Calibri"/>
                <w:color w:val="000000"/>
                <w:szCs w:val="20"/>
              </w:rPr>
              <w:t>$739,456</w:t>
            </w:r>
          </w:p>
        </w:tc>
        <w:tc>
          <w:tcPr>
            <w:tcW w:w="1021" w:type="dxa"/>
            <w:tcBorders>
              <w:bottom w:val="single" w:sz="4" w:space="0" w:color="auto"/>
            </w:tcBorders>
            <w:vAlign w:val="center"/>
          </w:tcPr>
          <w:p w14:paraId="227369FC" w14:textId="77777777" w:rsidR="007C6C75" w:rsidRDefault="007C6C75" w:rsidP="007C6C75">
            <w:pPr>
              <w:pStyle w:val="TableText0"/>
              <w:keepNext w:val="0"/>
              <w:ind w:hanging="142"/>
              <w:jc w:val="center"/>
              <w:rPr>
                <w:rFonts w:cs="Calibri"/>
                <w:color w:val="000000"/>
                <w:szCs w:val="20"/>
              </w:rPr>
            </w:pPr>
            <w:r>
              <w:rPr>
                <w:rFonts w:cs="Calibri"/>
                <w:color w:val="000000"/>
                <w:szCs w:val="20"/>
              </w:rPr>
              <w:t>$1,136,001</w:t>
            </w:r>
          </w:p>
        </w:tc>
        <w:tc>
          <w:tcPr>
            <w:tcW w:w="1021" w:type="dxa"/>
            <w:tcBorders>
              <w:bottom w:val="single" w:sz="4" w:space="0" w:color="auto"/>
            </w:tcBorders>
            <w:vAlign w:val="center"/>
          </w:tcPr>
          <w:p w14:paraId="40B5AF34" w14:textId="77777777" w:rsidR="007C6C75" w:rsidRDefault="007C6C75" w:rsidP="007C6C75">
            <w:pPr>
              <w:pStyle w:val="TableText0"/>
              <w:keepNext w:val="0"/>
              <w:ind w:hanging="142"/>
              <w:jc w:val="center"/>
              <w:rPr>
                <w:rFonts w:cs="Calibri"/>
                <w:color w:val="000000"/>
                <w:szCs w:val="20"/>
              </w:rPr>
            </w:pPr>
            <w:r>
              <w:rPr>
                <w:rFonts w:cs="Calibri"/>
                <w:color w:val="000000"/>
                <w:szCs w:val="20"/>
              </w:rPr>
              <w:t>$1,743,064</w:t>
            </w:r>
          </w:p>
        </w:tc>
      </w:tr>
      <w:tr w:rsidR="007C6C75" w:rsidRPr="005A6618" w14:paraId="6B22FCDE" w14:textId="77777777" w:rsidTr="007C6C75">
        <w:trPr>
          <w:trHeight w:val="227"/>
        </w:trPr>
        <w:tc>
          <w:tcPr>
            <w:tcW w:w="1271" w:type="dxa"/>
            <w:vMerge/>
          </w:tcPr>
          <w:p w14:paraId="05805F99" w14:textId="77777777" w:rsidR="007C6C75" w:rsidRPr="00D912DD" w:rsidRDefault="007C6C75" w:rsidP="007C6C75">
            <w:pPr>
              <w:pStyle w:val="TableText0"/>
              <w:keepLines/>
              <w:ind w:left="22" w:firstLine="13"/>
              <w:jc w:val="left"/>
              <w:rPr>
                <w:rFonts w:cs="Arial"/>
                <w:color w:val="000000"/>
              </w:rPr>
            </w:pPr>
          </w:p>
        </w:tc>
        <w:tc>
          <w:tcPr>
            <w:tcW w:w="573" w:type="dxa"/>
            <w:vMerge/>
          </w:tcPr>
          <w:p w14:paraId="28E02BA1"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3AF6780F" w14:textId="77777777" w:rsidR="007C6C75" w:rsidRPr="00DA6F52" w:rsidRDefault="007C6C75" w:rsidP="007C6C75">
            <w:pPr>
              <w:pStyle w:val="TableText0"/>
              <w:keepLines/>
              <w:ind w:left="22" w:firstLine="13"/>
              <w:jc w:val="left"/>
              <w:rPr>
                <w:szCs w:val="20"/>
              </w:rPr>
            </w:pPr>
            <w:r w:rsidRPr="00D672AE">
              <w:rPr>
                <w:rFonts w:cs="Arial"/>
                <w:color w:val="000000"/>
                <w:szCs w:val="20"/>
              </w:rPr>
              <w:t>Cost to the healthcare budget</w:t>
            </w:r>
          </w:p>
        </w:tc>
        <w:tc>
          <w:tcPr>
            <w:tcW w:w="1020" w:type="dxa"/>
            <w:tcBorders>
              <w:bottom w:val="single" w:sz="4" w:space="0" w:color="auto"/>
            </w:tcBorders>
            <w:vAlign w:val="center"/>
          </w:tcPr>
          <w:p w14:paraId="1C68B69C" w14:textId="77777777" w:rsidR="007C6C75" w:rsidRDefault="007C6C75" w:rsidP="007C6C75">
            <w:pPr>
              <w:pStyle w:val="TableText0"/>
              <w:keepNext w:val="0"/>
              <w:ind w:hanging="142"/>
              <w:jc w:val="center"/>
              <w:rPr>
                <w:rFonts w:cs="Calibri"/>
                <w:color w:val="000000"/>
                <w:szCs w:val="20"/>
              </w:rPr>
            </w:pPr>
            <w:r>
              <w:rPr>
                <w:rFonts w:cs="Calibri"/>
                <w:color w:val="000000"/>
                <w:szCs w:val="20"/>
              </w:rPr>
              <w:t>$3,634</w:t>
            </w:r>
          </w:p>
        </w:tc>
        <w:tc>
          <w:tcPr>
            <w:tcW w:w="1021" w:type="dxa"/>
            <w:tcBorders>
              <w:bottom w:val="single" w:sz="4" w:space="0" w:color="auto"/>
            </w:tcBorders>
            <w:vAlign w:val="center"/>
          </w:tcPr>
          <w:p w14:paraId="78324C5F" w14:textId="77777777" w:rsidR="007C6C75" w:rsidRDefault="007C6C75" w:rsidP="007C6C75">
            <w:pPr>
              <w:pStyle w:val="TableText0"/>
              <w:keepNext w:val="0"/>
              <w:ind w:hanging="142"/>
              <w:jc w:val="center"/>
              <w:rPr>
                <w:rFonts w:cs="Calibri"/>
                <w:color w:val="000000"/>
                <w:szCs w:val="20"/>
              </w:rPr>
            </w:pPr>
            <w:r>
              <w:rPr>
                <w:rFonts w:cs="Calibri"/>
                <w:color w:val="000000"/>
                <w:szCs w:val="20"/>
              </w:rPr>
              <w:t>$4,543</w:t>
            </w:r>
          </w:p>
        </w:tc>
        <w:tc>
          <w:tcPr>
            <w:tcW w:w="1020" w:type="dxa"/>
            <w:tcBorders>
              <w:bottom w:val="single" w:sz="4" w:space="0" w:color="auto"/>
            </w:tcBorders>
            <w:vAlign w:val="center"/>
          </w:tcPr>
          <w:p w14:paraId="3CA8C037" w14:textId="77777777" w:rsidR="007C6C75" w:rsidRDefault="007C6C75" w:rsidP="007C6C75">
            <w:pPr>
              <w:pStyle w:val="TableText0"/>
              <w:keepNext w:val="0"/>
              <w:ind w:hanging="142"/>
              <w:jc w:val="center"/>
              <w:rPr>
                <w:rFonts w:cs="Calibri"/>
                <w:color w:val="000000"/>
                <w:szCs w:val="20"/>
              </w:rPr>
            </w:pPr>
            <w:r>
              <w:rPr>
                <w:rFonts w:cs="Calibri"/>
                <w:color w:val="000000"/>
                <w:szCs w:val="20"/>
              </w:rPr>
              <w:t>$9,086</w:t>
            </w:r>
          </w:p>
        </w:tc>
        <w:tc>
          <w:tcPr>
            <w:tcW w:w="1021" w:type="dxa"/>
            <w:tcBorders>
              <w:bottom w:val="single" w:sz="4" w:space="0" w:color="auto"/>
            </w:tcBorders>
            <w:vAlign w:val="center"/>
          </w:tcPr>
          <w:p w14:paraId="30E2C071" w14:textId="77777777" w:rsidR="007C6C75" w:rsidRDefault="007C6C75" w:rsidP="007C6C75">
            <w:pPr>
              <w:pStyle w:val="TableText0"/>
              <w:keepNext w:val="0"/>
              <w:ind w:hanging="142"/>
              <w:jc w:val="center"/>
              <w:rPr>
                <w:rFonts w:cs="Calibri"/>
                <w:color w:val="000000"/>
                <w:szCs w:val="20"/>
              </w:rPr>
            </w:pPr>
            <w:r>
              <w:rPr>
                <w:rFonts w:cs="Calibri"/>
                <w:color w:val="000000"/>
                <w:szCs w:val="20"/>
              </w:rPr>
              <w:t>$14,537</w:t>
            </w:r>
          </w:p>
        </w:tc>
        <w:tc>
          <w:tcPr>
            <w:tcW w:w="1021" w:type="dxa"/>
            <w:tcBorders>
              <w:bottom w:val="single" w:sz="4" w:space="0" w:color="auto"/>
            </w:tcBorders>
            <w:vAlign w:val="center"/>
          </w:tcPr>
          <w:p w14:paraId="05FD8D50" w14:textId="77777777" w:rsidR="007C6C75" w:rsidRDefault="007C6C75" w:rsidP="007C6C75">
            <w:pPr>
              <w:pStyle w:val="TableText0"/>
              <w:keepNext w:val="0"/>
              <w:ind w:hanging="142"/>
              <w:jc w:val="center"/>
              <w:rPr>
                <w:rFonts w:cs="Calibri"/>
                <w:color w:val="000000"/>
                <w:szCs w:val="20"/>
              </w:rPr>
            </w:pPr>
            <w:r>
              <w:rPr>
                <w:rFonts w:cs="Calibri"/>
                <w:color w:val="000000"/>
                <w:szCs w:val="20"/>
              </w:rPr>
              <w:t>$20,897</w:t>
            </w:r>
          </w:p>
        </w:tc>
      </w:tr>
      <w:tr w:rsidR="007C6C75" w:rsidRPr="005A6618" w14:paraId="4D673715" w14:textId="77777777" w:rsidTr="007C6C75">
        <w:trPr>
          <w:trHeight w:val="227"/>
        </w:trPr>
        <w:tc>
          <w:tcPr>
            <w:tcW w:w="1271" w:type="dxa"/>
            <w:vMerge/>
          </w:tcPr>
          <w:p w14:paraId="384BC370" w14:textId="77777777" w:rsidR="007C6C75" w:rsidRPr="00D912DD" w:rsidRDefault="007C6C75" w:rsidP="007C6C75">
            <w:pPr>
              <w:pStyle w:val="TableText0"/>
              <w:keepLines/>
              <w:ind w:left="22" w:firstLine="13"/>
              <w:jc w:val="left"/>
              <w:rPr>
                <w:rFonts w:cs="Arial"/>
                <w:color w:val="000000"/>
              </w:rPr>
            </w:pPr>
          </w:p>
        </w:tc>
        <w:tc>
          <w:tcPr>
            <w:tcW w:w="573" w:type="dxa"/>
            <w:vMerge/>
            <w:tcBorders>
              <w:bottom w:val="single" w:sz="4" w:space="0" w:color="auto"/>
            </w:tcBorders>
          </w:tcPr>
          <w:p w14:paraId="4D958404"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7BF66F9B" w14:textId="77777777" w:rsidR="007C6C75" w:rsidRPr="00DA6F52" w:rsidRDefault="007C6C75" w:rsidP="007C6C75">
            <w:pPr>
              <w:pStyle w:val="TableText0"/>
              <w:keepLines/>
              <w:ind w:left="22" w:firstLine="13"/>
              <w:jc w:val="left"/>
              <w:rPr>
                <w:szCs w:val="20"/>
              </w:rPr>
            </w:pPr>
            <w:r w:rsidRPr="00D672AE">
              <w:rPr>
                <w:szCs w:val="20"/>
              </w:rPr>
              <w:t>Total f</w:t>
            </w:r>
            <w:r w:rsidRPr="00FE40D5">
              <w:rPr>
                <w:szCs w:val="20"/>
              </w:rPr>
              <w:t>inancial implications</w:t>
            </w:r>
          </w:p>
        </w:tc>
        <w:tc>
          <w:tcPr>
            <w:tcW w:w="1020" w:type="dxa"/>
            <w:tcBorders>
              <w:bottom w:val="single" w:sz="4" w:space="0" w:color="auto"/>
            </w:tcBorders>
            <w:vAlign w:val="center"/>
          </w:tcPr>
          <w:p w14:paraId="38248B90" w14:textId="77777777" w:rsidR="007C6C75" w:rsidRDefault="007C6C75" w:rsidP="007C6C75">
            <w:pPr>
              <w:pStyle w:val="TableText0"/>
              <w:keepNext w:val="0"/>
              <w:ind w:hanging="142"/>
              <w:jc w:val="center"/>
              <w:rPr>
                <w:rFonts w:cs="Calibri"/>
                <w:color w:val="000000"/>
                <w:szCs w:val="20"/>
              </w:rPr>
            </w:pPr>
            <w:r>
              <w:rPr>
                <w:rFonts w:cs="Calibri"/>
                <w:color w:val="000000"/>
                <w:szCs w:val="20"/>
              </w:rPr>
              <w:t>$311,784</w:t>
            </w:r>
          </w:p>
        </w:tc>
        <w:tc>
          <w:tcPr>
            <w:tcW w:w="1021" w:type="dxa"/>
            <w:tcBorders>
              <w:bottom w:val="single" w:sz="4" w:space="0" w:color="auto"/>
            </w:tcBorders>
            <w:vAlign w:val="center"/>
          </w:tcPr>
          <w:p w14:paraId="6D0AEFB2" w14:textId="77777777" w:rsidR="007C6C75" w:rsidRDefault="007C6C75" w:rsidP="007C6C75">
            <w:pPr>
              <w:pStyle w:val="TableText0"/>
              <w:keepNext w:val="0"/>
              <w:ind w:hanging="142"/>
              <w:jc w:val="center"/>
              <w:rPr>
                <w:rFonts w:cs="Calibri"/>
                <w:color w:val="000000"/>
                <w:szCs w:val="20"/>
              </w:rPr>
            </w:pPr>
            <w:r>
              <w:rPr>
                <w:rFonts w:cs="Calibri"/>
                <w:color w:val="000000"/>
                <w:szCs w:val="20"/>
              </w:rPr>
              <w:t>$483,882</w:t>
            </w:r>
          </w:p>
        </w:tc>
        <w:tc>
          <w:tcPr>
            <w:tcW w:w="1020" w:type="dxa"/>
            <w:tcBorders>
              <w:bottom w:val="single" w:sz="4" w:space="0" w:color="auto"/>
            </w:tcBorders>
            <w:vAlign w:val="center"/>
          </w:tcPr>
          <w:p w14:paraId="579A7E71" w14:textId="77777777" w:rsidR="007C6C75" w:rsidRDefault="007C6C75" w:rsidP="007C6C75">
            <w:pPr>
              <w:pStyle w:val="TableText0"/>
              <w:keepNext w:val="0"/>
              <w:ind w:hanging="142"/>
              <w:jc w:val="center"/>
              <w:rPr>
                <w:rFonts w:cs="Calibri"/>
                <w:color w:val="000000"/>
                <w:szCs w:val="20"/>
              </w:rPr>
            </w:pPr>
            <w:r>
              <w:rPr>
                <w:rFonts w:cs="Calibri"/>
                <w:color w:val="000000"/>
                <w:szCs w:val="20"/>
              </w:rPr>
              <w:t>$748,542</w:t>
            </w:r>
          </w:p>
        </w:tc>
        <w:tc>
          <w:tcPr>
            <w:tcW w:w="1021" w:type="dxa"/>
            <w:tcBorders>
              <w:bottom w:val="single" w:sz="4" w:space="0" w:color="auto"/>
            </w:tcBorders>
            <w:vAlign w:val="center"/>
          </w:tcPr>
          <w:p w14:paraId="5CF19BC7" w14:textId="77777777" w:rsidR="007C6C75" w:rsidRDefault="007C6C75" w:rsidP="007C6C75">
            <w:pPr>
              <w:pStyle w:val="TableText0"/>
              <w:keepNext w:val="0"/>
              <w:ind w:hanging="142"/>
              <w:jc w:val="center"/>
              <w:rPr>
                <w:rFonts w:cs="Calibri"/>
                <w:color w:val="000000"/>
                <w:szCs w:val="20"/>
              </w:rPr>
            </w:pPr>
            <w:r>
              <w:rPr>
                <w:rFonts w:cs="Calibri"/>
                <w:color w:val="000000"/>
                <w:szCs w:val="20"/>
              </w:rPr>
              <w:t>$1,150,538</w:t>
            </w:r>
          </w:p>
        </w:tc>
        <w:tc>
          <w:tcPr>
            <w:tcW w:w="1021" w:type="dxa"/>
            <w:tcBorders>
              <w:bottom w:val="single" w:sz="4" w:space="0" w:color="auto"/>
            </w:tcBorders>
            <w:vAlign w:val="center"/>
          </w:tcPr>
          <w:p w14:paraId="3BF1FC42" w14:textId="77777777" w:rsidR="007C6C75" w:rsidRDefault="007C6C75" w:rsidP="007C6C75">
            <w:pPr>
              <w:pStyle w:val="TableText0"/>
              <w:keepNext w:val="0"/>
              <w:ind w:hanging="142"/>
              <w:jc w:val="center"/>
              <w:rPr>
                <w:rFonts w:cs="Calibri"/>
                <w:color w:val="000000"/>
                <w:szCs w:val="20"/>
              </w:rPr>
            </w:pPr>
            <w:r>
              <w:rPr>
                <w:rFonts w:cs="Calibri"/>
                <w:color w:val="000000"/>
                <w:szCs w:val="20"/>
              </w:rPr>
              <w:t>$1,763,961</w:t>
            </w:r>
          </w:p>
        </w:tc>
      </w:tr>
      <w:tr w:rsidR="007C6C75" w:rsidRPr="005A6618" w14:paraId="6117A03E" w14:textId="77777777" w:rsidTr="007C6C75">
        <w:trPr>
          <w:trHeight w:val="227"/>
        </w:trPr>
        <w:tc>
          <w:tcPr>
            <w:tcW w:w="1271" w:type="dxa"/>
            <w:vMerge/>
          </w:tcPr>
          <w:p w14:paraId="0BB908EF" w14:textId="77777777" w:rsidR="007C6C75" w:rsidRPr="00D912DD" w:rsidRDefault="007C6C75" w:rsidP="007C6C75">
            <w:pPr>
              <w:pStyle w:val="TableText0"/>
              <w:keepLines/>
              <w:ind w:left="22" w:firstLine="13"/>
              <w:jc w:val="left"/>
              <w:rPr>
                <w:rFonts w:cs="Arial"/>
                <w:color w:val="000000"/>
              </w:rPr>
            </w:pPr>
          </w:p>
        </w:tc>
        <w:tc>
          <w:tcPr>
            <w:tcW w:w="573" w:type="dxa"/>
            <w:vMerge w:val="restart"/>
          </w:tcPr>
          <w:p w14:paraId="5498664E" w14:textId="77777777" w:rsidR="007C6C75" w:rsidRPr="00524539" w:rsidRDefault="007C6C75" w:rsidP="007C6C75">
            <w:pPr>
              <w:pStyle w:val="TableText0"/>
              <w:keepLines/>
              <w:ind w:left="22" w:firstLine="13"/>
              <w:jc w:val="center"/>
              <w:rPr>
                <w:rFonts w:cs="Arial"/>
                <w:color w:val="000000"/>
              </w:rPr>
            </w:pPr>
            <w:r>
              <w:rPr>
                <w:rFonts w:cs="Arial"/>
                <w:color w:val="000000"/>
              </w:rPr>
              <w:t>40%</w:t>
            </w:r>
          </w:p>
        </w:tc>
        <w:tc>
          <w:tcPr>
            <w:tcW w:w="2410" w:type="dxa"/>
            <w:tcBorders>
              <w:bottom w:val="single" w:sz="4" w:space="0" w:color="auto"/>
            </w:tcBorders>
          </w:tcPr>
          <w:p w14:paraId="7599A1FD" w14:textId="77777777" w:rsidR="007C6C75" w:rsidRPr="00DA6F52" w:rsidRDefault="007C6C75" w:rsidP="007C6C75">
            <w:pPr>
              <w:pStyle w:val="TableText0"/>
              <w:keepLines/>
              <w:ind w:left="22" w:firstLine="13"/>
              <w:jc w:val="left"/>
              <w:rPr>
                <w:szCs w:val="20"/>
              </w:rPr>
            </w:pPr>
            <w:r w:rsidRPr="00D672AE">
              <w:rPr>
                <w:rFonts w:cs="Arial"/>
                <w:color w:val="000000"/>
                <w:szCs w:val="20"/>
              </w:rPr>
              <w:t xml:space="preserve">Cost to </w:t>
            </w:r>
            <w:r w:rsidRPr="00FE40D5">
              <w:rPr>
                <w:rFonts w:cs="Arial"/>
                <w:color w:val="000000"/>
                <w:szCs w:val="20"/>
              </w:rPr>
              <w:t>the MBS</w:t>
            </w:r>
          </w:p>
        </w:tc>
        <w:tc>
          <w:tcPr>
            <w:tcW w:w="1020" w:type="dxa"/>
            <w:tcBorders>
              <w:bottom w:val="single" w:sz="4" w:space="0" w:color="auto"/>
            </w:tcBorders>
            <w:vAlign w:val="center"/>
          </w:tcPr>
          <w:p w14:paraId="21E85714" w14:textId="77777777" w:rsidR="007C6C75" w:rsidRDefault="007C6C75" w:rsidP="007C6C75">
            <w:pPr>
              <w:pStyle w:val="TableText0"/>
              <w:keepNext w:val="0"/>
              <w:ind w:hanging="142"/>
              <w:jc w:val="center"/>
              <w:rPr>
                <w:rFonts w:cs="Calibri"/>
                <w:color w:val="000000"/>
                <w:szCs w:val="20"/>
              </w:rPr>
            </w:pPr>
            <w:r>
              <w:rPr>
                <w:rFonts w:cs="Calibri"/>
                <w:color w:val="000000"/>
                <w:szCs w:val="20"/>
              </w:rPr>
              <w:t>$319,403</w:t>
            </w:r>
          </w:p>
        </w:tc>
        <w:tc>
          <w:tcPr>
            <w:tcW w:w="1021" w:type="dxa"/>
            <w:tcBorders>
              <w:bottom w:val="single" w:sz="4" w:space="0" w:color="auto"/>
            </w:tcBorders>
            <w:vAlign w:val="center"/>
          </w:tcPr>
          <w:p w14:paraId="696170F5" w14:textId="77777777" w:rsidR="007C6C75" w:rsidRDefault="007C6C75" w:rsidP="007C6C75">
            <w:pPr>
              <w:pStyle w:val="TableText0"/>
              <w:keepNext w:val="0"/>
              <w:ind w:hanging="142"/>
              <w:jc w:val="center"/>
              <w:rPr>
                <w:rFonts w:cs="Calibri"/>
                <w:color w:val="000000"/>
                <w:szCs w:val="20"/>
              </w:rPr>
            </w:pPr>
            <w:r>
              <w:rPr>
                <w:rFonts w:cs="Calibri"/>
                <w:color w:val="000000"/>
                <w:szCs w:val="20"/>
              </w:rPr>
              <w:t>$504,047</w:t>
            </w:r>
          </w:p>
        </w:tc>
        <w:tc>
          <w:tcPr>
            <w:tcW w:w="1020" w:type="dxa"/>
            <w:tcBorders>
              <w:bottom w:val="single" w:sz="4" w:space="0" w:color="auto"/>
            </w:tcBorders>
            <w:vAlign w:val="center"/>
          </w:tcPr>
          <w:p w14:paraId="5A3746E9" w14:textId="77777777" w:rsidR="007C6C75" w:rsidRDefault="007C6C75" w:rsidP="007C6C75">
            <w:pPr>
              <w:pStyle w:val="TableText0"/>
              <w:keepNext w:val="0"/>
              <w:ind w:hanging="142"/>
              <w:jc w:val="center"/>
              <w:rPr>
                <w:rFonts w:cs="Calibri"/>
                <w:color w:val="000000"/>
                <w:szCs w:val="20"/>
              </w:rPr>
            </w:pPr>
            <w:r>
              <w:rPr>
                <w:rFonts w:cs="Calibri"/>
                <w:color w:val="000000"/>
                <w:szCs w:val="20"/>
              </w:rPr>
              <w:t>$775,832</w:t>
            </w:r>
          </w:p>
        </w:tc>
        <w:tc>
          <w:tcPr>
            <w:tcW w:w="1021" w:type="dxa"/>
            <w:tcBorders>
              <w:bottom w:val="single" w:sz="4" w:space="0" w:color="auto"/>
            </w:tcBorders>
            <w:vAlign w:val="center"/>
          </w:tcPr>
          <w:p w14:paraId="15A845AB" w14:textId="77777777" w:rsidR="007C6C75" w:rsidRDefault="007C6C75" w:rsidP="007C6C75">
            <w:pPr>
              <w:pStyle w:val="TableText0"/>
              <w:keepNext w:val="0"/>
              <w:ind w:hanging="142"/>
              <w:jc w:val="center"/>
              <w:rPr>
                <w:rFonts w:cs="Calibri"/>
                <w:color w:val="000000"/>
                <w:szCs w:val="20"/>
              </w:rPr>
            </w:pPr>
            <w:r>
              <w:rPr>
                <w:rFonts w:cs="Calibri"/>
                <w:color w:val="000000"/>
                <w:szCs w:val="20"/>
              </w:rPr>
              <w:t>$1,193,124</w:t>
            </w:r>
          </w:p>
        </w:tc>
        <w:tc>
          <w:tcPr>
            <w:tcW w:w="1021" w:type="dxa"/>
            <w:tcBorders>
              <w:bottom w:val="single" w:sz="4" w:space="0" w:color="auto"/>
            </w:tcBorders>
            <w:vAlign w:val="center"/>
          </w:tcPr>
          <w:p w14:paraId="73856F9C" w14:textId="77777777" w:rsidR="007C6C75" w:rsidRDefault="007C6C75" w:rsidP="007C6C75">
            <w:pPr>
              <w:pStyle w:val="TableText0"/>
              <w:keepNext w:val="0"/>
              <w:ind w:hanging="142"/>
              <w:jc w:val="center"/>
              <w:rPr>
                <w:rFonts w:cs="Calibri"/>
                <w:color w:val="000000"/>
                <w:szCs w:val="20"/>
              </w:rPr>
            </w:pPr>
            <w:r>
              <w:rPr>
                <w:rFonts w:cs="Calibri"/>
                <w:color w:val="000000"/>
                <w:szCs w:val="20"/>
              </w:rPr>
              <w:t>$1,831,081</w:t>
            </w:r>
          </w:p>
        </w:tc>
      </w:tr>
      <w:tr w:rsidR="007C6C75" w:rsidRPr="005A6618" w14:paraId="1187CA4B" w14:textId="77777777" w:rsidTr="007C6C75">
        <w:trPr>
          <w:trHeight w:val="227"/>
        </w:trPr>
        <w:tc>
          <w:tcPr>
            <w:tcW w:w="1271" w:type="dxa"/>
            <w:vMerge/>
          </w:tcPr>
          <w:p w14:paraId="626B4C01" w14:textId="77777777" w:rsidR="007C6C75" w:rsidRPr="00D912DD" w:rsidRDefault="007C6C75" w:rsidP="007C6C75">
            <w:pPr>
              <w:pStyle w:val="TableText0"/>
              <w:keepLines/>
              <w:ind w:left="22" w:firstLine="13"/>
              <w:jc w:val="left"/>
              <w:rPr>
                <w:rFonts w:cs="Arial"/>
                <w:color w:val="000000"/>
              </w:rPr>
            </w:pPr>
          </w:p>
        </w:tc>
        <w:tc>
          <w:tcPr>
            <w:tcW w:w="573" w:type="dxa"/>
            <w:vMerge/>
          </w:tcPr>
          <w:p w14:paraId="494FA844"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0FF713BF" w14:textId="77777777" w:rsidR="007C6C75" w:rsidRPr="00DA6F52" w:rsidRDefault="007C6C75" w:rsidP="007C6C75">
            <w:pPr>
              <w:pStyle w:val="TableText0"/>
              <w:keepLines/>
              <w:ind w:left="22" w:firstLine="13"/>
              <w:jc w:val="left"/>
              <w:rPr>
                <w:szCs w:val="20"/>
              </w:rPr>
            </w:pPr>
            <w:r w:rsidRPr="00D672AE">
              <w:rPr>
                <w:rFonts w:cs="Arial"/>
                <w:color w:val="000000"/>
                <w:szCs w:val="20"/>
              </w:rPr>
              <w:t>Cost to the healthcare budget</w:t>
            </w:r>
          </w:p>
        </w:tc>
        <w:tc>
          <w:tcPr>
            <w:tcW w:w="1020" w:type="dxa"/>
            <w:tcBorders>
              <w:bottom w:val="single" w:sz="4" w:space="0" w:color="auto"/>
            </w:tcBorders>
            <w:vAlign w:val="center"/>
          </w:tcPr>
          <w:p w14:paraId="14BD2E1A" w14:textId="77777777" w:rsidR="007C6C75" w:rsidRDefault="007C6C75" w:rsidP="007C6C75">
            <w:pPr>
              <w:pStyle w:val="TableText0"/>
              <w:keepNext w:val="0"/>
              <w:ind w:hanging="142"/>
              <w:jc w:val="center"/>
              <w:rPr>
                <w:rFonts w:cs="Calibri"/>
                <w:color w:val="000000"/>
                <w:szCs w:val="20"/>
              </w:rPr>
            </w:pPr>
            <w:r>
              <w:rPr>
                <w:rFonts w:cs="Calibri"/>
                <w:color w:val="000000"/>
                <w:szCs w:val="20"/>
              </w:rPr>
              <w:t>$8,177</w:t>
            </w:r>
          </w:p>
        </w:tc>
        <w:tc>
          <w:tcPr>
            <w:tcW w:w="1021" w:type="dxa"/>
            <w:tcBorders>
              <w:bottom w:val="single" w:sz="4" w:space="0" w:color="auto"/>
            </w:tcBorders>
            <w:vAlign w:val="center"/>
          </w:tcPr>
          <w:p w14:paraId="389E5943" w14:textId="77777777" w:rsidR="007C6C75" w:rsidRDefault="007C6C75" w:rsidP="007C6C75">
            <w:pPr>
              <w:pStyle w:val="TableText0"/>
              <w:keepNext w:val="0"/>
              <w:ind w:hanging="142"/>
              <w:jc w:val="center"/>
              <w:rPr>
                <w:rFonts w:cs="Calibri"/>
                <w:color w:val="000000"/>
                <w:szCs w:val="20"/>
              </w:rPr>
            </w:pPr>
            <w:r>
              <w:rPr>
                <w:rFonts w:cs="Calibri"/>
                <w:color w:val="000000"/>
                <w:szCs w:val="20"/>
              </w:rPr>
              <w:t>$12,720</w:t>
            </w:r>
          </w:p>
        </w:tc>
        <w:tc>
          <w:tcPr>
            <w:tcW w:w="1020" w:type="dxa"/>
            <w:tcBorders>
              <w:bottom w:val="single" w:sz="4" w:space="0" w:color="auto"/>
            </w:tcBorders>
            <w:vAlign w:val="center"/>
          </w:tcPr>
          <w:p w14:paraId="2DD33390" w14:textId="77777777" w:rsidR="007C6C75" w:rsidRDefault="007C6C75" w:rsidP="007C6C75">
            <w:pPr>
              <w:pStyle w:val="TableText0"/>
              <w:keepNext w:val="0"/>
              <w:ind w:hanging="142"/>
              <w:jc w:val="center"/>
              <w:rPr>
                <w:rFonts w:cs="Calibri"/>
                <w:color w:val="000000"/>
                <w:szCs w:val="20"/>
              </w:rPr>
            </w:pPr>
            <w:r>
              <w:rPr>
                <w:rFonts w:cs="Calibri"/>
                <w:color w:val="000000"/>
                <w:szCs w:val="20"/>
              </w:rPr>
              <w:t>$17,263</w:t>
            </w:r>
          </w:p>
        </w:tc>
        <w:tc>
          <w:tcPr>
            <w:tcW w:w="1021" w:type="dxa"/>
            <w:tcBorders>
              <w:bottom w:val="single" w:sz="4" w:space="0" w:color="auto"/>
            </w:tcBorders>
            <w:vAlign w:val="center"/>
          </w:tcPr>
          <w:p w14:paraId="1A6DD516" w14:textId="77777777" w:rsidR="007C6C75" w:rsidRDefault="007C6C75" w:rsidP="007C6C75">
            <w:pPr>
              <w:pStyle w:val="TableText0"/>
              <w:keepNext w:val="0"/>
              <w:ind w:hanging="142"/>
              <w:jc w:val="center"/>
              <w:rPr>
                <w:rFonts w:cs="Calibri"/>
                <w:color w:val="000000"/>
                <w:szCs w:val="20"/>
              </w:rPr>
            </w:pPr>
            <w:r>
              <w:rPr>
                <w:rFonts w:cs="Calibri"/>
                <w:color w:val="000000"/>
                <w:szCs w:val="20"/>
              </w:rPr>
              <w:t>$28,166</w:t>
            </w:r>
          </w:p>
        </w:tc>
        <w:tc>
          <w:tcPr>
            <w:tcW w:w="1021" w:type="dxa"/>
            <w:tcBorders>
              <w:bottom w:val="single" w:sz="4" w:space="0" w:color="auto"/>
            </w:tcBorders>
            <w:vAlign w:val="center"/>
          </w:tcPr>
          <w:p w14:paraId="02946232" w14:textId="77777777" w:rsidR="007C6C75" w:rsidRDefault="007C6C75" w:rsidP="007C6C75">
            <w:pPr>
              <w:pStyle w:val="TableText0"/>
              <w:keepNext w:val="0"/>
              <w:ind w:hanging="142"/>
              <w:jc w:val="center"/>
              <w:rPr>
                <w:rFonts w:cs="Calibri"/>
                <w:color w:val="000000"/>
                <w:szCs w:val="20"/>
              </w:rPr>
            </w:pPr>
            <w:r>
              <w:rPr>
                <w:rFonts w:cs="Calibri"/>
                <w:color w:val="000000"/>
                <w:szCs w:val="20"/>
              </w:rPr>
              <w:t>$42,703</w:t>
            </w:r>
          </w:p>
        </w:tc>
      </w:tr>
      <w:tr w:rsidR="007C6C75" w:rsidRPr="005A6618" w14:paraId="43D52B9A" w14:textId="77777777" w:rsidTr="007C6C75">
        <w:trPr>
          <w:trHeight w:val="227"/>
        </w:trPr>
        <w:tc>
          <w:tcPr>
            <w:tcW w:w="1271" w:type="dxa"/>
            <w:vMerge/>
          </w:tcPr>
          <w:p w14:paraId="21686695" w14:textId="77777777" w:rsidR="007C6C75" w:rsidRPr="00D912DD" w:rsidRDefault="007C6C75" w:rsidP="007C6C75">
            <w:pPr>
              <w:pStyle w:val="TableText0"/>
              <w:keepLines/>
              <w:ind w:left="22" w:firstLine="13"/>
              <w:jc w:val="left"/>
              <w:rPr>
                <w:rFonts w:cs="Arial"/>
                <w:color w:val="000000"/>
              </w:rPr>
            </w:pPr>
          </w:p>
        </w:tc>
        <w:tc>
          <w:tcPr>
            <w:tcW w:w="573" w:type="dxa"/>
            <w:vMerge/>
          </w:tcPr>
          <w:p w14:paraId="3D34299C" w14:textId="77777777" w:rsidR="007C6C75" w:rsidRPr="00524539" w:rsidRDefault="007C6C75" w:rsidP="007C6C75">
            <w:pPr>
              <w:pStyle w:val="TableText0"/>
              <w:keepLines/>
              <w:ind w:left="22" w:firstLine="13"/>
              <w:jc w:val="center"/>
              <w:rPr>
                <w:rFonts w:cs="Arial"/>
                <w:color w:val="000000"/>
              </w:rPr>
            </w:pPr>
          </w:p>
        </w:tc>
        <w:tc>
          <w:tcPr>
            <w:tcW w:w="2410" w:type="dxa"/>
          </w:tcPr>
          <w:p w14:paraId="152D2A74" w14:textId="77777777" w:rsidR="007C6C75" w:rsidRPr="00DA6F52" w:rsidRDefault="007C6C75" w:rsidP="007C6C75">
            <w:pPr>
              <w:pStyle w:val="TableText0"/>
              <w:keepLines/>
              <w:ind w:left="22" w:firstLine="13"/>
              <w:jc w:val="left"/>
              <w:rPr>
                <w:szCs w:val="20"/>
              </w:rPr>
            </w:pPr>
            <w:r w:rsidRPr="00D672AE">
              <w:rPr>
                <w:szCs w:val="20"/>
              </w:rPr>
              <w:t>Total f</w:t>
            </w:r>
            <w:r w:rsidRPr="00FE40D5">
              <w:rPr>
                <w:szCs w:val="20"/>
              </w:rPr>
              <w:t>inancial implications</w:t>
            </w:r>
          </w:p>
        </w:tc>
        <w:tc>
          <w:tcPr>
            <w:tcW w:w="1020" w:type="dxa"/>
            <w:vAlign w:val="center"/>
          </w:tcPr>
          <w:p w14:paraId="00C26362" w14:textId="77777777" w:rsidR="007C6C75" w:rsidRDefault="007C6C75" w:rsidP="007C6C75">
            <w:pPr>
              <w:pStyle w:val="TableText0"/>
              <w:keepNext w:val="0"/>
              <w:ind w:hanging="142"/>
              <w:jc w:val="center"/>
              <w:rPr>
                <w:rFonts w:cs="Calibri"/>
                <w:color w:val="000000"/>
                <w:szCs w:val="20"/>
              </w:rPr>
            </w:pPr>
            <w:r>
              <w:rPr>
                <w:rFonts w:cs="Calibri"/>
                <w:color w:val="000000"/>
                <w:szCs w:val="20"/>
              </w:rPr>
              <w:t>$327,580</w:t>
            </w:r>
          </w:p>
        </w:tc>
        <w:tc>
          <w:tcPr>
            <w:tcW w:w="1021" w:type="dxa"/>
            <w:vAlign w:val="center"/>
          </w:tcPr>
          <w:p w14:paraId="3C6B65C4" w14:textId="77777777" w:rsidR="007C6C75" w:rsidRDefault="007C6C75" w:rsidP="007C6C75">
            <w:pPr>
              <w:pStyle w:val="TableText0"/>
              <w:keepNext w:val="0"/>
              <w:ind w:hanging="142"/>
              <w:jc w:val="center"/>
              <w:rPr>
                <w:rFonts w:cs="Calibri"/>
                <w:color w:val="000000"/>
                <w:szCs w:val="20"/>
              </w:rPr>
            </w:pPr>
            <w:r>
              <w:rPr>
                <w:rFonts w:cs="Calibri"/>
                <w:color w:val="000000"/>
                <w:szCs w:val="20"/>
              </w:rPr>
              <w:t>$516,767</w:t>
            </w:r>
          </w:p>
        </w:tc>
        <w:tc>
          <w:tcPr>
            <w:tcW w:w="1020" w:type="dxa"/>
            <w:vAlign w:val="center"/>
          </w:tcPr>
          <w:p w14:paraId="7F2BEEC3" w14:textId="77777777" w:rsidR="007C6C75" w:rsidRDefault="007C6C75" w:rsidP="007C6C75">
            <w:pPr>
              <w:pStyle w:val="TableText0"/>
              <w:keepNext w:val="0"/>
              <w:ind w:hanging="142"/>
              <w:jc w:val="center"/>
              <w:rPr>
                <w:rFonts w:cs="Calibri"/>
                <w:color w:val="000000"/>
                <w:szCs w:val="20"/>
              </w:rPr>
            </w:pPr>
            <w:r>
              <w:rPr>
                <w:rFonts w:cs="Calibri"/>
                <w:color w:val="000000"/>
                <w:szCs w:val="20"/>
              </w:rPr>
              <w:t>$793,095</w:t>
            </w:r>
          </w:p>
        </w:tc>
        <w:tc>
          <w:tcPr>
            <w:tcW w:w="1021" w:type="dxa"/>
            <w:vAlign w:val="center"/>
          </w:tcPr>
          <w:p w14:paraId="53739CFC" w14:textId="77777777" w:rsidR="007C6C75" w:rsidRDefault="007C6C75" w:rsidP="007C6C75">
            <w:pPr>
              <w:pStyle w:val="TableText0"/>
              <w:keepNext w:val="0"/>
              <w:ind w:hanging="142"/>
              <w:jc w:val="center"/>
              <w:rPr>
                <w:rFonts w:cs="Calibri"/>
                <w:color w:val="000000"/>
                <w:szCs w:val="20"/>
              </w:rPr>
            </w:pPr>
            <w:r>
              <w:rPr>
                <w:rFonts w:cs="Calibri"/>
                <w:color w:val="000000"/>
                <w:szCs w:val="20"/>
              </w:rPr>
              <w:t>$1,221,290</w:t>
            </w:r>
          </w:p>
        </w:tc>
        <w:tc>
          <w:tcPr>
            <w:tcW w:w="1021" w:type="dxa"/>
            <w:vAlign w:val="center"/>
          </w:tcPr>
          <w:p w14:paraId="155A49FD" w14:textId="77777777" w:rsidR="007C6C75" w:rsidRDefault="007C6C75" w:rsidP="007C6C75">
            <w:pPr>
              <w:pStyle w:val="TableText0"/>
              <w:keepNext w:val="0"/>
              <w:ind w:hanging="142"/>
              <w:jc w:val="center"/>
              <w:rPr>
                <w:rFonts w:cs="Calibri"/>
                <w:color w:val="000000"/>
                <w:szCs w:val="20"/>
              </w:rPr>
            </w:pPr>
            <w:r>
              <w:rPr>
                <w:rFonts w:cs="Calibri"/>
                <w:color w:val="000000"/>
                <w:szCs w:val="20"/>
              </w:rPr>
              <w:t>$1,873,785</w:t>
            </w:r>
          </w:p>
        </w:tc>
      </w:tr>
      <w:tr w:rsidR="007C6C75" w:rsidRPr="005A6618" w14:paraId="63B7257D" w14:textId="77777777" w:rsidTr="007C6C75">
        <w:trPr>
          <w:trHeight w:val="227"/>
        </w:trPr>
        <w:tc>
          <w:tcPr>
            <w:tcW w:w="1271" w:type="dxa"/>
            <w:vMerge/>
          </w:tcPr>
          <w:p w14:paraId="63F691BA" w14:textId="77777777" w:rsidR="007C6C75" w:rsidRPr="00D912DD" w:rsidRDefault="007C6C75" w:rsidP="007C6C75">
            <w:pPr>
              <w:pStyle w:val="TableText0"/>
              <w:keepLines/>
              <w:ind w:left="22" w:firstLine="13"/>
              <w:jc w:val="left"/>
              <w:rPr>
                <w:rFonts w:cs="Arial"/>
                <w:color w:val="000000"/>
              </w:rPr>
            </w:pPr>
          </w:p>
        </w:tc>
        <w:tc>
          <w:tcPr>
            <w:tcW w:w="573" w:type="dxa"/>
            <w:vMerge w:val="restart"/>
          </w:tcPr>
          <w:p w14:paraId="05418429" w14:textId="77777777" w:rsidR="007C6C75" w:rsidRPr="00524539" w:rsidRDefault="007C6C75" w:rsidP="007C6C75">
            <w:pPr>
              <w:pStyle w:val="TableText0"/>
              <w:keepLines/>
              <w:ind w:left="22" w:firstLine="13"/>
              <w:jc w:val="center"/>
              <w:rPr>
                <w:rFonts w:cs="Arial"/>
                <w:color w:val="000000"/>
              </w:rPr>
            </w:pPr>
            <w:r>
              <w:rPr>
                <w:rFonts w:cs="Arial"/>
                <w:color w:val="000000"/>
              </w:rPr>
              <w:t>60%</w:t>
            </w:r>
          </w:p>
        </w:tc>
        <w:tc>
          <w:tcPr>
            <w:tcW w:w="2410" w:type="dxa"/>
          </w:tcPr>
          <w:p w14:paraId="3D77C879" w14:textId="77777777" w:rsidR="007C6C75" w:rsidRPr="00DA6F52" w:rsidRDefault="007C6C75" w:rsidP="007C6C75">
            <w:pPr>
              <w:pStyle w:val="TableText0"/>
              <w:keepLines/>
              <w:ind w:left="22" w:firstLine="13"/>
              <w:jc w:val="left"/>
              <w:rPr>
                <w:szCs w:val="20"/>
              </w:rPr>
            </w:pPr>
            <w:r w:rsidRPr="00D672AE">
              <w:rPr>
                <w:rFonts w:cs="Arial"/>
                <w:color w:val="000000"/>
                <w:szCs w:val="20"/>
              </w:rPr>
              <w:t xml:space="preserve">Cost to </w:t>
            </w:r>
            <w:r w:rsidRPr="00FE40D5">
              <w:rPr>
                <w:rFonts w:cs="Arial"/>
                <w:color w:val="000000"/>
                <w:szCs w:val="20"/>
              </w:rPr>
              <w:t>the MBS</w:t>
            </w:r>
          </w:p>
        </w:tc>
        <w:tc>
          <w:tcPr>
            <w:tcW w:w="1020" w:type="dxa"/>
            <w:vAlign w:val="center"/>
          </w:tcPr>
          <w:p w14:paraId="3752B0E9" w14:textId="77777777" w:rsidR="007C6C75" w:rsidRDefault="007C6C75" w:rsidP="007C6C75">
            <w:pPr>
              <w:pStyle w:val="TableText0"/>
              <w:keepNext w:val="0"/>
              <w:ind w:hanging="142"/>
              <w:jc w:val="center"/>
              <w:rPr>
                <w:rFonts w:cs="Calibri"/>
                <w:color w:val="000000"/>
                <w:szCs w:val="20"/>
              </w:rPr>
            </w:pPr>
            <w:r>
              <w:rPr>
                <w:rFonts w:cs="Calibri"/>
                <w:color w:val="000000"/>
                <w:szCs w:val="20"/>
              </w:rPr>
              <w:t>$329,663</w:t>
            </w:r>
          </w:p>
        </w:tc>
        <w:tc>
          <w:tcPr>
            <w:tcW w:w="1021" w:type="dxa"/>
            <w:vAlign w:val="center"/>
          </w:tcPr>
          <w:p w14:paraId="7A59A425" w14:textId="77777777" w:rsidR="007C6C75" w:rsidRDefault="007C6C75" w:rsidP="007C6C75">
            <w:pPr>
              <w:pStyle w:val="TableText0"/>
              <w:keepNext w:val="0"/>
              <w:ind w:hanging="142"/>
              <w:jc w:val="center"/>
              <w:rPr>
                <w:rFonts w:cs="Calibri"/>
                <w:color w:val="000000"/>
                <w:szCs w:val="20"/>
              </w:rPr>
            </w:pPr>
            <w:r>
              <w:rPr>
                <w:rFonts w:cs="Calibri"/>
                <w:color w:val="000000"/>
                <w:szCs w:val="20"/>
              </w:rPr>
              <w:t>$527,482</w:t>
            </w:r>
          </w:p>
        </w:tc>
        <w:tc>
          <w:tcPr>
            <w:tcW w:w="1020" w:type="dxa"/>
            <w:vAlign w:val="center"/>
          </w:tcPr>
          <w:p w14:paraId="5BFB26E9" w14:textId="77777777" w:rsidR="007C6C75" w:rsidRDefault="007C6C75" w:rsidP="007C6C75">
            <w:pPr>
              <w:pStyle w:val="TableText0"/>
              <w:keepNext w:val="0"/>
              <w:ind w:hanging="142"/>
              <w:jc w:val="center"/>
              <w:rPr>
                <w:rFonts w:cs="Calibri"/>
                <w:color w:val="000000"/>
                <w:szCs w:val="20"/>
              </w:rPr>
            </w:pPr>
            <w:r>
              <w:rPr>
                <w:rFonts w:cs="Calibri"/>
                <w:color w:val="000000"/>
                <w:szCs w:val="20"/>
              </w:rPr>
              <w:t>$813,760</w:t>
            </w:r>
          </w:p>
        </w:tc>
        <w:tc>
          <w:tcPr>
            <w:tcW w:w="1021" w:type="dxa"/>
            <w:vAlign w:val="center"/>
          </w:tcPr>
          <w:p w14:paraId="4D10A211" w14:textId="77777777" w:rsidR="007C6C75" w:rsidRDefault="007C6C75" w:rsidP="007C6C75">
            <w:pPr>
              <w:pStyle w:val="TableText0"/>
              <w:keepNext w:val="0"/>
              <w:ind w:hanging="142"/>
              <w:jc w:val="center"/>
              <w:rPr>
                <w:rFonts w:cs="Calibri"/>
                <w:color w:val="000000"/>
                <w:szCs w:val="20"/>
              </w:rPr>
            </w:pPr>
            <w:r>
              <w:rPr>
                <w:rFonts w:cs="Calibri"/>
                <w:color w:val="000000"/>
                <w:szCs w:val="20"/>
              </w:rPr>
              <w:t>$1,250,577</w:t>
            </w:r>
          </w:p>
        </w:tc>
        <w:tc>
          <w:tcPr>
            <w:tcW w:w="1021" w:type="dxa"/>
            <w:vAlign w:val="center"/>
          </w:tcPr>
          <w:p w14:paraId="122655D2" w14:textId="77777777" w:rsidR="007C6C75" w:rsidRDefault="007C6C75" w:rsidP="007C6C75">
            <w:pPr>
              <w:pStyle w:val="TableText0"/>
              <w:keepNext w:val="0"/>
              <w:ind w:hanging="142"/>
              <w:jc w:val="center"/>
              <w:rPr>
                <w:rFonts w:cs="Calibri"/>
                <w:color w:val="000000"/>
                <w:szCs w:val="20"/>
              </w:rPr>
            </w:pPr>
            <w:r>
              <w:rPr>
                <w:rFonts w:cs="Calibri"/>
                <w:color w:val="000000"/>
                <w:szCs w:val="20"/>
              </w:rPr>
              <w:t>$1,918,198</w:t>
            </w:r>
          </w:p>
        </w:tc>
      </w:tr>
      <w:tr w:rsidR="007C6C75" w:rsidRPr="005A6618" w14:paraId="0AD58545" w14:textId="77777777" w:rsidTr="007C6C75">
        <w:trPr>
          <w:trHeight w:val="227"/>
        </w:trPr>
        <w:tc>
          <w:tcPr>
            <w:tcW w:w="1271" w:type="dxa"/>
            <w:vMerge/>
          </w:tcPr>
          <w:p w14:paraId="04262234" w14:textId="77777777" w:rsidR="007C6C75" w:rsidRPr="00D912DD" w:rsidRDefault="007C6C75" w:rsidP="007C6C75">
            <w:pPr>
              <w:pStyle w:val="TableText0"/>
              <w:keepLines/>
              <w:ind w:left="22" w:firstLine="13"/>
              <w:jc w:val="left"/>
              <w:rPr>
                <w:rFonts w:cs="Arial"/>
                <w:color w:val="000000"/>
              </w:rPr>
            </w:pPr>
          </w:p>
        </w:tc>
        <w:tc>
          <w:tcPr>
            <w:tcW w:w="573" w:type="dxa"/>
            <w:vMerge/>
          </w:tcPr>
          <w:p w14:paraId="45FAC6AF"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40A4FE57" w14:textId="77777777" w:rsidR="007C6C75" w:rsidRPr="00DA6F52" w:rsidRDefault="007C6C75" w:rsidP="007C6C75">
            <w:pPr>
              <w:pStyle w:val="TableText0"/>
              <w:keepLines/>
              <w:ind w:left="22" w:firstLine="13"/>
              <w:jc w:val="left"/>
              <w:rPr>
                <w:szCs w:val="20"/>
              </w:rPr>
            </w:pPr>
            <w:r w:rsidRPr="00D672AE">
              <w:rPr>
                <w:rFonts w:cs="Arial"/>
                <w:color w:val="000000"/>
                <w:szCs w:val="20"/>
              </w:rPr>
              <w:t>Cost to the healthcare budget</w:t>
            </w:r>
          </w:p>
        </w:tc>
        <w:tc>
          <w:tcPr>
            <w:tcW w:w="1020" w:type="dxa"/>
            <w:tcBorders>
              <w:bottom w:val="single" w:sz="4" w:space="0" w:color="auto"/>
            </w:tcBorders>
            <w:vAlign w:val="center"/>
          </w:tcPr>
          <w:p w14:paraId="14BE367C" w14:textId="77777777" w:rsidR="007C6C75" w:rsidRDefault="007C6C75" w:rsidP="007C6C75">
            <w:pPr>
              <w:pStyle w:val="TableText0"/>
              <w:keepNext w:val="0"/>
              <w:ind w:hanging="142"/>
              <w:jc w:val="center"/>
              <w:rPr>
                <w:rFonts w:cs="Calibri"/>
                <w:color w:val="000000"/>
                <w:szCs w:val="20"/>
              </w:rPr>
            </w:pPr>
            <w:r>
              <w:rPr>
                <w:rFonts w:cs="Calibri"/>
                <w:color w:val="000000"/>
                <w:szCs w:val="20"/>
              </w:rPr>
              <w:t>$11,812</w:t>
            </w:r>
          </w:p>
        </w:tc>
        <w:tc>
          <w:tcPr>
            <w:tcW w:w="1021" w:type="dxa"/>
            <w:tcBorders>
              <w:bottom w:val="single" w:sz="4" w:space="0" w:color="auto"/>
            </w:tcBorders>
            <w:vAlign w:val="center"/>
          </w:tcPr>
          <w:p w14:paraId="603CF595" w14:textId="77777777" w:rsidR="007C6C75" w:rsidRDefault="007C6C75" w:rsidP="007C6C75">
            <w:pPr>
              <w:pStyle w:val="TableText0"/>
              <w:keepNext w:val="0"/>
              <w:ind w:hanging="142"/>
              <w:jc w:val="center"/>
              <w:rPr>
                <w:rFonts w:cs="Calibri"/>
                <w:color w:val="000000"/>
                <w:szCs w:val="20"/>
              </w:rPr>
            </w:pPr>
            <w:r>
              <w:rPr>
                <w:rFonts w:cs="Calibri"/>
                <w:color w:val="000000"/>
                <w:szCs w:val="20"/>
              </w:rPr>
              <w:t>$16,354</w:t>
            </w:r>
          </w:p>
        </w:tc>
        <w:tc>
          <w:tcPr>
            <w:tcW w:w="1020" w:type="dxa"/>
            <w:tcBorders>
              <w:bottom w:val="single" w:sz="4" w:space="0" w:color="auto"/>
            </w:tcBorders>
            <w:vAlign w:val="center"/>
          </w:tcPr>
          <w:p w14:paraId="1DA63A5C" w14:textId="77777777" w:rsidR="007C6C75" w:rsidRDefault="007C6C75" w:rsidP="007C6C75">
            <w:pPr>
              <w:pStyle w:val="TableText0"/>
              <w:keepNext w:val="0"/>
              <w:ind w:hanging="142"/>
              <w:jc w:val="center"/>
              <w:rPr>
                <w:rFonts w:cs="Calibri"/>
                <w:color w:val="000000"/>
                <w:szCs w:val="20"/>
              </w:rPr>
            </w:pPr>
            <w:r>
              <w:rPr>
                <w:rFonts w:cs="Calibri"/>
                <w:color w:val="000000"/>
                <w:szCs w:val="20"/>
              </w:rPr>
              <w:t>$27,257</w:t>
            </w:r>
          </w:p>
        </w:tc>
        <w:tc>
          <w:tcPr>
            <w:tcW w:w="1021" w:type="dxa"/>
            <w:tcBorders>
              <w:bottom w:val="single" w:sz="4" w:space="0" w:color="auto"/>
            </w:tcBorders>
            <w:vAlign w:val="center"/>
          </w:tcPr>
          <w:p w14:paraId="0D199E1D" w14:textId="77777777" w:rsidR="007C6C75" w:rsidRDefault="007C6C75" w:rsidP="007C6C75">
            <w:pPr>
              <w:pStyle w:val="TableText0"/>
              <w:keepNext w:val="0"/>
              <w:ind w:hanging="142"/>
              <w:jc w:val="center"/>
              <w:rPr>
                <w:rFonts w:cs="Calibri"/>
                <w:color w:val="000000"/>
                <w:szCs w:val="20"/>
              </w:rPr>
            </w:pPr>
            <w:r>
              <w:rPr>
                <w:rFonts w:cs="Calibri"/>
                <w:color w:val="000000"/>
                <w:szCs w:val="20"/>
              </w:rPr>
              <w:t>$41,795</w:t>
            </w:r>
          </w:p>
        </w:tc>
        <w:tc>
          <w:tcPr>
            <w:tcW w:w="1021" w:type="dxa"/>
            <w:tcBorders>
              <w:bottom w:val="single" w:sz="4" w:space="0" w:color="auto"/>
            </w:tcBorders>
            <w:vAlign w:val="center"/>
          </w:tcPr>
          <w:p w14:paraId="2AD364FA" w14:textId="77777777" w:rsidR="007C6C75" w:rsidRDefault="007C6C75" w:rsidP="007C6C75">
            <w:pPr>
              <w:pStyle w:val="TableText0"/>
              <w:keepNext w:val="0"/>
              <w:ind w:hanging="142"/>
              <w:jc w:val="center"/>
              <w:rPr>
                <w:rFonts w:cs="Calibri"/>
                <w:color w:val="000000"/>
                <w:szCs w:val="20"/>
              </w:rPr>
            </w:pPr>
            <w:r>
              <w:rPr>
                <w:rFonts w:cs="Calibri"/>
                <w:color w:val="000000"/>
                <w:szCs w:val="20"/>
              </w:rPr>
              <w:t>$64,509</w:t>
            </w:r>
          </w:p>
        </w:tc>
      </w:tr>
      <w:tr w:rsidR="007C6C75" w:rsidRPr="005A6618" w14:paraId="547767FF" w14:textId="77777777" w:rsidTr="007C6C75">
        <w:trPr>
          <w:trHeight w:val="227"/>
        </w:trPr>
        <w:tc>
          <w:tcPr>
            <w:tcW w:w="1271" w:type="dxa"/>
            <w:vMerge/>
          </w:tcPr>
          <w:p w14:paraId="3C664F41" w14:textId="77777777" w:rsidR="007C6C75" w:rsidRPr="00D912DD" w:rsidRDefault="007C6C75" w:rsidP="007C6C75">
            <w:pPr>
              <w:pStyle w:val="TableText0"/>
              <w:keepLines/>
              <w:ind w:left="22" w:firstLine="13"/>
              <w:jc w:val="left"/>
              <w:rPr>
                <w:rFonts w:cs="Arial"/>
                <w:color w:val="000000"/>
              </w:rPr>
            </w:pPr>
          </w:p>
        </w:tc>
        <w:tc>
          <w:tcPr>
            <w:tcW w:w="573" w:type="dxa"/>
            <w:vMerge/>
            <w:tcBorders>
              <w:bottom w:val="single" w:sz="4" w:space="0" w:color="auto"/>
            </w:tcBorders>
          </w:tcPr>
          <w:p w14:paraId="3BFB4A61"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326135F1" w14:textId="77777777" w:rsidR="007C6C75" w:rsidRPr="00DA6F52" w:rsidRDefault="007C6C75" w:rsidP="007C6C75">
            <w:pPr>
              <w:pStyle w:val="TableText0"/>
              <w:keepLines/>
              <w:ind w:left="22" w:firstLine="13"/>
              <w:jc w:val="left"/>
              <w:rPr>
                <w:szCs w:val="20"/>
              </w:rPr>
            </w:pPr>
            <w:r w:rsidRPr="00D672AE">
              <w:rPr>
                <w:szCs w:val="20"/>
              </w:rPr>
              <w:t>Total f</w:t>
            </w:r>
            <w:r w:rsidRPr="00FE40D5">
              <w:rPr>
                <w:szCs w:val="20"/>
              </w:rPr>
              <w:t>inancial implications</w:t>
            </w:r>
          </w:p>
        </w:tc>
        <w:tc>
          <w:tcPr>
            <w:tcW w:w="1020" w:type="dxa"/>
            <w:tcBorders>
              <w:bottom w:val="single" w:sz="4" w:space="0" w:color="auto"/>
            </w:tcBorders>
            <w:vAlign w:val="center"/>
          </w:tcPr>
          <w:p w14:paraId="565F3C0F" w14:textId="77777777" w:rsidR="007C6C75" w:rsidRDefault="007C6C75" w:rsidP="007C6C75">
            <w:pPr>
              <w:pStyle w:val="TableText0"/>
              <w:keepNext w:val="0"/>
              <w:ind w:hanging="142"/>
              <w:jc w:val="center"/>
              <w:rPr>
                <w:rFonts w:cs="Calibri"/>
                <w:color w:val="000000"/>
                <w:szCs w:val="20"/>
              </w:rPr>
            </w:pPr>
            <w:r>
              <w:rPr>
                <w:rFonts w:cs="Calibri"/>
                <w:color w:val="000000"/>
                <w:szCs w:val="20"/>
              </w:rPr>
              <w:t>$341,475</w:t>
            </w:r>
          </w:p>
        </w:tc>
        <w:tc>
          <w:tcPr>
            <w:tcW w:w="1021" w:type="dxa"/>
            <w:tcBorders>
              <w:bottom w:val="single" w:sz="4" w:space="0" w:color="auto"/>
            </w:tcBorders>
            <w:vAlign w:val="center"/>
          </w:tcPr>
          <w:p w14:paraId="1E8FFFAA" w14:textId="77777777" w:rsidR="007C6C75" w:rsidRDefault="007C6C75" w:rsidP="007C6C75">
            <w:pPr>
              <w:pStyle w:val="TableText0"/>
              <w:keepNext w:val="0"/>
              <w:ind w:hanging="142"/>
              <w:jc w:val="center"/>
              <w:rPr>
                <w:rFonts w:cs="Calibri"/>
                <w:color w:val="000000"/>
                <w:szCs w:val="20"/>
              </w:rPr>
            </w:pPr>
            <w:r>
              <w:rPr>
                <w:rFonts w:cs="Calibri"/>
                <w:color w:val="000000"/>
                <w:szCs w:val="20"/>
              </w:rPr>
              <w:t>$543,836</w:t>
            </w:r>
          </w:p>
        </w:tc>
        <w:tc>
          <w:tcPr>
            <w:tcW w:w="1020" w:type="dxa"/>
            <w:tcBorders>
              <w:bottom w:val="single" w:sz="4" w:space="0" w:color="auto"/>
            </w:tcBorders>
            <w:vAlign w:val="center"/>
          </w:tcPr>
          <w:p w14:paraId="154FEC09" w14:textId="77777777" w:rsidR="007C6C75" w:rsidRDefault="007C6C75" w:rsidP="007C6C75">
            <w:pPr>
              <w:pStyle w:val="TableText0"/>
              <w:keepNext w:val="0"/>
              <w:ind w:hanging="142"/>
              <w:jc w:val="center"/>
              <w:rPr>
                <w:rFonts w:cs="Calibri"/>
                <w:color w:val="000000"/>
                <w:szCs w:val="20"/>
              </w:rPr>
            </w:pPr>
            <w:r>
              <w:rPr>
                <w:rFonts w:cs="Calibri"/>
                <w:color w:val="000000"/>
                <w:szCs w:val="20"/>
              </w:rPr>
              <w:t>$841,017</w:t>
            </w:r>
          </w:p>
        </w:tc>
        <w:tc>
          <w:tcPr>
            <w:tcW w:w="1021" w:type="dxa"/>
            <w:tcBorders>
              <w:bottom w:val="single" w:sz="4" w:space="0" w:color="auto"/>
            </w:tcBorders>
            <w:vAlign w:val="center"/>
          </w:tcPr>
          <w:p w14:paraId="361ECF7D" w14:textId="77777777" w:rsidR="007C6C75" w:rsidRDefault="007C6C75" w:rsidP="007C6C75">
            <w:pPr>
              <w:pStyle w:val="TableText0"/>
              <w:keepNext w:val="0"/>
              <w:ind w:hanging="142"/>
              <w:jc w:val="center"/>
              <w:rPr>
                <w:rFonts w:cs="Calibri"/>
                <w:color w:val="000000"/>
                <w:szCs w:val="20"/>
              </w:rPr>
            </w:pPr>
            <w:r>
              <w:rPr>
                <w:rFonts w:cs="Calibri"/>
                <w:color w:val="000000"/>
                <w:szCs w:val="20"/>
              </w:rPr>
              <w:t>$1,292,371</w:t>
            </w:r>
          </w:p>
        </w:tc>
        <w:tc>
          <w:tcPr>
            <w:tcW w:w="1021" w:type="dxa"/>
            <w:tcBorders>
              <w:bottom w:val="single" w:sz="4" w:space="0" w:color="auto"/>
            </w:tcBorders>
            <w:vAlign w:val="center"/>
          </w:tcPr>
          <w:p w14:paraId="570ACD6B" w14:textId="77777777" w:rsidR="007C6C75" w:rsidRDefault="007C6C75" w:rsidP="007C6C75">
            <w:pPr>
              <w:pStyle w:val="TableText0"/>
              <w:keepNext w:val="0"/>
              <w:ind w:hanging="142"/>
              <w:jc w:val="center"/>
              <w:rPr>
                <w:rFonts w:cs="Calibri"/>
                <w:color w:val="000000"/>
                <w:szCs w:val="20"/>
              </w:rPr>
            </w:pPr>
            <w:r>
              <w:rPr>
                <w:rFonts w:cs="Calibri"/>
                <w:color w:val="000000"/>
                <w:szCs w:val="20"/>
              </w:rPr>
              <w:t>$1,982,707</w:t>
            </w:r>
          </w:p>
        </w:tc>
      </w:tr>
      <w:tr w:rsidR="007C6C75" w:rsidRPr="005A6618" w14:paraId="099EE1C1" w14:textId="77777777" w:rsidTr="007C6C75">
        <w:trPr>
          <w:trHeight w:val="227"/>
        </w:trPr>
        <w:tc>
          <w:tcPr>
            <w:tcW w:w="1271" w:type="dxa"/>
            <w:vMerge/>
          </w:tcPr>
          <w:p w14:paraId="03DD9195" w14:textId="77777777" w:rsidR="007C6C75" w:rsidRPr="00D912DD" w:rsidRDefault="007C6C75" w:rsidP="007C6C75">
            <w:pPr>
              <w:pStyle w:val="TableText0"/>
              <w:keepLines/>
              <w:ind w:left="22" w:firstLine="13"/>
              <w:jc w:val="left"/>
              <w:rPr>
                <w:rFonts w:cs="Arial"/>
                <w:color w:val="000000"/>
              </w:rPr>
            </w:pPr>
          </w:p>
        </w:tc>
        <w:tc>
          <w:tcPr>
            <w:tcW w:w="573" w:type="dxa"/>
            <w:vMerge w:val="restart"/>
          </w:tcPr>
          <w:p w14:paraId="6626C2D7" w14:textId="77777777" w:rsidR="007C6C75" w:rsidRPr="00524539" w:rsidRDefault="007C6C75" w:rsidP="007C6C75">
            <w:pPr>
              <w:pStyle w:val="TableText0"/>
              <w:keepLines/>
              <w:ind w:left="22" w:firstLine="13"/>
              <w:jc w:val="center"/>
              <w:rPr>
                <w:rFonts w:cs="Arial"/>
                <w:color w:val="000000"/>
              </w:rPr>
            </w:pPr>
            <w:r>
              <w:rPr>
                <w:rFonts w:cs="Arial"/>
                <w:color w:val="000000"/>
              </w:rPr>
              <w:t>80%</w:t>
            </w:r>
          </w:p>
        </w:tc>
        <w:tc>
          <w:tcPr>
            <w:tcW w:w="2410" w:type="dxa"/>
            <w:tcBorders>
              <w:bottom w:val="single" w:sz="4" w:space="0" w:color="auto"/>
            </w:tcBorders>
          </w:tcPr>
          <w:p w14:paraId="780D9768" w14:textId="77777777" w:rsidR="007C6C75" w:rsidRPr="00DA6F52" w:rsidRDefault="007C6C75" w:rsidP="007C6C75">
            <w:pPr>
              <w:pStyle w:val="TableText0"/>
              <w:keepLines/>
              <w:ind w:left="22" w:firstLine="13"/>
              <w:jc w:val="left"/>
              <w:rPr>
                <w:szCs w:val="20"/>
              </w:rPr>
            </w:pPr>
            <w:r w:rsidRPr="00D672AE">
              <w:rPr>
                <w:rFonts w:cs="Arial"/>
                <w:color w:val="000000"/>
                <w:szCs w:val="20"/>
              </w:rPr>
              <w:t xml:space="preserve">Cost to </w:t>
            </w:r>
            <w:r w:rsidRPr="00FE40D5">
              <w:rPr>
                <w:rFonts w:cs="Arial"/>
                <w:color w:val="000000"/>
                <w:szCs w:val="20"/>
              </w:rPr>
              <w:t>the MBS</w:t>
            </w:r>
          </w:p>
        </w:tc>
        <w:tc>
          <w:tcPr>
            <w:tcW w:w="1020" w:type="dxa"/>
            <w:tcBorders>
              <w:bottom w:val="single" w:sz="4" w:space="0" w:color="auto"/>
            </w:tcBorders>
            <w:vAlign w:val="center"/>
          </w:tcPr>
          <w:p w14:paraId="3C7660CD" w14:textId="77777777" w:rsidR="007C6C75" w:rsidRDefault="007C6C75" w:rsidP="007C6C75">
            <w:pPr>
              <w:pStyle w:val="TableText0"/>
              <w:keepNext w:val="0"/>
              <w:ind w:hanging="142"/>
              <w:jc w:val="center"/>
              <w:rPr>
                <w:rFonts w:cs="Calibri"/>
                <w:color w:val="000000"/>
                <w:szCs w:val="20"/>
              </w:rPr>
            </w:pPr>
            <w:r>
              <w:rPr>
                <w:rFonts w:cs="Calibri"/>
                <w:color w:val="000000"/>
                <w:szCs w:val="20"/>
              </w:rPr>
              <w:t>$339,395</w:t>
            </w:r>
          </w:p>
        </w:tc>
        <w:tc>
          <w:tcPr>
            <w:tcW w:w="1021" w:type="dxa"/>
            <w:tcBorders>
              <w:bottom w:val="single" w:sz="4" w:space="0" w:color="auto"/>
            </w:tcBorders>
            <w:vAlign w:val="center"/>
          </w:tcPr>
          <w:p w14:paraId="246C613B" w14:textId="77777777" w:rsidR="007C6C75" w:rsidRDefault="007C6C75" w:rsidP="007C6C75">
            <w:pPr>
              <w:pStyle w:val="TableText0"/>
              <w:keepNext w:val="0"/>
              <w:ind w:hanging="142"/>
              <w:jc w:val="center"/>
              <w:rPr>
                <w:rFonts w:cs="Calibri"/>
                <w:color w:val="000000"/>
                <w:szCs w:val="20"/>
              </w:rPr>
            </w:pPr>
            <w:r>
              <w:rPr>
                <w:rFonts w:cs="Calibri"/>
                <w:color w:val="000000"/>
                <w:szCs w:val="20"/>
              </w:rPr>
              <w:t>$550,726</w:t>
            </w:r>
          </w:p>
        </w:tc>
        <w:tc>
          <w:tcPr>
            <w:tcW w:w="1020" w:type="dxa"/>
            <w:tcBorders>
              <w:bottom w:val="single" w:sz="4" w:space="0" w:color="auto"/>
            </w:tcBorders>
            <w:vAlign w:val="center"/>
          </w:tcPr>
          <w:p w14:paraId="6CDAD638" w14:textId="77777777" w:rsidR="007C6C75" w:rsidRDefault="007C6C75" w:rsidP="007C6C75">
            <w:pPr>
              <w:pStyle w:val="TableText0"/>
              <w:keepNext w:val="0"/>
              <w:ind w:hanging="142"/>
              <w:jc w:val="center"/>
              <w:rPr>
                <w:rFonts w:cs="Calibri"/>
                <w:color w:val="000000"/>
                <w:szCs w:val="20"/>
              </w:rPr>
            </w:pPr>
            <w:r>
              <w:rPr>
                <w:rFonts w:cs="Calibri"/>
                <w:color w:val="000000"/>
                <w:szCs w:val="20"/>
              </w:rPr>
              <w:t>$850,848</w:t>
            </w:r>
          </w:p>
        </w:tc>
        <w:tc>
          <w:tcPr>
            <w:tcW w:w="1021" w:type="dxa"/>
            <w:tcBorders>
              <w:bottom w:val="single" w:sz="4" w:space="0" w:color="auto"/>
            </w:tcBorders>
            <w:vAlign w:val="center"/>
          </w:tcPr>
          <w:p w14:paraId="22590E9E" w14:textId="77777777" w:rsidR="007C6C75" w:rsidRDefault="007C6C75" w:rsidP="007C6C75">
            <w:pPr>
              <w:pStyle w:val="TableText0"/>
              <w:keepNext w:val="0"/>
              <w:ind w:hanging="142"/>
              <w:jc w:val="center"/>
              <w:rPr>
                <w:rFonts w:cs="Calibri"/>
                <w:color w:val="000000"/>
                <w:szCs w:val="20"/>
              </w:rPr>
            </w:pPr>
            <w:r>
              <w:rPr>
                <w:rFonts w:cs="Calibri"/>
                <w:color w:val="000000"/>
                <w:szCs w:val="20"/>
              </w:rPr>
              <w:t>$1,306,687</w:t>
            </w:r>
          </w:p>
        </w:tc>
        <w:tc>
          <w:tcPr>
            <w:tcW w:w="1021" w:type="dxa"/>
            <w:tcBorders>
              <w:bottom w:val="single" w:sz="4" w:space="0" w:color="auto"/>
            </w:tcBorders>
            <w:vAlign w:val="center"/>
          </w:tcPr>
          <w:p w14:paraId="4D928902" w14:textId="77777777" w:rsidR="007C6C75" w:rsidRDefault="007C6C75" w:rsidP="007C6C75">
            <w:pPr>
              <w:pStyle w:val="TableText0"/>
              <w:keepNext w:val="0"/>
              <w:ind w:hanging="142"/>
              <w:jc w:val="center"/>
              <w:rPr>
                <w:rFonts w:cs="Calibri"/>
                <w:color w:val="000000"/>
                <w:szCs w:val="20"/>
              </w:rPr>
            </w:pPr>
            <w:r>
              <w:rPr>
                <w:rFonts w:cs="Calibri"/>
                <w:color w:val="000000"/>
                <w:szCs w:val="20"/>
              </w:rPr>
              <w:t>$2,005,228</w:t>
            </w:r>
          </w:p>
        </w:tc>
      </w:tr>
      <w:tr w:rsidR="007C6C75" w:rsidRPr="005A6618" w14:paraId="7816D032" w14:textId="77777777" w:rsidTr="007C6C75">
        <w:trPr>
          <w:trHeight w:val="227"/>
        </w:trPr>
        <w:tc>
          <w:tcPr>
            <w:tcW w:w="1271" w:type="dxa"/>
            <w:vMerge/>
          </w:tcPr>
          <w:p w14:paraId="2F475C4A" w14:textId="77777777" w:rsidR="007C6C75" w:rsidRPr="00D912DD" w:rsidRDefault="007C6C75" w:rsidP="007C6C75">
            <w:pPr>
              <w:pStyle w:val="TableText0"/>
              <w:keepLines/>
              <w:ind w:left="22" w:firstLine="13"/>
              <w:jc w:val="left"/>
              <w:rPr>
                <w:rFonts w:cs="Arial"/>
                <w:color w:val="000000"/>
              </w:rPr>
            </w:pPr>
          </w:p>
        </w:tc>
        <w:tc>
          <w:tcPr>
            <w:tcW w:w="573" w:type="dxa"/>
            <w:vMerge/>
          </w:tcPr>
          <w:p w14:paraId="5FAC5F0B"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72C712DE" w14:textId="77777777" w:rsidR="007C6C75" w:rsidRPr="00DA6F52" w:rsidRDefault="007C6C75" w:rsidP="007C6C75">
            <w:pPr>
              <w:pStyle w:val="TableText0"/>
              <w:keepLines/>
              <w:ind w:left="22" w:firstLine="13"/>
              <w:jc w:val="left"/>
              <w:rPr>
                <w:szCs w:val="20"/>
              </w:rPr>
            </w:pPr>
            <w:r w:rsidRPr="00D672AE">
              <w:rPr>
                <w:rFonts w:cs="Arial"/>
                <w:color w:val="000000"/>
                <w:szCs w:val="20"/>
              </w:rPr>
              <w:t>Cost to the healthcare budget</w:t>
            </w:r>
          </w:p>
        </w:tc>
        <w:tc>
          <w:tcPr>
            <w:tcW w:w="1020" w:type="dxa"/>
            <w:tcBorders>
              <w:bottom w:val="single" w:sz="4" w:space="0" w:color="auto"/>
            </w:tcBorders>
            <w:vAlign w:val="center"/>
          </w:tcPr>
          <w:p w14:paraId="5A2BC1BD" w14:textId="77777777" w:rsidR="007C6C75" w:rsidRDefault="007C6C75" w:rsidP="007C6C75">
            <w:pPr>
              <w:pStyle w:val="TableText0"/>
              <w:keepNext w:val="0"/>
              <w:ind w:hanging="142"/>
              <w:jc w:val="center"/>
              <w:rPr>
                <w:rFonts w:cs="Calibri"/>
                <w:color w:val="000000"/>
                <w:szCs w:val="20"/>
              </w:rPr>
            </w:pPr>
            <w:r>
              <w:rPr>
                <w:rFonts w:cs="Calibri"/>
                <w:color w:val="000000"/>
                <w:szCs w:val="20"/>
              </w:rPr>
              <w:t>$13,629</w:t>
            </w:r>
          </w:p>
        </w:tc>
        <w:tc>
          <w:tcPr>
            <w:tcW w:w="1021" w:type="dxa"/>
            <w:tcBorders>
              <w:bottom w:val="single" w:sz="4" w:space="0" w:color="auto"/>
            </w:tcBorders>
            <w:vAlign w:val="center"/>
          </w:tcPr>
          <w:p w14:paraId="5BB4497F" w14:textId="77777777" w:rsidR="007C6C75" w:rsidRDefault="007C6C75" w:rsidP="007C6C75">
            <w:pPr>
              <w:pStyle w:val="TableText0"/>
              <w:keepNext w:val="0"/>
              <w:ind w:hanging="142"/>
              <w:jc w:val="center"/>
              <w:rPr>
                <w:rFonts w:cs="Calibri"/>
                <w:color w:val="000000"/>
                <w:szCs w:val="20"/>
              </w:rPr>
            </w:pPr>
            <w:r>
              <w:rPr>
                <w:rFonts w:cs="Calibri"/>
                <w:color w:val="000000"/>
                <w:szCs w:val="20"/>
              </w:rPr>
              <w:t>$21,806</w:t>
            </w:r>
          </w:p>
        </w:tc>
        <w:tc>
          <w:tcPr>
            <w:tcW w:w="1020" w:type="dxa"/>
            <w:tcBorders>
              <w:bottom w:val="single" w:sz="4" w:space="0" w:color="auto"/>
            </w:tcBorders>
            <w:vAlign w:val="center"/>
          </w:tcPr>
          <w:p w14:paraId="2E74852C" w14:textId="77777777" w:rsidR="007C6C75" w:rsidRDefault="007C6C75" w:rsidP="007C6C75">
            <w:pPr>
              <w:pStyle w:val="TableText0"/>
              <w:keepNext w:val="0"/>
              <w:ind w:hanging="142"/>
              <w:jc w:val="center"/>
              <w:rPr>
                <w:rFonts w:cs="Calibri"/>
                <w:color w:val="000000"/>
                <w:szCs w:val="20"/>
              </w:rPr>
            </w:pPr>
            <w:r>
              <w:rPr>
                <w:rFonts w:cs="Calibri"/>
                <w:color w:val="000000"/>
                <w:szCs w:val="20"/>
              </w:rPr>
              <w:t>$36,343</w:t>
            </w:r>
          </w:p>
        </w:tc>
        <w:tc>
          <w:tcPr>
            <w:tcW w:w="1021" w:type="dxa"/>
            <w:tcBorders>
              <w:bottom w:val="single" w:sz="4" w:space="0" w:color="auto"/>
            </w:tcBorders>
            <w:vAlign w:val="center"/>
          </w:tcPr>
          <w:p w14:paraId="4725C260" w14:textId="77777777" w:rsidR="007C6C75" w:rsidRDefault="007C6C75" w:rsidP="007C6C75">
            <w:pPr>
              <w:pStyle w:val="TableText0"/>
              <w:keepNext w:val="0"/>
              <w:ind w:hanging="142"/>
              <w:jc w:val="center"/>
              <w:rPr>
                <w:rFonts w:cs="Calibri"/>
                <w:color w:val="000000"/>
                <w:szCs w:val="20"/>
              </w:rPr>
            </w:pPr>
            <w:r>
              <w:rPr>
                <w:rFonts w:cs="Calibri"/>
                <w:color w:val="000000"/>
                <w:szCs w:val="20"/>
              </w:rPr>
              <w:t>$54,515</w:t>
            </w:r>
          </w:p>
        </w:tc>
        <w:tc>
          <w:tcPr>
            <w:tcW w:w="1021" w:type="dxa"/>
            <w:tcBorders>
              <w:bottom w:val="single" w:sz="4" w:space="0" w:color="auto"/>
            </w:tcBorders>
            <w:vAlign w:val="center"/>
          </w:tcPr>
          <w:p w14:paraId="0E9EAB1A" w14:textId="77777777" w:rsidR="007C6C75" w:rsidRDefault="007C6C75" w:rsidP="007C6C75">
            <w:pPr>
              <w:pStyle w:val="TableText0"/>
              <w:keepNext w:val="0"/>
              <w:ind w:hanging="142"/>
              <w:jc w:val="center"/>
              <w:rPr>
                <w:rFonts w:cs="Calibri"/>
                <w:color w:val="000000"/>
                <w:szCs w:val="20"/>
              </w:rPr>
            </w:pPr>
            <w:r>
              <w:rPr>
                <w:rFonts w:cs="Calibri"/>
                <w:color w:val="000000"/>
                <w:szCs w:val="20"/>
              </w:rPr>
              <w:t>$84,498</w:t>
            </w:r>
          </w:p>
        </w:tc>
      </w:tr>
      <w:tr w:rsidR="007C6C75" w:rsidRPr="005A6618" w14:paraId="2ADC66CA" w14:textId="77777777" w:rsidTr="007C6C75">
        <w:trPr>
          <w:trHeight w:val="227"/>
        </w:trPr>
        <w:tc>
          <w:tcPr>
            <w:tcW w:w="1271" w:type="dxa"/>
            <w:vMerge/>
          </w:tcPr>
          <w:p w14:paraId="1E3E0082" w14:textId="77777777" w:rsidR="007C6C75" w:rsidRPr="00524539" w:rsidRDefault="007C6C75" w:rsidP="007C6C75">
            <w:pPr>
              <w:pStyle w:val="TableText0"/>
              <w:keepLines/>
              <w:ind w:left="22" w:firstLine="13"/>
              <w:jc w:val="left"/>
              <w:rPr>
                <w:rFonts w:cs="Arial"/>
                <w:color w:val="000000"/>
              </w:rPr>
            </w:pPr>
          </w:p>
        </w:tc>
        <w:tc>
          <w:tcPr>
            <w:tcW w:w="573" w:type="dxa"/>
            <w:vMerge/>
          </w:tcPr>
          <w:p w14:paraId="4BA635E5" w14:textId="77777777" w:rsidR="007C6C75" w:rsidRPr="00524539" w:rsidRDefault="007C6C75" w:rsidP="007C6C75">
            <w:pPr>
              <w:pStyle w:val="TableText0"/>
              <w:keepLines/>
              <w:ind w:left="22" w:firstLine="13"/>
              <w:jc w:val="center"/>
              <w:rPr>
                <w:rFonts w:cs="Arial"/>
                <w:color w:val="000000"/>
              </w:rPr>
            </w:pPr>
          </w:p>
        </w:tc>
        <w:tc>
          <w:tcPr>
            <w:tcW w:w="2410" w:type="dxa"/>
          </w:tcPr>
          <w:p w14:paraId="426E74A6" w14:textId="77777777" w:rsidR="007C6C75" w:rsidRPr="00DA6F52" w:rsidRDefault="007C6C75" w:rsidP="007C6C75">
            <w:pPr>
              <w:pStyle w:val="TableText0"/>
              <w:keepLines/>
              <w:ind w:left="22" w:firstLine="13"/>
              <w:jc w:val="left"/>
              <w:rPr>
                <w:szCs w:val="20"/>
              </w:rPr>
            </w:pPr>
            <w:r w:rsidRPr="00D672AE">
              <w:rPr>
                <w:szCs w:val="20"/>
              </w:rPr>
              <w:t>Total f</w:t>
            </w:r>
            <w:r w:rsidRPr="00FE40D5">
              <w:rPr>
                <w:szCs w:val="20"/>
              </w:rPr>
              <w:t>inancial implications</w:t>
            </w:r>
          </w:p>
        </w:tc>
        <w:tc>
          <w:tcPr>
            <w:tcW w:w="1020" w:type="dxa"/>
            <w:vAlign w:val="center"/>
          </w:tcPr>
          <w:p w14:paraId="227DD1B5" w14:textId="77777777" w:rsidR="007C6C75" w:rsidRDefault="007C6C75" w:rsidP="007C6C75">
            <w:pPr>
              <w:pStyle w:val="TableText0"/>
              <w:keepNext w:val="0"/>
              <w:ind w:hanging="142"/>
              <w:jc w:val="center"/>
              <w:rPr>
                <w:rFonts w:cs="Calibri"/>
                <w:color w:val="000000"/>
                <w:szCs w:val="20"/>
              </w:rPr>
            </w:pPr>
            <w:r>
              <w:rPr>
                <w:rFonts w:cs="Calibri"/>
                <w:color w:val="000000"/>
                <w:szCs w:val="20"/>
              </w:rPr>
              <w:t>$353,024</w:t>
            </w:r>
          </w:p>
        </w:tc>
        <w:tc>
          <w:tcPr>
            <w:tcW w:w="1021" w:type="dxa"/>
            <w:vAlign w:val="center"/>
          </w:tcPr>
          <w:p w14:paraId="4FE2D895" w14:textId="77777777" w:rsidR="007C6C75" w:rsidRDefault="007C6C75" w:rsidP="007C6C75">
            <w:pPr>
              <w:pStyle w:val="TableText0"/>
              <w:keepNext w:val="0"/>
              <w:ind w:hanging="142"/>
              <w:jc w:val="center"/>
              <w:rPr>
                <w:rFonts w:cs="Calibri"/>
                <w:color w:val="000000"/>
                <w:szCs w:val="20"/>
              </w:rPr>
            </w:pPr>
            <w:r>
              <w:rPr>
                <w:rFonts w:cs="Calibri"/>
                <w:color w:val="000000"/>
                <w:szCs w:val="20"/>
              </w:rPr>
              <w:t>$572,532</w:t>
            </w:r>
          </w:p>
        </w:tc>
        <w:tc>
          <w:tcPr>
            <w:tcW w:w="1020" w:type="dxa"/>
            <w:vAlign w:val="center"/>
          </w:tcPr>
          <w:p w14:paraId="4C9B9F13" w14:textId="77777777" w:rsidR="007C6C75" w:rsidRDefault="007C6C75" w:rsidP="007C6C75">
            <w:pPr>
              <w:pStyle w:val="TableText0"/>
              <w:keepNext w:val="0"/>
              <w:ind w:hanging="142"/>
              <w:jc w:val="center"/>
              <w:rPr>
                <w:rFonts w:cs="Calibri"/>
                <w:color w:val="000000"/>
                <w:szCs w:val="20"/>
              </w:rPr>
            </w:pPr>
            <w:r>
              <w:rPr>
                <w:rFonts w:cs="Calibri"/>
                <w:color w:val="000000"/>
                <w:szCs w:val="20"/>
              </w:rPr>
              <w:t>$887,192</w:t>
            </w:r>
          </w:p>
        </w:tc>
        <w:tc>
          <w:tcPr>
            <w:tcW w:w="1021" w:type="dxa"/>
            <w:vAlign w:val="center"/>
          </w:tcPr>
          <w:p w14:paraId="093278AB" w14:textId="77777777" w:rsidR="007C6C75" w:rsidRDefault="007C6C75" w:rsidP="007C6C75">
            <w:pPr>
              <w:pStyle w:val="TableText0"/>
              <w:keepNext w:val="0"/>
              <w:ind w:hanging="142"/>
              <w:jc w:val="center"/>
              <w:rPr>
                <w:rFonts w:cs="Calibri"/>
                <w:color w:val="000000"/>
                <w:szCs w:val="20"/>
              </w:rPr>
            </w:pPr>
            <w:r>
              <w:rPr>
                <w:rFonts w:cs="Calibri"/>
                <w:color w:val="000000"/>
                <w:szCs w:val="20"/>
              </w:rPr>
              <w:t>$1,361,202</w:t>
            </w:r>
          </w:p>
        </w:tc>
        <w:tc>
          <w:tcPr>
            <w:tcW w:w="1021" w:type="dxa"/>
            <w:vAlign w:val="center"/>
          </w:tcPr>
          <w:p w14:paraId="704BE6A6" w14:textId="77777777" w:rsidR="007C6C75" w:rsidRDefault="007C6C75" w:rsidP="007C6C75">
            <w:pPr>
              <w:pStyle w:val="TableText0"/>
              <w:keepNext w:val="0"/>
              <w:ind w:hanging="142"/>
              <w:jc w:val="center"/>
              <w:rPr>
                <w:rFonts w:cs="Calibri"/>
                <w:color w:val="000000"/>
                <w:szCs w:val="20"/>
              </w:rPr>
            </w:pPr>
            <w:r>
              <w:rPr>
                <w:rFonts w:cs="Calibri"/>
                <w:color w:val="000000"/>
                <w:szCs w:val="20"/>
              </w:rPr>
              <w:t>$2,089,726</w:t>
            </w:r>
          </w:p>
        </w:tc>
      </w:tr>
      <w:tr w:rsidR="007C6C75" w:rsidRPr="005A6618" w14:paraId="2307150F" w14:textId="77777777" w:rsidTr="007C6C75">
        <w:trPr>
          <w:trHeight w:val="227"/>
        </w:trPr>
        <w:tc>
          <w:tcPr>
            <w:tcW w:w="1271" w:type="dxa"/>
            <w:vMerge/>
          </w:tcPr>
          <w:p w14:paraId="64603038" w14:textId="77777777" w:rsidR="007C6C75" w:rsidRPr="00524539" w:rsidRDefault="007C6C75" w:rsidP="007C6C75">
            <w:pPr>
              <w:pStyle w:val="TableText0"/>
              <w:keepLines/>
              <w:ind w:left="22" w:firstLine="13"/>
              <w:jc w:val="left"/>
              <w:rPr>
                <w:rFonts w:cs="Arial"/>
                <w:color w:val="000000"/>
              </w:rPr>
            </w:pPr>
          </w:p>
        </w:tc>
        <w:tc>
          <w:tcPr>
            <w:tcW w:w="573" w:type="dxa"/>
            <w:vMerge w:val="restart"/>
          </w:tcPr>
          <w:p w14:paraId="5926B034" w14:textId="77777777" w:rsidR="007C6C75" w:rsidRPr="00524539" w:rsidRDefault="007C6C75" w:rsidP="007C6C75">
            <w:pPr>
              <w:pStyle w:val="TableText0"/>
              <w:keepLines/>
              <w:ind w:left="22" w:firstLine="13"/>
              <w:jc w:val="center"/>
              <w:rPr>
                <w:rFonts w:cs="Arial"/>
                <w:color w:val="000000"/>
              </w:rPr>
            </w:pPr>
            <w:r>
              <w:rPr>
                <w:rFonts w:cs="Arial"/>
                <w:color w:val="000000"/>
              </w:rPr>
              <w:t>90%</w:t>
            </w:r>
          </w:p>
        </w:tc>
        <w:tc>
          <w:tcPr>
            <w:tcW w:w="2410" w:type="dxa"/>
            <w:tcBorders>
              <w:bottom w:val="single" w:sz="4" w:space="0" w:color="auto"/>
            </w:tcBorders>
          </w:tcPr>
          <w:p w14:paraId="3C42AF41" w14:textId="77777777" w:rsidR="007C6C75" w:rsidRPr="00DA6F52" w:rsidRDefault="007C6C75" w:rsidP="007C6C75">
            <w:pPr>
              <w:pStyle w:val="TableText0"/>
              <w:keepLines/>
              <w:ind w:left="22" w:firstLine="13"/>
              <w:jc w:val="left"/>
              <w:rPr>
                <w:szCs w:val="20"/>
              </w:rPr>
            </w:pPr>
            <w:r w:rsidRPr="00D672AE">
              <w:rPr>
                <w:szCs w:val="20"/>
              </w:rPr>
              <w:t>Cost to the MBS</w:t>
            </w:r>
          </w:p>
        </w:tc>
        <w:tc>
          <w:tcPr>
            <w:tcW w:w="1020" w:type="dxa"/>
            <w:tcBorders>
              <w:bottom w:val="single" w:sz="4" w:space="0" w:color="auto"/>
            </w:tcBorders>
            <w:vAlign w:val="center"/>
          </w:tcPr>
          <w:p w14:paraId="654A2DD2" w14:textId="77777777" w:rsidR="007C6C75" w:rsidRDefault="007C6C75" w:rsidP="007C6C75">
            <w:pPr>
              <w:pStyle w:val="TableText0"/>
              <w:keepNext w:val="0"/>
              <w:ind w:hanging="142"/>
              <w:jc w:val="center"/>
              <w:rPr>
                <w:rFonts w:cs="Calibri"/>
                <w:color w:val="000000"/>
                <w:szCs w:val="20"/>
              </w:rPr>
            </w:pPr>
            <w:r>
              <w:rPr>
                <w:rFonts w:cs="Calibri"/>
                <w:color w:val="000000"/>
                <w:szCs w:val="20"/>
              </w:rPr>
              <w:t>$344,662</w:t>
            </w:r>
          </w:p>
        </w:tc>
        <w:tc>
          <w:tcPr>
            <w:tcW w:w="1021" w:type="dxa"/>
            <w:tcBorders>
              <w:bottom w:val="single" w:sz="4" w:space="0" w:color="auto"/>
            </w:tcBorders>
            <w:vAlign w:val="center"/>
          </w:tcPr>
          <w:p w14:paraId="69CCCFFE" w14:textId="77777777" w:rsidR="007C6C75" w:rsidRDefault="007C6C75" w:rsidP="007C6C75">
            <w:pPr>
              <w:pStyle w:val="TableText0"/>
              <w:keepNext w:val="0"/>
              <w:ind w:hanging="142"/>
              <w:jc w:val="center"/>
              <w:rPr>
                <w:rFonts w:cs="Calibri"/>
                <w:color w:val="000000"/>
                <w:szCs w:val="20"/>
              </w:rPr>
            </w:pPr>
            <w:r>
              <w:rPr>
                <w:rFonts w:cs="Calibri"/>
                <w:color w:val="000000"/>
                <w:szCs w:val="20"/>
              </w:rPr>
              <w:t>$563,060</w:t>
            </w:r>
          </w:p>
        </w:tc>
        <w:tc>
          <w:tcPr>
            <w:tcW w:w="1020" w:type="dxa"/>
            <w:tcBorders>
              <w:bottom w:val="single" w:sz="4" w:space="0" w:color="auto"/>
            </w:tcBorders>
            <w:vAlign w:val="center"/>
          </w:tcPr>
          <w:p w14:paraId="71542307" w14:textId="77777777" w:rsidR="007C6C75" w:rsidRDefault="007C6C75" w:rsidP="007C6C75">
            <w:pPr>
              <w:pStyle w:val="TableText0"/>
              <w:keepNext w:val="0"/>
              <w:ind w:hanging="142"/>
              <w:jc w:val="center"/>
              <w:rPr>
                <w:rFonts w:cs="Calibri"/>
                <w:color w:val="000000"/>
                <w:szCs w:val="20"/>
              </w:rPr>
            </w:pPr>
            <w:r>
              <w:rPr>
                <w:rFonts w:cs="Calibri"/>
                <w:color w:val="000000"/>
                <w:szCs w:val="20"/>
              </w:rPr>
              <w:t>$868,814</w:t>
            </w:r>
          </w:p>
        </w:tc>
        <w:tc>
          <w:tcPr>
            <w:tcW w:w="1021" w:type="dxa"/>
            <w:tcBorders>
              <w:bottom w:val="single" w:sz="4" w:space="0" w:color="auto"/>
            </w:tcBorders>
            <w:vAlign w:val="center"/>
          </w:tcPr>
          <w:p w14:paraId="43D0C8FE" w14:textId="77777777" w:rsidR="007C6C75" w:rsidRDefault="007C6C75" w:rsidP="007C6C75">
            <w:pPr>
              <w:pStyle w:val="TableText0"/>
              <w:keepNext w:val="0"/>
              <w:ind w:hanging="142"/>
              <w:jc w:val="center"/>
              <w:rPr>
                <w:rFonts w:cs="Calibri"/>
                <w:color w:val="000000"/>
                <w:szCs w:val="20"/>
              </w:rPr>
            </w:pPr>
            <w:r>
              <w:rPr>
                <w:rFonts w:cs="Calibri"/>
                <w:color w:val="000000"/>
                <w:szCs w:val="20"/>
              </w:rPr>
              <w:t>$1,336,128</w:t>
            </w:r>
          </w:p>
        </w:tc>
        <w:tc>
          <w:tcPr>
            <w:tcW w:w="1021" w:type="dxa"/>
            <w:tcBorders>
              <w:bottom w:val="single" w:sz="4" w:space="0" w:color="auto"/>
            </w:tcBorders>
            <w:vAlign w:val="center"/>
          </w:tcPr>
          <w:p w14:paraId="3BBB7F15" w14:textId="77777777" w:rsidR="007C6C75" w:rsidRDefault="007C6C75" w:rsidP="007C6C75">
            <w:pPr>
              <w:pStyle w:val="TableText0"/>
              <w:keepNext w:val="0"/>
              <w:ind w:hanging="142"/>
              <w:jc w:val="center"/>
              <w:rPr>
                <w:rFonts w:cs="Calibri"/>
                <w:color w:val="000000"/>
                <w:szCs w:val="20"/>
              </w:rPr>
            </w:pPr>
            <w:r>
              <w:rPr>
                <w:rFonts w:cs="Calibri"/>
                <w:color w:val="000000"/>
                <w:szCs w:val="20"/>
              </w:rPr>
              <w:t>$2,050,020</w:t>
            </w:r>
          </w:p>
        </w:tc>
      </w:tr>
      <w:tr w:rsidR="007C6C75" w:rsidRPr="005A6618" w14:paraId="7F89702B" w14:textId="77777777" w:rsidTr="007C6C75">
        <w:trPr>
          <w:trHeight w:val="227"/>
        </w:trPr>
        <w:tc>
          <w:tcPr>
            <w:tcW w:w="1271" w:type="dxa"/>
            <w:vMerge/>
          </w:tcPr>
          <w:p w14:paraId="61BF9E6A" w14:textId="77777777" w:rsidR="007C6C75" w:rsidRPr="00524539" w:rsidRDefault="007C6C75" w:rsidP="007C6C75">
            <w:pPr>
              <w:pStyle w:val="TableText0"/>
              <w:keepLines/>
              <w:ind w:left="22" w:firstLine="13"/>
              <w:jc w:val="left"/>
              <w:rPr>
                <w:rFonts w:cs="Arial"/>
                <w:color w:val="000000"/>
              </w:rPr>
            </w:pPr>
          </w:p>
        </w:tc>
        <w:tc>
          <w:tcPr>
            <w:tcW w:w="573" w:type="dxa"/>
            <w:vMerge/>
          </w:tcPr>
          <w:p w14:paraId="0F2D2AAB"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tcPr>
          <w:p w14:paraId="52CA93A6" w14:textId="77777777" w:rsidR="007C6C75" w:rsidRPr="00DA6F52" w:rsidRDefault="007C6C75" w:rsidP="007C6C75">
            <w:pPr>
              <w:pStyle w:val="TableText0"/>
              <w:keepLines/>
              <w:ind w:left="22" w:firstLine="13"/>
              <w:jc w:val="left"/>
              <w:rPr>
                <w:szCs w:val="20"/>
              </w:rPr>
            </w:pPr>
            <w:r w:rsidRPr="00D672AE">
              <w:rPr>
                <w:szCs w:val="20"/>
              </w:rPr>
              <w:t>Cost to t</w:t>
            </w:r>
            <w:r w:rsidRPr="00FE40D5">
              <w:rPr>
                <w:szCs w:val="20"/>
              </w:rPr>
              <w:t>he healthcare budget</w:t>
            </w:r>
          </w:p>
        </w:tc>
        <w:tc>
          <w:tcPr>
            <w:tcW w:w="1020" w:type="dxa"/>
            <w:tcBorders>
              <w:bottom w:val="single" w:sz="4" w:space="0" w:color="auto"/>
            </w:tcBorders>
            <w:vAlign w:val="center"/>
          </w:tcPr>
          <w:p w14:paraId="408F239E" w14:textId="77777777" w:rsidR="007C6C75" w:rsidRDefault="007C6C75" w:rsidP="007C6C75">
            <w:pPr>
              <w:pStyle w:val="TableText0"/>
              <w:keepNext w:val="0"/>
              <w:ind w:hanging="142"/>
              <w:jc w:val="center"/>
              <w:rPr>
                <w:rFonts w:cs="Calibri"/>
                <w:color w:val="000000"/>
                <w:szCs w:val="20"/>
              </w:rPr>
            </w:pPr>
            <w:r>
              <w:rPr>
                <w:rFonts w:cs="Calibri"/>
                <w:color w:val="000000"/>
                <w:szCs w:val="20"/>
              </w:rPr>
              <w:t>$15,446</w:t>
            </w:r>
          </w:p>
        </w:tc>
        <w:tc>
          <w:tcPr>
            <w:tcW w:w="1021" w:type="dxa"/>
            <w:tcBorders>
              <w:bottom w:val="single" w:sz="4" w:space="0" w:color="auto"/>
            </w:tcBorders>
            <w:vAlign w:val="center"/>
          </w:tcPr>
          <w:p w14:paraId="4E5635D8" w14:textId="77777777" w:rsidR="007C6C75" w:rsidRDefault="007C6C75" w:rsidP="007C6C75">
            <w:pPr>
              <w:pStyle w:val="TableText0"/>
              <w:keepNext w:val="0"/>
              <w:ind w:hanging="142"/>
              <w:jc w:val="center"/>
              <w:rPr>
                <w:rFonts w:cs="Calibri"/>
                <w:color w:val="000000"/>
                <w:szCs w:val="20"/>
              </w:rPr>
            </w:pPr>
            <w:r>
              <w:rPr>
                <w:rFonts w:cs="Calibri"/>
                <w:color w:val="000000"/>
                <w:szCs w:val="20"/>
              </w:rPr>
              <w:t>$26,349</w:t>
            </w:r>
          </w:p>
        </w:tc>
        <w:tc>
          <w:tcPr>
            <w:tcW w:w="1020" w:type="dxa"/>
            <w:tcBorders>
              <w:bottom w:val="single" w:sz="4" w:space="0" w:color="auto"/>
            </w:tcBorders>
            <w:vAlign w:val="center"/>
          </w:tcPr>
          <w:p w14:paraId="5C5C8A51" w14:textId="77777777" w:rsidR="007C6C75" w:rsidRDefault="007C6C75" w:rsidP="007C6C75">
            <w:pPr>
              <w:pStyle w:val="TableText0"/>
              <w:keepNext w:val="0"/>
              <w:ind w:hanging="142"/>
              <w:jc w:val="center"/>
              <w:rPr>
                <w:rFonts w:cs="Calibri"/>
                <w:color w:val="000000"/>
                <w:szCs w:val="20"/>
              </w:rPr>
            </w:pPr>
            <w:r>
              <w:rPr>
                <w:rFonts w:cs="Calibri"/>
                <w:color w:val="000000"/>
                <w:szCs w:val="20"/>
              </w:rPr>
              <w:t>$39,978</w:t>
            </w:r>
          </w:p>
        </w:tc>
        <w:tc>
          <w:tcPr>
            <w:tcW w:w="1021" w:type="dxa"/>
            <w:tcBorders>
              <w:bottom w:val="single" w:sz="4" w:space="0" w:color="auto"/>
            </w:tcBorders>
            <w:vAlign w:val="center"/>
          </w:tcPr>
          <w:p w14:paraId="65332003" w14:textId="77777777" w:rsidR="007C6C75" w:rsidRDefault="007C6C75" w:rsidP="007C6C75">
            <w:pPr>
              <w:pStyle w:val="TableText0"/>
              <w:keepNext w:val="0"/>
              <w:ind w:hanging="142"/>
              <w:jc w:val="center"/>
              <w:rPr>
                <w:rFonts w:cs="Calibri"/>
                <w:color w:val="000000"/>
                <w:szCs w:val="20"/>
              </w:rPr>
            </w:pPr>
            <w:r>
              <w:rPr>
                <w:rFonts w:cs="Calibri"/>
                <w:color w:val="000000"/>
                <w:szCs w:val="20"/>
              </w:rPr>
              <w:t>$62,692</w:t>
            </w:r>
          </w:p>
        </w:tc>
        <w:tc>
          <w:tcPr>
            <w:tcW w:w="1021" w:type="dxa"/>
            <w:tcBorders>
              <w:bottom w:val="single" w:sz="4" w:space="0" w:color="auto"/>
            </w:tcBorders>
            <w:vAlign w:val="center"/>
          </w:tcPr>
          <w:p w14:paraId="75600414" w14:textId="77777777" w:rsidR="007C6C75" w:rsidRDefault="007C6C75" w:rsidP="007C6C75">
            <w:pPr>
              <w:pStyle w:val="TableText0"/>
              <w:keepNext w:val="0"/>
              <w:ind w:hanging="142"/>
              <w:jc w:val="center"/>
              <w:rPr>
                <w:rFonts w:cs="Calibri"/>
                <w:color w:val="000000"/>
                <w:szCs w:val="20"/>
              </w:rPr>
            </w:pPr>
            <w:r>
              <w:rPr>
                <w:rFonts w:cs="Calibri"/>
                <w:color w:val="000000"/>
                <w:szCs w:val="20"/>
              </w:rPr>
              <w:t>$95,401</w:t>
            </w:r>
          </w:p>
        </w:tc>
      </w:tr>
      <w:tr w:rsidR="007C6C75" w:rsidRPr="005A6618" w14:paraId="11AE33A6" w14:textId="77777777" w:rsidTr="007C6C75">
        <w:trPr>
          <w:trHeight w:val="227"/>
        </w:trPr>
        <w:tc>
          <w:tcPr>
            <w:tcW w:w="1271" w:type="dxa"/>
            <w:vMerge/>
          </w:tcPr>
          <w:p w14:paraId="56A11A08" w14:textId="77777777" w:rsidR="007C6C75" w:rsidRPr="00524539" w:rsidRDefault="007C6C75" w:rsidP="007C6C75">
            <w:pPr>
              <w:pStyle w:val="TableText0"/>
              <w:keepLines/>
              <w:ind w:left="22" w:firstLine="13"/>
              <w:jc w:val="left"/>
              <w:rPr>
                <w:rFonts w:cs="Arial"/>
                <w:color w:val="000000"/>
              </w:rPr>
            </w:pPr>
          </w:p>
        </w:tc>
        <w:tc>
          <w:tcPr>
            <w:tcW w:w="573" w:type="dxa"/>
            <w:vMerge/>
          </w:tcPr>
          <w:p w14:paraId="7D707AD8" w14:textId="77777777" w:rsidR="007C6C75" w:rsidRPr="00524539" w:rsidRDefault="007C6C75" w:rsidP="007C6C75">
            <w:pPr>
              <w:pStyle w:val="TableText0"/>
              <w:keepLines/>
              <w:ind w:left="22" w:firstLine="13"/>
              <w:jc w:val="center"/>
              <w:rPr>
                <w:rFonts w:cs="Arial"/>
                <w:color w:val="000000"/>
              </w:rPr>
            </w:pPr>
          </w:p>
        </w:tc>
        <w:tc>
          <w:tcPr>
            <w:tcW w:w="2410" w:type="dxa"/>
          </w:tcPr>
          <w:p w14:paraId="5F25BDC8" w14:textId="77777777" w:rsidR="007C6C75" w:rsidRPr="00DA6F52" w:rsidRDefault="007C6C75" w:rsidP="007C6C75">
            <w:pPr>
              <w:pStyle w:val="TableText0"/>
              <w:keepLines/>
              <w:ind w:left="22" w:firstLine="13"/>
              <w:jc w:val="left"/>
              <w:rPr>
                <w:szCs w:val="20"/>
              </w:rPr>
            </w:pPr>
            <w:r w:rsidRPr="00D672AE">
              <w:rPr>
                <w:szCs w:val="20"/>
              </w:rPr>
              <w:t>Total financial impli</w:t>
            </w:r>
            <w:r w:rsidRPr="00FE40D5">
              <w:rPr>
                <w:szCs w:val="20"/>
              </w:rPr>
              <w:t>cations</w:t>
            </w:r>
          </w:p>
        </w:tc>
        <w:tc>
          <w:tcPr>
            <w:tcW w:w="1020" w:type="dxa"/>
            <w:vAlign w:val="center"/>
          </w:tcPr>
          <w:p w14:paraId="45EE91AD" w14:textId="77777777" w:rsidR="007C6C75" w:rsidRDefault="007C6C75" w:rsidP="007C6C75">
            <w:pPr>
              <w:pStyle w:val="TableText0"/>
              <w:keepNext w:val="0"/>
              <w:ind w:hanging="142"/>
              <w:jc w:val="center"/>
              <w:rPr>
                <w:rFonts w:cs="Calibri"/>
                <w:color w:val="000000"/>
                <w:szCs w:val="20"/>
              </w:rPr>
            </w:pPr>
            <w:r>
              <w:rPr>
                <w:rFonts w:cs="Calibri"/>
                <w:color w:val="000000"/>
                <w:szCs w:val="20"/>
              </w:rPr>
              <w:t>$360,107</w:t>
            </w:r>
          </w:p>
        </w:tc>
        <w:tc>
          <w:tcPr>
            <w:tcW w:w="1021" w:type="dxa"/>
            <w:vAlign w:val="center"/>
          </w:tcPr>
          <w:p w14:paraId="6C576287" w14:textId="77777777" w:rsidR="007C6C75" w:rsidRDefault="007C6C75" w:rsidP="007C6C75">
            <w:pPr>
              <w:pStyle w:val="TableText0"/>
              <w:keepNext w:val="0"/>
              <w:ind w:hanging="142"/>
              <w:jc w:val="center"/>
              <w:rPr>
                <w:rFonts w:cs="Calibri"/>
                <w:color w:val="000000"/>
                <w:szCs w:val="20"/>
              </w:rPr>
            </w:pPr>
            <w:r>
              <w:rPr>
                <w:rFonts w:cs="Calibri"/>
                <w:color w:val="000000"/>
                <w:szCs w:val="20"/>
              </w:rPr>
              <w:t>$589,409</w:t>
            </w:r>
          </w:p>
        </w:tc>
        <w:tc>
          <w:tcPr>
            <w:tcW w:w="1020" w:type="dxa"/>
            <w:vAlign w:val="center"/>
          </w:tcPr>
          <w:p w14:paraId="6F6BB639" w14:textId="77777777" w:rsidR="007C6C75" w:rsidRDefault="007C6C75" w:rsidP="007C6C75">
            <w:pPr>
              <w:pStyle w:val="TableText0"/>
              <w:keepNext w:val="0"/>
              <w:ind w:hanging="142"/>
              <w:jc w:val="center"/>
              <w:rPr>
                <w:rFonts w:cs="Calibri"/>
                <w:color w:val="000000"/>
                <w:szCs w:val="20"/>
              </w:rPr>
            </w:pPr>
            <w:r>
              <w:rPr>
                <w:rFonts w:cs="Calibri"/>
                <w:color w:val="000000"/>
                <w:szCs w:val="20"/>
              </w:rPr>
              <w:t>$908,792</w:t>
            </w:r>
          </w:p>
        </w:tc>
        <w:tc>
          <w:tcPr>
            <w:tcW w:w="1021" w:type="dxa"/>
            <w:vAlign w:val="center"/>
          </w:tcPr>
          <w:p w14:paraId="123A992D" w14:textId="77777777" w:rsidR="007C6C75" w:rsidRDefault="007C6C75" w:rsidP="007C6C75">
            <w:pPr>
              <w:pStyle w:val="TableText0"/>
              <w:keepNext w:val="0"/>
              <w:ind w:hanging="142"/>
              <w:jc w:val="center"/>
              <w:rPr>
                <w:rFonts w:cs="Calibri"/>
                <w:color w:val="000000"/>
                <w:szCs w:val="20"/>
              </w:rPr>
            </w:pPr>
            <w:r>
              <w:rPr>
                <w:rFonts w:cs="Calibri"/>
                <w:color w:val="000000"/>
                <w:szCs w:val="20"/>
              </w:rPr>
              <w:t>$1,398,820</w:t>
            </w:r>
          </w:p>
        </w:tc>
        <w:tc>
          <w:tcPr>
            <w:tcW w:w="1021" w:type="dxa"/>
            <w:vAlign w:val="center"/>
          </w:tcPr>
          <w:p w14:paraId="6D131F8C" w14:textId="77777777" w:rsidR="007C6C75" w:rsidRDefault="007C6C75" w:rsidP="007C6C75">
            <w:pPr>
              <w:pStyle w:val="TableText0"/>
              <w:keepNext w:val="0"/>
              <w:ind w:hanging="142"/>
              <w:jc w:val="center"/>
              <w:rPr>
                <w:rFonts w:cs="Calibri"/>
                <w:color w:val="000000"/>
                <w:szCs w:val="20"/>
              </w:rPr>
            </w:pPr>
            <w:r>
              <w:rPr>
                <w:rFonts w:cs="Calibri"/>
                <w:color w:val="000000"/>
                <w:szCs w:val="20"/>
              </w:rPr>
              <w:t>$2,145,421</w:t>
            </w:r>
          </w:p>
        </w:tc>
      </w:tr>
      <w:tr w:rsidR="007C6C75" w:rsidRPr="005A6618" w14:paraId="5A1C8696" w14:textId="77777777" w:rsidTr="007C6C75">
        <w:trPr>
          <w:trHeight w:val="227"/>
        </w:trPr>
        <w:tc>
          <w:tcPr>
            <w:tcW w:w="1844" w:type="dxa"/>
            <w:gridSpan w:val="2"/>
            <w:vMerge w:val="restart"/>
          </w:tcPr>
          <w:p w14:paraId="63002F75" w14:textId="77777777" w:rsidR="007C6C75" w:rsidRPr="00524539" w:rsidRDefault="007C6C75" w:rsidP="007C6C75">
            <w:pPr>
              <w:pStyle w:val="TableText0"/>
              <w:keepLines/>
              <w:ind w:left="22" w:firstLine="13"/>
              <w:jc w:val="left"/>
              <w:rPr>
                <w:rFonts w:cs="Arial"/>
                <w:color w:val="000000"/>
              </w:rPr>
            </w:pPr>
            <w:r>
              <w:rPr>
                <w:rFonts w:cs="Arial"/>
                <w:color w:val="000000"/>
              </w:rPr>
              <w:t>HPV positivity rate:</w:t>
            </w:r>
            <w:r w:rsidRPr="00E44C0A">
              <w:rPr>
                <w:rFonts w:cs="Arial"/>
                <w:color w:val="000000"/>
              </w:rPr>
              <w:t xml:space="preserve"> equivalent self-collected vs</w:t>
            </w:r>
            <w:r>
              <w:rPr>
                <w:rFonts w:cs="Arial"/>
                <w:color w:val="000000"/>
              </w:rPr>
              <w:t>.</w:t>
            </w:r>
            <w:r w:rsidRPr="00E44C0A">
              <w:rPr>
                <w:rFonts w:cs="Arial"/>
                <w:color w:val="000000"/>
              </w:rPr>
              <w:t xml:space="preserve"> clinician collected</w:t>
            </w:r>
          </w:p>
        </w:tc>
        <w:tc>
          <w:tcPr>
            <w:tcW w:w="2410" w:type="dxa"/>
            <w:vAlign w:val="center"/>
          </w:tcPr>
          <w:p w14:paraId="192998A3" w14:textId="77777777" w:rsidR="007C6C75" w:rsidRPr="00D672AE" w:rsidRDefault="007C6C75" w:rsidP="007C6C75">
            <w:pPr>
              <w:pStyle w:val="TableText0"/>
              <w:keepLines/>
              <w:ind w:left="22" w:firstLine="13"/>
              <w:jc w:val="left"/>
              <w:rPr>
                <w:szCs w:val="20"/>
              </w:rPr>
            </w:pPr>
            <w:r w:rsidRPr="000808A1">
              <w:rPr>
                <w:rFonts w:cs="Arial"/>
                <w:color w:val="000000"/>
                <w:szCs w:val="20"/>
              </w:rPr>
              <w:t>Cost to the MBS</w:t>
            </w:r>
          </w:p>
        </w:tc>
        <w:tc>
          <w:tcPr>
            <w:tcW w:w="1020" w:type="dxa"/>
            <w:vAlign w:val="center"/>
          </w:tcPr>
          <w:p w14:paraId="6BD165BA" w14:textId="77777777" w:rsidR="007C6C75" w:rsidRDefault="007C6C75" w:rsidP="007C6C75">
            <w:pPr>
              <w:pStyle w:val="TableText0"/>
              <w:keepNext w:val="0"/>
              <w:ind w:hanging="142"/>
              <w:jc w:val="center"/>
              <w:rPr>
                <w:rFonts w:cs="Calibri"/>
                <w:color w:val="000000"/>
                <w:szCs w:val="20"/>
              </w:rPr>
            </w:pPr>
            <w:r>
              <w:rPr>
                <w:rFonts w:cs="Calibri"/>
                <w:color w:val="000000"/>
                <w:szCs w:val="20"/>
              </w:rPr>
              <w:t>$307,740</w:t>
            </w:r>
          </w:p>
        </w:tc>
        <w:tc>
          <w:tcPr>
            <w:tcW w:w="1021" w:type="dxa"/>
            <w:vAlign w:val="center"/>
          </w:tcPr>
          <w:p w14:paraId="5B387978" w14:textId="77777777" w:rsidR="007C6C75" w:rsidRDefault="007C6C75" w:rsidP="007C6C75">
            <w:pPr>
              <w:pStyle w:val="TableText0"/>
              <w:keepNext w:val="0"/>
              <w:ind w:hanging="142"/>
              <w:jc w:val="center"/>
              <w:rPr>
                <w:rFonts w:cs="Calibri"/>
                <w:color w:val="000000"/>
                <w:szCs w:val="20"/>
              </w:rPr>
            </w:pPr>
            <w:r>
              <w:rPr>
                <w:rFonts w:cs="Calibri"/>
                <w:color w:val="000000"/>
                <w:szCs w:val="20"/>
              </w:rPr>
              <w:t>$490,852</w:t>
            </w:r>
          </w:p>
        </w:tc>
        <w:tc>
          <w:tcPr>
            <w:tcW w:w="1020" w:type="dxa"/>
            <w:vAlign w:val="center"/>
          </w:tcPr>
          <w:p w14:paraId="2098D5D3" w14:textId="77777777" w:rsidR="007C6C75" w:rsidRDefault="007C6C75" w:rsidP="007C6C75">
            <w:pPr>
              <w:pStyle w:val="TableText0"/>
              <w:keepNext w:val="0"/>
              <w:ind w:hanging="142"/>
              <w:jc w:val="center"/>
              <w:rPr>
                <w:rFonts w:cs="Calibri"/>
                <w:color w:val="000000"/>
                <w:szCs w:val="20"/>
              </w:rPr>
            </w:pPr>
            <w:r>
              <w:rPr>
                <w:rFonts w:cs="Calibri"/>
                <w:color w:val="000000"/>
                <w:szCs w:val="20"/>
              </w:rPr>
              <w:t>$756,513</w:t>
            </w:r>
          </w:p>
        </w:tc>
        <w:tc>
          <w:tcPr>
            <w:tcW w:w="1021" w:type="dxa"/>
            <w:vAlign w:val="center"/>
          </w:tcPr>
          <w:p w14:paraId="224FC257" w14:textId="77777777" w:rsidR="007C6C75" w:rsidRDefault="007C6C75" w:rsidP="007C6C75">
            <w:pPr>
              <w:pStyle w:val="TableText0"/>
              <w:keepNext w:val="0"/>
              <w:ind w:hanging="142"/>
              <w:jc w:val="center"/>
              <w:rPr>
                <w:rFonts w:cs="Calibri"/>
                <w:color w:val="000000"/>
                <w:szCs w:val="20"/>
              </w:rPr>
            </w:pPr>
            <w:r>
              <w:rPr>
                <w:rFonts w:cs="Calibri"/>
                <w:color w:val="000000"/>
                <w:szCs w:val="20"/>
              </w:rPr>
              <w:t>$1,163,362</w:t>
            </w:r>
          </w:p>
        </w:tc>
        <w:tc>
          <w:tcPr>
            <w:tcW w:w="1021" w:type="dxa"/>
            <w:vAlign w:val="center"/>
          </w:tcPr>
          <w:p w14:paraId="68DF5068" w14:textId="77777777" w:rsidR="007C6C75" w:rsidRDefault="007C6C75" w:rsidP="007C6C75">
            <w:pPr>
              <w:pStyle w:val="TableText0"/>
              <w:keepNext w:val="0"/>
              <w:ind w:hanging="142"/>
              <w:jc w:val="center"/>
              <w:rPr>
                <w:rFonts w:cs="Calibri"/>
                <w:color w:val="000000"/>
                <w:szCs w:val="20"/>
              </w:rPr>
            </w:pPr>
            <w:r>
              <w:rPr>
                <w:rFonts w:cs="Calibri"/>
                <w:color w:val="000000"/>
                <w:szCs w:val="20"/>
              </w:rPr>
              <w:t>$1,787,722</w:t>
            </w:r>
          </w:p>
        </w:tc>
      </w:tr>
      <w:tr w:rsidR="007C6C75" w:rsidRPr="005A6618" w14:paraId="132FD8DF" w14:textId="77777777" w:rsidTr="007C6C75">
        <w:trPr>
          <w:trHeight w:val="227"/>
        </w:trPr>
        <w:tc>
          <w:tcPr>
            <w:tcW w:w="1844" w:type="dxa"/>
            <w:gridSpan w:val="2"/>
            <w:vMerge/>
          </w:tcPr>
          <w:p w14:paraId="13641C69"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vAlign w:val="center"/>
          </w:tcPr>
          <w:p w14:paraId="02A29B8D" w14:textId="77777777" w:rsidR="007C6C75" w:rsidRPr="00D672AE" w:rsidRDefault="007C6C75" w:rsidP="007C6C75">
            <w:pPr>
              <w:pStyle w:val="TableText0"/>
              <w:keepLines/>
              <w:ind w:left="22" w:firstLine="13"/>
              <w:jc w:val="left"/>
              <w:rPr>
                <w:szCs w:val="20"/>
              </w:rPr>
            </w:pPr>
            <w:r w:rsidRPr="000808A1">
              <w:rPr>
                <w:rFonts w:cs="Arial"/>
                <w:color w:val="000000"/>
                <w:szCs w:val="20"/>
              </w:rPr>
              <w:t>Cost to the healthcare budget</w:t>
            </w:r>
          </w:p>
        </w:tc>
        <w:tc>
          <w:tcPr>
            <w:tcW w:w="1020" w:type="dxa"/>
            <w:tcBorders>
              <w:bottom w:val="single" w:sz="4" w:space="0" w:color="auto"/>
            </w:tcBorders>
            <w:vAlign w:val="center"/>
          </w:tcPr>
          <w:p w14:paraId="33361490" w14:textId="77777777" w:rsidR="007C6C75" w:rsidRDefault="007C6C75" w:rsidP="007C6C75">
            <w:pPr>
              <w:pStyle w:val="TableText0"/>
              <w:keepNext w:val="0"/>
              <w:ind w:hanging="142"/>
              <w:jc w:val="center"/>
              <w:rPr>
                <w:rFonts w:cs="Calibri"/>
                <w:color w:val="000000"/>
                <w:szCs w:val="20"/>
              </w:rPr>
            </w:pPr>
            <w:r>
              <w:rPr>
                <w:rFonts w:cs="Calibri"/>
                <w:color w:val="000000"/>
                <w:szCs w:val="20"/>
              </w:rPr>
              <w:t>$8,177</w:t>
            </w:r>
          </w:p>
        </w:tc>
        <w:tc>
          <w:tcPr>
            <w:tcW w:w="1021" w:type="dxa"/>
            <w:tcBorders>
              <w:bottom w:val="single" w:sz="4" w:space="0" w:color="auto"/>
            </w:tcBorders>
            <w:vAlign w:val="center"/>
          </w:tcPr>
          <w:p w14:paraId="3CBFB5D3" w14:textId="77777777" w:rsidR="007C6C75" w:rsidRDefault="007C6C75" w:rsidP="007C6C75">
            <w:pPr>
              <w:pStyle w:val="TableText0"/>
              <w:keepNext w:val="0"/>
              <w:ind w:hanging="142"/>
              <w:jc w:val="center"/>
              <w:rPr>
                <w:rFonts w:cs="Calibri"/>
                <w:color w:val="000000"/>
                <w:szCs w:val="20"/>
              </w:rPr>
            </w:pPr>
            <w:r>
              <w:rPr>
                <w:rFonts w:cs="Calibri"/>
                <w:color w:val="000000"/>
                <w:szCs w:val="20"/>
              </w:rPr>
              <w:t>$13,629</w:t>
            </w:r>
          </w:p>
        </w:tc>
        <w:tc>
          <w:tcPr>
            <w:tcW w:w="1020" w:type="dxa"/>
            <w:tcBorders>
              <w:bottom w:val="single" w:sz="4" w:space="0" w:color="auto"/>
            </w:tcBorders>
            <w:vAlign w:val="center"/>
          </w:tcPr>
          <w:p w14:paraId="21AF4482" w14:textId="77777777" w:rsidR="007C6C75" w:rsidRDefault="007C6C75" w:rsidP="007C6C75">
            <w:pPr>
              <w:pStyle w:val="TableText0"/>
              <w:keepNext w:val="0"/>
              <w:ind w:hanging="142"/>
              <w:jc w:val="center"/>
              <w:rPr>
                <w:rFonts w:cs="Calibri"/>
                <w:color w:val="000000"/>
                <w:szCs w:val="20"/>
              </w:rPr>
            </w:pPr>
            <w:r>
              <w:rPr>
                <w:rFonts w:cs="Calibri"/>
                <w:color w:val="000000"/>
                <w:szCs w:val="20"/>
              </w:rPr>
              <w:t>$19,080</w:t>
            </w:r>
          </w:p>
        </w:tc>
        <w:tc>
          <w:tcPr>
            <w:tcW w:w="1021" w:type="dxa"/>
            <w:tcBorders>
              <w:bottom w:val="single" w:sz="4" w:space="0" w:color="auto"/>
            </w:tcBorders>
            <w:vAlign w:val="center"/>
          </w:tcPr>
          <w:p w14:paraId="5BE3F56F" w14:textId="77777777" w:rsidR="007C6C75" w:rsidRDefault="007C6C75" w:rsidP="007C6C75">
            <w:pPr>
              <w:pStyle w:val="TableText0"/>
              <w:keepNext w:val="0"/>
              <w:ind w:hanging="142"/>
              <w:jc w:val="center"/>
              <w:rPr>
                <w:rFonts w:cs="Calibri"/>
                <w:color w:val="000000"/>
                <w:szCs w:val="20"/>
              </w:rPr>
            </w:pPr>
            <w:r>
              <w:rPr>
                <w:rFonts w:cs="Calibri"/>
                <w:color w:val="000000"/>
                <w:szCs w:val="20"/>
              </w:rPr>
              <w:t>$29,983</w:t>
            </w:r>
          </w:p>
        </w:tc>
        <w:tc>
          <w:tcPr>
            <w:tcW w:w="1021" w:type="dxa"/>
            <w:tcBorders>
              <w:bottom w:val="single" w:sz="4" w:space="0" w:color="auto"/>
            </w:tcBorders>
            <w:vAlign w:val="center"/>
          </w:tcPr>
          <w:p w14:paraId="534B84BB" w14:textId="77777777" w:rsidR="007C6C75" w:rsidRDefault="007C6C75" w:rsidP="007C6C75">
            <w:pPr>
              <w:pStyle w:val="TableText0"/>
              <w:keepNext w:val="0"/>
              <w:ind w:hanging="142"/>
              <w:jc w:val="center"/>
              <w:rPr>
                <w:rFonts w:cs="Calibri"/>
                <w:color w:val="000000"/>
                <w:szCs w:val="20"/>
              </w:rPr>
            </w:pPr>
            <w:r>
              <w:rPr>
                <w:rFonts w:cs="Calibri"/>
                <w:color w:val="000000"/>
                <w:szCs w:val="20"/>
              </w:rPr>
              <w:t>$49,063</w:t>
            </w:r>
          </w:p>
        </w:tc>
      </w:tr>
      <w:tr w:rsidR="007C6C75" w:rsidRPr="005A6618" w14:paraId="6C510E33" w14:textId="77777777" w:rsidTr="007C6C75">
        <w:trPr>
          <w:trHeight w:val="227"/>
        </w:trPr>
        <w:tc>
          <w:tcPr>
            <w:tcW w:w="1844" w:type="dxa"/>
            <w:gridSpan w:val="2"/>
            <w:vMerge/>
          </w:tcPr>
          <w:p w14:paraId="2D9F9BCF" w14:textId="77777777" w:rsidR="007C6C75" w:rsidRPr="00524539" w:rsidRDefault="007C6C75" w:rsidP="007C6C75">
            <w:pPr>
              <w:pStyle w:val="TableText0"/>
              <w:keepLines/>
              <w:ind w:left="22" w:firstLine="13"/>
              <w:jc w:val="center"/>
              <w:rPr>
                <w:rFonts w:cs="Arial"/>
                <w:color w:val="000000"/>
              </w:rPr>
            </w:pPr>
          </w:p>
        </w:tc>
        <w:tc>
          <w:tcPr>
            <w:tcW w:w="2410" w:type="dxa"/>
            <w:vAlign w:val="center"/>
          </w:tcPr>
          <w:p w14:paraId="5F2921E6" w14:textId="77777777" w:rsidR="007C6C75" w:rsidRPr="00D672AE" w:rsidRDefault="007C6C75" w:rsidP="007C6C75">
            <w:pPr>
              <w:pStyle w:val="TableText0"/>
              <w:keepLines/>
              <w:ind w:left="22" w:firstLine="13"/>
              <w:jc w:val="left"/>
              <w:rPr>
                <w:szCs w:val="20"/>
              </w:rPr>
            </w:pPr>
            <w:r w:rsidRPr="000808A1">
              <w:rPr>
                <w:szCs w:val="20"/>
              </w:rPr>
              <w:t>Total financial implications</w:t>
            </w:r>
          </w:p>
        </w:tc>
        <w:tc>
          <w:tcPr>
            <w:tcW w:w="1020" w:type="dxa"/>
            <w:vAlign w:val="center"/>
          </w:tcPr>
          <w:p w14:paraId="48065C41" w14:textId="77777777" w:rsidR="007C6C75" w:rsidRDefault="007C6C75" w:rsidP="007C6C75">
            <w:pPr>
              <w:pStyle w:val="TableText0"/>
              <w:keepNext w:val="0"/>
              <w:ind w:hanging="142"/>
              <w:jc w:val="center"/>
              <w:rPr>
                <w:rFonts w:cs="Calibri"/>
                <w:color w:val="000000"/>
                <w:szCs w:val="20"/>
              </w:rPr>
            </w:pPr>
            <w:r>
              <w:rPr>
                <w:rFonts w:cs="Calibri"/>
                <w:color w:val="000000"/>
                <w:szCs w:val="20"/>
              </w:rPr>
              <w:t>$315,917</w:t>
            </w:r>
          </w:p>
        </w:tc>
        <w:tc>
          <w:tcPr>
            <w:tcW w:w="1021" w:type="dxa"/>
            <w:vAlign w:val="center"/>
          </w:tcPr>
          <w:p w14:paraId="370E1270" w14:textId="77777777" w:rsidR="007C6C75" w:rsidRDefault="007C6C75" w:rsidP="007C6C75">
            <w:pPr>
              <w:pStyle w:val="TableText0"/>
              <w:keepNext w:val="0"/>
              <w:ind w:hanging="142"/>
              <w:jc w:val="center"/>
              <w:rPr>
                <w:rFonts w:cs="Calibri"/>
                <w:color w:val="000000"/>
                <w:szCs w:val="20"/>
              </w:rPr>
            </w:pPr>
            <w:r>
              <w:rPr>
                <w:rFonts w:cs="Calibri"/>
                <w:color w:val="000000"/>
                <w:szCs w:val="20"/>
              </w:rPr>
              <w:t>$504,480</w:t>
            </w:r>
          </w:p>
        </w:tc>
        <w:tc>
          <w:tcPr>
            <w:tcW w:w="1020" w:type="dxa"/>
            <w:vAlign w:val="center"/>
          </w:tcPr>
          <w:p w14:paraId="31E630F3" w14:textId="77777777" w:rsidR="007C6C75" w:rsidRDefault="007C6C75" w:rsidP="007C6C75">
            <w:pPr>
              <w:pStyle w:val="TableText0"/>
              <w:keepNext w:val="0"/>
              <w:ind w:hanging="142"/>
              <w:jc w:val="center"/>
              <w:rPr>
                <w:rFonts w:cs="Calibri"/>
                <w:color w:val="000000"/>
                <w:szCs w:val="20"/>
              </w:rPr>
            </w:pPr>
            <w:r>
              <w:rPr>
                <w:rFonts w:cs="Calibri"/>
                <w:color w:val="000000"/>
                <w:szCs w:val="20"/>
              </w:rPr>
              <w:t>$775,593</w:t>
            </w:r>
          </w:p>
        </w:tc>
        <w:tc>
          <w:tcPr>
            <w:tcW w:w="1021" w:type="dxa"/>
            <w:vAlign w:val="center"/>
          </w:tcPr>
          <w:p w14:paraId="66F0A115" w14:textId="77777777" w:rsidR="007C6C75" w:rsidRDefault="007C6C75" w:rsidP="007C6C75">
            <w:pPr>
              <w:pStyle w:val="TableText0"/>
              <w:keepNext w:val="0"/>
              <w:ind w:hanging="142"/>
              <w:jc w:val="center"/>
              <w:rPr>
                <w:rFonts w:cs="Calibri"/>
                <w:color w:val="000000"/>
                <w:szCs w:val="20"/>
              </w:rPr>
            </w:pPr>
            <w:r>
              <w:rPr>
                <w:rFonts w:cs="Calibri"/>
                <w:color w:val="000000"/>
                <w:szCs w:val="20"/>
              </w:rPr>
              <w:t>$1,193,345</w:t>
            </w:r>
          </w:p>
        </w:tc>
        <w:tc>
          <w:tcPr>
            <w:tcW w:w="1021" w:type="dxa"/>
            <w:vAlign w:val="center"/>
          </w:tcPr>
          <w:p w14:paraId="3860956B" w14:textId="77777777" w:rsidR="007C6C75" w:rsidRDefault="007C6C75" w:rsidP="007C6C75">
            <w:pPr>
              <w:pStyle w:val="TableText0"/>
              <w:keepNext w:val="0"/>
              <w:ind w:hanging="142"/>
              <w:jc w:val="center"/>
              <w:rPr>
                <w:rFonts w:cs="Calibri"/>
                <w:color w:val="000000"/>
                <w:szCs w:val="20"/>
              </w:rPr>
            </w:pPr>
            <w:r>
              <w:rPr>
                <w:rFonts w:cs="Calibri"/>
                <w:color w:val="000000"/>
                <w:szCs w:val="20"/>
              </w:rPr>
              <w:t>$1,836,785</w:t>
            </w:r>
          </w:p>
        </w:tc>
      </w:tr>
      <w:tr w:rsidR="007C6C75" w:rsidRPr="005A6618" w14:paraId="4DC318CC" w14:textId="77777777" w:rsidTr="007C6C75">
        <w:trPr>
          <w:trHeight w:val="227"/>
        </w:trPr>
        <w:tc>
          <w:tcPr>
            <w:tcW w:w="1844" w:type="dxa"/>
            <w:gridSpan w:val="2"/>
            <w:vMerge w:val="restart"/>
          </w:tcPr>
          <w:p w14:paraId="7C9A9CAE" w14:textId="77777777" w:rsidR="007C6C75" w:rsidRPr="00524539" w:rsidRDefault="007C6C75" w:rsidP="007C6C75">
            <w:pPr>
              <w:pStyle w:val="TableText0"/>
              <w:keepLines/>
              <w:ind w:left="22" w:firstLine="13"/>
              <w:jc w:val="left"/>
              <w:rPr>
                <w:rFonts w:cs="Arial"/>
                <w:color w:val="000000"/>
              </w:rPr>
            </w:pPr>
            <w:r w:rsidRPr="00E44C0A">
              <w:rPr>
                <w:rFonts w:cs="Arial"/>
                <w:color w:val="000000"/>
              </w:rPr>
              <w:t>Sudden drop reduction in participation 2021 (recover by 2025)</w:t>
            </w:r>
          </w:p>
        </w:tc>
        <w:tc>
          <w:tcPr>
            <w:tcW w:w="2410" w:type="dxa"/>
            <w:vAlign w:val="center"/>
          </w:tcPr>
          <w:p w14:paraId="5279BD9D" w14:textId="77777777" w:rsidR="007C6C75" w:rsidRPr="00524539" w:rsidRDefault="007C6C75" w:rsidP="007C6C75">
            <w:pPr>
              <w:pStyle w:val="TableText0"/>
              <w:keepNext w:val="0"/>
              <w:ind w:left="177" w:hanging="142"/>
              <w:rPr>
                <w:rFonts w:cs="Arial"/>
                <w:color w:val="000000"/>
              </w:rPr>
            </w:pPr>
            <w:r w:rsidRPr="000808A1">
              <w:rPr>
                <w:rFonts w:cs="Arial"/>
                <w:color w:val="000000"/>
                <w:szCs w:val="20"/>
              </w:rPr>
              <w:t>Cost to the MBS</w:t>
            </w:r>
          </w:p>
        </w:tc>
        <w:tc>
          <w:tcPr>
            <w:tcW w:w="1020" w:type="dxa"/>
            <w:vAlign w:val="center"/>
          </w:tcPr>
          <w:p w14:paraId="236C1A5C" w14:textId="77777777" w:rsidR="007C6C75" w:rsidRDefault="007C6C75" w:rsidP="007C6C75">
            <w:pPr>
              <w:pStyle w:val="TableText0"/>
              <w:keepNext w:val="0"/>
              <w:ind w:hanging="142"/>
              <w:jc w:val="center"/>
              <w:rPr>
                <w:rFonts w:cs="Calibri"/>
                <w:color w:val="000000"/>
                <w:szCs w:val="20"/>
              </w:rPr>
            </w:pPr>
            <w:r>
              <w:rPr>
                <w:rFonts w:cs="Calibri"/>
                <w:color w:val="000000"/>
                <w:szCs w:val="20"/>
              </w:rPr>
              <w:t>$348,268</w:t>
            </w:r>
          </w:p>
        </w:tc>
        <w:tc>
          <w:tcPr>
            <w:tcW w:w="1021" w:type="dxa"/>
            <w:vAlign w:val="center"/>
          </w:tcPr>
          <w:p w14:paraId="053C0B99" w14:textId="77777777" w:rsidR="007C6C75" w:rsidRDefault="007C6C75" w:rsidP="007C6C75">
            <w:pPr>
              <w:pStyle w:val="TableText0"/>
              <w:keepNext w:val="0"/>
              <w:ind w:hanging="142"/>
              <w:jc w:val="center"/>
              <w:rPr>
                <w:rFonts w:cs="Calibri"/>
                <w:color w:val="000000"/>
                <w:szCs w:val="20"/>
              </w:rPr>
            </w:pPr>
            <w:r>
              <w:rPr>
                <w:rFonts w:cs="Calibri"/>
                <w:color w:val="000000"/>
                <w:szCs w:val="20"/>
              </w:rPr>
              <w:t>$572,580</w:t>
            </w:r>
          </w:p>
        </w:tc>
        <w:tc>
          <w:tcPr>
            <w:tcW w:w="1020" w:type="dxa"/>
            <w:vAlign w:val="center"/>
          </w:tcPr>
          <w:p w14:paraId="6B95ADB1" w14:textId="77777777" w:rsidR="007C6C75" w:rsidRDefault="007C6C75" w:rsidP="007C6C75">
            <w:pPr>
              <w:pStyle w:val="TableText0"/>
              <w:keepNext w:val="0"/>
              <w:ind w:hanging="142"/>
              <w:jc w:val="center"/>
              <w:rPr>
                <w:rFonts w:cs="Calibri"/>
                <w:color w:val="000000"/>
                <w:szCs w:val="20"/>
              </w:rPr>
            </w:pPr>
            <w:r>
              <w:rPr>
                <w:rFonts w:cs="Calibri"/>
                <w:color w:val="000000"/>
                <w:szCs w:val="20"/>
              </w:rPr>
              <w:t>$860,947</w:t>
            </w:r>
          </w:p>
        </w:tc>
        <w:tc>
          <w:tcPr>
            <w:tcW w:w="1021" w:type="dxa"/>
            <w:vAlign w:val="center"/>
          </w:tcPr>
          <w:p w14:paraId="68355995" w14:textId="77777777" w:rsidR="007C6C75" w:rsidRDefault="007C6C75" w:rsidP="007C6C75">
            <w:pPr>
              <w:pStyle w:val="TableText0"/>
              <w:keepNext w:val="0"/>
              <w:ind w:hanging="142"/>
              <w:jc w:val="center"/>
              <w:rPr>
                <w:rFonts w:cs="Calibri"/>
                <w:color w:val="000000"/>
                <w:szCs w:val="20"/>
              </w:rPr>
            </w:pPr>
            <w:r>
              <w:rPr>
                <w:rFonts w:cs="Calibri"/>
                <w:color w:val="000000"/>
                <w:szCs w:val="20"/>
              </w:rPr>
              <w:t>$1,291,710</w:t>
            </w:r>
          </w:p>
        </w:tc>
        <w:tc>
          <w:tcPr>
            <w:tcW w:w="1021" w:type="dxa"/>
            <w:vAlign w:val="center"/>
          </w:tcPr>
          <w:p w14:paraId="61BA93C0" w14:textId="77777777" w:rsidR="007C6C75" w:rsidRDefault="007C6C75" w:rsidP="007C6C75">
            <w:pPr>
              <w:pStyle w:val="TableText0"/>
              <w:keepNext w:val="0"/>
              <w:ind w:hanging="142"/>
              <w:jc w:val="center"/>
              <w:rPr>
                <w:rFonts w:cs="Calibri"/>
                <w:color w:val="000000"/>
                <w:szCs w:val="20"/>
              </w:rPr>
            </w:pPr>
            <w:r>
              <w:rPr>
                <w:rFonts w:cs="Calibri"/>
                <w:color w:val="000000"/>
                <w:szCs w:val="20"/>
              </w:rPr>
              <w:t>$1,937,122</w:t>
            </w:r>
          </w:p>
        </w:tc>
      </w:tr>
      <w:tr w:rsidR="007C6C75" w:rsidRPr="005A6618" w14:paraId="16EE7244" w14:textId="77777777" w:rsidTr="007C6C75">
        <w:trPr>
          <w:trHeight w:val="227"/>
        </w:trPr>
        <w:tc>
          <w:tcPr>
            <w:tcW w:w="1844" w:type="dxa"/>
            <w:gridSpan w:val="2"/>
            <w:vMerge/>
          </w:tcPr>
          <w:p w14:paraId="509B211A" w14:textId="77777777" w:rsidR="007C6C75" w:rsidRPr="00524539" w:rsidRDefault="007C6C75" w:rsidP="007C6C75">
            <w:pPr>
              <w:pStyle w:val="TableText0"/>
              <w:keepNext w:val="0"/>
              <w:ind w:left="177" w:hanging="142"/>
              <w:jc w:val="center"/>
              <w:rPr>
                <w:rFonts w:cs="Arial"/>
                <w:color w:val="000000"/>
              </w:rPr>
            </w:pPr>
          </w:p>
        </w:tc>
        <w:tc>
          <w:tcPr>
            <w:tcW w:w="2410" w:type="dxa"/>
            <w:vAlign w:val="center"/>
          </w:tcPr>
          <w:p w14:paraId="6A51B7DC" w14:textId="77777777" w:rsidR="007C6C75" w:rsidRPr="00524539" w:rsidRDefault="007C6C75" w:rsidP="007C6C75">
            <w:pPr>
              <w:pStyle w:val="TableText0"/>
              <w:keepNext w:val="0"/>
              <w:ind w:left="177" w:hanging="142"/>
              <w:rPr>
                <w:rFonts w:cs="Arial"/>
                <w:color w:val="000000"/>
              </w:rPr>
            </w:pPr>
            <w:r w:rsidRPr="000808A1">
              <w:rPr>
                <w:rFonts w:cs="Arial"/>
                <w:color w:val="000000"/>
                <w:szCs w:val="20"/>
              </w:rPr>
              <w:t>Cost to the healthcare budget</w:t>
            </w:r>
          </w:p>
        </w:tc>
        <w:tc>
          <w:tcPr>
            <w:tcW w:w="1020" w:type="dxa"/>
            <w:vAlign w:val="center"/>
          </w:tcPr>
          <w:p w14:paraId="5C0775D2" w14:textId="77777777" w:rsidR="007C6C75" w:rsidRDefault="007C6C75" w:rsidP="007C6C75">
            <w:pPr>
              <w:pStyle w:val="TableText0"/>
              <w:keepNext w:val="0"/>
              <w:ind w:hanging="142"/>
              <w:jc w:val="center"/>
              <w:rPr>
                <w:rFonts w:cs="Calibri"/>
                <w:color w:val="000000"/>
                <w:szCs w:val="20"/>
              </w:rPr>
            </w:pPr>
            <w:r>
              <w:rPr>
                <w:rFonts w:cs="Calibri"/>
                <w:color w:val="000000"/>
                <w:szCs w:val="20"/>
              </w:rPr>
              <w:t>$19,080</w:t>
            </w:r>
          </w:p>
        </w:tc>
        <w:tc>
          <w:tcPr>
            <w:tcW w:w="1021" w:type="dxa"/>
            <w:vAlign w:val="center"/>
          </w:tcPr>
          <w:p w14:paraId="253FDFA5" w14:textId="77777777" w:rsidR="007C6C75" w:rsidRDefault="007C6C75" w:rsidP="007C6C75">
            <w:pPr>
              <w:pStyle w:val="TableText0"/>
              <w:keepNext w:val="0"/>
              <w:ind w:hanging="142"/>
              <w:jc w:val="center"/>
              <w:rPr>
                <w:rFonts w:cs="Calibri"/>
                <w:color w:val="000000"/>
                <w:szCs w:val="20"/>
              </w:rPr>
            </w:pPr>
            <w:r>
              <w:rPr>
                <w:rFonts w:cs="Calibri"/>
                <w:color w:val="000000"/>
                <w:szCs w:val="20"/>
              </w:rPr>
              <w:t>$32,709</w:t>
            </w:r>
          </w:p>
        </w:tc>
        <w:tc>
          <w:tcPr>
            <w:tcW w:w="1020" w:type="dxa"/>
            <w:vAlign w:val="center"/>
          </w:tcPr>
          <w:p w14:paraId="1E737511" w14:textId="77777777" w:rsidR="007C6C75" w:rsidRDefault="007C6C75" w:rsidP="007C6C75">
            <w:pPr>
              <w:pStyle w:val="TableText0"/>
              <w:keepNext w:val="0"/>
              <w:ind w:hanging="142"/>
              <w:jc w:val="center"/>
              <w:rPr>
                <w:rFonts w:cs="Calibri"/>
                <w:color w:val="000000"/>
                <w:szCs w:val="20"/>
              </w:rPr>
            </w:pPr>
            <w:r>
              <w:rPr>
                <w:rFonts w:cs="Calibri"/>
                <w:color w:val="000000"/>
                <w:szCs w:val="20"/>
              </w:rPr>
              <w:t>$48,155</w:t>
            </w:r>
          </w:p>
        </w:tc>
        <w:tc>
          <w:tcPr>
            <w:tcW w:w="1021" w:type="dxa"/>
            <w:vAlign w:val="center"/>
          </w:tcPr>
          <w:p w14:paraId="4E5EC286" w14:textId="77777777" w:rsidR="007C6C75" w:rsidRDefault="007C6C75" w:rsidP="007C6C75">
            <w:pPr>
              <w:pStyle w:val="TableText0"/>
              <w:keepNext w:val="0"/>
              <w:ind w:hanging="142"/>
              <w:jc w:val="center"/>
              <w:rPr>
                <w:rFonts w:cs="Calibri"/>
                <w:color w:val="000000"/>
                <w:szCs w:val="20"/>
              </w:rPr>
            </w:pPr>
            <w:r>
              <w:rPr>
                <w:rFonts w:cs="Calibri"/>
                <w:color w:val="000000"/>
                <w:szCs w:val="20"/>
              </w:rPr>
              <w:t>$72,686</w:t>
            </w:r>
          </w:p>
        </w:tc>
        <w:tc>
          <w:tcPr>
            <w:tcW w:w="1021" w:type="dxa"/>
            <w:vAlign w:val="center"/>
          </w:tcPr>
          <w:p w14:paraId="2459751C" w14:textId="77777777" w:rsidR="007C6C75" w:rsidRDefault="007C6C75" w:rsidP="007C6C75">
            <w:pPr>
              <w:pStyle w:val="TableText0"/>
              <w:keepNext w:val="0"/>
              <w:ind w:hanging="142"/>
              <w:jc w:val="center"/>
              <w:rPr>
                <w:rFonts w:cs="Calibri"/>
                <w:color w:val="000000"/>
                <w:szCs w:val="20"/>
              </w:rPr>
            </w:pPr>
            <w:r>
              <w:rPr>
                <w:rFonts w:cs="Calibri"/>
                <w:color w:val="000000"/>
                <w:szCs w:val="20"/>
              </w:rPr>
              <w:t>$108,121</w:t>
            </w:r>
          </w:p>
        </w:tc>
      </w:tr>
      <w:tr w:rsidR="007C6C75" w:rsidRPr="005A6618" w14:paraId="02C0F6D3" w14:textId="77777777" w:rsidTr="007C6C75">
        <w:trPr>
          <w:trHeight w:val="227"/>
        </w:trPr>
        <w:tc>
          <w:tcPr>
            <w:tcW w:w="1844" w:type="dxa"/>
            <w:gridSpan w:val="2"/>
            <w:vMerge/>
          </w:tcPr>
          <w:p w14:paraId="54A24BEE" w14:textId="77777777" w:rsidR="007C6C75" w:rsidRPr="00524539" w:rsidRDefault="007C6C75" w:rsidP="007C6C75">
            <w:pPr>
              <w:pStyle w:val="TableText0"/>
              <w:keepNext w:val="0"/>
              <w:ind w:left="177" w:hanging="142"/>
              <w:jc w:val="center"/>
              <w:rPr>
                <w:rFonts w:cs="Arial"/>
                <w:color w:val="000000"/>
              </w:rPr>
            </w:pPr>
          </w:p>
        </w:tc>
        <w:tc>
          <w:tcPr>
            <w:tcW w:w="2410" w:type="dxa"/>
            <w:vAlign w:val="center"/>
          </w:tcPr>
          <w:p w14:paraId="7147D043" w14:textId="77777777" w:rsidR="007C6C75" w:rsidRPr="00524539" w:rsidRDefault="007C6C75" w:rsidP="007C6C75">
            <w:pPr>
              <w:pStyle w:val="TableText0"/>
              <w:keepNext w:val="0"/>
              <w:ind w:left="177" w:hanging="142"/>
              <w:rPr>
                <w:rFonts w:cs="Arial"/>
                <w:color w:val="000000"/>
              </w:rPr>
            </w:pPr>
            <w:r w:rsidRPr="000808A1">
              <w:rPr>
                <w:szCs w:val="20"/>
              </w:rPr>
              <w:t>Total financial implications</w:t>
            </w:r>
          </w:p>
        </w:tc>
        <w:tc>
          <w:tcPr>
            <w:tcW w:w="1020" w:type="dxa"/>
            <w:vAlign w:val="center"/>
          </w:tcPr>
          <w:p w14:paraId="6B0D7C45" w14:textId="77777777" w:rsidR="007C6C75" w:rsidRDefault="007C6C75" w:rsidP="007C6C75">
            <w:pPr>
              <w:pStyle w:val="TableText0"/>
              <w:keepNext w:val="0"/>
              <w:ind w:hanging="142"/>
              <w:jc w:val="center"/>
              <w:rPr>
                <w:rFonts w:cs="Calibri"/>
                <w:color w:val="000000"/>
                <w:szCs w:val="20"/>
              </w:rPr>
            </w:pPr>
            <w:r>
              <w:rPr>
                <w:rFonts w:cs="Calibri"/>
                <w:color w:val="000000"/>
                <w:szCs w:val="20"/>
              </w:rPr>
              <w:t>$367,348</w:t>
            </w:r>
          </w:p>
        </w:tc>
        <w:tc>
          <w:tcPr>
            <w:tcW w:w="1021" w:type="dxa"/>
            <w:vAlign w:val="center"/>
          </w:tcPr>
          <w:p w14:paraId="7F654C7D" w14:textId="77777777" w:rsidR="007C6C75" w:rsidRDefault="007C6C75" w:rsidP="007C6C75">
            <w:pPr>
              <w:pStyle w:val="TableText0"/>
              <w:keepNext w:val="0"/>
              <w:ind w:hanging="142"/>
              <w:jc w:val="center"/>
              <w:rPr>
                <w:rFonts w:cs="Calibri"/>
                <w:color w:val="000000"/>
                <w:szCs w:val="20"/>
              </w:rPr>
            </w:pPr>
            <w:r>
              <w:rPr>
                <w:rFonts w:cs="Calibri"/>
                <w:color w:val="000000"/>
                <w:szCs w:val="20"/>
              </w:rPr>
              <w:t>$605,289</w:t>
            </w:r>
          </w:p>
        </w:tc>
        <w:tc>
          <w:tcPr>
            <w:tcW w:w="1020" w:type="dxa"/>
            <w:vAlign w:val="center"/>
          </w:tcPr>
          <w:p w14:paraId="6C344720" w14:textId="77777777" w:rsidR="007C6C75" w:rsidRDefault="007C6C75" w:rsidP="007C6C75">
            <w:pPr>
              <w:pStyle w:val="TableText0"/>
              <w:keepNext w:val="0"/>
              <w:ind w:hanging="142"/>
              <w:jc w:val="center"/>
              <w:rPr>
                <w:rFonts w:cs="Calibri"/>
                <w:color w:val="000000"/>
                <w:szCs w:val="20"/>
              </w:rPr>
            </w:pPr>
            <w:r>
              <w:rPr>
                <w:rFonts w:cs="Calibri"/>
                <w:color w:val="000000"/>
                <w:szCs w:val="20"/>
              </w:rPr>
              <w:t>$909,102</w:t>
            </w:r>
          </w:p>
        </w:tc>
        <w:tc>
          <w:tcPr>
            <w:tcW w:w="1021" w:type="dxa"/>
            <w:vAlign w:val="center"/>
          </w:tcPr>
          <w:p w14:paraId="2C99903C" w14:textId="77777777" w:rsidR="007C6C75" w:rsidRDefault="007C6C75" w:rsidP="007C6C75">
            <w:pPr>
              <w:pStyle w:val="TableText0"/>
              <w:keepNext w:val="0"/>
              <w:ind w:hanging="142"/>
              <w:jc w:val="center"/>
              <w:rPr>
                <w:rFonts w:cs="Calibri"/>
                <w:color w:val="000000"/>
                <w:szCs w:val="20"/>
              </w:rPr>
            </w:pPr>
            <w:r>
              <w:rPr>
                <w:rFonts w:cs="Calibri"/>
                <w:color w:val="000000"/>
                <w:szCs w:val="20"/>
              </w:rPr>
              <w:t>$1,364,396</w:t>
            </w:r>
          </w:p>
        </w:tc>
        <w:tc>
          <w:tcPr>
            <w:tcW w:w="1021" w:type="dxa"/>
            <w:vAlign w:val="center"/>
          </w:tcPr>
          <w:p w14:paraId="1A3F2025" w14:textId="77777777" w:rsidR="007C6C75" w:rsidRDefault="007C6C75" w:rsidP="007C6C75">
            <w:pPr>
              <w:pStyle w:val="TableText0"/>
              <w:keepNext w:val="0"/>
              <w:ind w:hanging="142"/>
              <w:jc w:val="center"/>
              <w:rPr>
                <w:rFonts w:cs="Calibri"/>
                <w:color w:val="000000"/>
                <w:szCs w:val="20"/>
              </w:rPr>
            </w:pPr>
            <w:r>
              <w:rPr>
                <w:rFonts w:cs="Calibri"/>
                <w:color w:val="000000"/>
                <w:szCs w:val="20"/>
              </w:rPr>
              <w:t>$2,045,243</w:t>
            </w:r>
          </w:p>
        </w:tc>
      </w:tr>
      <w:tr w:rsidR="007C6C75" w:rsidRPr="005A6618" w14:paraId="0BD12435" w14:textId="77777777" w:rsidTr="007C6C75">
        <w:trPr>
          <w:trHeight w:val="227"/>
        </w:trPr>
        <w:tc>
          <w:tcPr>
            <w:tcW w:w="1844" w:type="dxa"/>
            <w:gridSpan w:val="2"/>
            <w:vMerge w:val="restart"/>
          </w:tcPr>
          <w:p w14:paraId="3FC9A5CA" w14:textId="77777777" w:rsidR="007C6C75" w:rsidRPr="00524539" w:rsidRDefault="007C6C75" w:rsidP="007C6C75">
            <w:pPr>
              <w:pStyle w:val="TableText0"/>
              <w:keepLines/>
              <w:ind w:left="22" w:firstLine="13"/>
              <w:jc w:val="left"/>
              <w:rPr>
                <w:rFonts w:cs="Arial"/>
                <w:color w:val="000000"/>
              </w:rPr>
            </w:pPr>
            <w:r w:rsidRPr="00E44C0A">
              <w:rPr>
                <w:rFonts w:cs="Arial"/>
                <w:color w:val="000000"/>
              </w:rPr>
              <w:t>Lag in participation during tran</w:t>
            </w:r>
            <w:r>
              <w:rPr>
                <w:rFonts w:cs="Arial"/>
                <w:color w:val="000000"/>
              </w:rPr>
              <w:t>sition from 2 to 5-year program,</w:t>
            </w:r>
            <w:r w:rsidRPr="00E44C0A">
              <w:rPr>
                <w:rFonts w:cs="Arial"/>
                <w:color w:val="000000"/>
              </w:rPr>
              <w:t xml:space="preserve"> bounce back in years 3, 4 and 5</w:t>
            </w:r>
          </w:p>
        </w:tc>
        <w:tc>
          <w:tcPr>
            <w:tcW w:w="2410" w:type="dxa"/>
            <w:vAlign w:val="center"/>
          </w:tcPr>
          <w:p w14:paraId="35EA0583" w14:textId="77777777" w:rsidR="007C6C75" w:rsidRPr="000808A1" w:rsidRDefault="007C6C75" w:rsidP="007C6C75">
            <w:pPr>
              <w:pStyle w:val="TableText0"/>
              <w:keepLines/>
              <w:ind w:left="22" w:firstLine="13"/>
              <w:jc w:val="left"/>
              <w:rPr>
                <w:szCs w:val="20"/>
              </w:rPr>
            </w:pPr>
            <w:r w:rsidRPr="000808A1">
              <w:rPr>
                <w:rFonts w:cs="Arial"/>
                <w:color w:val="000000"/>
                <w:szCs w:val="20"/>
              </w:rPr>
              <w:t>Cost to the MBS</w:t>
            </w:r>
          </w:p>
        </w:tc>
        <w:tc>
          <w:tcPr>
            <w:tcW w:w="1020" w:type="dxa"/>
            <w:vAlign w:val="center"/>
          </w:tcPr>
          <w:p w14:paraId="6DE235DF" w14:textId="77777777" w:rsidR="007C6C75" w:rsidRDefault="007C6C75" w:rsidP="007C6C75">
            <w:pPr>
              <w:pStyle w:val="TableText0"/>
              <w:keepNext w:val="0"/>
              <w:ind w:hanging="142"/>
              <w:jc w:val="center"/>
              <w:rPr>
                <w:rFonts w:cs="Calibri"/>
                <w:color w:val="000000"/>
                <w:szCs w:val="20"/>
              </w:rPr>
            </w:pPr>
            <w:r>
              <w:rPr>
                <w:rFonts w:cs="Calibri"/>
                <w:color w:val="000000"/>
                <w:szCs w:val="20"/>
              </w:rPr>
              <w:t>$218,386</w:t>
            </w:r>
          </w:p>
        </w:tc>
        <w:tc>
          <w:tcPr>
            <w:tcW w:w="1021" w:type="dxa"/>
            <w:vAlign w:val="center"/>
          </w:tcPr>
          <w:p w14:paraId="1A39B090" w14:textId="77777777" w:rsidR="007C6C75" w:rsidRDefault="007C6C75" w:rsidP="007C6C75">
            <w:pPr>
              <w:pStyle w:val="TableText0"/>
              <w:keepNext w:val="0"/>
              <w:ind w:hanging="142"/>
              <w:jc w:val="center"/>
              <w:rPr>
                <w:rFonts w:cs="Calibri"/>
                <w:color w:val="000000"/>
                <w:szCs w:val="20"/>
              </w:rPr>
            </w:pPr>
            <w:r>
              <w:rPr>
                <w:rFonts w:cs="Calibri"/>
                <w:color w:val="000000"/>
                <w:szCs w:val="20"/>
              </w:rPr>
              <w:t>$359,524</w:t>
            </w:r>
          </w:p>
        </w:tc>
        <w:tc>
          <w:tcPr>
            <w:tcW w:w="1020" w:type="dxa"/>
            <w:vAlign w:val="center"/>
          </w:tcPr>
          <w:p w14:paraId="3237443A" w14:textId="77777777" w:rsidR="007C6C75" w:rsidRDefault="007C6C75" w:rsidP="007C6C75">
            <w:pPr>
              <w:pStyle w:val="TableText0"/>
              <w:keepNext w:val="0"/>
              <w:ind w:hanging="142"/>
              <w:jc w:val="center"/>
              <w:rPr>
                <w:rFonts w:cs="Calibri"/>
                <w:color w:val="000000"/>
                <w:szCs w:val="20"/>
              </w:rPr>
            </w:pPr>
            <w:r>
              <w:rPr>
                <w:rFonts w:cs="Calibri"/>
                <w:color w:val="000000"/>
                <w:szCs w:val="20"/>
              </w:rPr>
              <w:t>$1,074,184</w:t>
            </w:r>
          </w:p>
        </w:tc>
        <w:tc>
          <w:tcPr>
            <w:tcW w:w="1021" w:type="dxa"/>
            <w:vAlign w:val="center"/>
          </w:tcPr>
          <w:p w14:paraId="0D413C97" w14:textId="77777777" w:rsidR="007C6C75" w:rsidRDefault="007C6C75" w:rsidP="007C6C75">
            <w:pPr>
              <w:pStyle w:val="TableText0"/>
              <w:keepNext w:val="0"/>
              <w:ind w:hanging="142"/>
              <w:jc w:val="center"/>
              <w:rPr>
                <w:rFonts w:cs="Calibri"/>
                <w:color w:val="000000"/>
                <w:szCs w:val="20"/>
              </w:rPr>
            </w:pPr>
            <w:r>
              <w:rPr>
                <w:rFonts w:cs="Calibri"/>
                <w:color w:val="000000"/>
                <w:szCs w:val="20"/>
              </w:rPr>
              <w:t>$1,703,142</w:t>
            </w:r>
          </w:p>
        </w:tc>
        <w:tc>
          <w:tcPr>
            <w:tcW w:w="1021" w:type="dxa"/>
            <w:vAlign w:val="center"/>
          </w:tcPr>
          <w:p w14:paraId="1ABE2654" w14:textId="77777777" w:rsidR="007C6C75" w:rsidRDefault="007C6C75" w:rsidP="007C6C75">
            <w:pPr>
              <w:pStyle w:val="TableText0"/>
              <w:keepNext w:val="0"/>
              <w:ind w:hanging="142"/>
              <w:jc w:val="center"/>
              <w:rPr>
                <w:rFonts w:cs="Calibri"/>
                <w:color w:val="000000"/>
                <w:szCs w:val="20"/>
              </w:rPr>
            </w:pPr>
            <w:r>
              <w:rPr>
                <w:rFonts w:cs="Calibri"/>
                <w:color w:val="000000"/>
                <w:szCs w:val="20"/>
              </w:rPr>
              <w:t>$2,617,185</w:t>
            </w:r>
          </w:p>
        </w:tc>
      </w:tr>
      <w:tr w:rsidR="007C6C75" w:rsidRPr="005A6618" w14:paraId="5383E61A" w14:textId="77777777" w:rsidTr="007C6C75">
        <w:trPr>
          <w:trHeight w:val="227"/>
        </w:trPr>
        <w:tc>
          <w:tcPr>
            <w:tcW w:w="1844" w:type="dxa"/>
            <w:gridSpan w:val="2"/>
            <w:vMerge/>
          </w:tcPr>
          <w:p w14:paraId="7166C7DD" w14:textId="77777777" w:rsidR="007C6C75" w:rsidRPr="00524539" w:rsidRDefault="007C6C75" w:rsidP="007C6C75">
            <w:pPr>
              <w:pStyle w:val="TableText0"/>
              <w:keepLines/>
              <w:ind w:left="22" w:firstLine="13"/>
              <w:jc w:val="center"/>
              <w:rPr>
                <w:rFonts w:cs="Arial"/>
                <w:color w:val="000000"/>
              </w:rPr>
            </w:pPr>
          </w:p>
        </w:tc>
        <w:tc>
          <w:tcPr>
            <w:tcW w:w="2410" w:type="dxa"/>
            <w:vAlign w:val="center"/>
          </w:tcPr>
          <w:p w14:paraId="0F0E557C" w14:textId="77777777" w:rsidR="007C6C75" w:rsidRPr="000808A1" w:rsidRDefault="007C6C75" w:rsidP="007C6C75">
            <w:pPr>
              <w:pStyle w:val="TableText0"/>
              <w:keepLines/>
              <w:ind w:left="22" w:firstLine="13"/>
              <w:jc w:val="left"/>
              <w:rPr>
                <w:szCs w:val="20"/>
              </w:rPr>
            </w:pPr>
            <w:r w:rsidRPr="000808A1">
              <w:rPr>
                <w:rFonts w:cs="Arial"/>
                <w:color w:val="000000"/>
                <w:szCs w:val="20"/>
              </w:rPr>
              <w:t>Cost to the healthcare budget</w:t>
            </w:r>
          </w:p>
        </w:tc>
        <w:tc>
          <w:tcPr>
            <w:tcW w:w="1020" w:type="dxa"/>
            <w:vAlign w:val="center"/>
          </w:tcPr>
          <w:p w14:paraId="33F2349D" w14:textId="77777777" w:rsidR="007C6C75" w:rsidRDefault="007C6C75" w:rsidP="007C6C75">
            <w:pPr>
              <w:pStyle w:val="TableText0"/>
              <w:keepNext w:val="0"/>
              <w:ind w:hanging="142"/>
              <w:jc w:val="center"/>
              <w:rPr>
                <w:rFonts w:cs="Calibri"/>
                <w:color w:val="000000"/>
                <w:szCs w:val="20"/>
              </w:rPr>
            </w:pPr>
            <w:r>
              <w:rPr>
                <w:rFonts w:cs="Calibri"/>
                <w:color w:val="000000"/>
                <w:szCs w:val="20"/>
              </w:rPr>
              <w:t>$10,903</w:t>
            </w:r>
          </w:p>
        </w:tc>
        <w:tc>
          <w:tcPr>
            <w:tcW w:w="1021" w:type="dxa"/>
            <w:vAlign w:val="center"/>
          </w:tcPr>
          <w:p w14:paraId="6DD93835" w14:textId="77777777" w:rsidR="007C6C75" w:rsidRDefault="007C6C75" w:rsidP="007C6C75">
            <w:pPr>
              <w:pStyle w:val="TableText0"/>
              <w:keepNext w:val="0"/>
              <w:ind w:hanging="142"/>
              <w:jc w:val="center"/>
              <w:rPr>
                <w:rFonts w:cs="Calibri"/>
                <w:color w:val="000000"/>
                <w:szCs w:val="20"/>
              </w:rPr>
            </w:pPr>
            <w:r>
              <w:rPr>
                <w:rFonts w:cs="Calibri"/>
                <w:color w:val="000000"/>
                <w:szCs w:val="20"/>
              </w:rPr>
              <w:t>$18,172</w:t>
            </w:r>
          </w:p>
        </w:tc>
        <w:tc>
          <w:tcPr>
            <w:tcW w:w="1020" w:type="dxa"/>
            <w:vAlign w:val="center"/>
          </w:tcPr>
          <w:p w14:paraId="414E4CE7" w14:textId="77777777" w:rsidR="007C6C75" w:rsidRDefault="007C6C75" w:rsidP="007C6C75">
            <w:pPr>
              <w:pStyle w:val="TableText0"/>
              <w:keepNext w:val="0"/>
              <w:ind w:hanging="142"/>
              <w:jc w:val="center"/>
              <w:rPr>
                <w:rFonts w:cs="Calibri"/>
                <w:color w:val="000000"/>
                <w:szCs w:val="20"/>
              </w:rPr>
            </w:pPr>
            <w:r>
              <w:rPr>
                <w:rFonts w:cs="Calibri"/>
                <w:color w:val="000000"/>
                <w:szCs w:val="20"/>
              </w:rPr>
              <w:t>$55,423</w:t>
            </w:r>
          </w:p>
        </w:tc>
        <w:tc>
          <w:tcPr>
            <w:tcW w:w="1021" w:type="dxa"/>
            <w:vAlign w:val="center"/>
          </w:tcPr>
          <w:p w14:paraId="73E9194D" w14:textId="77777777" w:rsidR="007C6C75" w:rsidRDefault="007C6C75" w:rsidP="007C6C75">
            <w:pPr>
              <w:pStyle w:val="TableText0"/>
              <w:keepNext w:val="0"/>
              <w:ind w:hanging="142"/>
              <w:jc w:val="center"/>
              <w:rPr>
                <w:rFonts w:cs="Calibri"/>
                <w:color w:val="000000"/>
                <w:szCs w:val="20"/>
              </w:rPr>
            </w:pPr>
            <w:r>
              <w:rPr>
                <w:rFonts w:cs="Calibri"/>
                <w:color w:val="000000"/>
                <w:szCs w:val="20"/>
              </w:rPr>
              <w:t>$86,315</w:t>
            </w:r>
          </w:p>
        </w:tc>
        <w:tc>
          <w:tcPr>
            <w:tcW w:w="1021" w:type="dxa"/>
            <w:vAlign w:val="center"/>
          </w:tcPr>
          <w:p w14:paraId="507C8194" w14:textId="77777777" w:rsidR="007C6C75" w:rsidRDefault="007C6C75" w:rsidP="007C6C75">
            <w:pPr>
              <w:pStyle w:val="TableText0"/>
              <w:keepNext w:val="0"/>
              <w:ind w:hanging="142"/>
              <w:jc w:val="center"/>
              <w:rPr>
                <w:rFonts w:cs="Calibri"/>
                <w:color w:val="000000"/>
                <w:szCs w:val="20"/>
              </w:rPr>
            </w:pPr>
            <w:r>
              <w:rPr>
                <w:rFonts w:cs="Calibri"/>
                <w:color w:val="000000"/>
                <w:szCs w:val="20"/>
              </w:rPr>
              <w:t>$132,653</w:t>
            </w:r>
          </w:p>
        </w:tc>
      </w:tr>
      <w:tr w:rsidR="007C6C75" w:rsidRPr="005A6618" w14:paraId="665755CE" w14:textId="77777777" w:rsidTr="007C6C75">
        <w:trPr>
          <w:trHeight w:val="227"/>
        </w:trPr>
        <w:tc>
          <w:tcPr>
            <w:tcW w:w="1844" w:type="dxa"/>
            <w:gridSpan w:val="2"/>
            <w:vMerge/>
            <w:tcBorders>
              <w:bottom w:val="single" w:sz="4" w:space="0" w:color="auto"/>
            </w:tcBorders>
          </w:tcPr>
          <w:p w14:paraId="061F5D66" w14:textId="77777777" w:rsidR="007C6C75" w:rsidRPr="00524539" w:rsidRDefault="007C6C75" w:rsidP="007C6C75">
            <w:pPr>
              <w:pStyle w:val="TableText0"/>
              <w:keepLines/>
              <w:ind w:left="22" w:firstLine="13"/>
              <w:jc w:val="center"/>
              <w:rPr>
                <w:rFonts w:cs="Arial"/>
                <w:color w:val="000000"/>
              </w:rPr>
            </w:pPr>
          </w:p>
        </w:tc>
        <w:tc>
          <w:tcPr>
            <w:tcW w:w="2410" w:type="dxa"/>
            <w:tcBorders>
              <w:bottom w:val="single" w:sz="4" w:space="0" w:color="auto"/>
            </w:tcBorders>
            <w:vAlign w:val="center"/>
          </w:tcPr>
          <w:p w14:paraId="7C4EBF62" w14:textId="77777777" w:rsidR="007C6C75" w:rsidRPr="000808A1" w:rsidRDefault="007C6C75" w:rsidP="007C6C75">
            <w:pPr>
              <w:pStyle w:val="TableText0"/>
              <w:keepLines/>
              <w:ind w:left="22" w:firstLine="13"/>
              <w:jc w:val="left"/>
              <w:rPr>
                <w:szCs w:val="20"/>
              </w:rPr>
            </w:pPr>
            <w:r w:rsidRPr="000808A1">
              <w:rPr>
                <w:szCs w:val="20"/>
              </w:rPr>
              <w:t>Total financial implications</w:t>
            </w:r>
          </w:p>
        </w:tc>
        <w:tc>
          <w:tcPr>
            <w:tcW w:w="1020" w:type="dxa"/>
            <w:tcBorders>
              <w:bottom w:val="single" w:sz="4" w:space="0" w:color="auto"/>
            </w:tcBorders>
            <w:vAlign w:val="center"/>
          </w:tcPr>
          <w:p w14:paraId="74110EAE" w14:textId="77777777" w:rsidR="007C6C75" w:rsidRDefault="007C6C75" w:rsidP="007C6C75">
            <w:pPr>
              <w:pStyle w:val="TableText0"/>
              <w:keepNext w:val="0"/>
              <w:ind w:hanging="142"/>
              <w:jc w:val="center"/>
              <w:rPr>
                <w:rFonts w:cs="Calibri"/>
                <w:color w:val="000000"/>
                <w:szCs w:val="20"/>
              </w:rPr>
            </w:pPr>
            <w:r>
              <w:rPr>
                <w:rFonts w:cs="Calibri"/>
                <w:color w:val="000000"/>
                <w:szCs w:val="20"/>
              </w:rPr>
              <w:t>$229,289</w:t>
            </w:r>
          </w:p>
        </w:tc>
        <w:tc>
          <w:tcPr>
            <w:tcW w:w="1021" w:type="dxa"/>
            <w:tcBorders>
              <w:bottom w:val="single" w:sz="4" w:space="0" w:color="auto"/>
            </w:tcBorders>
            <w:vAlign w:val="center"/>
          </w:tcPr>
          <w:p w14:paraId="4D6D219F" w14:textId="77777777" w:rsidR="007C6C75" w:rsidRDefault="007C6C75" w:rsidP="007C6C75">
            <w:pPr>
              <w:pStyle w:val="TableText0"/>
              <w:keepNext w:val="0"/>
              <w:ind w:hanging="142"/>
              <w:jc w:val="center"/>
              <w:rPr>
                <w:rFonts w:cs="Calibri"/>
                <w:color w:val="000000"/>
                <w:szCs w:val="20"/>
              </w:rPr>
            </w:pPr>
            <w:r>
              <w:rPr>
                <w:rFonts w:cs="Calibri"/>
                <w:color w:val="000000"/>
                <w:szCs w:val="20"/>
              </w:rPr>
              <w:t>$377,695</w:t>
            </w:r>
          </w:p>
        </w:tc>
        <w:tc>
          <w:tcPr>
            <w:tcW w:w="1020" w:type="dxa"/>
            <w:tcBorders>
              <w:bottom w:val="single" w:sz="4" w:space="0" w:color="auto"/>
            </w:tcBorders>
            <w:vAlign w:val="center"/>
          </w:tcPr>
          <w:p w14:paraId="6EAFA6B4" w14:textId="77777777" w:rsidR="007C6C75" w:rsidRDefault="007C6C75" w:rsidP="007C6C75">
            <w:pPr>
              <w:pStyle w:val="TableText0"/>
              <w:keepNext w:val="0"/>
              <w:ind w:hanging="142"/>
              <w:jc w:val="center"/>
              <w:rPr>
                <w:rFonts w:cs="Calibri"/>
                <w:color w:val="000000"/>
                <w:szCs w:val="20"/>
              </w:rPr>
            </w:pPr>
            <w:r>
              <w:rPr>
                <w:rFonts w:cs="Calibri"/>
                <w:color w:val="000000"/>
                <w:szCs w:val="20"/>
              </w:rPr>
              <w:t>$1,129,608</w:t>
            </w:r>
          </w:p>
        </w:tc>
        <w:tc>
          <w:tcPr>
            <w:tcW w:w="1021" w:type="dxa"/>
            <w:tcBorders>
              <w:bottom w:val="single" w:sz="4" w:space="0" w:color="auto"/>
            </w:tcBorders>
            <w:vAlign w:val="center"/>
          </w:tcPr>
          <w:p w14:paraId="639B2E57" w14:textId="77777777" w:rsidR="007C6C75" w:rsidRDefault="007C6C75" w:rsidP="007C6C75">
            <w:pPr>
              <w:pStyle w:val="TableText0"/>
              <w:keepNext w:val="0"/>
              <w:ind w:hanging="142"/>
              <w:jc w:val="center"/>
              <w:rPr>
                <w:rFonts w:cs="Calibri"/>
                <w:color w:val="000000"/>
                <w:szCs w:val="20"/>
              </w:rPr>
            </w:pPr>
            <w:r>
              <w:rPr>
                <w:rFonts w:cs="Calibri"/>
                <w:color w:val="000000"/>
                <w:szCs w:val="20"/>
              </w:rPr>
              <w:t>$1,789,457</w:t>
            </w:r>
          </w:p>
        </w:tc>
        <w:tc>
          <w:tcPr>
            <w:tcW w:w="1021" w:type="dxa"/>
            <w:tcBorders>
              <w:bottom w:val="single" w:sz="4" w:space="0" w:color="auto"/>
            </w:tcBorders>
            <w:vAlign w:val="center"/>
          </w:tcPr>
          <w:p w14:paraId="534DAF9F" w14:textId="77777777" w:rsidR="007C6C75" w:rsidRDefault="007C6C75" w:rsidP="007C6C75">
            <w:pPr>
              <w:pStyle w:val="TableText0"/>
              <w:keepNext w:val="0"/>
              <w:ind w:hanging="142"/>
              <w:jc w:val="center"/>
              <w:rPr>
                <w:rFonts w:cs="Calibri"/>
                <w:color w:val="000000"/>
                <w:szCs w:val="20"/>
              </w:rPr>
            </w:pPr>
            <w:r>
              <w:rPr>
                <w:rFonts w:cs="Calibri"/>
                <w:color w:val="000000"/>
                <w:szCs w:val="20"/>
              </w:rPr>
              <w:t>$2,749,838</w:t>
            </w:r>
          </w:p>
        </w:tc>
      </w:tr>
    </w:tbl>
    <w:p w14:paraId="3F83A105" w14:textId="77777777" w:rsidR="007C6C75" w:rsidRPr="000808A1" w:rsidRDefault="007C6C75" w:rsidP="007C6C75">
      <w:pPr>
        <w:pStyle w:val="Tablenotes"/>
      </w:pPr>
      <w:r w:rsidRPr="000808A1">
        <w:t>HPV</w:t>
      </w:r>
      <w:r>
        <w:t xml:space="preserve"> </w:t>
      </w:r>
      <w:r w:rsidRPr="000808A1">
        <w:t xml:space="preserve">= </w:t>
      </w:r>
      <w:r w:rsidRPr="000808A1">
        <w:rPr>
          <w:szCs w:val="16"/>
        </w:rPr>
        <w:t>human papillomav</w:t>
      </w:r>
      <w:r>
        <w:rPr>
          <w:szCs w:val="16"/>
        </w:rPr>
        <w:t>irus; LBC = liquid-based cytology;</w:t>
      </w:r>
      <w:r w:rsidRPr="000808A1">
        <w:rPr>
          <w:szCs w:val="16"/>
        </w:rPr>
        <w:t xml:space="preserve"> </w:t>
      </w:r>
      <w:r>
        <w:t>MBS = Medicare Benefits Schedule</w:t>
      </w:r>
      <w:r>
        <w:rPr>
          <w:szCs w:val="16"/>
        </w:rPr>
        <w:t>.</w:t>
      </w:r>
    </w:p>
    <w:p w14:paraId="1CA477FE" w14:textId="45EA31BF" w:rsidR="00BC1364" w:rsidRPr="00C86AF6" w:rsidRDefault="007C6C75" w:rsidP="00C86AF6">
      <w:pPr>
        <w:pStyle w:val="Tablenotes"/>
        <w:rPr>
          <w:szCs w:val="24"/>
        </w:rPr>
      </w:pPr>
      <w:r>
        <w:t>Source: summarised from DCAR Tables 10, 50-55</w:t>
      </w:r>
    </w:p>
    <w:p w14:paraId="6C9C17D9" w14:textId="77777777" w:rsidR="006A0D97" w:rsidRPr="00F715D1" w:rsidRDefault="006A0D97" w:rsidP="002F4063">
      <w:pPr>
        <w:pStyle w:val="Heading1"/>
      </w:pPr>
      <w:r w:rsidRPr="00F715D1">
        <w:t>Key issues from ESC for MSAC</w:t>
      </w:r>
    </w:p>
    <w:tbl>
      <w:tblPr>
        <w:tblStyle w:val="TableGrid"/>
        <w:tblW w:w="0" w:type="auto"/>
        <w:tblLook w:val="04A0" w:firstRow="1" w:lastRow="0" w:firstColumn="1" w:lastColumn="0" w:noHBand="0" w:noVBand="1"/>
        <w:tblDescription w:val="Key issues from ESC for MSAC consideration"/>
      </w:tblPr>
      <w:tblGrid>
        <w:gridCol w:w="2802"/>
        <w:gridCol w:w="6214"/>
      </w:tblGrid>
      <w:tr w:rsidR="007C6C75" w14:paraId="1D5F0926" w14:textId="77777777" w:rsidTr="00895339">
        <w:trPr>
          <w:tblHeader/>
        </w:trPr>
        <w:tc>
          <w:tcPr>
            <w:tcW w:w="2802" w:type="dxa"/>
          </w:tcPr>
          <w:p w14:paraId="3B4BD219" w14:textId="77777777" w:rsidR="007C6C75" w:rsidRDefault="007C6C75" w:rsidP="007C6C75">
            <w:pPr>
              <w:pStyle w:val="TableHeading"/>
            </w:pPr>
            <w:r>
              <w:t>ESC key issue</w:t>
            </w:r>
          </w:p>
        </w:tc>
        <w:tc>
          <w:tcPr>
            <w:tcW w:w="6214" w:type="dxa"/>
          </w:tcPr>
          <w:p w14:paraId="66C7E312" w14:textId="77777777" w:rsidR="007C6C75" w:rsidRDefault="007C6C75" w:rsidP="007C6C75">
            <w:pPr>
              <w:pStyle w:val="TableHeading"/>
            </w:pPr>
            <w:r>
              <w:t>ESC advice to MSAC</w:t>
            </w:r>
          </w:p>
        </w:tc>
      </w:tr>
      <w:tr w:rsidR="007C6C75" w14:paraId="7693341B" w14:textId="77777777" w:rsidTr="007C6C75">
        <w:tc>
          <w:tcPr>
            <w:tcW w:w="2802" w:type="dxa"/>
          </w:tcPr>
          <w:p w14:paraId="61EEC7F3" w14:textId="77777777" w:rsidR="007C6C75" w:rsidRPr="00573953" w:rsidRDefault="007C6C75" w:rsidP="007C6C75">
            <w:pPr>
              <w:pStyle w:val="TableText"/>
            </w:pPr>
            <w:r w:rsidRPr="00573953">
              <w:t>Comparative safety and effectiveness</w:t>
            </w:r>
          </w:p>
        </w:tc>
        <w:tc>
          <w:tcPr>
            <w:tcW w:w="6214" w:type="dxa"/>
          </w:tcPr>
          <w:p w14:paraId="2079AA9E" w14:textId="77777777" w:rsidR="007C6C75" w:rsidRPr="00573953" w:rsidRDefault="007C6C75" w:rsidP="007C6C75">
            <w:pPr>
              <w:pStyle w:val="TableText"/>
            </w:pPr>
            <w:r>
              <w:t>Cervical screening with s</w:t>
            </w:r>
            <w:r w:rsidRPr="00573953">
              <w:t>elf-collect</w:t>
            </w:r>
            <w:r>
              <w:t>ed samples</w:t>
            </w:r>
            <w:r w:rsidRPr="00573953">
              <w:t xml:space="preserve"> </w:t>
            </w:r>
            <w:r>
              <w:t xml:space="preserve">appears to be </w:t>
            </w:r>
            <w:r w:rsidRPr="00573953">
              <w:t xml:space="preserve">as accurate and safe as </w:t>
            </w:r>
            <w:r>
              <w:t xml:space="preserve">with </w:t>
            </w:r>
            <w:r w:rsidRPr="00573953">
              <w:t>clinician-collected samples.</w:t>
            </w:r>
          </w:p>
        </w:tc>
      </w:tr>
      <w:tr w:rsidR="007C6C75" w14:paraId="4F7BF89C" w14:textId="77777777" w:rsidTr="007C6C75">
        <w:tc>
          <w:tcPr>
            <w:tcW w:w="2802" w:type="dxa"/>
          </w:tcPr>
          <w:p w14:paraId="0842DF4E" w14:textId="77777777" w:rsidR="007C6C75" w:rsidRPr="00573953" w:rsidRDefault="007C6C75" w:rsidP="007C6C75">
            <w:pPr>
              <w:pStyle w:val="TableText"/>
            </w:pPr>
            <w:r w:rsidRPr="00573953">
              <w:t>Increase in participation rates</w:t>
            </w:r>
          </w:p>
        </w:tc>
        <w:tc>
          <w:tcPr>
            <w:tcW w:w="6214" w:type="dxa"/>
          </w:tcPr>
          <w:p w14:paraId="087D719B" w14:textId="48C69EDE" w:rsidR="007C6C75" w:rsidRPr="00573953" w:rsidRDefault="007C6C75" w:rsidP="007C6C75">
            <w:pPr>
              <w:pStyle w:val="TableText"/>
            </w:pPr>
            <w:r w:rsidRPr="00573953">
              <w:t>The (</w:t>
            </w:r>
            <w:r w:rsidR="00816A1B" w:rsidRPr="00573953">
              <w:t>heterogeneous</w:t>
            </w:r>
            <w:r w:rsidRPr="00573953">
              <w:t xml:space="preserve">) evidence suggests that self-collection will recruit more people into </w:t>
            </w:r>
            <w:r>
              <w:t xml:space="preserve">participating in </w:t>
            </w:r>
            <w:r w:rsidRPr="00573953">
              <w:t>cervical screening. There is no direct evidence looking at the proposed model of care in Australia, but a positive outcome is expected.</w:t>
            </w:r>
          </w:p>
        </w:tc>
      </w:tr>
      <w:tr w:rsidR="007C6C75" w14:paraId="7F8C13A4" w14:textId="77777777" w:rsidTr="007C6C75">
        <w:tc>
          <w:tcPr>
            <w:tcW w:w="2802" w:type="dxa"/>
          </w:tcPr>
          <w:p w14:paraId="61FD6671" w14:textId="77777777" w:rsidR="007C6C75" w:rsidRPr="00573953" w:rsidRDefault="007C6C75" w:rsidP="007C6C75">
            <w:pPr>
              <w:pStyle w:val="TableText"/>
            </w:pPr>
            <w:r w:rsidRPr="00573953">
              <w:t xml:space="preserve">Extent to which self-collection will increase </w:t>
            </w:r>
            <w:r>
              <w:t xml:space="preserve">participation </w:t>
            </w:r>
            <w:r w:rsidRPr="00573953">
              <w:t>and main cost drivers</w:t>
            </w:r>
          </w:p>
        </w:tc>
        <w:tc>
          <w:tcPr>
            <w:tcW w:w="6214" w:type="dxa"/>
          </w:tcPr>
          <w:p w14:paraId="514FDADC" w14:textId="77777777" w:rsidR="007C6C75" w:rsidRPr="00573953" w:rsidRDefault="007C6C75" w:rsidP="007C6C75">
            <w:pPr>
              <w:pStyle w:val="TableText"/>
            </w:pPr>
            <w:r w:rsidRPr="00573953">
              <w:t>The</w:t>
            </w:r>
            <w:r>
              <w:t xml:space="preserve"> extent of the increase is</w:t>
            </w:r>
            <w:r w:rsidRPr="00573953">
              <w:t xml:space="preserve"> unknown and subject to many assumptions. The biggest driver of numbers </w:t>
            </w:r>
            <w:r>
              <w:t xml:space="preserve">screened </w:t>
            </w:r>
            <w:r w:rsidRPr="00573953">
              <w:t xml:space="preserve">is </w:t>
            </w:r>
            <w:r>
              <w:t xml:space="preserve">the likely concomitant </w:t>
            </w:r>
            <w:r w:rsidRPr="00573953">
              <w:t>switching</w:t>
            </w:r>
            <w:r>
              <w:t xml:space="preserve"> from clinician-collected samples</w:t>
            </w:r>
            <w:r w:rsidRPr="00573953">
              <w:t>. The biggest driver of additional budgetary expenditure is boosting participat</w:t>
            </w:r>
            <w:r>
              <w:t>ion</w:t>
            </w:r>
            <w:r w:rsidRPr="00573953">
              <w:t xml:space="preserve">, </w:t>
            </w:r>
            <w:r>
              <w:t xml:space="preserve">which is the intent of this </w:t>
            </w:r>
            <w:r w:rsidRPr="00573953">
              <w:t>screening program.</w:t>
            </w:r>
          </w:p>
        </w:tc>
      </w:tr>
      <w:tr w:rsidR="007C6C75" w14:paraId="2FCAD123" w14:textId="77777777" w:rsidTr="007C6C75">
        <w:tc>
          <w:tcPr>
            <w:tcW w:w="2802" w:type="dxa"/>
          </w:tcPr>
          <w:p w14:paraId="3BDA8618" w14:textId="77777777" w:rsidR="007C6C75" w:rsidRPr="00573953" w:rsidRDefault="007C6C75" w:rsidP="007C6C75">
            <w:pPr>
              <w:pStyle w:val="TableText"/>
            </w:pPr>
            <w:r w:rsidRPr="00573953">
              <w:t xml:space="preserve">Proportion of </w:t>
            </w:r>
            <w:r>
              <w:t xml:space="preserve">self-collection </w:t>
            </w:r>
            <w:r w:rsidRPr="00573953">
              <w:t xml:space="preserve">patients </w:t>
            </w:r>
            <w:r>
              <w:t xml:space="preserve">who </w:t>
            </w:r>
            <w:r w:rsidRPr="00573953">
              <w:t>test</w:t>
            </w:r>
            <w:r>
              <w:t xml:space="preserve"> positive</w:t>
            </w:r>
            <w:r w:rsidRPr="00573953">
              <w:t xml:space="preserve"> who will </w:t>
            </w:r>
            <w:r>
              <w:t xml:space="preserve">return for </w:t>
            </w:r>
            <w:r w:rsidRPr="00573953">
              <w:t>follow up</w:t>
            </w:r>
          </w:p>
        </w:tc>
        <w:tc>
          <w:tcPr>
            <w:tcW w:w="6214" w:type="dxa"/>
          </w:tcPr>
          <w:p w14:paraId="495728F3" w14:textId="77777777" w:rsidR="007C6C75" w:rsidRPr="00573953" w:rsidRDefault="007C6C75" w:rsidP="007C6C75">
            <w:pPr>
              <w:pStyle w:val="TableText"/>
            </w:pPr>
            <w:r w:rsidRPr="00573953">
              <w:t>This is unknown</w:t>
            </w:r>
            <w:r>
              <w:t>, though</w:t>
            </w:r>
            <w:r w:rsidRPr="00573953">
              <w:t xml:space="preserve"> studies </w:t>
            </w:r>
            <w:r>
              <w:t xml:space="preserve">suggest </w:t>
            </w:r>
            <w:r w:rsidRPr="00573953">
              <w:t xml:space="preserve">this </w:t>
            </w:r>
            <w:r>
              <w:t>follow-up rate</w:t>
            </w:r>
            <w:r w:rsidRPr="00573953">
              <w:t xml:space="preserve"> to be around 80%. For safety reasons, pre-test education will be crucial for patient engagement with follow up. Those who are less engaged and harder to reach may need other strategies.</w:t>
            </w:r>
          </w:p>
        </w:tc>
      </w:tr>
      <w:tr w:rsidR="007C6C75" w14:paraId="364DA5C6" w14:textId="77777777" w:rsidTr="007C6C75">
        <w:tc>
          <w:tcPr>
            <w:tcW w:w="2802" w:type="dxa"/>
          </w:tcPr>
          <w:p w14:paraId="12C603E9" w14:textId="77777777" w:rsidR="007C6C75" w:rsidRPr="00573953" w:rsidRDefault="007C6C75" w:rsidP="007C6C75">
            <w:pPr>
              <w:pStyle w:val="TableText"/>
            </w:pPr>
            <w:r w:rsidRPr="00573953">
              <w:t>Policy issue</w:t>
            </w:r>
            <w:r>
              <w:t>s</w:t>
            </w:r>
            <w:r w:rsidRPr="00573953">
              <w:t xml:space="preserve"> around education</w:t>
            </w:r>
          </w:p>
        </w:tc>
        <w:tc>
          <w:tcPr>
            <w:tcW w:w="6214" w:type="dxa"/>
          </w:tcPr>
          <w:p w14:paraId="5190AD1A" w14:textId="77777777" w:rsidR="007C6C75" w:rsidRPr="00573953" w:rsidRDefault="007C6C75" w:rsidP="007C6C75">
            <w:pPr>
              <w:pStyle w:val="TableText"/>
            </w:pPr>
            <w:r w:rsidRPr="00573953">
              <w:t>Long lead</w:t>
            </w:r>
            <w:r>
              <w:t>-</w:t>
            </w:r>
            <w:r w:rsidRPr="00573953">
              <w:t xml:space="preserve">time </w:t>
            </w:r>
            <w:r>
              <w:t xml:space="preserve">anticipated, </w:t>
            </w:r>
            <w:r w:rsidRPr="00573953">
              <w:t>and education</w:t>
            </w:r>
            <w:r>
              <w:t>al</w:t>
            </w:r>
            <w:r w:rsidRPr="00573953">
              <w:t xml:space="preserve"> material will need to be developed.</w:t>
            </w:r>
          </w:p>
        </w:tc>
      </w:tr>
      <w:tr w:rsidR="007C6C75" w14:paraId="467DA186" w14:textId="77777777" w:rsidTr="007C6C75">
        <w:tc>
          <w:tcPr>
            <w:tcW w:w="2802" w:type="dxa"/>
          </w:tcPr>
          <w:p w14:paraId="5BDD62E9" w14:textId="77777777" w:rsidR="007C6C75" w:rsidRPr="00573953" w:rsidRDefault="007C6C75" w:rsidP="007C6C75">
            <w:pPr>
              <w:pStyle w:val="TableText"/>
            </w:pPr>
            <w:r w:rsidRPr="00573953">
              <w:t>Policy issues around the use of telehealth</w:t>
            </w:r>
          </w:p>
        </w:tc>
        <w:tc>
          <w:tcPr>
            <w:tcW w:w="6214" w:type="dxa"/>
          </w:tcPr>
          <w:p w14:paraId="57287782" w14:textId="77777777" w:rsidR="007C6C75" w:rsidRPr="00573953" w:rsidRDefault="007C6C75" w:rsidP="007C6C75">
            <w:pPr>
              <w:pStyle w:val="TableText"/>
            </w:pPr>
            <w:r w:rsidRPr="00573953">
              <w:t>To increase participation, telehealth may be useful and should not increase costs if used as a replacement for face-to-face consultations. “Double dipping” may be an issue, if the MBS telehealth is used to call patients in and educate them and then another consultation is billed when the patient comes in to do the test.</w:t>
            </w:r>
          </w:p>
        </w:tc>
      </w:tr>
      <w:tr w:rsidR="007C6C75" w14:paraId="59A6532D" w14:textId="77777777" w:rsidTr="007C6C75">
        <w:tc>
          <w:tcPr>
            <w:tcW w:w="2802" w:type="dxa"/>
          </w:tcPr>
          <w:p w14:paraId="5CAA6FB7" w14:textId="77777777" w:rsidR="007C6C75" w:rsidRPr="00573953" w:rsidRDefault="007C6C75" w:rsidP="007C6C75">
            <w:pPr>
              <w:pStyle w:val="TableText"/>
            </w:pPr>
            <w:r w:rsidRPr="00573953">
              <w:t xml:space="preserve">Policy issues about readiness of </w:t>
            </w:r>
            <w:r>
              <w:t xml:space="preserve">the </w:t>
            </w:r>
            <w:r w:rsidRPr="00573953">
              <w:t>pathology sector</w:t>
            </w:r>
          </w:p>
        </w:tc>
        <w:tc>
          <w:tcPr>
            <w:tcW w:w="6214" w:type="dxa"/>
          </w:tcPr>
          <w:p w14:paraId="118C97C0" w14:textId="77777777" w:rsidR="007C6C75" w:rsidRPr="00573953" w:rsidRDefault="007C6C75" w:rsidP="007C6C75">
            <w:pPr>
              <w:pStyle w:val="TableText"/>
            </w:pPr>
            <w:r w:rsidRPr="00573953">
              <w:t>A commercially available</w:t>
            </w:r>
            <w:r>
              <w:t xml:space="preserve"> self-collected sample</w:t>
            </w:r>
            <w:r w:rsidRPr="00573953">
              <w:t xml:space="preserve"> kit is needed to increase capacity of testing.</w:t>
            </w:r>
          </w:p>
        </w:tc>
      </w:tr>
      <w:tr w:rsidR="007C6C75" w14:paraId="7DDBCDE4" w14:textId="77777777" w:rsidTr="007C6C75">
        <w:tc>
          <w:tcPr>
            <w:tcW w:w="2802" w:type="dxa"/>
          </w:tcPr>
          <w:p w14:paraId="5CD1C88D" w14:textId="77777777" w:rsidR="007C6C75" w:rsidRPr="00573953" w:rsidRDefault="007C6C75" w:rsidP="007C6C75">
            <w:pPr>
              <w:pStyle w:val="TableText"/>
            </w:pPr>
            <w:r w:rsidRPr="00573953">
              <w:t>Lost opportunity for physical examination if patients self-collect</w:t>
            </w:r>
          </w:p>
        </w:tc>
        <w:tc>
          <w:tcPr>
            <w:tcW w:w="6214" w:type="dxa"/>
          </w:tcPr>
          <w:p w14:paraId="7707B5F1" w14:textId="77777777" w:rsidR="007C6C75" w:rsidRPr="00573953" w:rsidRDefault="007C6C75" w:rsidP="007C6C75">
            <w:pPr>
              <w:pStyle w:val="TableText"/>
            </w:pPr>
            <w:r w:rsidRPr="00573953">
              <w:t xml:space="preserve">Education by GPs and </w:t>
            </w:r>
            <w:r>
              <w:t xml:space="preserve">retaining </w:t>
            </w:r>
            <w:r w:rsidRPr="00573953">
              <w:t>the use of the primary care setting</w:t>
            </w:r>
            <w:r>
              <w:t xml:space="preserve"> to manage self-collected sampling</w:t>
            </w:r>
            <w:r w:rsidRPr="00573953">
              <w:t xml:space="preserve"> should ameliorate this concern.</w:t>
            </w:r>
          </w:p>
        </w:tc>
      </w:tr>
    </w:tbl>
    <w:p w14:paraId="7476A108" w14:textId="77777777" w:rsidR="007C6C75" w:rsidRPr="00B02E35" w:rsidRDefault="007C6C75" w:rsidP="006A5D63">
      <w:pPr>
        <w:pStyle w:val="Heading2"/>
      </w:pPr>
      <w:r>
        <w:t>ESC discussion</w:t>
      </w:r>
    </w:p>
    <w:p w14:paraId="060C9DD4" w14:textId="77777777" w:rsidR="007C6C75" w:rsidRPr="00F5788B" w:rsidRDefault="007C6C75" w:rsidP="007C6C75">
      <w:pPr>
        <w:rPr>
          <w:color w:val="000000"/>
        </w:rPr>
      </w:pPr>
      <w:r w:rsidRPr="00F5788B">
        <w:rPr>
          <w:color w:val="000000"/>
        </w:rPr>
        <w:t>ESC noted that the purpose of this application was to examine the evidence to support the change to the Medicare Benefits Schedule (MBS) to expan</w:t>
      </w:r>
      <w:r>
        <w:rPr>
          <w:color w:val="000000"/>
        </w:rPr>
        <w:t>d</w:t>
      </w:r>
      <w:r w:rsidRPr="00F5788B">
        <w:rPr>
          <w:color w:val="000000"/>
        </w:rPr>
        <w:t xml:space="preserve"> </w:t>
      </w:r>
      <w:r>
        <w:rPr>
          <w:color w:val="000000"/>
        </w:rPr>
        <w:t>access to</w:t>
      </w:r>
      <w:r w:rsidRPr="00F5788B">
        <w:rPr>
          <w:color w:val="000000"/>
        </w:rPr>
        <w:t xml:space="preserve"> self-collect</w:t>
      </w:r>
      <w:r>
        <w:rPr>
          <w:color w:val="000000"/>
        </w:rPr>
        <w:t xml:space="preserve">ed samples under </w:t>
      </w:r>
      <w:r w:rsidRPr="00F5788B">
        <w:rPr>
          <w:color w:val="000000"/>
        </w:rPr>
        <w:t xml:space="preserve">the National Cervical Screening Program (NCSP). The expansion would allow self-collection (through </w:t>
      </w:r>
      <w:r>
        <w:rPr>
          <w:color w:val="000000"/>
        </w:rPr>
        <w:t>primary care</w:t>
      </w:r>
      <w:r w:rsidRPr="00F5788B">
        <w:rPr>
          <w:color w:val="000000"/>
        </w:rPr>
        <w:t>) to all eligible people with a cervix aged between 25 and 74 years (about 6.8 to 7.23 million people)</w:t>
      </w:r>
      <w:r>
        <w:rPr>
          <w:color w:val="000000"/>
        </w:rPr>
        <w:t xml:space="preserve"> who have ever been sexually active</w:t>
      </w:r>
      <w:r w:rsidRPr="00F5788B">
        <w:rPr>
          <w:color w:val="000000"/>
        </w:rPr>
        <w:t>. Self-collection is currently restricted to people 30 years and over who are overdue for a cervical screening test (CST) by 2 years or more, or who have never screened.</w:t>
      </w:r>
    </w:p>
    <w:p w14:paraId="2D0F937A" w14:textId="77777777" w:rsidR="007C6C75" w:rsidRPr="00F5788B" w:rsidRDefault="007C6C75" w:rsidP="007C6C75">
      <w:pPr>
        <w:rPr>
          <w:color w:val="000000"/>
        </w:rPr>
      </w:pPr>
      <w:r w:rsidRPr="00F5788B">
        <w:rPr>
          <w:color w:val="000000"/>
        </w:rPr>
        <w:t xml:space="preserve">ESC noted the largely positive feedback from the public consultations, and that increased self-collection may lead to increased </w:t>
      </w:r>
      <w:r>
        <w:rPr>
          <w:color w:val="000000"/>
        </w:rPr>
        <w:t>participation in cervical screening</w:t>
      </w:r>
      <w:r w:rsidRPr="00F5788B">
        <w:rPr>
          <w:color w:val="000000"/>
        </w:rPr>
        <w:t xml:space="preserve"> in hard-to-reach communities. ESC noted some concern about education and workflows, and pathology concerns about samples, workforce, lead</w:t>
      </w:r>
      <w:r>
        <w:rPr>
          <w:color w:val="000000"/>
        </w:rPr>
        <w:t>-</w:t>
      </w:r>
      <w:r w:rsidRPr="00F5788B">
        <w:rPr>
          <w:color w:val="000000"/>
        </w:rPr>
        <w:t>time, and the need for internal validation given the lack of commercially available test kits. ESC also noted the concern that less clinician sampling will result in fewer opportunistic findings at a physical examination. ESC noted that consumer groups advocated for the change, stating that it could save lives and reduce shame and embarrassment.</w:t>
      </w:r>
    </w:p>
    <w:p w14:paraId="49997168" w14:textId="77777777" w:rsidR="007C6C75" w:rsidRPr="00F5788B" w:rsidRDefault="007C6C75" w:rsidP="007C6C75">
      <w:pPr>
        <w:rPr>
          <w:color w:val="000000"/>
        </w:rPr>
      </w:pPr>
      <w:r w:rsidRPr="00F5788B">
        <w:rPr>
          <w:color w:val="000000"/>
        </w:rPr>
        <w:t xml:space="preserve">ESC noted that the clinical </w:t>
      </w:r>
      <w:r>
        <w:rPr>
          <w:color w:val="000000"/>
        </w:rPr>
        <w:t xml:space="preserve">management </w:t>
      </w:r>
      <w:r w:rsidRPr="00F5788B">
        <w:rPr>
          <w:color w:val="000000"/>
        </w:rPr>
        <w:t xml:space="preserve">pathway </w:t>
      </w:r>
      <w:r>
        <w:rPr>
          <w:color w:val="000000"/>
        </w:rPr>
        <w:t xml:space="preserve">for screening patients at intermediate risk </w:t>
      </w:r>
      <w:r w:rsidRPr="00F5788B">
        <w:rPr>
          <w:color w:val="000000"/>
        </w:rPr>
        <w:t>had changed in February 2021</w:t>
      </w:r>
      <w:r>
        <w:rPr>
          <w:color w:val="000000"/>
        </w:rPr>
        <w:t>.</w:t>
      </w:r>
    </w:p>
    <w:p w14:paraId="1EA08491" w14:textId="77777777" w:rsidR="007C6C75" w:rsidRPr="00F5788B" w:rsidRDefault="007C6C75" w:rsidP="007C6C75">
      <w:pPr>
        <w:rPr>
          <w:color w:val="000000"/>
        </w:rPr>
      </w:pPr>
      <w:r w:rsidRPr="00F5788B">
        <w:rPr>
          <w:color w:val="000000"/>
        </w:rPr>
        <w:t xml:space="preserve">ESC </w:t>
      </w:r>
      <w:r>
        <w:rPr>
          <w:color w:val="000000"/>
        </w:rPr>
        <w:t xml:space="preserve">considered </w:t>
      </w:r>
      <w:r w:rsidRPr="00F5788B">
        <w:rPr>
          <w:color w:val="000000"/>
        </w:rPr>
        <w:t xml:space="preserve">that the specificity (0.61 and 0.62, self-collected and clinician-collected, respectively) and sensitivity (0.87 and 0.88, self-collected and clinician-collected, respectively) </w:t>
      </w:r>
      <w:r>
        <w:rPr>
          <w:color w:val="000000"/>
        </w:rPr>
        <w:t xml:space="preserve">appeared to be acceptably equivalent and that the pooled differences of these two measures with their 95% confidence intervals appeared to be within </w:t>
      </w:r>
      <w:r w:rsidRPr="00F5788B">
        <w:rPr>
          <w:color w:val="000000"/>
        </w:rPr>
        <w:t>acceptable</w:t>
      </w:r>
      <w:r>
        <w:rPr>
          <w:color w:val="000000"/>
        </w:rPr>
        <w:t xml:space="preserve"> limits</w:t>
      </w:r>
      <w:r w:rsidRPr="00F5788B">
        <w:rPr>
          <w:color w:val="000000"/>
        </w:rPr>
        <w:t xml:space="preserve">. ESC noted that the </w:t>
      </w:r>
      <w:r>
        <w:rPr>
          <w:color w:val="000000"/>
        </w:rPr>
        <w:t xml:space="preserve">results of the Department-contracted assessment report (DCAR)’s </w:t>
      </w:r>
      <w:r w:rsidRPr="00F5788B">
        <w:rPr>
          <w:color w:val="000000"/>
        </w:rPr>
        <w:t xml:space="preserve">meta-analysis and </w:t>
      </w:r>
      <w:proofErr w:type="spellStart"/>
      <w:r w:rsidRPr="00F5788B">
        <w:rPr>
          <w:color w:val="000000"/>
        </w:rPr>
        <w:t>Arbyn</w:t>
      </w:r>
      <w:proofErr w:type="spellEnd"/>
      <w:r w:rsidRPr="00F5788B">
        <w:rPr>
          <w:color w:val="000000"/>
        </w:rPr>
        <w:t xml:space="preserve"> </w:t>
      </w:r>
      <w:r>
        <w:rPr>
          <w:i/>
          <w:color w:val="000000"/>
        </w:rPr>
        <w:t>et al.</w:t>
      </w:r>
      <w:r>
        <w:rPr>
          <w:color w:val="000000"/>
        </w:rPr>
        <w:t>, (</w:t>
      </w:r>
      <w:r w:rsidRPr="00F5788B">
        <w:rPr>
          <w:color w:val="000000"/>
        </w:rPr>
        <w:t>2018</w:t>
      </w:r>
      <w:r>
        <w:rPr>
          <w:color w:val="000000"/>
        </w:rPr>
        <w:t>)’s meta-analysis</w:t>
      </w:r>
      <w:r>
        <w:rPr>
          <w:rStyle w:val="FootnoteReference"/>
        </w:rPr>
        <w:footnoteReference w:id="25"/>
      </w:r>
      <w:r w:rsidRPr="00F5788B">
        <w:rPr>
          <w:color w:val="000000"/>
        </w:rPr>
        <w:t xml:space="preserve"> did differ </w:t>
      </w:r>
      <w:r>
        <w:rPr>
          <w:color w:val="000000"/>
        </w:rPr>
        <w:t xml:space="preserve">in that </w:t>
      </w:r>
      <w:proofErr w:type="spellStart"/>
      <w:r w:rsidRPr="00F5788B">
        <w:rPr>
          <w:color w:val="000000"/>
        </w:rPr>
        <w:t>Arbyn</w:t>
      </w:r>
      <w:proofErr w:type="spellEnd"/>
      <w:r w:rsidRPr="00F5788B">
        <w:rPr>
          <w:color w:val="000000"/>
        </w:rPr>
        <w:t xml:space="preserve"> </w:t>
      </w:r>
      <w:r w:rsidRPr="001F7A77">
        <w:rPr>
          <w:i/>
          <w:color w:val="000000"/>
        </w:rPr>
        <w:t>et al</w:t>
      </w:r>
      <w:r>
        <w:rPr>
          <w:color w:val="000000"/>
        </w:rPr>
        <w:t xml:space="preserve">. </w:t>
      </w:r>
      <w:r w:rsidRPr="00F5788B">
        <w:rPr>
          <w:color w:val="000000"/>
        </w:rPr>
        <w:t>reported higher sensitivity and specificity</w:t>
      </w:r>
      <w:r>
        <w:rPr>
          <w:color w:val="000000"/>
        </w:rPr>
        <w:t>,</w:t>
      </w:r>
      <w:r w:rsidRPr="00F5788B">
        <w:rPr>
          <w:color w:val="000000"/>
        </w:rPr>
        <w:t xml:space="preserve"> </w:t>
      </w:r>
      <w:r>
        <w:rPr>
          <w:color w:val="000000"/>
        </w:rPr>
        <w:t>h</w:t>
      </w:r>
      <w:r w:rsidRPr="00F5788B">
        <w:rPr>
          <w:color w:val="000000"/>
        </w:rPr>
        <w:t xml:space="preserve">owever, ESC accepted that these differences </w:t>
      </w:r>
      <w:r>
        <w:rPr>
          <w:color w:val="000000"/>
        </w:rPr>
        <w:t xml:space="preserve">across the meta-analyses </w:t>
      </w:r>
      <w:r w:rsidRPr="00F5788B">
        <w:rPr>
          <w:color w:val="000000"/>
        </w:rPr>
        <w:t xml:space="preserve">are explained by different reference standards used for the sensitivity calculations and the </w:t>
      </w:r>
      <w:r>
        <w:rPr>
          <w:color w:val="000000"/>
        </w:rPr>
        <w:t xml:space="preserve">DCAR’s </w:t>
      </w:r>
      <w:r w:rsidRPr="00F5788B">
        <w:rPr>
          <w:color w:val="000000"/>
        </w:rPr>
        <w:t>inclusion of higher-risk patients</w:t>
      </w:r>
      <w:r>
        <w:rPr>
          <w:color w:val="000000"/>
        </w:rPr>
        <w:t>.</w:t>
      </w:r>
    </w:p>
    <w:p w14:paraId="0F0A63BA" w14:textId="77777777" w:rsidR="007C6C75" w:rsidRPr="00F5788B" w:rsidRDefault="007C6C75" w:rsidP="007C6C75">
      <w:pPr>
        <w:rPr>
          <w:color w:val="000000"/>
        </w:rPr>
      </w:pPr>
      <w:r w:rsidRPr="00F5788B">
        <w:rPr>
          <w:color w:val="000000"/>
        </w:rPr>
        <w:t>ESC noted that</w:t>
      </w:r>
      <w:r>
        <w:rPr>
          <w:color w:val="000000"/>
        </w:rPr>
        <w:t>, in the meta-analysed studies of participation rates,</w:t>
      </w:r>
      <w:r w:rsidRPr="00F5788B">
        <w:rPr>
          <w:color w:val="000000"/>
        </w:rPr>
        <w:t xml:space="preserve"> the </w:t>
      </w:r>
      <w:r>
        <w:rPr>
          <w:color w:val="000000"/>
        </w:rPr>
        <w:t>intention-to-treat (</w:t>
      </w:r>
      <w:r w:rsidRPr="00F5788B">
        <w:rPr>
          <w:color w:val="000000"/>
        </w:rPr>
        <w:t>ITT</w:t>
      </w:r>
      <w:r>
        <w:rPr>
          <w:color w:val="000000"/>
        </w:rPr>
        <w:t>)</w:t>
      </w:r>
      <w:r w:rsidRPr="00F5788B">
        <w:rPr>
          <w:color w:val="000000"/>
        </w:rPr>
        <w:t xml:space="preserve"> analysis showed that giving patients a choice increased participation </w:t>
      </w:r>
      <w:r>
        <w:rPr>
          <w:color w:val="000000"/>
        </w:rPr>
        <w:t>in</w:t>
      </w:r>
      <w:r w:rsidRPr="00F5788B">
        <w:rPr>
          <w:color w:val="000000"/>
        </w:rPr>
        <w:t xml:space="preserve"> screening and thus had superior effectiveness to clinician-collection only. However, ESC also noted that no direct evidence on the proposed Australian </w:t>
      </w:r>
      <w:r>
        <w:rPr>
          <w:color w:val="000000"/>
        </w:rPr>
        <w:t xml:space="preserve">model of </w:t>
      </w:r>
      <w:r w:rsidRPr="00F5788B">
        <w:rPr>
          <w:color w:val="000000"/>
        </w:rPr>
        <w:t xml:space="preserve">recruitment </w:t>
      </w:r>
      <w:r>
        <w:rPr>
          <w:color w:val="000000"/>
        </w:rPr>
        <w:t>for self-collection was identified.</w:t>
      </w:r>
    </w:p>
    <w:p w14:paraId="1CA0A120" w14:textId="77777777" w:rsidR="007C6C75" w:rsidRPr="00F5788B" w:rsidRDefault="007C6C75" w:rsidP="007C6C75">
      <w:pPr>
        <w:rPr>
          <w:color w:val="000000"/>
        </w:rPr>
      </w:pPr>
      <w:r w:rsidRPr="00F5788B">
        <w:rPr>
          <w:color w:val="000000"/>
        </w:rPr>
        <w:t xml:space="preserve">ESC noted the follow-up </w:t>
      </w:r>
      <w:r>
        <w:rPr>
          <w:color w:val="000000"/>
        </w:rPr>
        <w:t>rate</w:t>
      </w:r>
      <w:r w:rsidRPr="00F5788B">
        <w:rPr>
          <w:color w:val="000000"/>
        </w:rPr>
        <w:t xml:space="preserve"> </w:t>
      </w:r>
      <w:r>
        <w:rPr>
          <w:color w:val="000000"/>
        </w:rPr>
        <w:t xml:space="preserve">amongst people with an HPV positive </w:t>
      </w:r>
      <w:r w:rsidRPr="00F5788B">
        <w:rPr>
          <w:color w:val="000000"/>
        </w:rPr>
        <w:t>test result</w:t>
      </w:r>
      <w:r>
        <w:rPr>
          <w:color w:val="000000"/>
        </w:rPr>
        <w:t xml:space="preserve"> on a self-collected vaginal sample</w:t>
      </w:r>
      <w:r w:rsidRPr="00F5788B">
        <w:rPr>
          <w:color w:val="000000"/>
        </w:rPr>
        <w:t xml:space="preserve">, and that the </w:t>
      </w:r>
      <w:r>
        <w:rPr>
          <w:color w:val="000000"/>
        </w:rPr>
        <w:t>meta-analysis</w:t>
      </w:r>
      <w:r w:rsidRPr="00F5788B">
        <w:rPr>
          <w:color w:val="000000"/>
        </w:rPr>
        <w:t xml:space="preserve"> indicate</w:t>
      </w:r>
      <w:r>
        <w:rPr>
          <w:color w:val="000000"/>
        </w:rPr>
        <w:t>d</w:t>
      </w:r>
      <w:r w:rsidRPr="00F5788B">
        <w:rPr>
          <w:color w:val="000000"/>
        </w:rPr>
        <w:t xml:space="preserve"> 80.</w:t>
      </w:r>
      <w:r>
        <w:rPr>
          <w:color w:val="000000"/>
        </w:rPr>
        <w:t>8</w:t>
      </w:r>
      <w:r w:rsidRPr="00F5788B">
        <w:rPr>
          <w:color w:val="000000"/>
        </w:rPr>
        <w:t>% (95% CI</w:t>
      </w:r>
      <w:r>
        <w:rPr>
          <w:color w:val="000000"/>
        </w:rPr>
        <w:t>:</w:t>
      </w:r>
      <w:r w:rsidRPr="00F5788B">
        <w:rPr>
          <w:color w:val="000000"/>
        </w:rPr>
        <w:t xml:space="preserve"> 75.5</w:t>
      </w:r>
      <w:r>
        <w:rPr>
          <w:color w:val="000000"/>
        </w:rPr>
        <w:t xml:space="preserve">% to </w:t>
      </w:r>
      <w:r w:rsidRPr="00F5788B">
        <w:rPr>
          <w:color w:val="000000"/>
        </w:rPr>
        <w:t>85.1</w:t>
      </w:r>
      <w:r>
        <w:rPr>
          <w:color w:val="000000"/>
        </w:rPr>
        <w:t>%</w:t>
      </w:r>
      <w:r w:rsidRPr="00F5788B">
        <w:rPr>
          <w:color w:val="000000"/>
        </w:rPr>
        <w:t>) people followed up with the healthcare provider to complete cervical screening. These results are very similar to the follow-up adherence rate of 80.6% (95% CI</w:t>
      </w:r>
      <w:r>
        <w:rPr>
          <w:color w:val="000000"/>
        </w:rPr>
        <w:t>:</w:t>
      </w:r>
      <w:r w:rsidRPr="00F5788B">
        <w:rPr>
          <w:color w:val="000000"/>
        </w:rPr>
        <w:t xml:space="preserve"> 67.0</w:t>
      </w:r>
      <w:r>
        <w:rPr>
          <w:color w:val="000000"/>
        </w:rPr>
        <w:t xml:space="preserve">% to </w:t>
      </w:r>
      <w:r w:rsidRPr="00F5788B">
        <w:rPr>
          <w:color w:val="000000"/>
        </w:rPr>
        <w:t>91.5</w:t>
      </w:r>
      <w:r>
        <w:rPr>
          <w:color w:val="000000"/>
        </w:rPr>
        <w:t>%</w:t>
      </w:r>
      <w:r w:rsidRPr="00F5788B">
        <w:rPr>
          <w:color w:val="000000"/>
        </w:rPr>
        <w:t xml:space="preserve">) reported by </w:t>
      </w:r>
      <w:proofErr w:type="spellStart"/>
      <w:r w:rsidRPr="00F5788B">
        <w:rPr>
          <w:color w:val="000000"/>
        </w:rPr>
        <w:t>Arbyn</w:t>
      </w:r>
      <w:proofErr w:type="spellEnd"/>
      <w:r w:rsidRPr="00F5788B">
        <w:rPr>
          <w:color w:val="000000"/>
        </w:rPr>
        <w:t xml:space="preserve"> </w:t>
      </w:r>
      <w:r w:rsidRPr="001F7A77">
        <w:rPr>
          <w:i/>
          <w:color w:val="000000"/>
        </w:rPr>
        <w:t>et al.</w:t>
      </w:r>
      <w:r>
        <w:rPr>
          <w:color w:val="000000"/>
        </w:rPr>
        <w:t xml:space="preserve"> (</w:t>
      </w:r>
      <w:r w:rsidRPr="00F5788B">
        <w:rPr>
          <w:color w:val="000000"/>
        </w:rPr>
        <w:t>2018</w:t>
      </w:r>
      <w:r>
        <w:rPr>
          <w:color w:val="000000"/>
        </w:rPr>
        <w:t xml:space="preserve">), but higher than </w:t>
      </w:r>
      <w:r>
        <w:t>the 62% follow-up rate for self-collected samples observed in</w:t>
      </w:r>
      <w:r w:rsidRPr="002D5EC8">
        <w:t xml:space="preserve"> NCSP activity data since the commencement of self-collected HPV testing in December 2017</w:t>
      </w:r>
      <w:r>
        <w:t xml:space="preserve"> under the current restrictive access policy. </w:t>
      </w:r>
      <w:r w:rsidRPr="007C737D">
        <w:t xml:space="preserve">ESC noted the challenges with the implementation of the current policy and the very low number </w:t>
      </w:r>
      <w:r>
        <w:t xml:space="preserve">of people </w:t>
      </w:r>
      <w:r w:rsidRPr="007C737D">
        <w:t>currently access</w:t>
      </w:r>
      <w:r>
        <w:t>ing self-</w:t>
      </w:r>
      <w:r w:rsidRPr="007C737D">
        <w:t>collection.</w:t>
      </w:r>
    </w:p>
    <w:p w14:paraId="59521833" w14:textId="77777777" w:rsidR="007C6C75" w:rsidRPr="00F5788B" w:rsidRDefault="007C6C75" w:rsidP="007C6C75">
      <w:pPr>
        <w:rPr>
          <w:color w:val="000000"/>
        </w:rPr>
      </w:pPr>
      <w:r w:rsidRPr="00F5788B">
        <w:rPr>
          <w:color w:val="000000"/>
        </w:rPr>
        <w:t xml:space="preserve">ESC noted that the </w:t>
      </w:r>
      <w:r>
        <w:rPr>
          <w:color w:val="000000"/>
        </w:rPr>
        <w:t>DCAR</w:t>
      </w:r>
      <w:r w:rsidRPr="00F5788B">
        <w:rPr>
          <w:color w:val="000000"/>
        </w:rPr>
        <w:t xml:space="preserve"> </w:t>
      </w:r>
      <w:r>
        <w:rPr>
          <w:color w:val="000000"/>
        </w:rPr>
        <w:t>omitted</w:t>
      </w:r>
      <w:r w:rsidRPr="00F5788B">
        <w:rPr>
          <w:color w:val="000000"/>
        </w:rPr>
        <w:t xml:space="preserve"> a</w:t>
      </w:r>
      <w:r>
        <w:rPr>
          <w:color w:val="000000"/>
        </w:rPr>
        <w:t>n</w:t>
      </w:r>
      <w:r w:rsidRPr="00F5788B">
        <w:rPr>
          <w:color w:val="000000"/>
        </w:rPr>
        <w:t xml:space="preserve"> </w:t>
      </w:r>
      <w:r>
        <w:rPr>
          <w:color w:val="000000"/>
        </w:rPr>
        <w:t>economic</w:t>
      </w:r>
      <w:r w:rsidRPr="00F5788B">
        <w:rPr>
          <w:color w:val="000000"/>
        </w:rPr>
        <w:t xml:space="preserve"> analysis </w:t>
      </w:r>
      <w:r>
        <w:rPr>
          <w:color w:val="000000"/>
        </w:rPr>
        <w:t xml:space="preserve">on the basis of MSAC’s earlier advice in October 2019 that this had been done as part of </w:t>
      </w:r>
      <w:hyperlink r:id="rId20" w:history="1">
        <w:r>
          <w:rPr>
            <w:rStyle w:val="Hyperlink"/>
          </w:rPr>
          <w:t>MSAC a</w:t>
        </w:r>
        <w:r w:rsidRPr="00493CAF">
          <w:rPr>
            <w:rStyle w:val="Hyperlink"/>
          </w:rPr>
          <w:t>pplication 1276</w:t>
        </w:r>
      </w:hyperlink>
      <w:r>
        <w:rPr>
          <w:rStyle w:val="Hyperlink"/>
        </w:rPr>
        <w:t xml:space="preserve"> </w:t>
      </w:r>
      <w:r>
        <w:rPr>
          <w:color w:val="000000"/>
        </w:rPr>
        <w:t>and recognising that if it is accepted</w:t>
      </w:r>
      <w:r w:rsidRPr="00F5788B">
        <w:rPr>
          <w:color w:val="000000"/>
        </w:rPr>
        <w:t xml:space="preserve"> that self-collection </w:t>
      </w:r>
      <w:r>
        <w:rPr>
          <w:color w:val="000000"/>
        </w:rPr>
        <w:t xml:space="preserve">yields acceptably similar screening results as clinician-collection, then it </w:t>
      </w:r>
      <w:r w:rsidRPr="00F5788B">
        <w:rPr>
          <w:color w:val="000000"/>
        </w:rPr>
        <w:t>improves health outcomes</w:t>
      </w:r>
      <w:r>
        <w:rPr>
          <w:color w:val="000000"/>
        </w:rPr>
        <w:t xml:space="preserve"> and </w:t>
      </w:r>
      <w:r w:rsidRPr="00F5788B">
        <w:rPr>
          <w:color w:val="000000"/>
        </w:rPr>
        <w:t xml:space="preserve">is </w:t>
      </w:r>
      <w:r>
        <w:rPr>
          <w:color w:val="000000"/>
        </w:rPr>
        <w:t xml:space="preserve">acceptably </w:t>
      </w:r>
      <w:r w:rsidRPr="00F5788B">
        <w:rPr>
          <w:color w:val="000000"/>
        </w:rPr>
        <w:t>cost-effective</w:t>
      </w:r>
      <w:r>
        <w:rPr>
          <w:color w:val="000000"/>
        </w:rPr>
        <w:t xml:space="preserve"> per patient screened</w:t>
      </w:r>
      <w:r w:rsidRPr="00F5788B">
        <w:rPr>
          <w:color w:val="000000"/>
        </w:rPr>
        <w:t>.</w:t>
      </w:r>
      <w:r>
        <w:rPr>
          <w:color w:val="000000"/>
        </w:rPr>
        <w:t xml:space="preserve"> A financial budgetary analysis was presented in recognition that the intent of the proposal is to screen more patients.</w:t>
      </w:r>
      <w:r w:rsidRPr="00F5788B">
        <w:rPr>
          <w:color w:val="000000"/>
        </w:rPr>
        <w:t xml:space="preserve"> ESC considered a main driver of cost and overall budget expenditure would be the proportion of patients who “switch” from clinician-collected to self-collected</w:t>
      </w:r>
      <w:r>
        <w:rPr>
          <w:color w:val="000000"/>
        </w:rPr>
        <w:t xml:space="preserve"> samples</w:t>
      </w:r>
      <w:r w:rsidRPr="00F5788B">
        <w:rPr>
          <w:color w:val="000000"/>
        </w:rPr>
        <w:t xml:space="preserve">, and the </w:t>
      </w:r>
      <w:r>
        <w:rPr>
          <w:color w:val="000000"/>
        </w:rPr>
        <w:t>extent</w:t>
      </w:r>
      <w:r w:rsidRPr="00F5788B">
        <w:rPr>
          <w:color w:val="000000"/>
        </w:rPr>
        <w:t xml:space="preserve"> of “booste</w:t>
      </w:r>
      <w:r>
        <w:rPr>
          <w:color w:val="000000"/>
        </w:rPr>
        <w:t>d</w:t>
      </w:r>
      <w:r w:rsidRPr="00F5788B">
        <w:rPr>
          <w:color w:val="000000"/>
        </w:rPr>
        <w:t>”</w:t>
      </w:r>
      <w:r>
        <w:rPr>
          <w:color w:val="000000"/>
        </w:rPr>
        <w:t xml:space="preserve"> participation</w:t>
      </w:r>
      <w:r w:rsidRPr="00F5788B">
        <w:rPr>
          <w:color w:val="000000"/>
        </w:rPr>
        <w:t xml:space="preserve"> (</w:t>
      </w:r>
      <w:r>
        <w:t>eligible people who would otherwise not have participated</w:t>
      </w:r>
      <w:r w:rsidRPr="00F5788B">
        <w:rPr>
          <w:color w:val="000000"/>
        </w:rPr>
        <w:t xml:space="preserve">). ESC accepted </w:t>
      </w:r>
      <w:r>
        <w:rPr>
          <w:color w:val="000000"/>
        </w:rPr>
        <w:t xml:space="preserve">that the </w:t>
      </w:r>
      <w:r w:rsidRPr="00F5788B">
        <w:rPr>
          <w:color w:val="000000"/>
        </w:rPr>
        <w:t xml:space="preserve">budget </w:t>
      </w:r>
      <w:r>
        <w:rPr>
          <w:color w:val="000000"/>
        </w:rPr>
        <w:t>should increase</w:t>
      </w:r>
      <w:r w:rsidRPr="00F5788B">
        <w:rPr>
          <w:color w:val="000000"/>
        </w:rPr>
        <w:t xml:space="preserve">, as the aim of expanding </w:t>
      </w:r>
      <w:r>
        <w:rPr>
          <w:color w:val="000000"/>
        </w:rPr>
        <w:t xml:space="preserve">access to </w:t>
      </w:r>
      <w:r w:rsidRPr="00F5788B">
        <w:rPr>
          <w:color w:val="000000"/>
        </w:rPr>
        <w:t>self-collect</w:t>
      </w:r>
      <w:r>
        <w:rPr>
          <w:color w:val="000000"/>
        </w:rPr>
        <w:t>ed samples</w:t>
      </w:r>
      <w:r w:rsidRPr="00F5788B">
        <w:rPr>
          <w:color w:val="000000"/>
        </w:rPr>
        <w:t xml:space="preserve"> </w:t>
      </w:r>
      <w:r>
        <w:rPr>
          <w:color w:val="000000"/>
        </w:rPr>
        <w:t>i</w:t>
      </w:r>
      <w:r w:rsidRPr="00F5788B">
        <w:rPr>
          <w:color w:val="000000"/>
        </w:rPr>
        <w:t xml:space="preserve">s to increase participation in </w:t>
      </w:r>
      <w:r>
        <w:rPr>
          <w:color w:val="000000"/>
        </w:rPr>
        <w:t>cervical screening</w:t>
      </w:r>
      <w:r w:rsidRPr="00F5788B">
        <w:rPr>
          <w:color w:val="000000"/>
        </w:rPr>
        <w:t>.</w:t>
      </w:r>
    </w:p>
    <w:p w14:paraId="3D77329F" w14:textId="77777777" w:rsidR="007C6C75" w:rsidRPr="00F5788B" w:rsidRDefault="007C6C75" w:rsidP="007C6C75">
      <w:pPr>
        <w:rPr>
          <w:color w:val="000000"/>
        </w:rPr>
      </w:pPr>
      <w:r w:rsidRPr="00F5788B">
        <w:rPr>
          <w:color w:val="000000"/>
        </w:rPr>
        <w:t xml:space="preserve">ESC noted that there is no direct evidence to inform an assessment of how many patients would switch, but noted that </w:t>
      </w:r>
      <w:r>
        <w:rPr>
          <w:color w:val="000000"/>
        </w:rPr>
        <w:t xml:space="preserve">additional modelling conducted by the </w:t>
      </w:r>
      <w:r w:rsidRPr="00F5788B">
        <w:rPr>
          <w:color w:val="000000"/>
        </w:rPr>
        <w:t>Cancer Council N</w:t>
      </w:r>
      <w:r>
        <w:rPr>
          <w:color w:val="000000"/>
        </w:rPr>
        <w:t xml:space="preserve">ew </w:t>
      </w:r>
      <w:r w:rsidRPr="00F5788B">
        <w:rPr>
          <w:color w:val="000000"/>
        </w:rPr>
        <w:t>S</w:t>
      </w:r>
      <w:r>
        <w:rPr>
          <w:color w:val="000000"/>
        </w:rPr>
        <w:t xml:space="preserve">outh </w:t>
      </w:r>
      <w:r w:rsidRPr="00F5788B">
        <w:rPr>
          <w:color w:val="000000"/>
        </w:rPr>
        <w:t>W</w:t>
      </w:r>
      <w:r>
        <w:rPr>
          <w:color w:val="000000"/>
        </w:rPr>
        <w:t>ales</w:t>
      </w:r>
      <w:r w:rsidRPr="00F5788B">
        <w:rPr>
          <w:color w:val="000000"/>
        </w:rPr>
        <w:t xml:space="preserve"> </w:t>
      </w:r>
      <w:r>
        <w:rPr>
          <w:color w:val="000000"/>
        </w:rPr>
        <w:t xml:space="preserve">(CCNSW) </w:t>
      </w:r>
      <w:r w:rsidRPr="00F5788B">
        <w:rPr>
          <w:color w:val="000000"/>
        </w:rPr>
        <w:t xml:space="preserve">used some questionnaire and survey data to estimate numbers. </w:t>
      </w:r>
      <w:r>
        <w:rPr>
          <w:color w:val="000000"/>
        </w:rPr>
        <w:t xml:space="preserve">The </w:t>
      </w:r>
      <w:r w:rsidRPr="00F5788B">
        <w:rPr>
          <w:color w:val="000000"/>
        </w:rPr>
        <w:t xml:space="preserve">CCNSW </w:t>
      </w:r>
      <w:r>
        <w:rPr>
          <w:color w:val="000000"/>
        </w:rPr>
        <w:t xml:space="preserve">report </w:t>
      </w:r>
      <w:r w:rsidRPr="00F5788B">
        <w:rPr>
          <w:color w:val="000000"/>
        </w:rPr>
        <w:t xml:space="preserve">concluded much higher expenditure than the </w:t>
      </w:r>
      <w:r>
        <w:rPr>
          <w:color w:val="000000"/>
        </w:rPr>
        <w:t>DCAR</w:t>
      </w:r>
      <w:r w:rsidRPr="00F5788B">
        <w:rPr>
          <w:color w:val="000000"/>
        </w:rPr>
        <w:t xml:space="preserve">, the difference </w:t>
      </w:r>
      <w:r>
        <w:rPr>
          <w:color w:val="000000"/>
        </w:rPr>
        <w:t>arising from</w:t>
      </w:r>
      <w:r w:rsidRPr="00F5788B">
        <w:rPr>
          <w:color w:val="000000"/>
        </w:rPr>
        <w:t xml:space="preserve"> different assumptions, particularly around the number who “switch” and the additional total cost of increased participation. ESC noted that some of </w:t>
      </w:r>
      <w:r>
        <w:rPr>
          <w:color w:val="000000"/>
        </w:rPr>
        <w:t>CC</w:t>
      </w:r>
      <w:r w:rsidRPr="00F5788B">
        <w:rPr>
          <w:color w:val="000000"/>
        </w:rPr>
        <w:t xml:space="preserve">NSW’s sources for </w:t>
      </w:r>
      <w:r>
        <w:rPr>
          <w:color w:val="000000"/>
        </w:rPr>
        <w:t>its</w:t>
      </w:r>
      <w:r w:rsidRPr="00F5788B">
        <w:rPr>
          <w:color w:val="000000"/>
        </w:rPr>
        <w:t xml:space="preserve"> assumptions and calculations were unclear, and that some of </w:t>
      </w:r>
      <w:r>
        <w:rPr>
          <w:color w:val="000000"/>
        </w:rPr>
        <w:t>its</w:t>
      </w:r>
      <w:r w:rsidRPr="00F5788B">
        <w:rPr>
          <w:color w:val="000000"/>
        </w:rPr>
        <w:t xml:space="preserve"> analyses may have included double</w:t>
      </w:r>
      <w:r>
        <w:rPr>
          <w:color w:val="000000"/>
        </w:rPr>
        <w:t xml:space="preserve"> </w:t>
      </w:r>
      <w:r w:rsidRPr="00F5788B">
        <w:rPr>
          <w:color w:val="000000"/>
        </w:rPr>
        <w:t xml:space="preserve">counting, thus increasing the expenditure inaccurately. ESC </w:t>
      </w:r>
      <w:r>
        <w:rPr>
          <w:color w:val="000000"/>
        </w:rPr>
        <w:t xml:space="preserve">considered </w:t>
      </w:r>
      <w:r w:rsidRPr="00F5788B">
        <w:rPr>
          <w:color w:val="000000"/>
        </w:rPr>
        <w:t xml:space="preserve">that both analyses </w:t>
      </w:r>
      <w:r>
        <w:rPr>
          <w:color w:val="000000"/>
        </w:rPr>
        <w:t xml:space="preserve">were based on </w:t>
      </w:r>
      <w:r w:rsidRPr="00F5788B">
        <w:rPr>
          <w:color w:val="000000"/>
        </w:rPr>
        <w:t xml:space="preserve">many uncertainties, including </w:t>
      </w:r>
      <w:r>
        <w:rPr>
          <w:color w:val="000000"/>
        </w:rPr>
        <w:t xml:space="preserve">in relation to </w:t>
      </w:r>
      <w:r w:rsidRPr="00F5788B">
        <w:rPr>
          <w:color w:val="000000"/>
        </w:rPr>
        <w:t>clinician behaviour.</w:t>
      </w:r>
      <w:r>
        <w:rPr>
          <w:color w:val="000000"/>
        </w:rPr>
        <w:t xml:space="preserve"> ESC </w:t>
      </w:r>
      <w:r w:rsidRPr="00F5788B">
        <w:rPr>
          <w:color w:val="000000"/>
        </w:rPr>
        <w:t xml:space="preserve">considered that this </w:t>
      </w:r>
      <w:r>
        <w:rPr>
          <w:color w:val="000000"/>
        </w:rPr>
        <w:t xml:space="preserve">proposed increase in access to self-collection </w:t>
      </w:r>
      <w:r w:rsidRPr="00F5788B">
        <w:rPr>
          <w:color w:val="000000"/>
        </w:rPr>
        <w:t xml:space="preserve">will not affect the eligible population and may </w:t>
      </w:r>
      <w:r>
        <w:rPr>
          <w:color w:val="000000"/>
        </w:rPr>
        <w:t>increase</w:t>
      </w:r>
      <w:r w:rsidRPr="00F5788B">
        <w:rPr>
          <w:color w:val="000000"/>
        </w:rPr>
        <w:t xml:space="preserve"> the </w:t>
      </w:r>
      <w:r>
        <w:rPr>
          <w:color w:val="000000"/>
        </w:rPr>
        <w:t xml:space="preserve">numbers of patients </w:t>
      </w:r>
      <w:r w:rsidRPr="00F5788B">
        <w:rPr>
          <w:color w:val="000000"/>
        </w:rPr>
        <w:t xml:space="preserve">who </w:t>
      </w:r>
      <w:r>
        <w:rPr>
          <w:color w:val="000000"/>
        </w:rPr>
        <w:t xml:space="preserve">present </w:t>
      </w:r>
      <w:r w:rsidRPr="00F5788B">
        <w:rPr>
          <w:color w:val="000000"/>
        </w:rPr>
        <w:t xml:space="preserve">for </w:t>
      </w:r>
      <w:r>
        <w:rPr>
          <w:color w:val="000000"/>
        </w:rPr>
        <w:t>screening</w:t>
      </w:r>
      <w:r w:rsidRPr="00F5788B">
        <w:rPr>
          <w:color w:val="000000"/>
        </w:rPr>
        <w:t>.</w:t>
      </w:r>
    </w:p>
    <w:p w14:paraId="20DDCC4A" w14:textId="77777777" w:rsidR="007C6C75" w:rsidRPr="007C6C75" w:rsidRDefault="007C6C75" w:rsidP="007C6C75">
      <w:r w:rsidRPr="00F5788B">
        <w:rPr>
          <w:color w:val="000000"/>
        </w:rPr>
        <w:t xml:space="preserve">ESC noted the policy issues that would need to be considered before implementation, including the need for clinician and patient targeting and education, and commercially available </w:t>
      </w:r>
      <w:r>
        <w:rPr>
          <w:color w:val="000000"/>
        </w:rPr>
        <w:t xml:space="preserve">self-collected sampling </w:t>
      </w:r>
      <w:r w:rsidRPr="00F5788B">
        <w:rPr>
          <w:color w:val="000000"/>
        </w:rPr>
        <w:t>CST kits.</w:t>
      </w:r>
      <w:r>
        <w:rPr>
          <w:color w:val="000000"/>
        </w:rPr>
        <w:t xml:space="preserve"> Minority and culturally and linguistically diverse (CALD) groups with higher rates of female genital mutilation may need additional support to access self-collection. </w:t>
      </w:r>
      <w:r w:rsidRPr="00F5788B">
        <w:rPr>
          <w:color w:val="000000"/>
        </w:rPr>
        <w:t>ESC noted that the Royal Australian College of General Practitioners</w:t>
      </w:r>
      <w:r>
        <w:rPr>
          <w:color w:val="000000"/>
        </w:rPr>
        <w:t xml:space="preserve"> (RACGP)</w:t>
      </w:r>
      <w:r w:rsidRPr="00F5788B">
        <w:rPr>
          <w:color w:val="000000"/>
        </w:rPr>
        <w:t xml:space="preserve"> has conducted </w:t>
      </w:r>
      <w:r>
        <w:rPr>
          <w:color w:val="000000"/>
        </w:rPr>
        <w:t xml:space="preserve">a </w:t>
      </w:r>
      <w:r w:rsidRPr="00F5788B">
        <w:rPr>
          <w:color w:val="000000"/>
        </w:rPr>
        <w:t xml:space="preserve">webinar </w:t>
      </w:r>
      <w:r>
        <w:rPr>
          <w:color w:val="000000"/>
        </w:rPr>
        <w:t xml:space="preserve">that highlighted the comparable </w:t>
      </w:r>
      <w:r w:rsidRPr="00F5788B">
        <w:rPr>
          <w:color w:val="000000"/>
        </w:rPr>
        <w:t>accuracy of self-collection</w:t>
      </w:r>
      <w:r>
        <w:rPr>
          <w:color w:val="000000"/>
        </w:rPr>
        <w:t xml:space="preserve"> and clinician collection</w:t>
      </w:r>
      <w:r w:rsidRPr="00F5788B">
        <w:rPr>
          <w:color w:val="000000"/>
        </w:rPr>
        <w:t xml:space="preserve">, and surveys show more than 85% of </w:t>
      </w:r>
      <w:r>
        <w:rPr>
          <w:color w:val="000000"/>
        </w:rPr>
        <w:t>GPs</w:t>
      </w:r>
      <w:r w:rsidRPr="00F5788B">
        <w:rPr>
          <w:color w:val="000000"/>
        </w:rPr>
        <w:t xml:space="preserve"> who did not previously offer self-collection would now do so.</w:t>
      </w:r>
    </w:p>
    <w:p w14:paraId="77F2F424" w14:textId="77777777" w:rsidR="00D90A38" w:rsidRPr="00F715D1" w:rsidRDefault="00BC1364" w:rsidP="002F4063">
      <w:pPr>
        <w:pStyle w:val="Heading1"/>
      </w:pPr>
      <w:r w:rsidRPr="00F715D1">
        <w:t>Other significant factors</w:t>
      </w:r>
    </w:p>
    <w:p w14:paraId="3E8D114C" w14:textId="77777777" w:rsidR="00BC1364" w:rsidRPr="005A4362" w:rsidRDefault="00BC1364" w:rsidP="002F4063">
      <w:r w:rsidRPr="005A4362">
        <w:t>Nil</w:t>
      </w:r>
      <w:r w:rsidR="009C5D5E">
        <w:t>.</w:t>
      </w:r>
    </w:p>
    <w:p w14:paraId="44DD7324" w14:textId="77777777" w:rsidR="00BC1364" w:rsidRPr="00F715D1" w:rsidRDefault="00C06B0B" w:rsidP="002F4063">
      <w:pPr>
        <w:pStyle w:val="Heading1"/>
      </w:pPr>
      <w:r>
        <w:t>Applicant</w:t>
      </w:r>
      <w:r w:rsidR="00BC1364" w:rsidRPr="00F715D1">
        <w:t xml:space="preserve"> comments on MSAC’s </w:t>
      </w:r>
      <w:r w:rsidR="00DA56AA" w:rsidRPr="00F715D1">
        <w:t>Public Summary Document</w:t>
      </w:r>
    </w:p>
    <w:p w14:paraId="62499BB5" w14:textId="5AEE71D5" w:rsidR="003C4F7C" w:rsidRPr="003C4F7C" w:rsidRDefault="00A10F05" w:rsidP="002F4063">
      <w:r>
        <w:t>N/A</w:t>
      </w:r>
      <w:bookmarkStart w:id="29" w:name="_GoBack"/>
      <w:bookmarkEnd w:id="29"/>
    </w:p>
    <w:p w14:paraId="01F9037D" w14:textId="77777777" w:rsidR="00BC1364" w:rsidRPr="00F715D1" w:rsidRDefault="00271F18" w:rsidP="002F4063">
      <w:pPr>
        <w:pStyle w:val="Heading1"/>
      </w:pPr>
      <w:r w:rsidRPr="00F715D1">
        <w:t>Further information on MSAC</w:t>
      </w:r>
    </w:p>
    <w:p w14:paraId="49077F71" w14:textId="77777777" w:rsidR="00BC1364" w:rsidRPr="00F715D1" w:rsidRDefault="00271F18" w:rsidP="002F4063">
      <w:r w:rsidRPr="00F715D1">
        <w:t xml:space="preserve">MSAC Terms of Reference and other </w:t>
      </w:r>
      <w:r w:rsidR="00BC1364" w:rsidRPr="00F715D1">
        <w:t xml:space="preserve">information </w:t>
      </w:r>
      <w:r w:rsidRPr="00F715D1">
        <w:t>are</w:t>
      </w:r>
      <w:r w:rsidR="00BC1364" w:rsidRPr="00F715D1">
        <w:t xml:space="preserve"> available on the MSAC Website: </w:t>
      </w:r>
      <w:r w:rsidR="00BC2667">
        <w:br/>
      </w:r>
      <w:hyperlink r:id="rId21" w:tooltip="Link to Medical Services Advisory Committee website" w:history="1">
        <w:r w:rsidR="00BC2667" w:rsidRPr="00F715D1">
          <w:rPr>
            <w:rStyle w:val="Hyperlink"/>
            <w:szCs w:val="24"/>
          </w:rPr>
          <w:t>visit the MSAC website</w:t>
        </w:r>
      </w:hyperlink>
    </w:p>
    <w:sectPr w:rsidR="00BC1364" w:rsidRPr="00F715D1" w:rsidSect="00271F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D67B9" w16cid:durableId="243BF83C"/>
  <w16cid:commentId w16cid:paraId="16E31492" w16cid:durableId="243BF8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0AB2E" w14:textId="77777777" w:rsidR="00895339" w:rsidRDefault="00895339" w:rsidP="002F4063">
      <w:r>
        <w:separator/>
      </w:r>
    </w:p>
  </w:endnote>
  <w:endnote w:type="continuationSeparator" w:id="0">
    <w:p w14:paraId="0A66AAB7" w14:textId="77777777" w:rsidR="00895339" w:rsidRDefault="00895339" w:rsidP="002F4063">
      <w:r>
        <w:continuationSeparator/>
      </w:r>
    </w:p>
  </w:endnote>
  <w:endnote w:type="continuationNotice" w:id="1">
    <w:p w14:paraId="38C44DF4" w14:textId="77777777" w:rsidR="00895339" w:rsidRDefault="008953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A60A" w14:textId="77777777" w:rsidR="005D69CF" w:rsidRDefault="005D6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71D0" w14:textId="1D3BB564" w:rsidR="00895339" w:rsidRPr="00BD708C" w:rsidRDefault="00895339" w:rsidP="00462AA6">
    <w:pPr>
      <w:pStyle w:val="Footer"/>
      <w:tabs>
        <w:tab w:val="clear" w:pos="4513"/>
        <w:tab w:val="right" w:pos="12758"/>
      </w:tabs>
      <w:ind w:right="1134"/>
      <w:rPr>
        <w:rStyle w:val="PageNumber"/>
        <w:rFonts w:ascii="Times New Roman" w:hAnsi="Times New Roman"/>
        <w:b w:val="0"/>
        <w:sz w:val="24"/>
      </w:rPr>
    </w:pPr>
    <w:r w:rsidRPr="00C843FF">
      <w:rPr>
        <w:rStyle w:val="PageNumber"/>
        <w:rFonts w:ascii="Arial" w:eastAsiaTheme="majorEastAsia" w:hAnsi="Arial" w:cs="Arial"/>
      </w:rPr>
      <w:tab/>
    </w:r>
    <w:r w:rsidRPr="00462AA6">
      <w:rPr>
        <w:rStyle w:val="PageNumber"/>
        <w:rFonts w:ascii="Times New Roman" w:eastAsiaTheme="majorEastAsia" w:hAnsi="Times New Roman"/>
        <w:b w:val="0"/>
        <w:sz w:val="24"/>
        <w:szCs w:val="24"/>
      </w:rPr>
      <w:fldChar w:fldCharType="begin"/>
    </w:r>
    <w:r w:rsidRPr="00462AA6">
      <w:rPr>
        <w:rStyle w:val="PageNumber"/>
        <w:rFonts w:ascii="Times New Roman" w:eastAsiaTheme="majorEastAsia" w:hAnsi="Times New Roman"/>
        <w:b w:val="0"/>
        <w:sz w:val="24"/>
        <w:szCs w:val="24"/>
      </w:rPr>
      <w:instrText xml:space="preserve"> PAGE </w:instrText>
    </w:r>
    <w:r w:rsidRPr="00462AA6">
      <w:rPr>
        <w:rStyle w:val="PageNumber"/>
        <w:rFonts w:ascii="Times New Roman" w:eastAsiaTheme="majorEastAsia" w:hAnsi="Times New Roman"/>
        <w:b w:val="0"/>
        <w:sz w:val="24"/>
        <w:szCs w:val="24"/>
      </w:rPr>
      <w:fldChar w:fldCharType="separate"/>
    </w:r>
    <w:r w:rsidR="00A10F05">
      <w:rPr>
        <w:rStyle w:val="PageNumber"/>
        <w:rFonts w:ascii="Times New Roman" w:eastAsiaTheme="majorEastAsia" w:hAnsi="Times New Roman"/>
        <w:b w:val="0"/>
        <w:noProof/>
        <w:sz w:val="24"/>
        <w:szCs w:val="24"/>
      </w:rPr>
      <w:t>23</w:t>
    </w:r>
    <w:r w:rsidRPr="00462AA6">
      <w:rPr>
        <w:rStyle w:val="PageNumber"/>
        <w:rFonts w:ascii="Times New Roman" w:eastAsiaTheme="majorEastAsia" w:hAnsi="Times New Roman"/>
        <w:b w:val="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AC9D" w14:textId="77777777" w:rsidR="005D69CF" w:rsidRDefault="005D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05375" w14:textId="77777777" w:rsidR="00895339" w:rsidRDefault="00895339" w:rsidP="002F4063">
      <w:r>
        <w:separator/>
      </w:r>
    </w:p>
  </w:footnote>
  <w:footnote w:type="continuationSeparator" w:id="0">
    <w:p w14:paraId="6FDD8661" w14:textId="77777777" w:rsidR="00895339" w:rsidRDefault="00895339" w:rsidP="002F4063">
      <w:r>
        <w:continuationSeparator/>
      </w:r>
    </w:p>
  </w:footnote>
  <w:footnote w:type="continuationNotice" w:id="1">
    <w:p w14:paraId="64034ACC" w14:textId="77777777" w:rsidR="00895339" w:rsidRDefault="00895339">
      <w:pPr>
        <w:spacing w:after="0"/>
      </w:pPr>
    </w:p>
  </w:footnote>
  <w:footnote w:id="2">
    <w:p w14:paraId="56CDE501" w14:textId="29A80EA4" w:rsidR="00895339" w:rsidRDefault="00895339" w:rsidP="00501E4C">
      <w:pPr>
        <w:pStyle w:val="FootnoteText"/>
        <w:spacing w:after="0"/>
      </w:pPr>
      <w:r>
        <w:rPr>
          <w:rStyle w:val="FootnoteReference"/>
        </w:rPr>
        <w:footnoteRef/>
      </w:r>
      <w:r>
        <w:t xml:space="preserve"> </w:t>
      </w:r>
      <w:proofErr w:type="spellStart"/>
      <w:r w:rsidRPr="003A4620">
        <w:t>Arbyn</w:t>
      </w:r>
      <w:proofErr w:type="spellEnd"/>
      <w:r w:rsidRPr="003A4620">
        <w:t>, M</w:t>
      </w:r>
      <w:r w:rsidRPr="00643E6E">
        <w:t>.</w:t>
      </w:r>
      <w:r>
        <w:t xml:space="preserve"> </w:t>
      </w:r>
      <w:r w:rsidRPr="007E0430">
        <w:t>et al</w:t>
      </w:r>
      <w:r w:rsidRPr="00643E6E">
        <w:t>.</w:t>
      </w:r>
      <w:r w:rsidRPr="003A4620">
        <w:t xml:space="preserve"> (2018)</w:t>
      </w:r>
      <w:r>
        <w:t>.</w:t>
      </w:r>
      <w:r w:rsidRPr="003A4620">
        <w:t xml:space="preserve"> Detecting cervical </w:t>
      </w:r>
      <w:proofErr w:type="spellStart"/>
      <w:r w:rsidRPr="003A4620">
        <w:t>precancer</w:t>
      </w:r>
      <w:proofErr w:type="spellEnd"/>
      <w:r w:rsidRPr="003A4620">
        <w:t xml:space="preserve"> and reaching </w:t>
      </w:r>
      <w:proofErr w:type="spellStart"/>
      <w:r w:rsidRPr="003A4620">
        <w:t>underscreened</w:t>
      </w:r>
      <w:proofErr w:type="spellEnd"/>
      <w:r w:rsidRPr="003A4620">
        <w:t xml:space="preserve"> women by using HPV testing on self</w:t>
      </w:r>
      <w:r>
        <w:t>-</w:t>
      </w:r>
      <w:r w:rsidRPr="003A4620">
        <w:t xml:space="preserve">samples: updated meta-analyses. </w:t>
      </w:r>
      <w:r w:rsidRPr="001D79FA">
        <w:rPr>
          <w:i/>
        </w:rPr>
        <w:t>BMJ</w:t>
      </w:r>
      <w:r w:rsidRPr="003A4620">
        <w:rPr>
          <w:i/>
        </w:rPr>
        <w:t xml:space="preserve"> </w:t>
      </w:r>
      <w:r w:rsidRPr="009338DB">
        <w:t>363,</w:t>
      </w:r>
      <w:r>
        <w:t xml:space="preserve"> k4823.</w:t>
      </w:r>
    </w:p>
  </w:footnote>
  <w:footnote w:id="3">
    <w:p w14:paraId="718488FF" w14:textId="77777777" w:rsidR="00895339" w:rsidRDefault="00895339" w:rsidP="00501E4C">
      <w:pPr>
        <w:pStyle w:val="FootnoteText"/>
        <w:spacing w:after="0"/>
      </w:pPr>
      <w:r>
        <w:rPr>
          <w:rStyle w:val="FootnoteReference"/>
        </w:rPr>
        <w:footnoteRef/>
      </w:r>
      <w:r>
        <w:t xml:space="preserve"> </w:t>
      </w:r>
      <w:r w:rsidRPr="008769DA">
        <w:t>AIHW</w:t>
      </w:r>
      <w:r>
        <w:t xml:space="preserve"> (2020)</w:t>
      </w:r>
      <w:r w:rsidRPr="00CF6487">
        <w:t xml:space="preserve"> </w:t>
      </w:r>
      <w:hyperlink r:id="rId1" w:history="1">
        <w:r w:rsidRPr="007467CA">
          <w:rPr>
            <w:rStyle w:val="Hyperlink"/>
          </w:rPr>
          <w:t>National Cervical Screening Program monitoring report 2020</w:t>
        </w:r>
      </w:hyperlink>
      <w:r>
        <w:t>. Cancer series no. 130</w:t>
      </w:r>
      <w:r w:rsidRPr="00CF6487">
        <w:t xml:space="preserve">. Cat. </w:t>
      </w:r>
      <w:proofErr w:type="gramStart"/>
      <w:r w:rsidRPr="00CF6487">
        <w:t>no</w:t>
      </w:r>
      <w:proofErr w:type="gramEnd"/>
      <w:r w:rsidRPr="00CF6487">
        <w:t>.</w:t>
      </w:r>
      <w:r>
        <w:t xml:space="preserve"> CAN </w:t>
      </w:r>
      <w:r w:rsidRPr="00CF6487">
        <w:t>13</w:t>
      </w:r>
      <w:r>
        <w:t>8</w:t>
      </w:r>
      <w:r w:rsidRPr="00CF6487">
        <w:t>. Canberra: AIHW</w:t>
      </w:r>
      <w:r w:rsidRPr="008769DA">
        <w:t>.</w:t>
      </w:r>
    </w:p>
  </w:footnote>
  <w:footnote w:id="4">
    <w:p w14:paraId="10444690" w14:textId="77777777" w:rsidR="00895339" w:rsidRDefault="00895339" w:rsidP="002668AE">
      <w:pPr>
        <w:pStyle w:val="FootnoteText"/>
        <w:spacing w:after="0"/>
      </w:pPr>
      <w:r>
        <w:rPr>
          <w:rStyle w:val="FootnoteReference"/>
        </w:rPr>
        <w:footnoteRef/>
      </w:r>
      <w:r>
        <w:t xml:space="preserve"> </w:t>
      </w:r>
      <w:hyperlink r:id="rId2" w:history="1">
        <w:r w:rsidRPr="003C51EA">
          <w:rPr>
            <w:rStyle w:val="Hyperlink"/>
          </w:rPr>
          <w:t>MSAC application 1276</w:t>
        </w:r>
      </w:hyperlink>
      <w:r>
        <w:t xml:space="preserve"> – Public Summary Document (PSD)</w:t>
      </w:r>
    </w:p>
  </w:footnote>
  <w:footnote w:id="5">
    <w:p w14:paraId="2653BC16" w14:textId="77777777" w:rsidR="00895339" w:rsidRDefault="00895339" w:rsidP="002668AE">
      <w:pPr>
        <w:pStyle w:val="FootnoteText"/>
        <w:spacing w:after="0"/>
      </w:pPr>
      <w:r>
        <w:rPr>
          <w:rStyle w:val="FootnoteReference"/>
        </w:rPr>
        <w:footnoteRef/>
      </w:r>
      <w:r>
        <w:t xml:space="preserve"> Groups who are under-screened include: Aboriginal and Torres Strait Islander women, Culturally and Linguistically Diverse (CALD) women, women with a disability, women living in remote and very remote areas, women who are homeless or without a permanent residence, women who have experienced female genital mutilation, women who have experienced sexual abuse, women who identify as lesbian, gay, bisexual, or are same-sex attracted, transgender men, women from low socio-economic backgrounds, women going through menopause and older women, and women who have chosen to not screen in the past.</w:t>
      </w:r>
    </w:p>
  </w:footnote>
  <w:footnote w:id="6">
    <w:p w14:paraId="75634D30" w14:textId="77777777" w:rsidR="00895339" w:rsidRDefault="00895339" w:rsidP="002668AE">
      <w:pPr>
        <w:pStyle w:val="FootnoteText"/>
        <w:spacing w:after="0"/>
      </w:pPr>
      <w:r>
        <w:rPr>
          <w:rStyle w:val="FootnoteReference"/>
        </w:rPr>
        <w:footnoteRef/>
      </w:r>
      <w:r>
        <w:t xml:space="preserve"> </w:t>
      </w:r>
      <w:r w:rsidRPr="00823A07">
        <w:t xml:space="preserve">Smith M, Hall M, O’Farrell X, </w:t>
      </w:r>
      <w:proofErr w:type="spellStart"/>
      <w:r w:rsidRPr="00823A07">
        <w:t>Canfell</w:t>
      </w:r>
      <w:proofErr w:type="spellEnd"/>
      <w:r w:rsidRPr="00823A07">
        <w:t xml:space="preserve"> K.</w:t>
      </w:r>
      <w:r>
        <w:t xml:space="preserve"> (2021).</w:t>
      </w:r>
      <w:r w:rsidRPr="00823A07">
        <w:t xml:space="preserve"> Predicted utilisation and budget impact of broadening access to self-collection in the National Cervical Screening Program. Report to the Department of Health.</w:t>
      </w:r>
    </w:p>
  </w:footnote>
  <w:footnote w:id="7">
    <w:p w14:paraId="78CA6AB7" w14:textId="77777777" w:rsidR="00895339" w:rsidRPr="009C3929" w:rsidRDefault="00895339" w:rsidP="002668AE">
      <w:pPr>
        <w:pStyle w:val="FootnoteText"/>
        <w:spacing w:after="0"/>
      </w:pPr>
      <w:r>
        <w:rPr>
          <w:rStyle w:val="FootnoteReference"/>
        </w:rPr>
        <w:footnoteRef/>
      </w:r>
      <w:r>
        <w:t xml:space="preserve"> NPAAC (2019) </w:t>
      </w:r>
      <w:r>
        <w:rPr>
          <w:bCs/>
        </w:rPr>
        <w:t>R</w:t>
      </w:r>
      <w:r w:rsidRPr="009C3929">
        <w:rPr>
          <w:bCs/>
        </w:rPr>
        <w:t>equirements for labora</w:t>
      </w:r>
      <w:r>
        <w:rPr>
          <w:bCs/>
        </w:rPr>
        <w:t>tories reporting tests for the National Cervical Screening P</w:t>
      </w:r>
      <w:r w:rsidRPr="009C3929">
        <w:rPr>
          <w:bCs/>
        </w:rPr>
        <w:t>rogram (Second Edition 2019).</w:t>
      </w:r>
      <w:r>
        <w:rPr>
          <w:bCs/>
        </w:rPr>
        <w:t xml:space="preserve"> Source: </w:t>
      </w:r>
      <w:hyperlink r:id="rId3" w:history="1">
        <w:r w:rsidRPr="009C3929">
          <w:rPr>
            <w:rStyle w:val="Hyperlink"/>
          </w:rPr>
          <w:t>Department of Health</w:t>
        </w:r>
      </w:hyperlink>
      <w:r>
        <w:rPr>
          <w:bCs/>
        </w:rPr>
        <w:t>.</w:t>
      </w:r>
    </w:p>
  </w:footnote>
  <w:footnote w:id="8">
    <w:p w14:paraId="79BF80DC" w14:textId="77777777" w:rsidR="00895339" w:rsidRPr="009C3929" w:rsidRDefault="00895339" w:rsidP="007C6C75">
      <w:pPr>
        <w:pStyle w:val="FootnoteText"/>
        <w:spacing w:after="0"/>
      </w:pPr>
      <w:r>
        <w:rPr>
          <w:rStyle w:val="FootnoteReference"/>
        </w:rPr>
        <w:footnoteRef/>
      </w:r>
      <w:r>
        <w:t xml:space="preserve"> NPAAC (2019) </w:t>
      </w:r>
      <w:r>
        <w:rPr>
          <w:bCs/>
        </w:rPr>
        <w:t>R</w:t>
      </w:r>
      <w:r w:rsidRPr="009C3929">
        <w:rPr>
          <w:bCs/>
        </w:rPr>
        <w:t>equirements for labora</w:t>
      </w:r>
      <w:r>
        <w:rPr>
          <w:bCs/>
        </w:rPr>
        <w:t>tories reporting tests for the National Cervical Screening P</w:t>
      </w:r>
      <w:r w:rsidRPr="009C3929">
        <w:rPr>
          <w:bCs/>
        </w:rPr>
        <w:t>rogram (Second Edition 2019).</w:t>
      </w:r>
      <w:r>
        <w:rPr>
          <w:bCs/>
        </w:rPr>
        <w:t xml:space="preserve"> Source: </w:t>
      </w:r>
      <w:hyperlink r:id="rId4" w:history="1">
        <w:r w:rsidRPr="009C3929">
          <w:rPr>
            <w:rStyle w:val="Hyperlink"/>
          </w:rPr>
          <w:t>Department of Health</w:t>
        </w:r>
      </w:hyperlink>
      <w:r>
        <w:rPr>
          <w:bCs/>
        </w:rPr>
        <w:t>.</w:t>
      </w:r>
    </w:p>
  </w:footnote>
  <w:footnote w:id="9">
    <w:p w14:paraId="42BF5F9F" w14:textId="77777777" w:rsidR="00895339" w:rsidRDefault="00895339" w:rsidP="007C6C75">
      <w:pPr>
        <w:pStyle w:val="FootnoteText"/>
        <w:spacing w:after="0"/>
      </w:pPr>
      <w:r>
        <w:rPr>
          <w:rStyle w:val="FootnoteReference"/>
        </w:rPr>
        <w:footnoteRef/>
      </w:r>
      <w:r>
        <w:t xml:space="preserve"> </w:t>
      </w:r>
      <w:bookmarkStart w:id="2" w:name="_ENREF_2"/>
      <w:r w:rsidRPr="00A423BB">
        <w:t xml:space="preserve">Anderson, L., </w:t>
      </w:r>
      <w:r w:rsidRPr="00CC63BE">
        <w:rPr>
          <w:i/>
        </w:rPr>
        <w:t>et al</w:t>
      </w:r>
      <w:r>
        <w:t>.</w:t>
      </w:r>
      <w:r w:rsidRPr="00A423BB">
        <w:t xml:space="preserve"> (2018) National Cervical Screening Program: Guidelines for the management of screen-detected abnormalities, screening in specific populations and investigation of abnormal vaginal bleeding. Syd</w:t>
      </w:r>
      <w:r>
        <w:t>ney: Cancer Council Australia.</w:t>
      </w:r>
      <w:bookmarkEnd w:id="2"/>
      <w:r>
        <w:t xml:space="preserve"> Source: </w:t>
      </w:r>
      <w:hyperlink r:id="rId5" w:history="1">
        <w:r>
          <w:rPr>
            <w:rStyle w:val="Hyperlink"/>
          </w:rPr>
          <w:t>Cancer Council Australia</w:t>
        </w:r>
      </w:hyperlink>
      <w:r>
        <w:t>.</w:t>
      </w:r>
    </w:p>
  </w:footnote>
  <w:footnote w:id="10">
    <w:p w14:paraId="42C43F96" w14:textId="77777777" w:rsidR="00895339" w:rsidRDefault="00895339" w:rsidP="007C6C75">
      <w:pPr>
        <w:pStyle w:val="FootnoteText"/>
        <w:spacing w:after="0"/>
      </w:pPr>
      <w:r>
        <w:rPr>
          <w:rStyle w:val="FootnoteReference"/>
        </w:rPr>
        <w:footnoteRef/>
      </w:r>
      <w:r>
        <w:t xml:space="preserve"> </w:t>
      </w:r>
      <w:bookmarkStart w:id="3" w:name="_ENREF_1"/>
      <w:r w:rsidRPr="008769DA">
        <w:t xml:space="preserve">Aitken, C.A., </w:t>
      </w:r>
      <w:r w:rsidRPr="00CC63BE">
        <w:rPr>
          <w:i/>
        </w:rPr>
        <w:t>et al</w:t>
      </w:r>
      <w:r>
        <w:t>.</w:t>
      </w:r>
      <w:r w:rsidRPr="008769DA">
        <w:t xml:space="preserve"> (2019) Introduction of primary screening using high-risk HPV DNA detection in the Dutch cervical cancer screening programme: a population-based cohort study. </w:t>
      </w:r>
      <w:r w:rsidRPr="008769DA">
        <w:rPr>
          <w:i/>
        </w:rPr>
        <w:t xml:space="preserve">BMC Medicine, </w:t>
      </w:r>
      <w:r w:rsidRPr="009338DB">
        <w:t>17</w:t>
      </w:r>
      <w:r w:rsidRPr="008769DA">
        <w:t>(1), 228.</w:t>
      </w:r>
      <w:bookmarkEnd w:id="3"/>
    </w:p>
  </w:footnote>
  <w:footnote w:id="11">
    <w:p w14:paraId="7DC83BC0" w14:textId="77777777" w:rsidR="00895339" w:rsidRDefault="00895339" w:rsidP="007C6C75">
      <w:pPr>
        <w:pStyle w:val="FootnoteText"/>
        <w:spacing w:after="0"/>
      </w:pPr>
      <w:r>
        <w:rPr>
          <w:rStyle w:val="FootnoteReference"/>
        </w:rPr>
        <w:footnoteRef/>
      </w:r>
      <w:r>
        <w:t xml:space="preserve"> Proportion of the target population who had a screening HPV test in the two year period 2018-19. This data collection period is within the transition period from two-yearly pap smears to five-yearly HPV tests under the Renewed NCSP.</w:t>
      </w:r>
    </w:p>
  </w:footnote>
  <w:footnote w:id="12">
    <w:p w14:paraId="05A921ED" w14:textId="77777777" w:rsidR="00895339" w:rsidRDefault="00895339" w:rsidP="007C6C75">
      <w:pPr>
        <w:pStyle w:val="FootnoteText"/>
        <w:spacing w:after="0"/>
      </w:pPr>
      <w:r>
        <w:rPr>
          <w:rStyle w:val="FootnoteReference"/>
        </w:rPr>
        <w:footnoteRef/>
      </w:r>
      <w:r>
        <w:t xml:space="preserve"> </w:t>
      </w:r>
      <w:r w:rsidRPr="008769DA">
        <w:t>AIHW</w:t>
      </w:r>
      <w:r>
        <w:t xml:space="preserve"> (2020)</w:t>
      </w:r>
      <w:r w:rsidRPr="00CF6487">
        <w:t xml:space="preserve"> </w:t>
      </w:r>
      <w:hyperlink r:id="rId6" w:history="1">
        <w:r w:rsidRPr="007467CA">
          <w:rPr>
            <w:rStyle w:val="Hyperlink"/>
          </w:rPr>
          <w:t>National Cervical Screening Program monitoring report 2020</w:t>
        </w:r>
      </w:hyperlink>
      <w:r>
        <w:t>. Cancer series no. 130</w:t>
      </w:r>
      <w:r w:rsidRPr="00CF6487">
        <w:t xml:space="preserve">. Cat. </w:t>
      </w:r>
      <w:proofErr w:type="gramStart"/>
      <w:r w:rsidRPr="00CF6487">
        <w:t>no</w:t>
      </w:r>
      <w:proofErr w:type="gramEnd"/>
      <w:r w:rsidRPr="00CF6487">
        <w:t>.</w:t>
      </w:r>
      <w:r>
        <w:t xml:space="preserve"> CAN </w:t>
      </w:r>
      <w:r w:rsidRPr="00CF6487">
        <w:t>13</w:t>
      </w:r>
      <w:r>
        <w:t>8</w:t>
      </w:r>
      <w:r w:rsidRPr="00CF6487">
        <w:t>. Canberra: AIHW</w:t>
      </w:r>
      <w:r w:rsidRPr="008769DA">
        <w:t>.</w:t>
      </w:r>
    </w:p>
  </w:footnote>
  <w:footnote w:id="13">
    <w:p w14:paraId="4487273C" w14:textId="77777777" w:rsidR="00895339" w:rsidRPr="003A4620" w:rsidRDefault="00895339" w:rsidP="007C6C75">
      <w:pPr>
        <w:pStyle w:val="FootnoteText"/>
        <w:spacing w:after="0"/>
        <w:rPr>
          <w:highlight w:val="yellow"/>
        </w:rPr>
      </w:pPr>
      <w:r>
        <w:rPr>
          <w:rStyle w:val="FootnoteReference"/>
        </w:rPr>
        <w:footnoteRef/>
      </w:r>
      <w:r>
        <w:t xml:space="preserve"> </w:t>
      </w:r>
      <w:proofErr w:type="spellStart"/>
      <w:r w:rsidRPr="003A4620">
        <w:t>Arbyn</w:t>
      </w:r>
      <w:proofErr w:type="spellEnd"/>
      <w:r w:rsidRPr="003A4620">
        <w:t xml:space="preserve">, M., </w:t>
      </w:r>
      <w:r w:rsidRPr="00CC63BE">
        <w:rPr>
          <w:i/>
        </w:rPr>
        <w:t>et al</w:t>
      </w:r>
      <w:r>
        <w:t>.</w:t>
      </w:r>
      <w:r w:rsidRPr="003A4620">
        <w:t xml:space="preserve"> (2018) Detecting cervical </w:t>
      </w:r>
      <w:proofErr w:type="spellStart"/>
      <w:r w:rsidRPr="003A4620">
        <w:t>precancer</w:t>
      </w:r>
      <w:proofErr w:type="spellEnd"/>
      <w:r w:rsidRPr="003A4620">
        <w:t xml:space="preserve"> and reaching </w:t>
      </w:r>
      <w:proofErr w:type="spellStart"/>
      <w:r w:rsidRPr="003A4620">
        <w:t>underscreened</w:t>
      </w:r>
      <w:proofErr w:type="spellEnd"/>
      <w:r w:rsidRPr="003A4620">
        <w:t xml:space="preserve"> women by using HPV testing on </w:t>
      </w:r>
      <w:proofErr w:type="spellStart"/>
      <w:r w:rsidRPr="003A4620">
        <w:t>self samples</w:t>
      </w:r>
      <w:proofErr w:type="spellEnd"/>
      <w:r w:rsidRPr="003A4620">
        <w:t xml:space="preserve">: updated meta-analyses. </w:t>
      </w:r>
      <w:r w:rsidRPr="003A4620">
        <w:rPr>
          <w:i/>
        </w:rPr>
        <w:t xml:space="preserve">BMJ, </w:t>
      </w:r>
      <w:r w:rsidRPr="009338DB">
        <w:t>363,</w:t>
      </w:r>
      <w:r>
        <w:t xml:space="preserve"> k4823.</w:t>
      </w:r>
    </w:p>
  </w:footnote>
  <w:footnote w:id="14">
    <w:p w14:paraId="0FF91419" w14:textId="77777777" w:rsidR="00895339" w:rsidRDefault="00895339" w:rsidP="007C6C75">
      <w:pPr>
        <w:pStyle w:val="FootnoteText"/>
        <w:spacing w:after="0"/>
      </w:pPr>
      <w:r>
        <w:rPr>
          <w:rStyle w:val="FootnoteReference"/>
        </w:rPr>
        <w:footnoteRef/>
      </w:r>
      <w:r>
        <w:t xml:space="preserve"> </w:t>
      </w:r>
      <w:bookmarkStart w:id="4" w:name="_ENREF_37"/>
      <w:r w:rsidRPr="008769DA">
        <w:t>WHO (2014) Comprehensive cervical cancer control: a guide to es</w:t>
      </w:r>
      <w:r>
        <w:t>sential practice Second Edition</w:t>
      </w:r>
      <w:bookmarkEnd w:id="4"/>
      <w:r>
        <w:t xml:space="preserve">. </w:t>
      </w:r>
      <w:hyperlink r:id="rId7" w:history="1">
        <w:r w:rsidRPr="00CF6487">
          <w:rPr>
            <w:rStyle w:val="Hyperlink"/>
          </w:rPr>
          <w:t>Source</w:t>
        </w:r>
      </w:hyperlink>
      <w:r>
        <w:t>.</w:t>
      </w:r>
    </w:p>
  </w:footnote>
  <w:footnote w:id="15">
    <w:p w14:paraId="6184BAC1" w14:textId="77777777" w:rsidR="00895339" w:rsidRDefault="00895339" w:rsidP="007C6C75">
      <w:pPr>
        <w:pStyle w:val="FootnoteText"/>
        <w:spacing w:after="0"/>
      </w:pPr>
      <w:r>
        <w:rPr>
          <w:rStyle w:val="FootnoteReference"/>
        </w:rPr>
        <w:footnoteRef/>
      </w:r>
      <w:r>
        <w:t xml:space="preserve"> </w:t>
      </w:r>
      <w:r w:rsidRPr="008769DA">
        <w:t>AIHW</w:t>
      </w:r>
      <w:r w:rsidRPr="00CF6487">
        <w:t xml:space="preserve"> </w:t>
      </w:r>
      <w:r>
        <w:t>(</w:t>
      </w:r>
      <w:r w:rsidRPr="00CF6487">
        <w:t>2019</w:t>
      </w:r>
      <w:r>
        <w:t>)</w:t>
      </w:r>
      <w:r w:rsidRPr="00CF6487">
        <w:t xml:space="preserve"> </w:t>
      </w:r>
      <w:hyperlink r:id="rId8" w:history="1">
        <w:r w:rsidRPr="008769DA">
          <w:rPr>
            <w:rStyle w:val="Hyperlink"/>
          </w:rPr>
          <w:t>National Cervical Screening Program monitoring report 2019</w:t>
        </w:r>
      </w:hyperlink>
      <w:r w:rsidRPr="00CF6487">
        <w:t xml:space="preserve">. Cancer series no. 125. Cat. </w:t>
      </w:r>
      <w:proofErr w:type="gramStart"/>
      <w:r w:rsidRPr="00CF6487">
        <w:t>no</w:t>
      </w:r>
      <w:proofErr w:type="gramEnd"/>
      <w:r w:rsidRPr="00CF6487">
        <w:t>.</w:t>
      </w:r>
      <w:r>
        <w:t xml:space="preserve"> </w:t>
      </w:r>
      <w:r w:rsidRPr="00CF6487">
        <w:t>132. Canberra: AIHW</w:t>
      </w:r>
      <w:r w:rsidRPr="008769DA">
        <w:t>.</w:t>
      </w:r>
    </w:p>
  </w:footnote>
  <w:footnote w:id="16">
    <w:p w14:paraId="3BFD5661" w14:textId="77777777" w:rsidR="00895339" w:rsidRDefault="00895339" w:rsidP="007C6C75">
      <w:pPr>
        <w:pStyle w:val="FootnoteText"/>
        <w:spacing w:after="0"/>
      </w:pPr>
      <w:r>
        <w:rPr>
          <w:rStyle w:val="FootnoteReference"/>
        </w:rPr>
        <w:footnoteRef/>
      </w:r>
      <w:r>
        <w:t xml:space="preserve"> </w:t>
      </w:r>
      <w:r w:rsidRPr="008769DA">
        <w:t>AIHW</w:t>
      </w:r>
      <w:r w:rsidRPr="00CF6487">
        <w:t xml:space="preserve"> </w:t>
      </w:r>
      <w:r>
        <w:t>(</w:t>
      </w:r>
      <w:r w:rsidRPr="00CF6487">
        <w:t>2019</w:t>
      </w:r>
      <w:r>
        <w:t>)</w:t>
      </w:r>
      <w:r w:rsidRPr="00CF6487">
        <w:t xml:space="preserve"> </w:t>
      </w:r>
      <w:hyperlink r:id="rId9" w:history="1">
        <w:r w:rsidRPr="008769DA">
          <w:rPr>
            <w:rStyle w:val="Hyperlink"/>
          </w:rPr>
          <w:t>National Cervical Screening Program monitoring report 2019</w:t>
        </w:r>
      </w:hyperlink>
      <w:r w:rsidRPr="00CF6487">
        <w:t xml:space="preserve">. Cancer series no. 125. Cat. </w:t>
      </w:r>
      <w:proofErr w:type="gramStart"/>
      <w:r w:rsidRPr="00CF6487">
        <w:t>no</w:t>
      </w:r>
      <w:proofErr w:type="gramEnd"/>
      <w:r w:rsidRPr="00CF6487">
        <w:t>.</w:t>
      </w:r>
      <w:r>
        <w:t xml:space="preserve"> </w:t>
      </w:r>
      <w:r w:rsidRPr="00CF6487">
        <w:t>132. Canberra: AIHW</w:t>
      </w:r>
      <w:r w:rsidRPr="008769DA">
        <w:t>.</w:t>
      </w:r>
    </w:p>
  </w:footnote>
  <w:footnote w:id="17">
    <w:p w14:paraId="00E7A008" w14:textId="77777777" w:rsidR="00895339" w:rsidRDefault="00895339" w:rsidP="007C6C75">
      <w:pPr>
        <w:pStyle w:val="FootnoteText"/>
        <w:spacing w:after="0"/>
      </w:pPr>
      <w:r>
        <w:rPr>
          <w:rStyle w:val="FootnoteReference"/>
        </w:rPr>
        <w:footnoteRef/>
      </w:r>
      <w:r>
        <w:t xml:space="preserve"> </w:t>
      </w:r>
      <w:bookmarkStart w:id="5" w:name="_ENREF_9"/>
      <w:proofErr w:type="spellStart"/>
      <w:r>
        <w:t>Brotherton</w:t>
      </w:r>
      <w:proofErr w:type="spellEnd"/>
      <w:r>
        <w:t>, J.</w:t>
      </w:r>
      <w:r w:rsidRPr="008769DA">
        <w:t xml:space="preserve">M.L., </w:t>
      </w:r>
      <w:r w:rsidRPr="00CC63BE">
        <w:rPr>
          <w:i/>
        </w:rPr>
        <w:t>et al</w:t>
      </w:r>
      <w:r>
        <w:t>.</w:t>
      </w:r>
      <w:r w:rsidRPr="008769DA">
        <w:t xml:space="preserve"> (2017) Looking beyond human papillomavirus (HPV) genotype 16 and 18: Defining HPV genotype distribution in cervical cancers in Australia prior to vaccination. </w:t>
      </w:r>
      <w:proofErr w:type="spellStart"/>
      <w:r w:rsidRPr="008769DA">
        <w:rPr>
          <w:i/>
        </w:rPr>
        <w:t>Int</w:t>
      </w:r>
      <w:proofErr w:type="spellEnd"/>
      <w:r w:rsidRPr="008769DA">
        <w:rPr>
          <w:i/>
        </w:rPr>
        <w:t xml:space="preserve"> J Cancer, </w:t>
      </w:r>
      <w:r w:rsidRPr="009338DB">
        <w:t>141</w:t>
      </w:r>
      <w:r w:rsidRPr="008769DA">
        <w:t>(8), 1576-1584.</w:t>
      </w:r>
      <w:bookmarkEnd w:id="5"/>
    </w:p>
  </w:footnote>
  <w:footnote w:id="18">
    <w:p w14:paraId="50F30FBF" w14:textId="77777777" w:rsidR="00895339" w:rsidRDefault="00895339" w:rsidP="007C6C75">
      <w:pPr>
        <w:pStyle w:val="FootnoteText"/>
        <w:spacing w:after="0"/>
      </w:pPr>
      <w:r>
        <w:rPr>
          <w:rStyle w:val="FootnoteReference"/>
        </w:rPr>
        <w:footnoteRef/>
      </w:r>
      <w:r>
        <w:t xml:space="preserve"> </w:t>
      </w:r>
      <w:proofErr w:type="spellStart"/>
      <w:r>
        <w:t>Brotherton</w:t>
      </w:r>
      <w:proofErr w:type="spellEnd"/>
      <w:r>
        <w:t>, J.</w:t>
      </w:r>
      <w:r w:rsidRPr="008769DA">
        <w:t xml:space="preserve">M. (2008) </w:t>
      </w:r>
      <w:proofErr w:type="gramStart"/>
      <w:r w:rsidRPr="008769DA">
        <w:t>How</w:t>
      </w:r>
      <w:proofErr w:type="gramEnd"/>
      <w:r w:rsidRPr="008769DA">
        <w:t xml:space="preserve"> much cervical cancer in Australia is vaccine preventable? A meta-analysis. </w:t>
      </w:r>
      <w:r w:rsidRPr="008769DA">
        <w:rPr>
          <w:i/>
        </w:rPr>
        <w:t xml:space="preserve">Vaccine, </w:t>
      </w:r>
      <w:r w:rsidRPr="009338DB">
        <w:t>26</w:t>
      </w:r>
      <w:r>
        <w:t>(2), 250-256.</w:t>
      </w:r>
    </w:p>
  </w:footnote>
  <w:footnote w:id="19">
    <w:p w14:paraId="17AFFF1D" w14:textId="77777777" w:rsidR="00895339" w:rsidRDefault="00895339" w:rsidP="007C6C75">
      <w:pPr>
        <w:pStyle w:val="FootnoteText"/>
        <w:spacing w:after="0"/>
      </w:pPr>
      <w:r>
        <w:rPr>
          <w:rStyle w:val="FootnoteReference"/>
        </w:rPr>
        <w:footnoteRef/>
      </w:r>
      <w:r>
        <w:t xml:space="preserve"> </w:t>
      </w:r>
      <w:proofErr w:type="spellStart"/>
      <w:r w:rsidRPr="00210825">
        <w:t>Canfell</w:t>
      </w:r>
      <w:proofErr w:type="gramStart"/>
      <w:r w:rsidRPr="00210825">
        <w:t>,K</w:t>
      </w:r>
      <w:proofErr w:type="spellEnd"/>
      <w:proofErr w:type="gramEnd"/>
      <w:r w:rsidRPr="00210825">
        <w:t xml:space="preserve">, </w:t>
      </w:r>
      <w:r>
        <w:t>et al.</w:t>
      </w:r>
      <w:r w:rsidRPr="00210825">
        <w:t>, Cancer Council Australia Cervical Cancer Screening Guidelines Working Party</w:t>
      </w:r>
      <w:r>
        <w:t xml:space="preserve">. </w:t>
      </w:r>
      <w:hyperlink r:id="rId10" w:history="1">
        <w:r w:rsidRPr="00210825">
          <w:rPr>
            <w:rStyle w:val="Hyperlink"/>
          </w:rPr>
          <w:t>Oncogenic HPV types not 16/18</w:t>
        </w:r>
      </w:hyperlink>
    </w:p>
  </w:footnote>
  <w:footnote w:id="20">
    <w:p w14:paraId="55DAA99D" w14:textId="77777777" w:rsidR="00895339" w:rsidRDefault="00895339" w:rsidP="007C6C75">
      <w:pPr>
        <w:pStyle w:val="FootnoteText"/>
        <w:spacing w:after="0"/>
      </w:pPr>
      <w:r>
        <w:rPr>
          <w:rStyle w:val="FootnoteReference"/>
        </w:rPr>
        <w:footnoteRef/>
      </w:r>
      <w:r>
        <w:t xml:space="preserve"> </w:t>
      </w:r>
      <w:r w:rsidRPr="008769DA">
        <w:t>AIHW</w:t>
      </w:r>
      <w:r>
        <w:t xml:space="preserve"> (2020)</w:t>
      </w:r>
      <w:r w:rsidRPr="00CF6487">
        <w:t xml:space="preserve"> </w:t>
      </w:r>
      <w:hyperlink r:id="rId11" w:history="1">
        <w:r w:rsidRPr="007467CA">
          <w:rPr>
            <w:rStyle w:val="Hyperlink"/>
          </w:rPr>
          <w:t>National Cervical Screening Program monitoring report 2020</w:t>
        </w:r>
      </w:hyperlink>
      <w:r>
        <w:t>. Cancer series no. 130</w:t>
      </w:r>
      <w:r w:rsidRPr="00CF6487">
        <w:t xml:space="preserve">. Cat. </w:t>
      </w:r>
      <w:proofErr w:type="gramStart"/>
      <w:r w:rsidRPr="00CF6487">
        <w:t>no</w:t>
      </w:r>
      <w:proofErr w:type="gramEnd"/>
      <w:r w:rsidRPr="00CF6487">
        <w:t>.</w:t>
      </w:r>
      <w:r>
        <w:t xml:space="preserve"> CAN </w:t>
      </w:r>
      <w:r w:rsidRPr="00CF6487">
        <w:t>13</w:t>
      </w:r>
      <w:r>
        <w:t>8</w:t>
      </w:r>
      <w:r w:rsidRPr="00CF6487">
        <w:t>. Canberra: AIHW</w:t>
      </w:r>
      <w:r w:rsidRPr="008769DA">
        <w:t>.</w:t>
      </w:r>
    </w:p>
  </w:footnote>
  <w:footnote w:id="21">
    <w:p w14:paraId="40A9E113" w14:textId="77777777" w:rsidR="00895339" w:rsidRDefault="00895339" w:rsidP="007C6C75">
      <w:pPr>
        <w:pStyle w:val="FootnoteText"/>
        <w:spacing w:after="0"/>
      </w:pPr>
      <w:r>
        <w:rPr>
          <w:rStyle w:val="FootnoteReference"/>
        </w:rPr>
        <w:footnoteRef/>
      </w:r>
      <w:r>
        <w:t xml:space="preserve"> Department of Health (2021) </w:t>
      </w:r>
      <w:proofErr w:type="gramStart"/>
      <w:r w:rsidRPr="00DC1215">
        <w:t>Important</w:t>
      </w:r>
      <w:proofErr w:type="gramEnd"/>
      <w:r w:rsidRPr="00DC1215">
        <w:t xml:space="preserve"> changes to the National Cervical Screening Program's Clinical Guidelines pathway for women at intermediate risk</w:t>
      </w:r>
      <w:r>
        <w:t xml:space="preserve">. Source: </w:t>
      </w:r>
      <w:hyperlink r:id="rId12" w:history="1">
        <w:r w:rsidRPr="00DC1215">
          <w:rPr>
            <w:rStyle w:val="Hyperlink"/>
          </w:rPr>
          <w:t>Department of Healt</w:t>
        </w:r>
        <w:r>
          <w:rPr>
            <w:rStyle w:val="Hyperlink"/>
          </w:rPr>
          <w:t>h</w:t>
        </w:r>
      </w:hyperlink>
      <w:r>
        <w:t>.</w:t>
      </w:r>
    </w:p>
  </w:footnote>
  <w:footnote w:id="22">
    <w:p w14:paraId="502C651A" w14:textId="77777777" w:rsidR="00895339" w:rsidRDefault="00895339" w:rsidP="007C6C75">
      <w:pPr>
        <w:pStyle w:val="FootnoteText"/>
        <w:spacing w:after="0"/>
      </w:pPr>
      <w:r>
        <w:rPr>
          <w:rStyle w:val="FootnoteReference"/>
        </w:rPr>
        <w:footnoteRef/>
      </w:r>
      <w:r>
        <w:t xml:space="preserve"> </w:t>
      </w:r>
      <w:bookmarkStart w:id="8" w:name="_ENREF_23"/>
      <w:proofErr w:type="spellStart"/>
      <w:r w:rsidRPr="008769DA">
        <w:t>Guyatt</w:t>
      </w:r>
      <w:proofErr w:type="spellEnd"/>
      <w:r w:rsidRPr="008769DA">
        <w:t xml:space="preserve">, G., </w:t>
      </w:r>
      <w:r w:rsidRPr="00CC63BE">
        <w:rPr>
          <w:i/>
        </w:rPr>
        <w:t>et al</w:t>
      </w:r>
      <w:r>
        <w:t>.</w:t>
      </w:r>
      <w:r w:rsidRPr="008769DA">
        <w:t xml:space="preserve"> (2013) GRADE guidelines: 11. Making an overall rating of confidence in effect estimates for a single outcome and for all outcomes. </w:t>
      </w:r>
      <w:r w:rsidRPr="008769DA">
        <w:rPr>
          <w:i/>
        </w:rPr>
        <w:t xml:space="preserve">J </w:t>
      </w:r>
      <w:proofErr w:type="spellStart"/>
      <w:r w:rsidRPr="008769DA">
        <w:rPr>
          <w:i/>
        </w:rPr>
        <w:t>Clin</w:t>
      </w:r>
      <w:proofErr w:type="spellEnd"/>
      <w:r w:rsidRPr="008769DA">
        <w:rPr>
          <w:i/>
        </w:rPr>
        <w:t xml:space="preserve"> </w:t>
      </w:r>
      <w:proofErr w:type="spellStart"/>
      <w:r w:rsidRPr="008769DA">
        <w:rPr>
          <w:i/>
        </w:rPr>
        <w:t>Epidemiol</w:t>
      </w:r>
      <w:proofErr w:type="spellEnd"/>
      <w:r w:rsidRPr="008769DA">
        <w:rPr>
          <w:i/>
        </w:rPr>
        <w:t xml:space="preserve">, </w:t>
      </w:r>
      <w:r w:rsidRPr="00260127">
        <w:t>66</w:t>
      </w:r>
      <w:r w:rsidRPr="008769DA">
        <w:t>(2), 151-157.</w:t>
      </w:r>
      <w:bookmarkEnd w:id="8"/>
    </w:p>
  </w:footnote>
  <w:footnote w:id="23">
    <w:p w14:paraId="522F700F" w14:textId="77777777" w:rsidR="00895339" w:rsidRPr="003A4620" w:rsidRDefault="00895339" w:rsidP="007C6C75">
      <w:pPr>
        <w:pStyle w:val="FootnoteText"/>
        <w:spacing w:after="0"/>
        <w:rPr>
          <w:highlight w:val="yellow"/>
        </w:rPr>
      </w:pPr>
      <w:r>
        <w:rPr>
          <w:rStyle w:val="FootnoteReference"/>
        </w:rPr>
        <w:footnoteRef/>
      </w:r>
      <w:r>
        <w:t xml:space="preserve"> </w:t>
      </w:r>
      <w:bookmarkStart w:id="9" w:name="_ENREF_4"/>
      <w:proofErr w:type="spellStart"/>
      <w:r w:rsidRPr="003A4620">
        <w:t>Arbyn</w:t>
      </w:r>
      <w:proofErr w:type="spellEnd"/>
      <w:r w:rsidRPr="003A4620">
        <w:t xml:space="preserve">, M., </w:t>
      </w:r>
      <w:r w:rsidRPr="00CC63BE">
        <w:rPr>
          <w:i/>
        </w:rPr>
        <w:t>et al</w:t>
      </w:r>
      <w:r>
        <w:t>.</w:t>
      </w:r>
      <w:r w:rsidRPr="003A4620">
        <w:t xml:space="preserve"> (2018) Detecting cervical </w:t>
      </w:r>
      <w:proofErr w:type="spellStart"/>
      <w:r w:rsidRPr="003A4620">
        <w:t>precancer</w:t>
      </w:r>
      <w:proofErr w:type="spellEnd"/>
      <w:r w:rsidRPr="003A4620">
        <w:t xml:space="preserve"> and reaching </w:t>
      </w:r>
      <w:proofErr w:type="spellStart"/>
      <w:r w:rsidRPr="003A4620">
        <w:t>underscreened</w:t>
      </w:r>
      <w:proofErr w:type="spellEnd"/>
      <w:r w:rsidRPr="003A4620">
        <w:t xml:space="preserve"> women by using HPV testing on </w:t>
      </w:r>
      <w:proofErr w:type="spellStart"/>
      <w:r w:rsidRPr="003A4620">
        <w:t>self samples</w:t>
      </w:r>
      <w:proofErr w:type="spellEnd"/>
      <w:r w:rsidRPr="003A4620">
        <w:t xml:space="preserve">: updated meta-analyses. </w:t>
      </w:r>
      <w:r w:rsidRPr="003A4620">
        <w:rPr>
          <w:i/>
        </w:rPr>
        <w:t xml:space="preserve">BMJ, </w:t>
      </w:r>
      <w:r w:rsidRPr="00E96EDC">
        <w:t>363,</w:t>
      </w:r>
      <w:r w:rsidRPr="003A4620">
        <w:t xml:space="preserve"> k4823</w:t>
      </w:r>
      <w:bookmarkEnd w:id="9"/>
      <w:r>
        <w:t>.</w:t>
      </w:r>
    </w:p>
  </w:footnote>
  <w:footnote w:id="24">
    <w:p w14:paraId="00EAD295" w14:textId="77777777" w:rsidR="00895339" w:rsidRDefault="00895339" w:rsidP="007C6C75">
      <w:pPr>
        <w:pStyle w:val="FootnoteText"/>
        <w:spacing w:after="0"/>
      </w:pPr>
      <w:r>
        <w:rPr>
          <w:rStyle w:val="FootnoteReference"/>
        </w:rPr>
        <w:footnoteRef/>
      </w:r>
      <w:r>
        <w:t xml:space="preserve"> </w:t>
      </w:r>
      <w:r w:rsidRPr="008769DA">
        <w:t>AIHW</w:t>
      </w:r>
      <w:r>
        <w:t xml:space="preserve"> (2020)</w:t>
      </w:r>
      <w:r w:rsidRPr="00CF6487">
        <w:t xml:space="preserve"> </w:t>
      </w:r>
      <w:hyperlink r:id="rId13" w:history="1">
        <w:r w:rsidRPr="007467CA">
          <w:rPr>
            <w:rStyle w:val="Hyperlink"/>
          </w:rPr>
          <w:t>National Cervical Screening Program monitoring report 2020</w:t>
        </w:r>
      </w:hyperlink>
      <w:r>
        <w:t>. Cancer series no. 130</w:t>
      </w:r>
      <w:r w:rsidRPr="00CF6487">
        <w:t xml:space="preserve">. Cat. </w:t>
      </w:r>
      <w:proofErr w:type="gramStart"/>
      <w:r w:rsidRPr="00CF6487">
        <w:t>no</w:t>
      </w:r>
      <w:proofErr w:type="gramEnd"/>
      <w:r w:rsidRPr="00CF6487">
        <w:t>.</w:t>
      </w:r>
      <w:r>
        <w:t xml:space="preserve"> CAN </w:t>
      </w:r>
      <w:r w:rsidRPr="00CF6487">
        <w:t>13</w:t>
      </w:r>
      <w:r>
        <w:t>8</w:t>
      </w:r>
      <w:r w:rsidRPr="00CF6487">
        <w:t>. Canberra: AIHW</w:t>
      </w:r>
      <w:r w:rsidRPr="008769DA">
        <w:t>.</w:t>
      </w:r>
    </w:p>
  </w:footnote>
  <w:footnote w:id="25">
    <w:p w14:paraId="7949CBBB" w14:textId="77777777" w:rsidR="00895339" w:rsidRPr="003A4620" w:rsidRDefault="00895339" w:rsidP="007C6C75">
      <w:pPr>
        <w:pStyle w:val="FootnoteText"/>
        <w:spacing w:after="0"/>
        <w:rPr>
          <w:highlight w:val="yellow"/>
        </w:rPr>
      </w:pPr>
      <w:r>
        <w:rPr>
          <w:rStyle w:val="FootnoteReference"/>
        </w:rPr>
        <w:footnoteRef/>
      </w:r>
      <w:r>
        <w:t xml:space="preserve"> </w:t>
      </w:r>
      <w:proofErr w:type="spellStart"/>
      <w:r w:rsidRPr="003A4620">
        <w:t>Arbyn</w:t>
      </w:r>
      <w:proofErr w:type="spellEnd"/>
      <w:r w:rsidRPr="003A4620">
        <w:t xml:space="preserve">, M., </w:t>
      </w:r>
      <w:r w:rsidRPr="00CC63BE">
        <w:rPr>
          <w:i/>
        </w:rPr>
        <w:t>et al</w:t>
      </w:r>
      <w:r>
        <w:t>.</w:t>
      </w:r>
      <w:r w:rsidRPr="003A4620">
        <w:t xml:space="preserve"> (2018) Detecting cervical </w:t>
      </w:r>
      <w:proofErr w:type="spellStart"/>
      <w:r w:rsidRPr="003A4620">
        <w:t>precancer</w:t>
      </w:r>
      <w:proofErr w:type="spellEnd"/>
      <w:r w:rsidRPr="003A4620">
        <w:t xml:space="preserve"> and reaching </w:t>
      </w:r>
      <w:proofErr w:type="spellStart"/>
      <w:r w:rsidRPr="003A4620">
        <w:t>underscreened</w:t>
      </w:r>
      <w:proofErr w:type="spellEnd"/>
      <w:r w:rsidRPr="003A4620">
        <w:t xml:space="preserve"> women by using HPV testing on </w:t>
      </w:r>
      <w:proofErr w:type="spellStart"/>
      <w:r w:rsidRPr="003A4620">
        <w:t>self samples</w:t>
      </w:r>
      <w:proofErr w:type="spellEnd"/>
      <w:r w:rsidRPr="003A4620">
        <w:t xml:space="preserve">: updated meta-analyses. </w:t>
      </w:r>
      <w:r w:rsidRPr="003A4620">
        <w:rPr>
          <w:i/>
        </w:rPr>
        <w:t xml:space="preserve">BMJ, </w:t>
      </w:r>
      <w:r w:rsidRPr="009338DB">
        <w:t>363,</w:t>
      </w:r>
      <w:r>
        <w:t xml:space="preserve"> k4823.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35C0" w14:textId="77777777" w:rsidR="005D69CF" w:rsidRDefault="005D6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3D80" w14:textId="77777777" w:rsidR="00895339" w:rsidRDefault="00895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5C4E" w14:textId="77777777" w:rsidR="005D69CF" w:rsidRDefault="005D6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BA7C98"/>
    <w:multiLevelType w:val="hybridMultilevel"/>
    <w:tmpl w:val="67D82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4"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7FB3E6A"/>
    <w:multiLevelType w:val="hybridMultilevel"/>
    <w:tmpl w:val="B1826328"/>
    <w:lvl w:ilvl="0" w:tplc="137CCB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666BB3"/>
    <w:multiLevelType w:val="hybridMultilevel"/>
    <w:tmpl w:val="EBB045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387448"/>
    <w:multiLevelType w:val="multilevel"/>
    <w:tmpl w:val="B22A93B6"/>
    <w:numStyleLink w:val="Heading1a"/>
  </w:abstractNum>
  <w:abstractNum w:abstractNumId="24"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AB07FB"/>
    <w:multiLevelType w:val="hybridMultilevel"/>
    <w:tmpl w:val="1C0EA13C"/>
    <w:lvl w:ilvl="0" w:tplc="B4B64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873DDF"/>
    <w:multiLevelType w:val="hybridMultilevel"/>
    <w:tmpl w:val="B3684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EE2885"/>
    <w:multiLevelType w:val="hybridMultilevel"/>
    <w:tmpl w:val="43F44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
  </w:num>
  <w:num w:numId="4">
    <w:abstractNumId w:val="22"/>
  </w:num>
  <w:num w:numId="5">
    <w:abstractNumId w:val="12"/>
  </w:num>
  <w:num w:numId="6">
    <w:abstractNumId w:val="21"/>
  </w:num>
  <w:num w:numId="7">
    <w:abstractNumId w:val="26"/>
  </w:num>
  <w:num w:numId="8">
    <w:abstractNumId w:val="15"/>
  </w:num>
  <w:num w:numId="9">
    <w:abstractNumId w:val="36"/>
  </w:num>
  <w:num w:numId="10">
    <w:abstractNumId w:val="0"/>
  </w:num>
  <w:num w:numId="11">
    <w:abstractNumId w:val="25"/>
  </w:num>
  <w:num w:numId="12">
    <w:abstractNumId w:val="27"/>
  </w:num>
  <w:num w:numId="13">
    <w:abstractNumId w:val="4"/>
  </w:num>
  <w:num w:numId="14">
    <w:abstractNumId w:val="31"/>
  </w:num>
  <w:num w:numId="15">
    <w:abstractNumId w:val="24"/>
  </w:num>
  <w:num w:numId="16">
    <w:abstractNumId w:val="28"/>
  </w:num>
  <w:num w:numId="17">
    <w:abstractNumId w:val="17"/>
  </w:num>
  <w:num w:numId="18">
    <w:abstractNumId w:val="19"/>
  </w:num>
  <w:num w:numId="19">
    <w:abstractNumId w:val="30"/>
  </w:num>
  <w:num w:numId="20">
    <w:abstractNumId w:val="29"/>
  </w:num>
  <w:num w:numId="21">
    <w:abstractNumId w:val="3"/>
  </w:num>
  <w:num w:numId="22">
    <w:abstractNumId w:val="11"/>
  </w:num>
  <w:num w:numId="23">
    <w:abstractNumId w:val="2"/>
  </w:num>
  <w:num w:numId="24">
    <w:abstractNumId w:val="9"/>
  </w:num>
  <w:num w:numId="25">
    <w:abstractNumId w:val="5"/>
  </w:num>
  <w:num w:numId="26">
    <w:abstractNumId w:val="38"/>
  </w:num>
  <w:num w:numId="27">
    <w:abstractNumId w:val="18"/>
  </w:num>
  <w:num w:numId="28">
    <w:abstractNumId w:val="16"/>
  </w:num>
  <w:num w:numId="29">
    <w:abstractNumId w:val="13"/>
  </w:num>
  <w:num w:numId="30">
    <w:abstractNumId w:val="8"/>
  </w:num>
  <w:num w:numId="31">
    <w:abstractNumId w:val="32"/>
  </w:num>
  <w:num w:numId="32">
    <w:abstractNumId w:val="35"/>
  </w:num>
  <w:num w:numId="33">
    <w:abstractNumId w:val="7"/>
  </w:num>
  <w:num w:numId="34">
    <w:abstractNumId w:val="23"/>
  </w:num>
  <w:num w:numId="35">
    <w:abstractNumId w:val="14"/>
  </w:num>
  <w:num w:numId="36">
    <w:abstractNumId w:val="37"/>
  </w:num>
  <w:num w:numId="37">
    <w:abstractNumId w:val="34"/>
  </w:num>
  <w:num w:numId="38">
    <w:abstractNumId w:val="3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317F2"/>
    <w:rsid w:val="00037FE3"/>
    <w:rsid w:val="00047606"/>
    <w:rsid w:val="0005689D"/>
    <w:rsid w:val="00065623"/>
    <w:rsid w:val="000663AA"/>
    <w:rsid w:val="000756B9"/>
    <w:rsid w:val="00094098"/>
    <w:rsid w:val="00096B67"/>
    <w:rsid w:val="00096DAF"/>
    <w:rsid w:val="000C2F47"/>
    <w:rsid w:val="000C3B2C"/>
    <w:rsid w:val="000D2B9A"/>
    <w:rsid w:val="000D6C00"/>
    <w:rsid w:val="000E4E04"/>
    <w:rsid w:val="000F14B4"/>
    <w:rsid w:val="000F75DF"/>
    <w:rsid w:val="001023DC"/>
    <w:rsid w:val="001328FA"/>
    <w:rsid w:val="00147AAF"/>
    <w:rsid w:val="001515F1"/>
    <w:rsid w:val="001552C0"/>
    <w:rsid w:val="001640B1"/>
    <w:rsid w:val="00175A1D"/>
    <w:rsid w:val="0018435E"/>
    <w:rsid w:val="001A7CE7"/>
    <w:rsid w:val="001D2549"/>
    <w:rsid w:val="001D28DC"/>
    <w:rsid w:val="002041A1"/>
    <w:rsid w:val="002054F0"/>
    <w:rsid w:val="00210F42"/>
    <w:rsid w:val="0022043C"/>
    <w:rsid w:val="00230D6B"/>
    <w:rsid w:val="00232068"/>
    <w:rsid w:val="002330F2"/>
    <w:rsid w:val="00233648"/>
    <w:rsid w:val="00233C67"/>
    <w:rsid w:val="00243D9E"/>
    <w:rsid w:val="00253B66"/>
    <w:rsid w:val="00260127"/>
    <w:rsid w:val="00261DF1"/>
    <w:rsid w:val="002668AE"/>
    <w:rsid w:val="00271F18"/>
    <w:rsid w:val="00282779"/>
    <w:rsid w:val="0028334D"/>
    <w:rsid w:val="002A081B"/>
    <w:rsid w:val="002B7FFA"/>
    <w:rsid w:val="002C2BCF"/>
    <w:rsid w:val="002D5B6F"/>
    <w:rsid w:val="002E22F6"/>
    <w:rsid w:val="002F279D"/>
    <w:rsid w:val="002F4063"/>
    <w:rsid w:val="002F43B8"/>
    <w:rsid w:val="002F5828"/>
    <w:rsid w:val="00335083"/>
    <w:rsid w:val="00336856"/>
    <w:rsid w:val="0034554D"/>
    <w:rsid w:val="00352224"/>
    <w:rsid w:val="00362A44"/>
    <w:rsid w:val="003671E6"/>
    <w:rsid w:val="00370EFC"/>
    <w:rsid w:val="00377D4D"/>
    <w:rsid w:val="00384272"/>
    <w:rsid w:val="00386D67"/>
    <w:rsid w:val="003945B8"/>
    <w:rsid w:val="003B01EF"/>
    <w:rsid w:val="003C4F7C"/>
    <w:rsid w:val="003D7F29"/>
    <w:rsid w:val="003E7560"/>
    <w:rsid w:val="00405A6B"/>
    <w:rsid w:val="00407B1F"/>
    <w:rsid w:val="0041184F"/>
    <w:rsid w:val="00414C57"/>
    <w:rsid w:val="0041758C"/>
    <w:rsid w:val="00436605"/>
    <w:rsid w:val="00442390"/>
    <w:rsid w:val="004539DE"/>
    <w:rsid w:val="00462AA6"/>
    <w:rsid w:val="00476EAC"/>
    <w:rsid w:val="004967B0"/>
    <w:rsid w:val="004A1398"/>
    <w:rsid w:val="004A2CF1"/>
    <w:rsid w:val="004A4CC2"/>
    <w:rsid w:val="004A4D40"/>
    <w:rsid w:val="004B530B"/>
    <w:rsid w:val="004B6617"/>
    <w:rsid w:val="004C3035"/>
    <w:rsid w:val="004C307F"/>
    <w:rsid w:val="004E4BA8"/>
    <w:rsid w:val="004F340F"/>
    <w:rsid w:val="004F7B7C"/>
    <w:rsid w:val="00501E4C"/>
    <w:rsid w:val="0052243D"/>
    <w:rsid w:val="00532435"/>
    <w:rsid w:val="00541CBF"/>
    <w:rsid w:val="00550354"/>
    <w:rsid w:val="0055647A"/>
    <w:rsid w:val="00571236"/>
    <w:rsid w:val="00592921"/>
    <w:rsid w:val="005941D5"/>
    <w:rsid w:val="005953A1"/>
    <w:rsid w:val="005A044B"/>
    <w:rsid w:val="005A4362"/>
    <w:rsid w:val="005B5434"/>
    <w:rsid w:val="005D0332"/>
    <w:rsid w:val="005D0D8C"/>
    <w:rsid w:val="005D4573"/>
    <w:rsid w:val="005D69CF"/>
    <w:rsid w:val="00615212"/>
    <w:rsid w:val="006328CE"/>
    <w:rsid w:val="00637E31"/>
    <w:rsid w:val="00673A62"/>
    <w:rsid w:val="006776AE"/>
    <w:rsid w:val="006A06F4"/>
    <w:rsid w:val="006A0D97"/>
    <w:rsid w:val="006A5D63"/>
    <w:rsid w:val="006B1F86"/>
    <w:rsid w:val="006C0A91"/>
    <w:rsid w:val="00700BDD"/>
    <w:rsid w:val="007054BB"/>
    <w:rsid w:val="00707064"/>
    <w:rsid w:val="00730683"/>
    <w:rsid w:val="0075261F"/>
    <w:rsid w:val="0075468E"/>
    <w:rsid w:val="007665D8"/>
    <w:rsid w:val="00766E36"/>
    <w:rsid w:val="007765F4"/>
    <w:rsid w:val="00776633"/>
    <w:rsid w:val="00784D53"/>
    <w:rsid w:val="00793D2C"/>
    <w:rsid w:val="00795901"/>
    <w:rsid w:val="00797797"/>
    <w:rsid w:val="007A63C9"/>
    <w:rsid w:val="007B06A2"/>
    <w:rsid w:val="007B32D1"/>
    <w:rsid w:val="007B7095"/>
    <w:rsid w:val="007C4EE3"/>
    <w:rsid w:val="007C6C75"/>
    <w:rsid w:val="007D24E1"/>
    <w:rsid w:val="007D6288"/>
    <w:rsid w:val="007D63F2"/>
    <w:rsid w:val="007F4CE9"/>
    <w:rsid w:val="007F4E20"/>
    <w:rsid w:val="00816A1B"/>
    <w:rsid w:val="00822C7E"/>
    <w:rsid w:val="00841ECF"/>
    <w:rsid w:val="00845BDC"/>
    <w:rsid w:val="00847060"/>
    <w:rsid w:val="00847A36"/>
    <w:rsid w:val="00856A33"/>
    <w:rsid w:val="00861E90"/>
    <w:rsid w:val="008754BC"/>
    <w:rsid w:val="00892620"/>
    <w:rsid w:val="00895339"/>
    <w:rsid w:val="008A08CD"/>
    <w:rsid w:val="008C236F"/>
    <w:rsid w:val="008C778E"/>
    <w:rsid w:val="008C7D37"/>
    <w:rsid w:val="008D1722"/>
    <w:rsid w:val="008D5885"/>
    <w:rsid w:val="009006BB"/>
    <w:rsid w:val="00906FFF"/>
    <w:rsid w:val="00914F97"/>
    <w:rsid w:val="0091532D"/>
    <w:rsid w:val="00923FA2"/>
    <w:rsid w:val="00953D9A"/>
    <w:rsid w:val="0096060D"/>
    <w:rsid w:val="00974A50"/>
    <w:rsid w:val="0097585A"/>
    <w:rsid w:val="009773E5"/>
    <w:rsid w:val="009910B3"/>
    <w:rsid w:val="009910CF"/>
    <w:rsid w:val="009924B0"/>
    <w:rsid w:val="009942C9"/>
    <w:rsid w:val="009B35C4"/>
    <w:rsid w:val="009C5D5E"/>
    <w:rsid w:val="009C630A"/>
    <w:rsid w:val="009E0D98"/>
    <w:rsid w:val="00A040FD"/>
    <w:rsid w:val="00A068A1"/>
    <w:rsid w:val="00A10F05"/>
    <w:rsid w:val="00A1207D"/>
    <w:rsid w:val="00A12FD8"/>
    <w:rsid w:val="00A346FC"/>
    <w:rsid w:val="00A46D77"/>
    <w:rsid w:val="00A6376C"/>
    <w:rsid w:val="00A846F2"/>
    <w:rsid w:val="00A84F93"/>
    <w:rsid w:val="00A92CAD"/>
    <w:rsid w:val="00A92FAD"/>
    <w:rsid w:val="00AB1AC5"/>
    <w:rsid w:val="00AB3BFC"/>
    <w:rsid w:val="00AC1B0D"/>
    <w:rsid w:val="00AC4F2E"/>
    <w:rsid w:val="00AC7ED4"/>
    <w:rsid w:val="00AD0C37"/>
    <w:rsid w:val="00AD385F"/>
    <w:rsid w:val="00AE6E2A"/>
    <w:rsid w:val="00B03EAB"/>
    <w:rsid w:val="00B05275"/>
    <w:rsid w:val="00B31E9C"/>
    <w:rsid w:val="00B35595"/>
    <w:rsid w:val="00B44215"/>
    <w:rsid w:val="00B51C6D"/>
    <w:rsid w:val="00B57167"/>
    <w:rsid w:val="00B7415F"/>
    <w:rsid w:val="00B82321"/>
    <w:rsid w:val="00B83DD2"/>
    <w:rsid w:val="00B86D64"/>
    <w:rsid w:val="00B92134"/>
    <w:rsid w:val="00BA4AC5"/>
    <w:rsid w:val="00BA69F8"/>
    <w:rsid w:val="00BC1364"/>
    <w:rsid w:val="00BC2667"/>
    <w:rsid w:val="00BC7DE9"/>
    <w:rsid w:val="00BD2BDA"/>
    <w:rsid w:val="00BF3692"/>
    <w:rsid w:val="00BF479B"/>
    <w:rsid w:val="00BF515C"/>
    <w:rsid w:val="00C02577"/>
    <w:rsid w:val="00C06B0B"/>
    <w:rsid w:val="00C204FB"/>
    <w:rsid w:val="00C20BEE"/>
    <w:rsid w:val="00C2158D"/>
    <w:rsid w:val="00C22094"/>
    <w:rsid w:val="00C22254"/>
    <w:rsid w:val="00C42E97"/>
    <w:rsid w:val="00C43ADD"/>
    <w:rsid w:val="00C67DD2"/>
    <w:rsid w:val="00C725CB"/>
    <w:rsid w:val="00C7454F"/>
    <w:rsid w:val="00C76F5C"/>
    <w:rsid w:val="00C86AF6"/>
    <w:rsid w:val="00C96BAD"/>
    <w:rsid w:val="00CA2632"/>
    <w:rsid w:val="00CA6944"/>
    <w:rsid w:val="00CB0F8E"/>
    <w:rsid w:val="00CB7E7D"/>
    <w:rsid w:val="00CC2911"/>
    <w:rsid w:val="00CC5B1A"/>
    <w:rsid w:val="00CF0C6D"/>
    <w:rsid w:val="00CF4E81"/>
    <w:rsid w:val="00CF7307"/>
    <w:rsid w:val="00CF7C68"/>
    <w:rsid w:val="00D124FA"/>
    <w:rsid w:val="00D14006"/>
    <w:rsid w:val="00D20BA2"/>
    <w:rsid w:val="00D21BB4"/>
    <w:rsid w:val="00D31027"/>
    <w:rsid w:val="00D340DE"/>
    <w:rsid w:val="00D55723"/>
    <w:rsid w:val="00D62FAD"/>
    <w:rsid w:val="00D64355"/>
    <w:rsid w:val="00D70450"/>
    <w:rsid w:val="00D83BFD"/>
    <w:rsid w:val="00D909C5"/>
    <w:rsid w:val="00D90A38"/>
    <w:rsid w:val="00D9170F"/>
    <w:rsid w:val="00D95739"/>
    <w:rsid w:val="00DA0515"/>
    <w:rsid w:val="00DA171E"/>
    <w:rsid w:val="00DA56AA"/>
    <w:rsid w:val="00DB32A6"/>
    <w:rsid w:val="00DB5833"/>
    <w:rsid w:val="00DD2858"/>
    <w:rsid w:val="00DF489D"/>
    <w:rsid w:val="00E03E33"/>
    <w:rsid w:val="00E059E0"/>
    <w:rsid w:val="00E3642A"/>
    <w:rsid w:val="00E415C4"/>
    <w:rsid w:val="00E50016"/>
    <w:rsid w:val="00E50EAA"/>
    <w:rsid w:val="00E5164D"/>
    <w:rsid w:val="00E5603B"/>
    <w:rsid w:val="00E64ACA"/>
    <w:rsid w:val="00E656D6"/>
    <w:rsid w:val="00E709BF"/>
    <w:rsid w:val="00E86415"/>
    <w:rsid w:val="00E96EDC"/>
    <w:rsid w:val="00E977EE"/>
    <w:rsid w:val="00EA2F24"/>
    <w:rsid w:val="00EA5C0E"/>
    <w:rsid w:val="00EA67A2"/>
    <w:rsid w:val="00EB630F"/>
    <w:rsid w:val="00EB6B6F"/>
    <w:rsid w:val="00EC06B0"/>
    <w:rsid w:val="00EC14F4"/>
    <w:rsid w:val="00EC4F98"/>
    <w:rsid w:val="00EC6908"/>
    <w:rsid w:val="00F12F02"/>
    <w:rsid w:val="00F32E0D"/>
    <w:rsid w:val="00F35134"/>
    <w:rsid w:val="00F37B9C"/>
    <w:rsid w:val="00F41812"/>
    <w:rsid w:val="00F56D7F"/>
    <w:rsid w:val="00F715D1"/>
    <w:rsid w:val="00F72715"/>
    <w:rsid w:val="00F73333"/>
    <w:rsid w:val="00F95D8F"/>
    <w:rsid w:val="00FA1E6C"/>
    <w:rsid w:val="00FA4036"/>
    <w:rsid w:val="00FB350A"/>
    <w:rsid w:val="00FB4C5D"/>
    <w:rsid w:val="00FE1C3F"/>
    <w:rsid w:val="00FE4383"/>
    <w:rsid w:val="00FE731D"/>
    <w:rsid w:val="00FF5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757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063"/>
    <w:pPr>
      <w:spacing w:after="240"/>
    </w:pPr>
    <w:rPr>
      <w:rFonts w:eastAsia="Times New Roman"/>
      <w:sz w:val="24"/>
      <w:szCs w:val="20"/>
    </w:rPr>
  </w:style>
  <w:style w:type="paragraph" w:styleId="Heading1">
    <w:name w:val="heading 1"/>
    <w:basedOn w:val="Normal"/>
    <w:next w:val="Normal"/>
    <w:link w:val="Heading1Char"/>
    <w:uiPriority w:val="9"/>
    <w:qFormat/>
    <w:rsid w:val="00A846F2"/>
    <w:pPr>
      <w:keepNext/>
      <w:keepLines/>
      <w:numPr>
        <w:numId w:val="23"/>
      </w:numPr>
      <w:spacing w:before="240"/>
      <w:ind w:hanging="720"/>
      <w:outlineLvl w:val="0"/>
    </w:pPr>
    <w:rPr>
      <w:rFonts w:ascii="Arial" w:hAnsi="Arial"/>
      <w:b/>
      <w:bCs/>
      <w:szCs w:val="28"/>
    </w:rPr>
  </w:style>
  <w:style w:type="paragraph" w:styleId="Heading2">
    <w:name w:val="heading 2"/>
    <w:basedOn w:val="Normal"/>
    <w:next w:val="Normal"/>
    <w:link w:val="Heading2Char"/>
    <w:uiPriority w:val="9"/>
    <w:unhideWhenUsed/>
    <w:qFormat/>
    <w:locked/>
    <w:rsid w:val="006A5D63"/>
    <w:pPr>
      <w:spacing w:before="240" w:after="0"/>
      <w:outlineLvl w:val="1"/>
    </w:pPr>
    <w:rPr>
      <w:b/>
    </w:rPr>
  </w:style>
  <w:style w:type="paragraph" w:styleId="Heading3">
    <w:name w:val="heading 3"/>
    <w:basedOn w:val="Normal"/>
    <w:next w:val="Normal"/>
    <w:link w:val="Heading3Char"/>
    <w:uiPriority w:val="9"/>
    <w:semiHidden/>
    <w:unhideWhenUsed/>
    <w:qFormat/>
    <w:locked/>
    <w:rsid w:val="007C6C75"/>
    <w:pPr>
      <w:keepNext/>
      <w:keepLines/>
      <w:spacing w:before="40" w:after="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locked/>
    <w:rsid w:val="007C6C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46F2"/>
    <w:rPr>
      <w:rFonts w:ascii="Arial" w:eastAsia="Times New Roman" w:hAnsi="Arial"/>
      <w:b/>
      <w:bCs/>
      <w:sz w:val="24"/>
      <w:szCs w:val="28"/>
    </w:rPr>
  </w:style>
  <w:style w:type="character" w:styleId="Hyperlink">
    <w:name w:val="Hyperlink"/>
    <w:basedOn w:val="DefaultParagraphFont"/>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6A5D63"/>
    <w:rPr>
      <w:rFonts w:eastAsia="Times New Roman"/>
      <w:b/>
      <w:sz w:val="24"/>
      <w:szCs w:val="20"/>
    </w:rPr>
  </w:style>
  <w:style w:type="paragraph" w:styleId="Title">
    <w:name w:val="Title"/>
    <w:basedOn w:val="Normal"/>
    <w:next w:val="Normal"/>
    <w:link w:val="TitleChar"/>
    <w:qFormat/>
    <w:locked/>
    <w:rsid w:val="00F715D1"/>
    <w:pPr>
      <w:spacing w:before="48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7C6C75"/>
    <w:pPr>
      <w:keepNext/>
      <w:spacing w:before="40" w:after="40"/>
      <w:ind w:left="567" w:hanging="567"/>
    </w:pPr>
    <w:rPr>
      <w:rFonts w:ascii="Arial Narrow" w:hAnsi="Arial Narrow" w:cs="Tahoma"/>
      <w:b/>
      <w:noProof/>
      <w:sz w:val="20"/>
    </w:rPr>
  </w:style>
  <w:style w:type="character" w:customStyle="1" w:styleId="TableHeadingChar">
    <w:name w:val="TableHeading Char"/>
    <w:link w:val="TableHeading"/>
    <w:rsid w:val="007C6C75"/>
    <w:rPr>
      <w:rFonts w:ascii="Arial Narrow" w:eastAsia="Times New Roman" w:hAnsi="Arial Narrow" w:cs="Tahoma"/>
      <w:b/>
      <w:noProof/>
      <w:sz w:val="20"/>
      <w:szCs w:val="20"/>
    </w:rPr>
  </w:style>
  <w:style w:type="paragraph" w:customStyle="1" w:styleId="TableText">
    <w:name w:val="TableText"/>
    <w:basedOn w:val="Normal"/>
    <w:rsid w:val="007C6C75"/>
    <w:pPr>
      <w:keepNext/>
      <w:spacing w:before="60" w:after="60"/>
    </w:pPr>
    <w:rPr>
      <w:color w:val="000000"/>
      <w:sz w:val="21"/>
      <w:szCs w:val="21"/>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7C6C75"/>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7C6C75"/>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7C6C75"/>
    <w:pPr>
      <w:widowControl w:val="0"/>
      <w:spacing w:after="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C6C75"/>
    <w:rPr>
      <w:rFonts w:ascii="Arial Narrow" w:eastAsia="Times New Roman" w:hAnsi="Arial Narrow" w:cs="Arial"/>
      <w:snapToGrid w:val="0"/>
      <w:sz w:val="18"/>
      <w:szCs w:val="20"/>
      <w:lang w:eastAsia="en-US"/>
    </w:rPr>
  </w:style>
  <w:style w:type="character" w:customStyle="1" w:styleId="ListParagraphChar">
    <w:name w:val="List Paragraph Char"/>
    <w:aliases w:val="Styl moj Char,Akapit z listą1 Char,Akapit z listą11 Char"/>
    <w:link w:val="ListParagraph"/>
    <w:uiPriority w:val="34"/>
    <w:rsid w:val="007C6C75"/>
    <w:rPr>
      <w:rFonts w:eastAsia="Times New Roman"/>
      <w:sz w:val="24"/>
      <w:szCs w:val="20"/>
    </w:rPr>
  </w:style>
  <w:style w:type="character" w:styleId="PageNumber">
    <w:name w:val="page number"/>
    <w:rsid w:val="007C6C75"/>
    <w:rPr>
      <w:rFonts w:ascii="Tahoma" w:hAnsi="Tahoma"/>
      <w:b/>
      <w:sz w:val="18"/>
    </w:rPr>
  </w:style>
  <w:style w:type="paragraph" w:customStyle="1" w:styleId="Tablenotes1">
    <w:name w:val="Tablenotes 1"/>
    <w:basedOn w:val="Normal"/>
    <w:link w:val="Tablenotes1Char"/>
    <w:qFormat/>
    <w:rsid w:val="007C6C75"/>
    <w:pPr>
      <w:widowControl w:val="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7C6C75"/>
    <w:rPr>
      <w:rFonts w:ascii="Arial Narrow" w:eastAsia="Times New Roman" w:hAnsi="Arial Narrow" w:cs="Arial"/>
      <w:snapToGrid w:val="0"/>
      <w:sz w:val="18"/>
      <w:szCs w:val="20"/>
      <w:lang w:eastAsia="en-US"/>
    </w:rPr>
  </w:style>
  <w:style w:type="paragraph" w:customStyle="1" w:styleId="TableText0">
    <w:name w:val="Table Text"/>
    <w:basedOn w:val="Normal"/>
    <w:link w:val="TableTextChar"/>
    <w:qFormat/>
    <w:rsid w:val="007C6C75"/>
    <w:pPr>
      <w:keepNext/>
      <w:widowControl w:val="0"/>
      <w:adjustRightInd w:val="0"/>
      <w:spacing w:before="40" w:after="40"/>
      <w:jc w:val="both"/>
      <w:textAlignment w:val="baseline"/>
    </w:pPr>
    <w:rPr>
      <w:rFonts w:ascii="Arial Narrow" w:hAnsi="Arial Narrow"/>
      <w:sz w:val="20"/>
      <w:szCs w:val="22"/>
      <w:lang w:eastAsia="en-US"/>
    </w:rPr>
  </w:style>
  <w:style w:type="character" w:customStyle="1" w:styleId="TableTextChar">
    <w:name w:val="Table Text Char"/>
    <w:link w:val="TableText0"/>
    <w:rsid w:val="007C6C75"/>
    <w:rPr>
      <w:rFonts w:ascii="Arial Narrow" w:eastAsia="Times New Roman" w:hAnsi="Arial Narrow"/>
      <w:sz w:val="20"/>
      <w:lang w:eastAsia="en-US"/>
    </w:rPr>
  </w:style>
  <w:style w:type="character" w:customStyle="1" w:styleId="Heading3Char">
    <w:name w:val="Heading 3 Char"/>
    <w:basedOn w:val="DefaultParagraphFont"/>
    <w:link w:val="Heading3"/>
    <w:uiPriority w:val="9"/>
    <w:semiHidden/>
    <w:rsid w:val="007C6C75"/>
    <w:rPr>
      <w:rFonts w:eastAsiaTheme="majorEastAsia" w:cstheme="majorBidi"/>
      <w:sz w:val="24"/>
      <w:szCs w:val="24"/>
      <w:u w:val="single"/>
    </w:rPr>
  </w:style>
  <w:style w:type="character" w:customStyle="1" w:styleId="Heading4Char">
    <w:name w:val="Heading 4 Char"/>
    <w:basedOn w:val="DefaultParagraphFont"/>
    <w:link w:val="Heading4"/>
    <w:uiPriority w:val="9"/>
    <w:semiHidden/>
    <w:rsid w:val="007C6C75"/>
    <w:rPr>
      <w:rFonts w:asciiTheme="majorHAnsi" w:eastAsiaTheme="majorEastAsia" w:hAnsiTheme="majorHAnsi" w:cstheme="majorBidi"/>
      <w:b/>
      <w:bCs/>
      <w:i/>
      <w:iCs/>
      <w:color w:val="4F81BD" w:themeColor="accent1"/>
      <w:sz w:val="24"/>
      <w:szCs w:val="20"/>
    </w:rPr>
  </w:style>
  <w:style w:type="paragraph" w:customStyle="1" w:styleId="Table">
    <w:name w:val="Table"/>
    <w:basedOn w:val="Normal"/>
    <w:link w:val="TableChar"/>
    <w:qFormat/>
    <w:rsid w:val="007C6C75"/>
    <w:pPr>
      <w:spacing w:after="0"/>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7C6C75"/>
    <w:rPr>
      <w:rFonts w:ascii="Candara" w:eastAsiaTheme="majorEastAsia" w:hAnsi="Candara" w:cstheme="majorBidi"/>
      <w:sz w:val="20"/>
      <w:lang w:eastAsia="en-US" w:bidi="en-US"/>
    </w:rPr>
  </w:style>
  <w:style w:type="paragraph" w:customStyle="1" w:styleId="TableCentre">
    <w:name w:val="Table Centre"/>
    <w:basedOn w:val="Table"/>
    <w:uiPriority w:val="99"/>
    <w:qFormat/>
    <w:rsid w:val="007C6C75"/>
    <w:pPr>
      <w:jc w:val="center"/>
    </w:pPr>
  </w:style>
  <w:style w:type="paragraph" w:customStyle="1" w:styleId="Tabletext1">
    <w:name w:val="Table text"/>
    <w:basedOn w:val="Normal"/>
    <w:link w:val="TabletextChar0"/>
    <w:qFormat/>
    <w:rsid w:val="007C6C75"/>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7C6C75"/>
    <w:pPr>
      <w:keepNext/>
      <w:spacing w:after="0"/>
      <w:jc w:val="center"/>
    </w:pPr>
    <w:rPr>
      <w:rFonts w:ascii="Arial Narrow" w:hAnsi="Arial Narrow" w:cs="Arial"/>
      <w:b/>
      <w:sz w:val="20"/>
      <w:lang w:eastAsia="en-US"/>
    </w:rPr>
  </w:style>
  <w:style w:type="character" w:customStyle="1" w:styleId="TabletextChar0">
    <w:name w:val="Table text Char"/>
    <w:basedOn w:val="DefaultParagraphFont"/>
    <w:link w:val="Tabletext1"/>
    <w:rsid w:val="007C6C75"/>
    <w:rPr>
      <w:rFonts w:ascii="Arial Narrow" w:eastAsia="Times New Roman" w:hAnsi="Arial Narrow"/>
      <w:sz w:val="20"/>
      <w:szCs w:val="24"/>
      <w:lang w:eastAsia="en-US"/>
    </w:rPr>
  </w:style>
  <w:style w:type="character" w:customStyle="1" w:styleId="TabletextboldChar">
    <w:name w:val="Table text bold Char"/>
    <w:basedOn w:val="DefaultParagraphFont"/>
    <w:link w:val="Tabletextbold"/>
    <w:rsid w:val="007C6C75"/>
    <w:rPr>
      <w:rFonts w:ascii="Arial Narrow" w:eastAsia="Times New Roman" w:hAnsi="Arial Narrow" w:cs="Arial"/>
      <w:b/>
      <w:sz w:val="20"/>
      <w:szCs w:val="20"/>
      <w:lang w:eastAsia="en-US"/>
    </w:rPr>
  </w:style>
  <w:style w:type="paragraph" w:customStyle="1" w:styleId="ESHeading2">
    <w:name w:val="ES Heading 2"/>
    <w:basedOn w:val="Heading2"/>
    <w:link w:val="ESHeading2Char"/>
    <w:rsid w:val="007C6C75"/>
    <w:pPr>
      <w:keepNext/>
      <w:spacing w:before="0"/>
      <w:ind w:left="576" w:hanging="576"/>
      <w:jc w:val="both"/>
    </w:pPr>
    <w:rPr>
      <w:rFonts w:ascii="Garamond" w:hAnsi="Garamond"/>
      <w:b w:val="0"/>
      <w:bCs/>
      <w:i/>
      <w:iCs/>
      <w:szCs w:val="28"/>
    </w:rPr>
  </w:style>
  <w:style w:type="character" w:customStyle="1" w:styleId="ESHeading2Char">
    <w:name w:val="ES Heading 2 Char"/>
    <w:basedOn w:val="Heading2Char"/>
    <w:link w:val="ESHeading2"/>
    <w:rsid w:val="007C6C75"/>
    <w:rPr>
      <w:rFonts w:ascii="Garamond" w:eastAsia="Times New Roman" w:hAnsi="Garamond"/>
      <w:b w:val="0"/>
      <w:bCs/>
      <w:i/>
      <w:iCs/>
      <w:sz w:val="24"/>
      <w:szCs w:val="28"/>
    </w:rPr>
  </w:style>
  <w:style w:type="table" w:customStyle="1" w:styleId="Submissiontemplate2">
    <w:name w:val="Submission template2"/>
    <w:basedOn w:val="TableNormal"/>
    <w:uiPriority w:val="99"/>
    <w:rsid w:val="007C6C75"/>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Emphasis">
    <w:name w:val="Emphasis"/>
    <w:uiPriority w:val="20"/>
    <w:qFormat/>
    <w:locked/>
    <w:rsid w:val="007C6C75"/>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7C6C75"/>
    <w:pPr>
      <w:jc w:val="left"/>
    </w:pPr>
  </w:style>
  <w:style w:type="character" w:customStyle="1" w:styleId="TabletextboldleftChar">
    <w:name w:val="Table text bold left Char"/>
    <w:basedOn w:val="TabletextboldChar"/>
    <w:link w:val="Tabletextboldleft"/>
    <w:rsid w:val="007C6C75"/>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7C6C75"/>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7C6C75"/>
    <w:pPr>
      <w:keepNext/>
      <w:keepLines/>
      <w:spacing w:after="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7C6C75"/>
    <w:rPr>
      <w:rFonts w:ascii="Arial Narrow" w:eastAsia="Times New Roman" w:hAnsi="Arial Narrow" w:cs="Arial"/>
      <w:sz w:val="20"/>
      <w:szCs w:val="20"/>
      <w:lang w:eastAsia="en-US"/>
    </w:rPr>
  </w:style>
  <w:style w:type="paragraph" w:customStyle="1" w:styleId="Tabletextcentred">
    <w:name w:val="Table text centred"/>
    <w:basedOn w:val="Tabletext1"/>
    <w:link w:val="TabletextcentredChar"/>
    <w:qFormat/>
    <w:rsid w:val="007C6C75"/>
    <w:pPr>
      <w:jc w:val="center"/>
    </w:pPr>
  </w:style>
  <w:style w:type="character" w:customStyle="1" w:styleId="TabletextcentredChar">
    <w:name w:val="Table text centred Char"/>
    <w:basedOn w:val="TabletextChar0"/>
    <w:link w:val="Tabletextcentred"/>
    <w:rsid w:val="007C6C75"/>
    <w:rPr>
      <w:rFonts w:ascii="Arial Narrow" w:eastAsia="Times New Roman" w:hAnsi="Arial Narrow"/>
      <w:sz w:val="20"/>
      <w:szCs w:val="24"/>
      <w:lang w:eastAsia="en-US"/>
    </w:rPr>
  </w:style>
  <w:style w:type="character" w:customStyle="1" w:styleId="TableBold">
    <w:name w:val="Table Bold"/>
    <w:uiPriority w:val="4"/>
    <w:qFormat/>
    <w:rsid w:val="007C6C75"/>
    <w:rPr>
      <w:rFonts w:ascii="Calibri" w:hAnsi="Calibri" w:hint="default"/>
      <w:b/>
      <w:bCs w:val="0"/>
      <w:sz w:val="20"/>
      <w:lang w:val="en-AU"/>
    </w:rPr>
  </w:style>
  <w:style w:type="table" w:customStyle="1" w:styleId="TableGrid12">
    <w:name w:val="Table Grid12"/>
    <w:basedOn w:val="TableNormal"/>
    <w:next w:val="TableGrid"/>
    <w:uiPriority w:val="59"/>
    <w:rsid w:val="007C6C75"/>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7C6C75"/>
    <w:pPr>
      <w:tabs>
        <w:tab w:val="num" w:pos="360"/>
        <w:tab w:val="left" w:pos="720"/>
        <w:tab w:val="left" w:pos="1140"/>
      </w:tabs>
      <w:spacing w:before="120" w:after="0"/>
      <w:ind w:left="360" w:hanging="360"/>
    </w:pPr>
    <w:rPr>
      <w:rFonts w:ascii="Arial" w:hAnsi="Arial" w:cs="Arial"/>
      <w:color w:val="3366FF"/>
      <w:szCs w:val="24"/>
    </w:rPr>
  </w:style>
  <w:style w:type="character" w:customStyle="1" w:styleId="Style2Char">
    <w:name w:val="Style2 Char"/>
    <w:basedOn w:val="DefaultParagraphFont"/>
    <w:link w:val="Style2"/>
    <w:rsid w:val="007C6C75"/>
    <w:rPr>
      <w:rFonts w:ascii="Arial" w:eastAsia="Times New Roman" w:hAnsi="Arial" w:cs="Arial"/>
      <w:color w:val="3366FF"/>
      <w:sz w:val="24"/>
      <w:szCs w:val="24"/>
    </w:rPr>
  </w:style>
  <w:style w:type="paragraph" w:styleId="NoSpacing">
    <w:name w:val="No Spacing"/>
    <w:uiPriority w:val="1"/>
    <w:qFormat/>
    <w:rsid w:val="007C6C75"/>
    <w:rPr>
      <w:rFonts w:asciiTheme="minorHAnsi" w:eastAsiaTheme="minorHAnsi" w:hAnsiTheme="minorHAnsi" w:cstheme="minorBidi"/>
      <w:lang w:eastAsia="en-US"/>
    </w:rPr>
  </w:style>
  <w:style w:type="paragraph" w:customStyle="1" w:styleId="NormalBulletList">
    <w:name w:val="Normal Bullet List"/>
    <w:basedOn w:val="Normal"/>
    <w:uiPriority w:val="3"/>
    <w:qFormat/>
    <w:rsid w:val="007C6C75"/>
    <w:pPr>
      <w:numPr>
        <w:numId w:val="29"/>
      </w:numPr>
      <w:spacing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7C6C75"/>
    <w:pPr>
      <w:widowControl w:val="0"/>
      <w:spacing w:after="0"/>
    </w:pPr>
    <w:rPr>
      <w:snapToGrid w:val="0"/>
      <w:sz w:val="20"/>
      <w:lang w:val="en-US" w:eastAsia="en-US"/>
    </w:rPr>
  </w:style>
  <w:style w:type="character" w:customStyle="1" w:styleId="EndnoteTextChar">
    <w:name w:val="Endnote Text Char"/>
    <w:basedOn w:val="DefaultParagraphFont"/>
    <w:link w:val="EndnoteText"/>
    <w:rsid w:val="007C6C75"/>
    <w:rPr>
      <w:rFonts w:eastAsia="Times New Roman"/>
      <w:snapToGrid w:val="0"/>
      <w:sz w:val="20"/>
      <w:szCs w:val="20"/>
      <w:lang w:val="en-US" w:eastAsia="en-US"/>
    </w:rPr>
  </w:style>
  <w:style w:type="character" w:styleId="EndnoteReference">
    <w:name w:val="endnote reference"/>
    <w:basedOn w:val="DefaultParagraphFont"/>
    <w:rsid w:val="007C6C75"/>
    <w:rPr>
      <w:vertAlign w:val="superscript"/>
    </w:rPr>
  </w:style>
  <w:style w:type="character" w:customStyle="1" w:styleId="SmallBold">
    <w:name w:val="Small Bold"/>
    <w:basedOn w:val="DefaultParagraphFont"/>
    <w:uiPriority w:val="4"/>
    <w:qFormat/>
    <w:rsid w:val="007C6C75"/>
    <w:rPr>
      <w:rFonts w:ascii="Candara" w:hAnsi="Candara"/>
      <w:b/>
      <w:sz w:val="20"/>
      <w:lang w:val="en-AU"/>
    </w:rPr>
  </w:style>
  <w:style w:type="table" w:customStyle="1" w:styleId="Submissiontemplate">
    <w:name w:val="Submission template"/>
    <w:basedOn w:val="TableNormal"/>
    <w:uiPriority w:val="99"/>
    <w:rsid w:val="007C6C75"/>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table" w:customStyle="1" w:styleId="TableGrid2">
    <w:name w:val="Table Grid2"/>
    <w:basedOn w:val="TableNormal"/>
    <w:next w:val="TableGrid"/>
    <w:rsid w:val="007C6C75"/>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numbering" w:customStyle="1" w:styleId="Heading1a">
    <w:name w:val="Heading 1a"/>
    <w:basedOn w:val="NoList"/>
    <w:uiPriority w:val="99"/>
    <w:rsid w:val="007C6C75"/>
    <w:pPr>
      <w:numPr>
        <w:numId w:val="33"/>
      </w:numPr>
    </w:pPr>
  </w:style>
  <w:style w:type="paragraph" w:customStyle="1" w:styleId="Tabletext-left">
    <w:name w:val="Table text - left"/>
    <w:basedOn w:val="Normal"/>
    <w:link w:val="Tabletext-leftChar"/>
    <w:rsid w:val="007C6C75"/>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7C6C75"/>
    <w:rPr>
      <w:rFonts w:asciiTheme="minorHAnsi" w:eastAsia="Times New Roman" w:hAnsiTheme="minorHAnsi" w:cs="Arial"/>
      <w:sz w:val="20"/>
      <w:szCs w:val="20"/>
      <w:lang w:eastAsia="en-US"/>
    </w:rPr>
  </w:style>
  <w:style w:type="table" w:customStyle="1" w:styleId="TableGrid9">
    <w:name w:val="Table Grid9"/>
    <w:basedOn w:val="TableNormal"/>
    <w:next w:val="TableGrid"/>
    <w:uiPriority w:val="39"/>
    <w:rsid w:val="007C6C7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C6C7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msac.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msac.gov.au/internet/msac/publishing.nsf/Content/1276-public"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health.gov.au/mbs/fullDisplay.cfm?type=item&amp;q=73071&amp;qt=ItemI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msac.gov.au/internet/msac/publishing.nsf/Content/1276-public"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cancer-screening/national-cervical-screening-monitoring-2019/contents/table-of-contents" TargetMode="External"/><Relationship Id="rId13" Type="http://schemas.openxmlformats.org/officeDocument/2006/relationships/hyperlink" Target="https://www.aihw.gov.au/reports/cancer-screening/national-cervical-screening-monitoring-report-2020/contents/summary" TargetMode="External"/><Relationship Id="rId3" Type="http://schemas.openxmlformats.org/officeDocument/2006/relationships/hyperlink" Target="https://www1.health.gov.au/internet/main/publishing.nsf/Content/9B758F769B58B1A8CA258107001BB2DA/$File/18092019%20FINAL%20-%20Requirements%20for%20laboratories%20reporting%20tests%20for%20the%20NCSP%20Second%20Edition.pdf" TargetMode="External"/><Relationship Id="rId7" Type="http://schemas.openxmlformats.org/officeDocument/2006/relationships/hyperlink" Target="https://apps.who.int/iris/bitstream/handle/10665/144785/9789241548953_eng.pdf;jsessionid=702E5640165C3E771C0E977280BD7819?sequence=1" TargetMode="External"/><Relationship Id="rId12" Type="http://schemas.openxmlformats.org/officeDocument/2006/relationships/hyperlink" Target="https://www.health.gov.au/news/important-changes-to-the-national-cervical-screening-programs-clinical-guidelines-pathway-for-women-at-intermediate-risk" TargetMode="External"/><Relationship Id="rId2" Type="http://schemas.openxmlformats.org/officeDocument/2006/relationships/hyperlink" Target="http://www.msac.gov.au/internet/msac/publishing.nsf/Content/1276-public" TargetMode="External"/><Relationship Id="rId1" Type="http://schemas.openxmlformats.org/officeDocument/2006/relationships/hyperlink" Target="https://www.aihw.gov.au/reports/cancer-screening/national-cervical-screening-monitoring-report-2020/contents/summary" TargetMode="External"/><Relationship Id="rId6" Type="http://schemas.openxmlformats.org/officeDocument/2006/relationships/hyperlink" Target="https://www.aihw.gov.au/reports/cancer-screening/national-cervical-screening-monitoring-report-2020/contents/summary" TargetMode="External"/><Relationship Id="rId11" Type="http://schemas.openxmlformats.org/officeDocument/2006/relationships/hyperlink" Target="https://www.aihw.gov.au/reports/cancer-screening/national-cervical-screening-monitoring-report-2020/contents/summary" TargetMode="External"/><Relationship Id="rId5" Type="http://schemas.openxmlformats.org/officeDocument/2006/relationships/hyperlink" Target="https://wiki.cancer.org.au/australia/Guidelines:Cervical_cancer/Screening/HPV_testing_terminology" TargetMode="External"/><Relationship Id="rId10" Type="http://schemas.openxmlformats.org/officeDocument/2006/relationships/hyperlink" Target="https://wiki.cancer.org.au/australia/Clinical_question:Oncogenic_HPV_types_not_16/18" TargetMode="External"/><Relationship Id="rId4" Type="http://schemas.openxmlformats.org/officeDocument/2006/relationships/hyperlink" Target="https://www1.health.gov.au/internet/main/publishing.nsf/Content/9B758F769B58B1A8CA258107001BB2DA/$File/18092019%20FINAL%20-%20Requirements%20for%20laboratories%20reporting%20tests%20for%20the%20NCSP%20Second%20Edition.pdf" TargetMode="External"/><Relationship Id="rId9" Type="http://schemas.openxmlformats.org/officeDocument/2006/relationships/hyperlink" Target="https://www.aihw.gov.au/reports/cancer-screening/national-cervical-screening-monitoring-2019/contents/table-of-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487D-9BA9-483B-AC20-A6DC8E96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8037</Words>
  <Characters>49833</Characters>
  <Application>Microsoft Office Word</Application>
  <DocSecurity>0</DocSecurity>
  <Lines>1277</Lines>
  <Paragraphs>697</Paragraphs>
  <ScaleCrop>false</ScaleCrop>
  <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2021-05-17T02:19:00Z</dcterms:created>
  <dcterms:modified xsi:type="dcterms:W3CDTF">2021-05-19T03:25:00Z</dcterms:modified>
</cp:coreProperties>
</file>